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5BB24" w14:textId="4BA2C1E0" w:rsidR="0047677D" w:rsidRPr="00B7374D" w:rsidRDefault="0047677D" w:rsidP="0047677D">
      <w:pPr>
        <w:pStyle w:val="Heading1"/>
      </w:pPr>
      <w:r>
        <w:t xml:space="preserve">Victoria Legal Aid </w:t>
      </w:r>
      <w:r w:rsidRPr="00F03770">
        <w:t>2016–17</w:t>
      </w:r>
      <w:r>
        <w:t xml:space="preserve"> midyear report</w:t>
      </w:r>
    </w:p>
    <w:p w14:paraId="04B93C4F" w14:textId="77777777" w:rsidR="0047677D" w:rsidRDefault="0047677D" w:rsidP="0047677D">
      <w:r>
        <w:t>This report provides a snapshot of our first six months of operations in 2016–17.</w:t>
      </w:r>
    </w:p>
    <w:p w14:paraId="34D491D0" w14:textId="77777777" w:rsidR="0047677D" w:rsidRDefault="0047677D" w:rsidP="0047677D">
      <w:pPr>
        <w:pStyle w:val="Heading2"/>
      </w:pPr>
      <w:r>
        <w:t xml:space="preserve">Snapshot of service delivery   </w:t>
      </w:r>
      <w:bookmarkStart w:id="0" w:name="_GoBack"/>
      <w:bookmarkEnd w:id="0"/>
    </w:p>
    <w:p w14:paraId="59EA969A" w14:textId="77777777" w:rsidR="0047677D" w:rsidRDefault="0047677D" w:rsidP="0047677D">
      <w:r>
        <w:t>Between 1 July 2016 and 31 December 2016, we assisted more clients primarily through grants of legal assistance, duty lawyer services and our Legal Help telephone service.</w:t>
      </w:r>
    </w:p>
    <w:tbl>
      <w:tblPr>
        <w:tblStyle w:val="TableGrid"/>
        <w:tblW w:w="5000" w:type="pct"/>
        <w:tblLook w:val="04A0" w:firstRow="1" w:lastRow="0" w:firstColumn="1" w:lastColumn="0" w:noHBand="0" w:noVBand="1"/>
      </w:tblPr>
      <w:tblGrid>
        <w:gridCol w:w="5664"/>
        <w:gridCol w:w="1560"/>
        <w:gridCol w:w="1717"/>
        <w:gridCol w:w="1135"/>
      </w:tblGrid>
      <w:tr w:rsidR="0047677D" w:rsidRPr="0047677D" w14:paraId="7375E310" w14:textId="77777777" w:rsidTr="001D0AC3">
        <w:trPr>
          <w:tblHeader/>
        </w:trPr>
        <w:tc>
          <w:tcPr>
            <w:tcW w:w="2811" w:type="pct"/>
            <w:shd w:val="clear" w:color="auto" w:fill="D9D9D9" w:themeFill="background1" w:themeFillShade="D9"/>
          </w:tcPr>
          <w:p w14:paraId="17A07B13" w14:textId="77777777" w:rsidR="0047677D" w:rsidRPr="0047677D" w:rsidRDefault="0047677D" w:rsidP="0047677D">
            <w:pPr>
              <w:rPr>
                <w:b/>
              </w:rPr>
            </w:pPr>
            <w:r w:rsidRPr="0047677D">
              <w:rPr>
                <w:b/>
              </w:rPr>
              <w:t>Clients</w:t>
            </w:r>
            <w:r w:rsidR="001D0AC3">
              <w:rPr>
                <w:b/>
              </w:rPr>
              <w:t xml:space="preserve"> as at</w:t>
            </w:r>
          </w:p>
        </w:tc>
        <w:tc>
          <w:tcPr>
            <w:tcW w:w="774" w:type="pct"/>
            <w:shd w:val="clear" w:color="auto" w:fill="D9D9D9" w:themeFill="background1" w:themeFillShade="D9"/>
          </w:tcPr>
          <w:p w14:paraId="029E3550" w14:textId="77777777" w:rsidR="0047677D" w:rsidRPr="0047677D" w:rsidRDefault="0047677D" w:rsidP="0047677D">
            <w:pPr>
              <w:rPr>
                <w:b/>
              </w:rPr>
            </w:pPr>
            <w:r w:rsidRPr="0047677D">
              <w:rPr>
                <w:b/>
              </w:rPr>
              <w:t>31 Dec 2015</w:t>
            </w:r>
          </w:p>
        </w:tc>
        <w:tc>
          <w:tcPr>
            <w:tcW w:w="852" w:type="pct"/>
            <w:shd w:val="clear" w:color="auto" w:fill="D9D9D9" w:themeFill="background1" w:themeFillShade="D9"/>
          </w:tcPr>
          <w:p w14:paraId="0A6FF464" w14:textId="77777777" w:rsidR="0047677D" w:rsidRPr="0047677D" w:rsidRDefault="0047677D" w:rsidP="0047677D">
            <w:pPr>
              <w:rPr>
                <w:b/>
              </w:rPr>
            </w:pPr>
            <w:r w:rsidRPr="0047677D">
              <w:rPr>
                <w:b/>
              </w:rPr>
              <w:t>31 Dec 2016</w:t>
            </w:r>
          </w:p>
        </w:tc>
        <w:tc>
          <w:tcPr>
            <w:tcW w:w="563" w:type="pct"/>
            <w:shd w:val="clear" w:color="auto" w:fill="D9D9D9" w:themeFill="background1" w:themeFillShade="D9"/>
          </w:tcPr>
          <w:p w14:paraId="03FF47E6" w14:textId="77777777" w:rsidR="0047677D" w:rsidRPr="0047677D" w:rsidRDefault="0047677D" w:rsidP="0047677D">
            <w:pPr>
              <w:rPr>
                <w:b/>
              </w:rPr>
            </w:pPr>
            <w:r w:rsidRPr="0047677D">
              <w:rPr>
                <w:b/>
              </w:rPr>
              <w:t>Variance</w:t>
            </w:r>
          </w:p>
        </w:tc>
      </w:tr>
      <w:tr w:rsidR="0047677D" w14:paraId="3DFB3CBE" w14:textId="77777777" w:rsidTr="001D0AC3">
        <w:tc>
          <w:tcPr>
            <w:tcW w:w="2811" w:type="pct"/>
          </w:tcPr>
          <w:p w14:paraId="0C94C751" w14:textId="77777777" w:rsidR="0047677D" w:rsidRDefault="0047677D" w:rsidP="0047677D">
            <w:r>
              <w:t>Unique clients</w:t>
            </w:r>
          </w:p>
        </w:tc>
        <w:tc>
          <w:tcPr>
            <w:tcW w:w="774" w:type="pct"/>
          </w:tcPr>
          <w:p w14:paraId="42AF2D97" w14:textId="77777777" w:rsidR="0047677D" w:rsidRDefault="0047677D" w:rsidP="0047677D">
            <w:r>
              <w:t>50,390</w:t>
            </w:r>
          </w:p>
        </w:tc>
        <w:tc>
          <w:tcPr>
            <w:tcW w:w="852" w:type="pct"/>
          </w:tcPr>
          <w:p w14:paraId="5574D86A" w14:textId="77777777" w:rsidR="0047677D" w:rsidRDefault="0047677D" w:rsidP="0047677D">
            <w:r>
              <w:t>51,798</w:t>
            </w:r>
          </w:p>
        </w:tc>
        <w:tc>
          <w:tcPr>
            <w:tcW w:w="563" w:type="pct"/>
          </w:tcPr>
          <w:p w14:paraId="7E9F3D2F" w14:textId="77777777" w:rsidR="0047677D" w:rsidRDefault="0047677D" w:rsidP="0047677D">
            <w:r>
              <w:t>3%</w:t>
            </w:r>
          </w:p>
        </w:tc>
      </w:tr>
      <w:tr w:rsidR="0047677D" w14:paraId="3DB5072A" w14:textId="77777777" w:rsidTr="001D0AC3">
        <w:tc>
          <w:tcPr>
            <w:tcW w:w="2811" w:type="pct"/>
          </w:tcPr>
          <w:p w14:paraId="6A562AD9" w14:textId="77777777" w:rsidR="0047677D" w:rsidRDefault="0047677D" w:rsidP="0047677D">
            <w:r>
              <w:t>Calls dealt with by our Legal Help telephone service</w:t>
            </w:r>
          </w:p>
        </w:tc>
        <w:tc>
          <w:tcPr>
            <w:tcW w:w="774" w:type="pct"/>
          </w:tcPr>
          <w:p w14:paraId="06B6C145" w14:textId="77777777" w:rsidR="0047677D" w:rsidRDefault="0047677D" w:rsidP="0047677D">
            <w:r>
              <w:t>55,911</w:t>
            </w:r>
          </w:p>
        </w:tc>
        <w:tc>
          <w:tcPr>
            <w:tcW w:w="852" w:type="pct"/>
          </w:tcPr>
          <w:p w14:paraId="2C211FE7" w14:textId="77777777" w:rsidR="0047677D" w:rsidRDefault="0047677D" w:rsidP="0047677D">
            <w:r>
              <w:t>59,655</w:t>
            </w:r>
          </w:p>
        </w:tc>
        <w:tc>
          <w:tcPr>
            <w:tcW w:w="563" w:type="pct"/>
          </w:tcPr>
          <w:p w14:paraId="0DD19E5D" w14:textId="77777777" w:rsidR="0047677D" w:rsidRDefault="0047677D" w:rsidP="0047677D">
            <w:r>
              <w:t>7%</w:t>
            </w:r>
          </w:p>
        </w:tc>
      </w:tr>
      <w:tr w:rsidR="0047677D" w:rsidRPr="0047677D" w14:paraId="541D6AA7" w14:textId="77777777" w:rsidTr="001D0AC3">
        <w:trPr>
          <w:tblHeader/>
        </w:trPr>
        <w:tc>
          <w:tcPr>
            <w:tcW w:w="2811" w:type="pct"/>
            <w:shd w:val="clear" w:color="auto" w:fill="D9D9D9" w:themeFill="background1" w:themeFillShade="D9"/>
          </w:tcPr>
          <w:p w14:paraId="64E0A4A2" w14:textId="77777777" w:rsidR="0047677D" w:rsidRPr="0047677D" w:rsidRDefault="0047677D" w:rsidP="00A40CEB">
            <w:pPr>
              <w:rPr>
                <w:b/>
              </w:rPr>
            </w:pPr>
            <w:r>
              <w:rPr>
                <w:b/>
              </w:rPr>
              <w:t>Preventative and early intervention services</w:t>
            </w:r>
          </w:p>
        </w:tc>
        <w:tc>
          <w:tcPr>
            <w:tcW w:w="774" w:type="pct"/>
            <w:shd w:val="clear" w:color="auto" w:fill="D9D9D9" w:themeFill="background1" w:themeFillShade="D9"/>
          </w:tcPr>
          <w:p w14:paraId="1918B48B" w14:textId="77777777" w:rsidR="0047677D" w:rsidRPr="0047677D" w:rsidRDefault="0047677D" w:rsidP="00A40CEB">
            <w:pPr>
              <w:rPr>
                <w:b/>
              </w:rPr>
            </w:pPr>
            <w:r w:rsidRPr="0047677D">
              <w:rPr>
                <w:b/>
              </w:rPr>
              <w:t>31 Dec 2015</w:t>
            </w:r>
          </w:p>
        </w:tc>
        <w:tc>
          <w:tcPr>
            <w:tcW w:w="852" w:type="pct"/>
            <w:shd w:val="clear" w:color="auto" w:fill="D9D9D9" w:themeFill="background1" w:themeFillShade="D9"/>
          </w:tcPr>
          <w:p w14:paraId="63D2FC3B" w14:textId="77777777" w:rsidR="0047677D" w:rsidRPr="0047677D" w:rsidRDefault="0047677D" w:rsidP="00A40CEB">
            <w:pPr>
              <w:rPr>
                <w:b/>
              </w:rPr>
            </w:pPr>
            <w:r w:rsidRPr="0047677D">
              <w:rPr>
                <w:b/>
              </w:rPr>
              <w:t>31 Dec 2016</w:t>
            </w:r>
          </w:p>
        </w:tc>
        <w:tc>
          <w:tcPr>
            <w:tcW w:w="563" w:type="pct"/>
            <w:shd w:val="clear" w:color="auto" w:fill="D9D9D9" w:themeFill="background1" w:themeFillShade="D9"/>
          </w:tcPr>
          <w:p w14:paraId="30234511" w14:textId="77777777" w:rsidR="0047677D" w:rsidRPr="0047677D" w:rsidRDefault="0047677D" w:rsidP="00A40CEB">
            <w:pPr>
              <w:rPr>
                <w:b/>
              </w:rPr>
            </w:pPr>
            <w:r w:rsidRPr="0047677D">
              <w:rPr>
                <w:b/>
              </w:rPr>
              <w:t>Variance</w:t>
            </w:r>
          </w:p>
        </w:tc>
      </w:tr>
      <w:tr w:rsidR="0047677D" w14:paraId="1EDBD405" w14:textId="77777777" w:rsidTr="001D0AC3">
        <w:tc>
          <w:tcPr>
            <w:tcW w:w="2811" w:type="pct"/>
          </w:tcPr>
          <w:p w14:paraId="07915B78" w14:textId="77777777" w:rsidR="0047677D" w:rsidRDefault="0047677D" w:rsidP="00A40CEB">
            <w:r>
              <w:t>Calls to our Legal Help telephone service</w:t>
            </w:r>
          </w:p>
        </w:tc>
        <w:tc>
          <w:tcPr>
            <w:tcW w:w="774" w:type="pct"/>
          </w:tcPr>
          <w:p w14:paraId="6E6EB30D" w14:textId="77777777" w:rsidR="0047677D" w:rsidRDefault="0047677D" w:rsidP="00A40CEB">
            <w:r>
              <w:t>89,797</w:t>
            </w:r>
          </w:p>
        </w:tc>
        <w:tc>
          <w:tcPr>
            <w:tcW w:w="852" w:type="pct"/>
          </w:tcPr>
          <w:p w14:paraId="27D7FD39" w14:textId="77777777" w:rsidR="0047677D" w:rsidRDefault="0047677D" w:rsidP="00A40CEB">
            <w:r>
              <w:t>89,592</w:t>
            </w:r>
          </w:p>
        </w:tc>
        <w:tc>
          <w:tcPr>
            <w:tcW w:w="563" w:type="pct"/>
          </w:tcPr>
          <w:p w14:paraId="241A4528" w14:textId="1A11159C" w:rsidR="0047677D" w:rsidRDefault="002D0843" w:rsidP="00A40CEB">
            <w:r>
              <w:t>0%</w:t>
            </w:r>
          </w:p>
        </w:tc>
      </w:tr>
      <w:tr w:rsidR="0047677D" w14:paraId="120E499F" w14:textId="77777777" w:rsidTr="001D0AC3">
        <w:tc>
          <w:tcPr>
            <w:tcW w:w="2811" w:type="pct"/>
          </w:tcPr>
          <w:p w14:paraId="7261780A" w14:textId="77777777" w:rsidR="0047677D" w:rsidRDefault="0047677D" w:rsidP="00A40CEB">
            <w:r>
              <w:t>Information and community legal education services</w:t>
            </w:r>
          </w:p>
        </w:tc>
        <w:tc>
          <w:tcPr>
            <w:tcW w:w="774" w:type="pct"/>
          </w:tcPr>
          <w:p w14:paraId="204708A0" w14:textId="77777777" w:rsidR="0047677D" w:rsidRDefault="0047677D" w:rsidP="00A40CEB">
            <w:r>
              <w:t>65,125</w:t>
            </w:r>
          </w:p>
        </w:tc>
        <w:tc>
          <w:tcPr>
            <w:tcW w:w="852" w:type="pct"/>
          </w:tcPr>
          <w:p w14:paraId="6022B8AA" w14:textId="77777777" w:rsidR="0047677D" w:rsidRDefault="0047677D" w:rsidP="00A40CEB">
            <w:r>
              <w:t>64,948</w:t>
            </w:r>
          </w:p>
        </w:tc>
        <w:tc>
          <w:tcPr>
            <w:tcW w:w="563" w:type="pct"/>
          </w:tcPr>
          <w:p w14:paraId="2F134A18" w14:textId="610A0711" w:rsidR="0047677D" w:rsidRDefault="002D0843" w:rsidP="00A40CEB">
            <w:r>
              <w:t xml:space="preserve">0% </w:t>
            </w:r>
          </w:p>
        </w:tc>
      </w:tr>
      <w:tr w:rsidR="0047677D" w14:paraId="1899190E" w14:textId="77777777" w:rsidTr="001D0AC3">
        <w:tc>
          <w:tcPr>
            <w:tcW w:w="2811" w:type="pct"/>
            <w:tcBorders>
              <w:bottom w:val="single" w:sz="4" w:space="0" w:color="auto"/>
            </w:tcBorders>
          </w:tcPr>
          <w:p w14:paraId="492B1681" w14:textId="77777777" w:rsidR="0047677D" w:rsidRDefault="0047677D" w:rsidP="00A40CEB">
            <w:r>
              <w:t>Sessions on our website</w:t>
            </w:r>
          </w:p>
        </w:tc>
        <w:tc>
          <w:tcPr>
            <w:tcW w:w="774" w:type="pct"/>
            <w:tcBorders>
              <w:bottom w:val="single" w:sz="4" w:space="0" w:color="auto"/>
            </w:tcBorders>
          </w:tcPr>
          <w:p w14:paraId="150B201E" w14:textId="77777777" w:rsidR="0047677D" w:rsidRDefault="0047677D" w:rsidP="00A40CEB">
            <w:r>
              <w:t>800,127</w:t>
            </w:r>
          </w:p>
        </w:tc>
        <w:tc>
          <w:tcPr>
            <w:tcW w:w="852" w:type="pct"/>
            <w:tcBorders>
              <w:bottom w:val="single" w:sz="4" w:space="0" w:color="auto"/>
            </w:tcBorders>
          </w:tcPr>
          <w:p w14:paraId="66DBDCCA" w14:textId="77777777" w:rsidR="0047677D" w:rsidRDefault="0047677D" w:rsidP="00A40CEB">
            <w:r>
              <w:t>962,881</w:t>
            </w:r>
          </w:p>
        </w:tc>
        <w:tc>
          <w:tcPr>
            <w:tcW w:w="563" w:type="pct"/>
            <w:tcBorders>
              <w:bottom w:val="single" w:sz="4" w:space="0" w:color="auto"/>
            </w:tcBorders>
          </w:tcPr>
          <w:p w14:paraId="1BB20C93" w14:textId="77777777" w:rsidR="0047677D" w:rsidRDefault="0047677D" w:rsidP="00A40CEB">
            <w:r>
              <w:t>20%</w:t>
            </w:r>
          </w:p>
        </w:tc>
      </w:tr>
      <w:tr w:rsidR="0047677D" w:rsidRPr="0047677D" w14:paraId="7166F397" w14:textId="77777777" w:rsidTr="001D0AC3">
        <w:tc>
          <w:tcPr>
            <w:tcW w:w="2811" w:type="pct"/>
            <w:shd w:val="clear" w:color="auto" w:fill="D9D9D9" w:themeFill="background1" w:themeFillShade="D9"/>
          </w:tcPr>
          <w:p w14:paraId="4462E3A9" w14:textId="77777777" w:rsidR="0047677D" w:rsidRPr="0047677D" w:rsidRDefault="0047677D" w:rsidP="0047677D">
            <w:pPr>
              <w:rPr>
                <w:b/>
              </w:rPr>
            </w:pPr>
            <w:r w:rsidRPr="0047677D">
              <w:rPr>
                <w:b/>
              </w:rPr>
              <w:t>Duty lawyer services</w:t>
            </w:r>
          </w:p>
        </w:tc>
        <w:tc>
          <w:tcPr>
            <w:tcW w:w="774" w:type="pct"/>
            <w:shd w:val="clear" w:color="auto" w:fill="D9D9D9" w:themeFill="background1" w:themeFillShade="D9"/>
          </w:tcPr>
          <w:p w14:paraId="20C49F5E" w14:textId="77777777" w:rsidR="0047677D" w:rsidRPr="0047677D" w:rsidRDefault="0047677D" w:rsidP="0047677D">
            <w:pPr>
              <w:rPr>
                <w:b/>
              </w:rPr>
            </w:pPr>
            <w:r w:rsidRPr="0047677D">
              <w:rPr>
                <w:b/>
              </w:rPr>
              <w:t>31 Dec 2015</w:t>
            </w:r>
          </w:p>
        </w:tc>
        <w:tc>
          <w:tcPr>
            <w:tcW w:w="852" w:type="pct"/>
            <w:shd w:val="clear" w:color="auto" w:fill="D9D9D9" w:themeFill="background1" w:themeFillShade="D9"/>
          </w:tcPr>
          <w:p w14:paraId="32228BE0" w14:textId="77777777" w:rsidR="0047677D" w:rsidRPr="0047677D" w:rsidRDefault="0047677D" w:rsidP="0047677D">
            <w:pPr>
              <w:rPr>
                <w:b/>
              </w:rPr>
            </w:pPr>
            <w:r w:rsidRPr="0047677D">
              <w:rPr>
                <w:b/>
              </w:rPr>
              <w:t>31 Dec 2016</w:t>
            </w:r>
          </w:p>
        </w:tc>
        <w:tc>
          <w:tcPr>
            <w:tcW w:w="563" w:type="pct"/>
            <w:shd w:val="clear" w:color="auto" w:fill="D9D9D9" w:themeFill="background1" w:themeFillShade="D9"/>
          </w:tcPr>
          <w:p w14:paraId="725CE916" w14:textId="77777777" w:rsidR="0047677D" w:rsidRPr="0047677D" w:rsidRDefault="0047677D" w:rsidP="0047677D">
            <w:pPr>
              <w:rPr>
                <w:b/>
              </w:rPr>
            </w:pPr>
            <w:r w:rsidRPr="0047677D">
              <w:rPr>
                <w:b/>
              </w:rPr>
              <w:t>Variance</w:t>
            </w:r>
          </w:p>
        </w:tc>
      </w:tr>
      <w:tr w:rsidR="0047677D" w14:paraId="2B7B7CF3" w14:textId="77777777" w:rsidTr="001D0AC3">
        <w:tc>
          <w:tcPr>
            <w:tcW w:w="2811" w:type="pct"/>
            <w:tcBorders>
              <w:bottom w:val="single" w:sz="4" w:space="0" w:color="auto"/>
            </w:tcBorders>
          </w:tcPr>
          <w:p w14:paraId="159BD8C6" w14:textId="77777777" w:rsidR="0047677D" w:rsidRDefault="0047677D" w:rsidP="00A40CEB">
            <w:r>
              <w:t>In-house and private practitioners</w:t>
            </w:r>
          </w:p>
        </w:tc>
        <w:tc>
          <w:tcPr>
            <w:tcW w:w="774" w:type="pct"/>
            <w:tcBorders>
              <w:bottom w:val="single" w:sz="4" w:space="0" w:color="auto"/>
            </w:tcBorders>
          </w:tcPr>
          <w:p w14:paraId="16D7F395" w14:textId="77777777" w:rsidR="0047677D" w:rsidRDefault="0047677D" w:rsidP="00A40CEB">
            <w:r>
              <w:t>42,708</w:t>
            </w:r>
          </w:p>
        </w:tc>
        <w:tc>
          <w:tcPr>
            <w:tcW w:w="852" w:type="pct"/>
            <w:tcBorders>
              <w:bottom w:val="single" w:sz="4" w:space="0" w:color="auto"/>
            </w:tcBorders>
          </w:tcPr>
          <w:p w14:paraId="75A851D3" w14:textId="77777777" w:rsidR="0047677D" w:rsidRDefault="0047677D" w:rsidP="00A40CEB">
            <w:r>
              <w:t>44,871</w:t>
            </w:r>
          </w:p>
        </w:tc>
        <w:tc>
          <w:tcPr>
            <w:tcW w:w="563" w:type="pct"/>
            <w:tcBorders>
              <w:bottom w:val="single" w:sz="4" w:space="0" w:color="auto"/>
            </w:tcBorders>
          </w:tcPr>
          <w:p w14:paraId="5557FC6B" w14:textId="77777777" w:rsidR="0047677D" w:rsidRDefault="0047677D" w:rsidP="00A40CEB">
            <w:r>
              <w:t>5%</w:t>
            </w:r>
          </w:p>
        </w:tc>
      </w:tr>
      <w:tr w:rsidR="0047677D" w:rsidRPr="0047677D" w14:paraId="7588C3B8" w14:textId="77777777" w:rsidTr="001D0AC3">
        <w:tc>
          <w:tcPr>
            <w:tcW w:w="2811" w:type="pct"/>
            <w:shd w:val="clear" w:color="auto" w:fill="D9D9D9" w:themeFill="background1" w:themeFillShade="D9"/>
          </w:tcPr>
          <w:p w14:paraId="3B753538" w14:textId="77777777" w:rsidR="0047677D" w:rsidRPr="0047677D" w:rsidRDefault="0047677D" w:rsidP="0047677D">
            <w:pPr>
              <w:rPr>
                <w:b/>
              </w:rPr>
            </w:pPr>
            <w:r w:rsidRPr="0047677D">
              <w:rPr>
                <w:b/>
              </w:rPr>
              <w:t>Grants of legal assistance</w:t>
            </w:r>
          </w:p>
        </w:tc>
        <w:tc>
          <w:tcPr>
            <w:tcW w:w="774" w:type="pct"/>
            <w:shd w:val="clear" w:color="auto" w:fill="D9D9D9" w:themeFill="background1" w:themeFillShade="D9"/>
          </w:tcPr>
          <w:p w14:paraId="1A876F00" w14:textId="77777777" w:rsidR="0047677D" w:rsidRPr="0047677D" w:rsidRDefault="0047677D" w:rsidP="0047677D">
            <w:pPr>
              <w:rPr>
                <w:b/>
              </w:rPr>
            </w:pPr>
            <w:r w:rsidRPr="0047677D">
              <w:rPr>
                <w:b/>
              </w:rPr>
              <w:t>31 Dec 2015</w:t>
            </w:r>
          </w:p>
        </w:tc>
        <w:tc>
          <w:tcPr>
            <w:tcW w:w="852" w:type="pct"/>
            <w:shd w:val="clear" w:color="auto" w:fill="D9D9D9" w:themeFill="background1" w:themeFillShade="D9"/>
          </w:tcPr>
          <w:p w14:paraId="58BA1BAE" w14:textId="77777777" w:rsidR="0047677D" w:rsidRPr="0047677D" w:rsidRDefault="0047677D" w:rsidP="0047677D">
            <w:pPr>
              <w:rPr>
                <w:b/>
              </w:rPr>
            </w:pPr>
            <w:r w:rsidRPr="0047677D">
              <w:rPr>
                <w:b/>
              </w:rPr>
              <w:t>31 Dec 2016</w:t>
            </w:r>
          </w:p>
        </w:tc>
        <w:tc>
          <w:tcPr>
            <w:tcW w:w="563" w:type="pct"/>
            <w:shd w:val="clear" w:color="auto" w:fill="D9D9D9" w:themeFill="background1" w:themeFillShade="D9"/>
          </w:tcPr>
          <w:p w14:paraId="76C4C364" w14:textId="77777777" w:rsidR="0047677D" w:rsidRPr="0047677D" w:rsidRDefault="0047677D" w:rsidP="0047677D">
            <w:pPr>
              <w:rPr>
                <w:b/>
              </w:rPr>
            </w:pPr>
            <w:r w:rsidRPr="0047677D">
              <w:rPr>
                <w:b/>
              </w:rPr>
              <w:t>Variance</w:t>
            </w:r>
          </w:p>
        </w:tc>
      </w:tr>
      <w:tr w:rsidR="0047677D" w14:paraId="4DD2D4DB" w14:textId="77777777" w:rsidTr="001D0AC3">
        <w:tc>
          <w:tcPr>
            <w:tcW w:w="2811" w:type="pct"/>
          </w:tcPr>
          <w:p w14:paraId="1AC9555E" w14:textId="77777777" w:rsidR="0047677D" w:rsidRDefault="0047677D" w:rsidP="0047677D">
            <w:r>
              <w:t>In-house, private practitioners and community legal centres</w:t>
            </w:r>
          </w:p>
        </w:tc>
        <w:tc>
          <w:tcPr>
            <w:tcW w:w="774" w:type="pct"/>
          </w:tcPr>
          <w:p w14:paraId="38DCC3CD" w14:textId="77777777" w:rsidR="0047677D" w:rsidRDefault="0047677D" w:rsidP="0047677D">
            <w:r>
              <w:t>18,260</w:t>
            </w:r>
          </w:p>
        </w:tc>
        <w:tc>
          <w:tcPr>
            <w:tcW w:w="852" w:type="pct"/>
          </w:tcPr>
          <w:p w14:paraId="08506259" w14:textId="77777777" w:rsidR="0047677D" w:rsidRDefault="0047677D" w:rsidP="0047677D">
            <w:r>
              <w:t>20,295</w:t>
            </w:r>
          </w:p>
        </w:tc>
        <w:tc>
          <w:tcPr>
            <w:tcW w:w="563" w:type="pct"/>
          </w:tcPr>
          <w:p w14:paraId="0ED99FC4" w14:textId="77777777" w:rsidR="0047677D" w:rsidRDefault="0047677D" w:rsidP="0047677D">
            <w:r>
              <w:t>11%</w:t>
            </w:r>
          </w:p>
        </w:tc>
      </w:tr>
    </w:tbl>
    <w:p w14:paraId="2C3CA74F" w14:textId="77777777" w:rsidR="0047677D" w:rsidRDefault="00D37B73" w:rsidP="0047677D">
      <w:pPr>
        <w:pStyle w:val="Heading2"/>
      </w:pPr>
      <w:r>
        <w:t>Outlook for 2016–</w:t>
      </w:r>
      <w:r w:rsidR="0047677D">
        <w:t>17 and beyond</w:t>
      </w:r>
    </w:p>
    <w:p w14:paraId="2DEB3BB2" w14:textId="387B06FB" w:rsidR="0047677D" w:rsidRDefault="0047677D" w:rsidP="0047677D">
      <w:r>
        <w:t xml:space="preserve">We </w:t>
      </w:r>
      <w:r w:rsidR="00687C56" w:rsidRPr="00687C56">
        <w:t>expect to end the year</w:t>
      </w:r>
      <w:r w:rsidR="00687C56" w:rsidRPr="00687C56" w:rsidDel="00687C56">
        <w:t xml:space="preserve"> </w:t>
      </w:r>
      <w:r>
        <w:t>assisting more clients and delivering more services than last year. We are forecasting an 11 per cent increase in grants of legal assistance (just over 4,000 grants) and a 4 per cent increase in duty lawyer services (just over 3,000 services) together with a modest increase in calls to our Legal Help telephone service.</w:t>
      </w:r>
    </w:p>
    <w:p w14:paraId="345DE5C5" w14:textId="49F4A1C1" w:rsidR="0047677D" w:rsidRDefault="00B94279" w:rsidP="0047677D">
      <w:r>
        <w:t>Demand for our s</w:t>
      </w:r>
      <w:r w:rsidR="00E03ADB" w:rsidRPr="00332DB5">
        <w:t xml:space="preserve">ervices </w:t>
      </w:r>
      <w:r>
        <w:t xml:space="preserve">is </w:t>
      </w:r>
      <w:r w:rsidR="00E03ADB" w:rsidRPr="00332DB5">
        <w:t>growing faster than anticipated.</w:t>
      </w:r>
      <w:r w:rsidR="00E03ADB">
        <w:t xml:space="preserve"> </w:t>
      </w:r>
      <w:r w:rsidR="0047677D">
        <w:t xml:space="preserve">These increases highlight that the gap between community need and Victoria Legal Aid’s capacity to respond continues to grow. </w:t>
      </w:r>
      <w:r w:rsidR="00BE6D3A">
        <w:t>This is</w:t>
      </w:r>
      <w:r w:rsidR="0047677D">
        <w:t xml:space="preserve"> due to a range of community safety initiatives – additional police and child protection workers, increases in the reporting of family violence, and changes in law that increase the consequences of breaches of orders (</w:t>
      </w:r>
      <w:proofErr w:type="spellStart"/>
      <w:r w:rsidR="0047677D">
        <w:t>eg</w:t>
      </w:r>
      <w:proofErr w:type="spellEnd"/>
      <w:r w:rsidR="0047677D">
        <w:t xml:space="preserve"> more people are facing the prospect of going to jail). These </w:t>
      </w:r>
      <w:r w:rsidR="00687C56">
        <w:t xml:space="preserve">changes </w:t>
      </w:r>
      <w:r w:rsidR="0047677D">
        <w:t>are combined with policies that encourage more intervention from police, correctional staff and child protection officers, especially around family violence and youth justice consistent with community expectations.</w:t>
      </w:r>
    </w:p>
    <w:p w14:paraId="114482B2" w14:textId="77777777" w:rsidR="0047677D" w:rsidRDefault="0047677D" w:rsidP="0047677D">
      <w:r>
        <w:t>The downstream impact on the delivery of legal assistance is significant and as additional police are recruited in future years, further pressure will be added.</w:t>
      </w:r>
    </w:p>
    <w:p w14:paraId="0C56AF20" w14:textId="77777777" w:rsidR="0047677D" w:rsidRDefault="0047677D" w:rsidP="0047677D">
      <w:r>
        <w:lastRenderedPageBreak/>
        <w:t>The recent Victorian Access to Justice Review, released in October 2016, found that publicly funded legal assistance services are ‘a crucial “safety net” for the most disadvant</w:t>
      </w:r>
      <w:r w:rsidR="00D37B73">
        <w:t>aged members of the community’</w:t>
      </w:r>
      <w:r w:rsidR="00A20861">
        <w:rPr>
          <w:rStyle w:val="FootnoteReference"/>
        </w:rPr>
        <w:footnoteReference w:id="1"/>
      </w:r>
      <w:r w:rsidR="00D37B73">
        <w:t xml:space="preserve"> </w:t>
      </w:r>
      <w:r>
        <w:t>and that resources are currently stretched, with the need for more investment.</w:t>
      </w:r>
    </w:p>
    <w:p w14:paraId="74890489" w14:textId="159905C2" w:rsidR="0047677D" w:rsidRDefault="0047677D" w:rsidP="0047677D">
      <w:r>
        <w:t>With this increased demand for our services, we are spending more money than we are receiving and we expect total expenditure to grow by $17 million</w:t>
      </w:r>
      <w:r w:rsidR="00136ED3">
        <w:t>.</w:t>
      </w:r>
      <w:r>
        <w:t xml:space="preserve"> </w:t>
      </w:r>
      <w:r w:rsidR="00136ED3">
        <w:t>We are forecasting a def</w:t>
      </w:r>
      <w:r w:rsidR="00920686">
        <w:t xml:space="preserve">icit in the order of $8 million however, </w:t>
      </w:r>
      <w:r w:rsidR="00136ED3">
        <w:t xml:space="preserve">many external factors beyond </w:t>
      </w:r>
      <w:r w:rsidR="002D0843">
        <w:t>Victoria Legal Aid’s</w:t>
      </w:r>
      <w:r w:rsidR="00136ED3">
        <w:t xml:space="preserve"> control will influence the final result. </w:t>
      </w:r>
      <w:r>
        <w:t>We continue to monitor service levels and expenditure closely.</w:t>
      </w:r>
      <w:r w:rsidR="00136ED3" w:rsidRPr="00136ED3">
        <w:t xml:space="preserve"> </w:t>
      </w:r>
    </w:p>
    <w:p w14:paraId="477FF886" w14:textId="77777777" w:rsidR="0047677D" w:rsidRDefault="0047677D" w:rsidP="0047677D">
      <w:r>
        <w:t>While Victoria Legal Aid has sufficient cash reserves to manage the forecast deficit this year, greater deficits are forecast in the future. Additional government revenue is needed to preserve existing policy settings and to avoid future tightening of eligibility guidelines and a reduction in services.</w:t>
      </w:r>
    </w:p>
    <w:p w14:paraId="136E1728" w14:textId="47E74BC1" w:rsidR="0047677D" w:rsidRDefault="0047677D" w:rsidP="0047677D">
      <w:r w:rsidRPr="00920686">
        <w:t xml:space="preserve">Additional funding is only part of the answer. </w:t>
      </w:r>
      <w:r w:rsidR="00920686">
        <w:t xml:space="preserve">We must also work with </w:t>
      </w:r>
      <w:r w:rsidR="004830F2">
        <w:t>several</w:t>
      </w:r>
      <w:r w:rsidR="00920686">
        <w:t xml:space="preserve"> our stakeholders to coordinate system reform. </w:t>
      </w:r>
      <w:r w:rsidRPr="00920686">
        <w:t>We will</w:t>
      </w:r>
      <w:r>
        <w:t xml:space="preserve"> release a major evaluation of our Summary Crime program later this year, along with the results of an extensive child protection service review. Both will assist in improving the delivery of high quality and sustainable services and the efficient operation of the justice system. We look forward to advancing this work with our many stakeholders in the justice system.</w:t>
      </w:r>
    </w:p>
    <w:p w14:paraId="017B1148" w14:textId="77777777" w:rsidR="0047677D" w:rsidRDefault="0047677D" w:rsidP="00D37B73">
      <w:pPr>
        <w:pStyle w:val="Heading2"/>
      </w:pPr>
      <w:r>
        <w:t xml:space="preserve">Our clients </w:t>
      </w:r>
    </w:p>
    <w:p w14:paraId="6952B006" w14:textId="77777777" w:rsidR="0047677D" w:rsidRDefault="0047677D" w:rsidP="0047677D">
      <w:r>
        <w:t>In the six months prior to 31 December 2016, Victoria Legal Aid</w:t>
      </w:r>
      <w:r w:rsidR="00D37B73">
        <w:t xml:space="preserve"> assisted 51,798 unique clients</w:t>
      </w:r>
      <w:r>
        <w:t>.</w:t>
      </w:r>
      <w:r w:rsidR="00A20861">
        <w:rPr>
          <w:rStyle w:val="FootnoteReference"/>
        </w:rPr>
        <w:footnoteReference w:id="2"/>
      </w:r>
    </w:p>
    <w:tbl>
      <w:tblPr>
        <w:tblStyle w:val="TableGrid"/>
        <w:tblW w:w="0" w:type="auto"/>
        <w:tblLook w:val="04A0" w:firstRow="1" w:lastRow="0" w:firstColumn="1" w:lastColumn="0" w:noHBand="0" w:noVBand="1"/>
      </w:tblPr>
      <w:tblGrid>
        <w:gridCol w:w="3684"/>
        <w:gridCol w:w="1598"/>
        <w:gridCol w:w="1598"/>
        <w:gridCol w:w="1598"/>
        <w:gridCol w:w="1598"/>
      </w:tblGrid>
      <w:tr w:rsidR="00D37B73" w14:paraId="71AA14B7" w14:textId="77777777" w:rsidTr="00D37B73">
        <w:trPr>
          <w:trHeight w:val="480"/>
          <w:tblHeader/>
        </w:trPr>
        <w:tc>
          <w:tcPr>
            <w:tcW w:w="3794" w:type="dxa"/>
            <w:shd w:val="clear" w:color="auto" w:fill="D9D9D9" w:themeFill="background1" w:themeFillShade="D9"/>
          </w:tcPr>
          <w:p w14:paraId="2437D137" w14:textId="77777777" w:rsidR="00D37B73" w:rsidRPr="00D37B73" w:rsidRDefault="00D37B73" w:rsidP="0047677D">
            <w:pPr>
              <w:rPr>
                <w:b/>
              </w:rPr>
            </w:pPr>
            <w:r w:rsidRPr="00D37B73">
              <w:rPr>
                <w:b/>
              </w:rPr>
              <w:t>Unique clients as at</w:t>
            </w:r>
          </w:p>
        </w:tc>
        <w:tc>
          <w:tcPr>
            <w:tcW w:w="1627" w:type="dxa"/>
            <w:shd w:val="clear" w:color="auto" w:fill="D9D9D9" w:themeFill="background1" w:themeFillShade="D9"/>
          </w:tcPr>
          <w:p w14:paraId="0C61F3AA" w14:textId="77777777" w:rsidR="00D37B73" w:rsidRPr="00D37B73" w:rsidRDefault="00D37B73" w:rsidP="0047677D">
            <w:pPr>
              <w:rPr>
                <w:b/>
              </w:rPr>
            </w:pPr>
            <w:r w:rsidRPr="00D37B73">
              <w:rPr>
                <w:b/>
              </w:rPr>
              <w:t>31 Dec 2013</w:t>
            </w:r>
          </w:p>
        </w:tc>
        <w:tc>
          <w:tcPr>
            <w:tcW w:w="1627" w:type="dxa"/>
            <w:shd w:val="clear" w:color="auto" w:fill="D9D9D9" w:themeFill="background1" w:themeFillShade="D9"/>
          </w:tcPr>
          <w:p w14:paraId="24CD7B94" w14:textId="77777777" w:rsidR="00D37B73" w:rsidRPr="00D37B73" w:rsidRDefault="00D37B73" w:rsidP="0047677D">
            <w:pPr>
              <w:rPr>
                <w:b/>
              </w:rPr>
            </w:pPr>
            <w:r w:rsidRPr="00D37B73">
              <w:rPr>
                <w:b/>
              </w:rPr>
              <w:t>31 Dec 2014</w:t>
            </w:r>
          </w:p>
        </w:tc>
        <w:tc>
          <w:tcPr>
            <w:tcW w:w="1627" w:type="dxa"/>
            <w:shd w:val="clear" w:color="auto" w:fill="D9D9D9" w:themeFill="background1" w:themeFillShade="D9"/>
          </w:tcPr>
          <w:p w14:paraId="7A0AA6CB" w14:textId="77777777" w:rsidR="00D37B73" w:rsidRPr="00D37B73" w:rsidRDefault="00D37B73" w:rsidP="0047677D">
            <w:pPr>
              <w:rPr>
                <w:b/>
              </w:rPr>
            </w:pPr>
            <w:r w:rsidRPr="00D37B73">
              <w:rPr>
                <w:b/>
              </w:rPr>
              <w:t>31 Dec 2015</w:t>
            </w:r>
          </w:p>
        </w:tc>
        <w:tc>
          <w:tcPr>
            <w:tcW w:w="1627" w:type="dxa"/>
            <w:shd w:val="clear" w:color="auto" w:fill="D9D9D9" w:themeFill="background1" w:themeFillShade="D9"/>
          </w:tcPr>
          <w:p w14:paraId="05ADA546" w14:textId="77777777" w:rsidR="00D37B73" w:rsidRPr="00D37B73" w:rsidRDefault="00D37B73" w:rsidP="0047677D">
            <w:pPr>
              <w:rPr>
                <w:b/>
              </w:rPr>
            </w:pPr>
            <w:r w:rsidRPr="00D37B73">
              <w:rPr>
                <w:b/>
              </w:rPr>
              <w:t>31 Dec 2016</w:t>
            </w:r>
          </w:p>
        </w:tc>
      </w:tr>
      <w:tr w:rsidR="00D37B73" w14:paraId="6D826B74" w14:textId="77777777" w:rsidTr="0086035E">
        <w:trPr>
          <w:trHeight w:val="480"/>
        </w:trPr>
        <w:tc>
          <w:tcPr>
            <w:tcW w:w="3794" w:type="dxa"/>
            <w:tcBorders>
              <w:bottom w:val="single" w:sz="4" w:space="0" w:color="auto"/>
            </w:tcBorders>
          </w:tcPr>
          <w:p w14:paraId="24E9A9B7" w14:textId="77777777" w:rsidR="00D37B73" w:rsidRDefault="00D37B73" w:rsidP="0047677D">
            <w:r>
              <w:t>Unique clients</w:t>
            </w:r>
          </w:p>
        </w:tc>
        <w:tc>
          <w:tcPr>
            <w:tcW w:w="1627" w:type="dxa"/>
            <w:tcBorders>
              <w:bottom w:val="single" w:sz="4" w:space="0" w:color="auto"/>
            </w:tcBorders>
          </w:tcPr>
          <w:p w14:paraId="3320A76D" w14:textId="77777777" w:rsidR="00D37B73" w:rsidRDefault="00D37B73" w:rsidP="0047677D">
            <w:r>
              <w:t>48,531</w:t>
            </w:r>
          </w:p>
        </w:tc>
        <w:tc>
          <w:tcPr>
            <w:tcW w:w="1627" w:type="dxa"/>
            <w:tcBorders>
              <w:bottom w:val="single" w:sz="4" w:space="0" w:color="auto"/>
            </w:tcBorders>
          </w:tcPr>
          <w:p w14:paraId="06C3C131" w14:textId="77777777" w:rsidR="00D37B73" w:rsidRDefault="00D37B73" w:rsidP="0047677D">
            <w:r>
              <w:t>50,727</w:t>
            </w:r>
          </w:p>
        </w:tc>
        <w:tc>
          <w:tcPr>
            <w:tcW w:w="1627" w:type="dxa"/>
            <w:tcBorders>
              <w:bottom w:val="single" w:sz="4" w:space="0" w:color="auto"/>
            </w:tcBorders>
          </w:tcPr>
          <w:p w14:paraId="1ED717F2" w14:textId="77777777" w:rsidR="00D37B73" w:rsidRDefault="00D37B73" w:rsidP="0047677D">
            <w:r>
              <w:t>50,390</w:t>
            </w:r>
          </w:p>
        </w:tc>
        <w:tc>
          <w:tcPr>
            <w:tcW w:w="1627" w:type="dxa"/>
            <w:tcBorders>
              <w:bottom w:val="single" w:sz="4" w:space="0" w:color="auto"/>
            </w:tcBorders>
          </w:tcPr>
          <w:p w14:paraId="3CBE59A9" w14:textId="77777777" w:rsidR="00D37B73" w:rsidRDefault="00D37B73" w:rsidP="0047677D">
            <w:r>
              <w:t>51,798</w:t>
            </w:r>
          </w:p>
        </w:tc>
      </w:tr>
      <w:tr w:rsidR="00D37B73" w14:paraId="452BFFE3" w14:textId="77777777" w:rsidTr="0086035E">
        <w:trPr>
          <w:trHeight w:val="480"/>
        </w:trPr>
        <w:tc>
          <w:tcPr>
            <w:tcW w:w="3794" w:type="dxa"/>
            <w:shd w:val="clear" w:color="auto" w:fill="F2F2F2" w:themeFill="background1" w:themeFillShade="F2"/>
          </w:tcPr>
          <w:p w14:paraId="3F6130C9" w14:textId="77777777" w:rsidR="00D37B73" w:rsidRPr="00D37B73" w:rsidRDefault="00D37B73" w:rsidP="00D37B73">
            <w:pPr>
              <w:rPr>
                <w:b/>
              </w:rPr>
            </w:pPr>
            <w:r w:rsidRPr="00D37B73">
              <w:rPr>
                <w:b/>
              </w:rPr>
              <w:t>Growth</w:t>
            </w:r>
          </w:p>
        </w:tc>
        <w:tc>
          <w:tcPr>
            <w:tcW w:w="1627" w:type="dxa"/>
            <w:shd w:val="clear" w:color="auto" w:fill="F2F2F2" w:themeFill="background1" w:themeFillShade="F2"/>
          </w:tcPr>
          <w:p w14:paraId="0E995B60" w14:textId="77777777" w:rsidR="00D37B73" w:rsidRPr="00D37B73" w:rsidRDefault="0086035E" w:rsidP="0086035E">
            <w:r>
              <w:t>-</w:t>
            </w:r>
          </w:p>
        </w:tc>
        <w:tc>
          <w:tcPr>
            <w:tcW w:w="1627" w:type="dxa"/>
            <w:shd w:val="clear" w:color="auto" w:fill="F2F2F2" w:themeFill="background1" w:themeFillShade="F2"/>
          </w:tcPr>
          <w:p w14:paraId="2C5328E0" w14:textId="77777777" w:rsidR="00D37B73" w:rsidRDefault="00D37B73" w:rsidP="00D37B73">
            <w:r>
              <w:t>5%</w:t>
            </w:r>
          </w:p>
        </w:tc>
        <w:tc>
          <w:tcPr>
            <w:tcW w:w="1627" w:type="dxa"/>
            <w:shd w:val="clear" w:color="auto" w:fill="F2F2F2" w:themeFill="background1" w:themeFillShade="F2"/>
          </w:tcPr>
          <w:p w14:paraId="0D53D94B" w14:textId="77777777" w:rsidR="00D37B73" w:rsidRDefault="00D37B73" w:rsidP="00D37B73">
            <w:r>
              <w:t>-1%</w:t>
            </w:r>
          </w:p>
        </w:tc>
        <w:tc>
          <w:tcPr>
            <w:tcW w:w="1627" w:type="dxa"/>
            <w:shd w:val="clear" w:color="auto" w:fill="F2F2F2" w:themeFill="background1" w:themeFillShade="F2"/>
          </w:tcPr>
          <w:p w14:paraId="64C3C366" w14:textId="77777777" w:rsidR="00D37B73" w:rsidRDefault="00D37B73" w:rsidP="00D37B73">
            <w:r>
              <w:t>3%</w:t>
            </w:r>
          </w:p>
        </w:tc>
      </w:tr>
    </w:tbl>
    <w:p w14:paraId="44048D84" w14:textId="77777777" w:rsidR="0047677D" w:rsidRDefault="0047677D" w:rsidP="0047677D">
      <w:r>
        <w:t>Although the number of unique clients being helped by Victoria Legal Aid is only slightly increasing, our clients are presenting with a growing number of complex legal and non-legal issues.</w:t>
      </w:r>
    </w:p>
    <w:p w14:paraId="7DB5E9ED" w14:textId="77777777" w:rsidR="0047677D" w:rsidRDefault="0047677D" w:rsidP="0047677D">
      <w:r>
        <w:t xml:space="preserve">A greater number of clients are receiving grants of legal assistance and there has been an overall reduction in clients receiving our less intensive services, such as legal advice and minor assistance. </w:t>
      </w:r>
    </w:p>
    <w:p w14:paraId="46DC154B" w14:textId="77777777" w:rsidR="0047677D" w:rsidRDefault="0047677D" w:rsidP="00D37B73">
      <w:pPr>
        <w:pStyle w:val="Heading3"/>
      </w:pPr>
      <w:r>
        <w:t xml:space="preserve">Disadvantage and vulnerability are increasing </w:t>
      </w:r>
    </w:p>
    <w:p w14:paraId="0429C32E" w14:textId="01049463" w:rsidR="0047677D" w:rsidRDefault="0047677D" w:rsidP="0047677D">
      <w:r>
        <w:t xml:space="preserve">Our clients are among the most disadvantaged and vulnerable in Victoria. We help young people, people from culturally and linguistically diverse backgrounds </w:t>
      </w:r>
      <w:r w:rsidR="00662048">
        <w:t xml:space="preserve">and </w:t>
      </w:r>
      <w:r>
        <w:t xml:space="preserve">clients with a disability, while many of our clients receive some form of government assistance or have no income at all. </w:t>
      </w:r>
    </w:p>
    <w:p w14:paraId="51316286" w14:textId="1A322524" w:rsidR="0047677D" w:rsidRDefault="0047677D" w:rsidP="0047677D">
      <w:r>
        <w:t>Over the last six months there has been a growth in the level of disadvantage amongst our clients. We are seeing increases in clients with no income, up 2%, clients who are homeless, up 1%, clients in custody</w:t>
      </w:r>
      <w:r w:rsidR="00C97F3C">
        <w:t>,</w:t>
      </w:r>
      <w:r>
        <w:t xml:space="preserve"> detention or psychiatric care, up 3% and Aboriginal or Torres Strait Islander clients, up 1%. </w:t>
      </w:r>
    </w:p>
    <w:p w14:paraId="6E9D8BF7" w14:textId="31B6528E" w:rsidR="0047677D" w:rsidRDefault="0047677D" w:rsidP="0047677D">
      <w:r>
        <w:lastRenderedPageBreak/>
        <w:t>Of the clients that Victoria Legal Aid has helped, 5% or 2,503 identified as being from Aboriginal or Torres Strait Islander background, 13% or 6,664 were in custody, detention or psychiatric care, 5% or 2,654 were homeless and 29% or 15,041 had no income</w:t>
      </w:r>
      <w:r w:rsidR="00FC7D92">
        <w:rPr>
          <w:rStyle w:val="FootnoteReference"/>
        </w:rPr>
        <w:footnoteReference w:id="3"/>
      </w:r>
      <w:r>
        <w:t>.</w:t>
      </w:r>
    </w:p>
    <w:p w14:paraId="2D0F620A" w14:textId="77777777" w:rsidR="0047677D" w:rsidRDefault="0047677D" w:rsidP="00D37B73">
      <w:pPr>
        <w:pStyle w:val="Heading2"/>
      </w:pPr>
      <w:r>
        <w:t xml:space="preserve">Services we provide </w:t>
      </w:r>
    </w:p>
    <w:p w14:paraId="4230F545" w14:textId="77777777" w:rsidR="0047677D" w:rsidRDefault="0047677D" w:rsidP="00D37B73">
      <w:pPr>
        <w:pStyle w:val="Heading3"/>
      </w:pPr>
      <w:r>
        <w:t xml:space="preserve">Grants of legal assistance </w:t>
      </w:r>
    </w:p>
    <w:p w14:paraId="6B3E3786" w14:textId="77777777" w:rsidR="0047677D" w:rsidRDefault="0047677D" w:rsidP="0047677D">
      <w:r>
        <w:t>We provide grants of legal assistance – Victoria Legal Aid’s most intensive form of assistance – to people who cannot afford a lawyer, who are experiencing a legal problem that we can help with and who meet our eligibility criteria. Clients with a grant of legal assistance can be helped by a Victoria Legal Aid lawyer or a lawyer on one of our panels, including private practitioners and lawyers from community legal centres.</w:t>
      </w:r>
    </w:p>
    <w:p w14:paraId="4CE4F941" w14:textId="77777777" w:rsidR="0047677D" w:rsidRDefault="0047677D" w:rsidP="0047677D">
      <w:r>
        <w:t xml:space="preserve">We have seen an 11 per cent increase in grants compared to the same time last year, predominantly in the areas of summary crime and child protection. This is due to the government investment in additional front line police and child protection workers and changes in government policy. </w:t>
      </w:r>
    </w:p>
    <w:p w14:paraId="073B09E9" w14:textId="77777777" w:rsidR="0047677D" w:rsidRDefault="0047677D" w:rsidP="0047677D">
      <w:r>
        <w:t>Over the last six months we have seen 7,854 grants for summary crime, an increase of 15%, 4,168 grants for child protection matters, an increase of 14% and 1,680 grants for indictable crime, an increase of 13%.</w:t>
      </w:r>
    </w:p>
    <w:tbl>
      <w:tblPr>
        <w:tblStyle w:val="TableGrid"/>
        <w:tblW w:w="0" w:type="auto"/>
        <w:tblLook w:val="04A0" w:firstRow="1" w:lastRow="0" w:firstColumn="1" w:lastColumn="0" w:noHBand="0" w:noVBand="1"/>
      </w:tblPr>
      <w:tblGrid>
        <w:gridCol w:w="3692"/>
        <w:gridCol w:w="1596"/>
        <w:gridCol w:w="1596"/>
        <w:gridCol w:w="1596"/>
        <w:gridCol w:w="1596"/>
      </w:tblGrid>
      <w:tr w:rsidR="00D37B73" w:rsidRPr="00D37B73" w14:paraId="6D844A86" w14:textId="77777777" w:rsidTr="00D37B73">
        <w:trPr>
          <w:tblHeader/>
        </w:trPr>
        <w:tc>
          <w:tcPr>
            <w:tcW w:w="3794" w:type="dxa"/>
            <w:shd w:val="clear" w:color="auto" w:fill="D9D9D9" w:themeFill="background1" w:themeFillShade="D9"/>
          </w:tcPr>
          <w:p w14:paraId="7EF7D435" w14:textId="77777777" w:rsidR="00D37B73" w:rsidRPr="00D37B73" w:rsidRDefault="00D37B73" w:rsidP="00D37B73">
            <w:pPr>
              <w:jc w:val="both"/>
              <w:rPr>
                <w:b/>
              </w:rPr>
            </w:pPr>
            <w:r w:rsidRPr="00D37B73">
              <w:rPr>
                <w:b/>
              </w:rPr>
              <w:t>Grants of legal assistance as at</w:t>
            </w:r>
          </w:p>
        </w:tc>
        <w:tc>
          <w:tcPr>
            <w:tcW w:w="1627" w:type="dxa"/>
            <w:shd w:val="clear" w:color="auto" w:fill="D9D9D9" w:themeFill="background1" w:themeFillShade="D9"/>
          </w:tcPr>
          <w:p w14:paraId="0494E7AC" w14:textId="77777777" w:rsidR="00D37B73" w:rsidRPr="00D37B73" w:rsidRDefault="00D37B73" w:rsidP="00D37B73">
            <w:pPr>
              <w:jc w:val="both"/>
              <w:rPr>
                <w:b/>
              </w:rPr>
            </w:pPr>
            <w:r w:rsidRPr="00D37B73">
              <w:rPr>
                <w:b/>
              </w:rPr>
              <w:t>31 Dec 2013</w:t>
            </w:r>
          </w:p>
        </w:tc>
        <w:tc>
          <w:tcPr>
            <w:tcW w:w="1627" w:type="dxa"/>
            <w:shd w:val="clear" w:color="auto" w:fill="D9D9D9" w:themeFill="background1" w:themeFillShade="D9"/>
          </w:tcPr>
          <w:p w14:paraId="5F88730C" w14:textId="77777777" w:rsidR="00D37B73" w:rsidRPr="00D37B73" w:rsidRDefault="00D37B73" w:rsidP="00D37B73">
            <w:pPr>
              <w:jc w:val="both"/>
              <w:rPr>
                <w:b/>
              </w:rPr>
            </w:pPr>
            <w:r w:rsidRPr="00D37B73">
              <w:rPr>
                <w:b/>
              </w:rPr>
              <w:t>31 Dec 2014</w:t>
            </w:r>
          </w:p>
        </w:tc>
        <w:tc>
          <w:tcPr>
            <w:tcW w:w="1627" w:type="dxa"/>
            <w:shd w:val="clear" w:color="auto" w:fill="D9D9D9" w:themeFill="background1" w:themeFillShade="D9"/>
          </w:tcPr>
          <w:p w14:paraId="10B26ABB" w14:textId="77777777" w:rsidR="00D37B73" w:rsidRPr="00D37B73" w:rsidRDefault="00D37B73" w:rsidP="00D37B73">
            <w:pPr>
              <w:jc w:val="both"/>
              <w:rPr>
                <w:b/>
              </w:rPr>
            </w:pPr>
            <w:r w:rsidRPr="00D37B73">
              <w:rPr>
                <w:b/>
              </w:rPr>
              <w:t>31 Dec 2015</w:t>
            </w:r>
          </w:p>
        </w:tc>
        <w:tc>
          <w:tcPr>
            <w:tcW w:w="1627" w:type="dxa"/>
            <w:shd w:val="clear" w:color="auto" w:fill="D9D9D9" w:themeFill="background1" w:themeFillShade="D9"/>
          </w:tcPr>
          <w:p w14:paraId="27B53378" w14:textId="77777777" w:rsidR="00D37B73" w:rsidRPr="00D37B73" w:rsidRDefault="00D37B73" w:rsidP="00D37B73">
            <w:pPr>
              <w:jc w:val="both"/>
              <w:rPr>
                <w:b/>
              </w:rPr>
            </w:pPr>
            <w:r w:rsidRPr="00D37B73">
              <w:rPr>
                <w:b/>
              </w:rPr>
              <w:t>31 Dec 2016</w:t>
            </w:r>
          </w:p>
        </w:tc>
      </w:tr>
      <w:tr w:rsidR="00D37B73" w14:paraId="00C6B18B" w14:textId="77777777" w:rsidTr="00D37B73">
        <w:tc>
          <w:tcPr>
            <w:tcW w:w="3794" w:type="dxa"/>
          </w:tcPr>
          <w:p w14:paraId="072BDEE9" w14:textId="77777777" w:rsidR="00D37B73" w:rsidRDefault="00D37B73" w:rsidP="0047677D">
            <w:r>
              <w:t>Crime</w:t>
            </w:r>
          </w:p>
        </w:tc>
        <w:tc>
          <w:tcPr>
            <w:tcW w:w="1627" w:type="dxa"/>
          </w:tcPr>
          <w:p w14:paraId="3913373C" w14:textId="77777777" w:rsidR="00D37B73" w:rsidRDefault="00D37B73" w:rsidP="0047677D">
            <w:r>
              <w:t>9,712</w:t>
            </w:r>
          </w:p>
        </w:tc>
        <w:tc>
          <w:tcPr>
            <w:tcW w:w="1627" w:type="dxa"/>
          </w:tcPr>
          <w:p w14:paraId="313AC12E" w14:textId="77777777" w:rsidR="00D37B73" w:rsidRDefault="00D37B73" w:rsidP="0047677D">
            <w:r>
              <w:t>9,829</w:t>
            </w:r>
          </w:p>
        </w:tc>
        <w:tc>
          <w:tcPr>
            <w:tcW w:w="1627" w:type="dxa"/>
          </w:tcPr>
          <w:p w14:paraId="3611C705" w14:textId="77777777" w:rsidR="00D37B73" w:rsidRDefault="00D37B73" w:rsidP="0047677D">
            <w:r>
              <w:t>10,777</w:t>
            </w:r>
          </w:p>
        </w:tc>
        <w:tc>
          <w:tcPr>
            <w:tcW w:w="1627" w:type="dxa"/>
          </w:tcPr>
          <w:p w14:paraId="630CE554" w14:textId="77777777" w:rsidR="00D37B73" w:rsidRPr="001D0AC3" w:rsidRDefault="00D37B73" w:rsidP="0047677D">
            <w:r w:rsidRPr="001D0AC3">
              <w:t>12,</w:t>
            </w:r>
            <w:r w:rsidR="00A40CEB" w:rsidRPr="001D0AC3">
              <w:t>088</w:t>
            </w:r>
          </w:p>
        </w:tc>
      </w:tr>
      <w:tr w:rsidR="00D37B73" w14:paraId="4CB7CA85" w14:textId="77777777" w:rsidTr="00D37B73">
        <w:tc>
          <w:tcPr>
            <w:tcW w:w="3794" w:type="dxa"/>
          </w:tcPr>
          <w:p w14:paraId="6195D5CB" w14:textId="5BCC3204" w:rsidR="00D37B73" w:rsidRDefault="00D37B73" w:rsidP="0047677D">
            <w:r>
              <w:t>Family</w:t>
            </w:r>
            <w:r w:rsidR="00AC0D29">
              <w:t xml:space="preserve"> and Children</w:t>
            </w:r>
          </w:p>
        </w:tc>
        <w:tc>
          <w:tcPr>
            <w:tcW w:w="1627" w:type="dxa"/>
          </w:tcPr>
          <w:p w14:paraId="4C37C4B5" w14:textId="77777777" w:rsidR="00D37B73" w:rsidRDefault="00D37B73" w:rsidP="0047677D">
            <w:r>
              <w:t>6,428</w:t>
            </w:r>
          </w:p>
        </w:tc>
        <w:tc>
          <w:tcPr>
            <w:tcW w:w="1627" w:type="dxa"/>
          </w:tcPr>
          <w:p w14:paraId="128231A4" w14:textId="77777777" w:rsidR="00D37B73" w:rsidRDefault="00D37B73" w:rsidP="0047677D">
            <w:r>
              <w:t>6,397</w:t>
            </w:r>
          </w:p>
        </w:tc>
        <w:tc>
          <w:tcPr>
            <w:tcW w:w="1627" w:type="dxa"/>
          </w:tcPr>
          <w:p w14:paraId="27B72AE9" w14:textId="77777777" w:rsidR="00D37B73" w:rsidRDefault="00D37B73" w:rsidP="0047677D">
            <w:r>
              <w:t>6,856</w:t>
            </w:r>
          </w:p>
        </w:tc>
        <w:tc>
          <w:tcPr>
            <w:tcW w:w="1627" w:type="dxa"/>
          </w:tcPr>
          <w:p w14:paraId="38F5E750" w14:textId="77777777" w:rsidR="00D37B73" w:rsidRPr="001D0AC3" w:rsidRDefault="00A40CEB" w:rsidP="0047677D">
            <w:r w:rsidRPr="001D0AC3">
              <w:t>7</w:t>
            </w:r>
            <w:r w:rsidR="00303F32" w:rsidRPr="001D0AC3">
              <w:t>,634</w:t>
            </w:r>
          </w:p>
        </w:tc>
      </w:tr>
      <w:tr w:rsidR="00D37B73" w14:paraId="00EC6376" w14:textId="77777777" w:rsidTr="0086035E">
        <w:tc>
          <w:tcPr>
            <w:tcW w:w="3794" w:type="dxa"/>
            <w:tcBorders>
              <w:bottom w:val="single" w:sz="4" w:space="0" w:color="auto"/>
            </w:tcBorders>
          </w:tcPr>
          <w:p w14:paraId="41E11DB8" w14:textId="77777777" w:rsidR="00D37B73" w:rsidRDefault="00D37B73" w:rsidP="0047677D">
            <w:r>
              <w:t>Civil</w:t>
            </w:r>
          </w:p>
        </w:tc>
        <w:tc>
          <w:tcPr>
            <w:tcW w:w="1627" w:type="dxa"/>
            <w:tcBorders>
              <w:bottom w:val="single" w:sz="4" w:space="0" w:color="auto"/>
            </w:tcBorders>
          </w:tcPr>
          <w:p w14:paraId="743DE7AB" w14:textId="77777777" w:rsidR="00D37B73" w:rsidRDefault="00D37B73" w:rsidP="0047677D">
            <w:r>
              <w:t>499</w:t>
            </w:r>
          </w:p>
        </w:tc>
        <w:tc>
          <w:tcPr>
            <w:tcW w:w="1627" w:type="dxa"/>
            <w:tcBorders>
              <w:bottom w:val="single" w:sz="4" w:space="0" w:color="auto"/>
            </w:tcBorders>
          </w:tcPr>
          <w:p w14:paraId="05ED846F" w14:textId="77777777" w:rsidR="00D37B73" w:rsidRDefault="00D37B73" w:rsidP="0047677D">
            <w:r>
              <w:t>689</w:t>
            </w:r>
          </w:p>
        </w:tc>
        <w:tc>
          <w:tcPr>
            <w:tcW w:w="1627" w:type="dxa"/>
            <w:tcBorders>
              <w:bottom w:val="single" w:sz="4" w:space="0" w:color="auto"/>
            </w:tcBorders>
          </w:tcPr>
          <w:p w14:paraId="03FE4CCD" w14:textId="77777777" w:rsidR="00D37B73" w:rsidRDefault="00D37B73" w:rsidP="0047677D">
            <w:r>
              <w:t>627</w:t>
            </w:r>
          </w:p>
        </w:tc>
        <w:tc>
          <w:tcPr>
            <w:tcW w:w="1627" w:type="dxa"/>
            <w:tcBorders>
              <w:bottom w:val="single" w:sz="4" w:space="0" w:color="auto"/>
            </w:tcBorders>
          </w:tcPr>
          <w:p w14:paraId="4DD509F9" w14:textId="77777777" w:rsidR="00D37B73" w:rsidRPr="001D0AC3" w:rsidRDefault="00303F32" w:rsidP="0047677D">
            <w:r w:rsidRPr="001D0AC3">
              <w:t>571</w:t>
            </w:r>
          </w:p>
        </w:tc>
      </w:tr>
      <w:tr w:rsidR="00D37B73" w14:paraId="03489554" w14:textId="77777777" w:rsidTr="0086035E">
        <w:tc>
          <w:tcPr>
            <w:tcW w:w="3794" w:type="dxa"/>
            <w:shd w:val="clear" w:color="auto" w:fill="F2F2F2" w:themeFill="background1" w:themeFillShade="F2"/>
          </w:tcPr>
          <w:p w14:paraId="07B05CB8" w14:textId="77777777" w:rsidR="00D37B73" w:rsidRPr="00D37B73" w:rsidRDefault="00D37B73" w:rsidP="0047677D">
            <w:pPr>
              <w:rPr>
                <w:b/>
              </w:rPr>
            </w:pPr>
            <w:r w:rsidRPr="00D37B73">
              <w:rPr>
                <w:b/>
              </w:rPr>
              <w:t>Totals</w:t>
            </w:r>
          </w:p>
        </w:tc>
        <w:tc>
          <w:tcPr>
            <w:tcW w:w="1627" w:type="dxa"/>
            <w:shd w:val="clear" w:color="auto" w:fill="F2F2F2" w:themeFill="background1" w:themeFillShade="F2"/>
          </w:tcPr>
          <w:p w14:paraId="13E1B0D3" w14:textId="77777777" w:rsidR="00D37B73" w:rsidRDefault="00D37B73" w:rsidP="0047677D">
            <w:r>
              <w:t>16,639</w:t>
            </w:r>
          </w:p>
        </w:tc>
        <w:tc>
          <w:tcPr>
            <w:tcW w:w="1627" w:type="dxa"/>
            <w:shd w:val="clear" w:color="auto" w:fill="F2F2F2" w:themeFill="background1" w:themeFillShade="F2"/>
          </w:tcPr>
          <w:p w14:paraId="5449538C" w14:textId="77777777" w:rsidR="00D37B73" w:rsidRDefault="00D37B73" w:rsidP="0047677D">
            <w:r>
              <w:t>16,915</w:t>
            </w:r>
          </w:p>
        </w:tc>
        <w:tc>
          <w:tcPr>
            <w:tcW w:w="1627" w:type="dxa"/>
            <w:shd w:val="clear" w:color="auto" w:fill="F2F2F2" w:themeFill="background1" w:themeFillShade="F2"/>
          </w:tcPr>
          <w:p w14:paraId="1C170F98" w14:textId="77777777" w:rsidR="00D37B73" w:rsidRDefault="00D37B73" w:rsidP="0047677D">
            <w:r>
              <w:t>18,260</w:t>
            </w:r>
          </w:p>
        </w:tc>
        <w:tc>
          <w:tcPr>
            <w:tcW w:w="1627" w:type="dxa"/>
            <w:shd w:val="clear" w:color="auto" w:fill="F2F2F2" w:themeFill="background1" w:themeFillShade="F2"/>
          </w:tcPr>
          <w:p w14:paraId="3BBE0167" w14:textId="77777777" w:rsidR="00D37B73" w:rsidRPr="001D0AC3" w:rsidRDefault="00D37B73" w:rsidP="0047677D">
            <w:r w:rsidRPr="001D0AC3">
              <w:t>20,</w:t>
            </w:r>
            <w:r w:rsidR="00303F32" w:rsidRPr="001D0AC3">
              <w:t>293</w:t>
            </w:r>
          </w:p>
        </w:tc>
      </w:tr>
      <w:tr w:rsidR="00D37B73" w14:paraId="497D7008" w14:textId="77777777" w:rsidTr="0086035E">
        <w:tc>
          <w:tcPr>
            <w:tcW w:w="3794" w:type="dxa"/>
            <w:shd w:val="clear" w:color="auto" w:fill="F2F2F2" w:themeFill="background1" w:themeFillShade="F2"/>
          </w:tcPr>
          <w:p w14:paraId="129560E1" w14:textId="77777777" w:rsidR="00D37B73" w:rsidRPr="00D37B73" w:rsidRDefault="00D37B73" w:rsidP="0047677D">
            <w:pPr>
              <w:rPr>
                <w:b/>
              </w:rPr>
            </w:pPr>
            <w:r w:rsidRPr="00D37B73">
              <w:rPr>
                <w:b/>
              </w:rPr>
              <w:t>Growth</w:t>
            </w:r>
          </w:p>
        </w:tc>
        <w:tc>
          <w:tcPr>
            <w:tcW w:w="1627" w:type="dxa"/>
            <w:shd w:val="clear" w:color="auto" w:fill="F2F2F2" w:themeFill="background1" w:themeFillShade="F2"/>
          </w:tcPr>
          <w:p w14:paraId="07B25569" w14:textId="77777777" w:rsidR="00D37B73" w:rsidRPr="00D37B73" w:rsidRDefault="0086035E" w:rsidP="0047677D">
            <w:pPr>
              <w:rPr>
                <w:highlight w:val="yellow"/>
              </w:rPr>
            </w:pPr>
            <w:r w:rsidRPr="0086035E">
              <w:t>-</w:t>
            </w:r>
          </w:p>
        </w:tc>
        <w:tc>
          <w:tcPr>
            <w:tcW w:w="1627" w:type="dxa"/>
            <w:shd w:val="clear" w:color="auto" w:fill="F2F2F2" w:themeFill="background1" w:themeFillShade="F2"/>
          </w:tcPr>
          <w:p w14:paraId="5F835411" w14:textId="77777777" w:rsidR="00D37B73" w:rsidRDefault="00D37B73" w:rsidP="0047677D">
            <w:r>
              <w:t>2%</w:t>
            </w:r>
          </w:p>
        </w:tc>
        <w:tc>
          <w:tcPr>
            <w:tcW w:w="1627" w:type="dxa"/>
            <w:shd w:val="clear" w:color="auto" w:fill="F2F2F2" w:themeFill="background1" w:themeFillShade="F2"/>
          </w:tcPr>
          <w:p w14:paraId="4C3CEF7C" w14:textId="77777777" w:rsidR="00D37B73" w:rsidRDefault="00D37B73" w:rsidP="0047677D">
            <w:r>
              <w:t>8%</w:t>
            </w:r>
          </w:p>
        </w:tc>
        <w:tc>
          <w:tcPr>
            <w:tcW w:w="1627" w:type="dxa"/>
            <w:shd w:val="clear" w:color="auto" w:fill="F2F2F2" w:themeFill="background1" w:themeFillShade="F2"/>
          </w:tcPr>
          <w:p w14:paraId="58BC43AF" w14:textId="77777777" w:rsidR="00D37B73" w:rsidRDefault="00D37B73" w:rsidP="0047677D">
            <w:r>
              <w:t>11%</w:t>
            </w:r>
          </w:p>
        </w:tc>
      </w:tr>
    </w:tbl>
    <w:p w14:paraId="6C3FCC7A" w14:textId="77777777" w:rsidR="0047677D" w:rsidRDefault="00D37B73" w:rsidP="00D37B73">
      <w:pPr>
        <w:pStyle w:val="Heading4"/>
      </w:pPr>
      <w:r>
        <w:t>Spotlight –</w:t>
      </w:r>
      <w:r w:rsidR="0047677D">
        <w:t xml:space="preserve"> growth trends in summary crime and child protection set to continue </w:t>
      </w:r>
    </w:p>
    <w:p w14:paraId="669461E6" w14:textId="77777777" w:rsidR="0047677D" w:rsidRDefault="0047677D" w:rsidP="0047677D">
      <w:r>
        <w:t>Additional police and child protection officers, additional family violence reports and changes in government policy have been consistent drivers of growth. Grants of assistance for child protection and summary crime have been consistently growing with the trend set to continue this year.</w:t>
      </w:r>
    </w:p>
    <w:tbl>
      <w:tblPr>
        <w:tblStyle w:val="TableGrid"/>
        <w:tblW w:w="0" w:type="auto"/>
        <w:tblLook w:val="04A0" w:firstRow="1" w:lastRow="0" w:firstColumn="1" w:lastColumn="0" w:noHBand="0" w:noVBand="1"/>
      </w:tblPr>
      <w:tblGrid>
        <w:gridCol w:w="3692"/>
        <w:gridCol w:w="1596"/>
        <w:gridCol w:w="1596"/>
        <w:gridCol w:w="1596"/>
        <w:gridCol w:w="1596"/>
      </w:tblGrid>
      <w:tr w:rsidR="00D37B73" w:rsidRPr="00D37B73" w14:paraId="5E0EBDAF" w14:textId="77777777" w:rsidTr="00D37B73">
        <w:trPr>
          <w:tblHeader/>
        </w:trPr>
        <w:tc>
          <w:tcPr>
            <w:tcW w:w="3794" w:type="dxa"/>
            <w:shd w:val="clear" w:color="auto" w:fill="D9D9D9" w:themeFill="background1" w:themeFillShade="D9"/>
          </w:tcPr>
          <w:p w14:paraId="657C9EE0" w14:textId="77777777" w:rsidR="00D37B73" w:rsidRPr="00D37B73" w:rsidRDefault="00D37B73" w:rsidP="0047677D">
            <w:pPr>
              <w:rPr>
                <w:b/>
              </w:rPr>
            </w:pPr>
            <w:r w:rsidRPr="00D37B73">
              <w:rPr>
                <w:b/>
              </w:rPr>
              <w:t>Grants of legal assistance</w:t>
            </w:r>
          </w:p>
        </w:tc>
        <w:tc>
          <w:tcPr>
            <w:tcW w:w="1627" w:type="dxa"/>
            <w:shd w:val="clear" w:color="auto" w:fill="D9D9D9" w:themeFill="background1" w:themeFillShade="D9"/>
          </w:tcPr>
          <w:p w14:paraId="78E7EDE9" w14:textId="77777777" w:rsidR="00D37B73" w:rsidRPr="00D37B73" w:rsidRDefault="00D37B73" w:rsidP="0047677D">
            <w:pPr>
              <w:rPr>
                <w:b/>
              </w:rPr>
            </w:pPr>
            <w:r w:rsidRPr="00D37B73">
              <w:rPr>
                <w:b/>
              </w:rPr>
              <w:t>2014</w:t>
            </w:r>
          </w:p>
        </w:tc>
        <w:tc>
          <w:tcPr>
            <w:tcW w:w="1627" w:type="dxa"/>
            <w:shd w:val="clear" w:color="auto" w:fill="D9D9D9" w:themeFill="background1" w:themeFillShade="D9"/>
          </w:tcPr>
          <w:p w14:paraId="749EEB1E" w14:textId="77777777" w:rsidR="00D37B73" w:rsidRPr="00D37B73" w:rsidRDefault="00D37B73" w:rsidP="0047677D">
            <w:pPr>
              <w:rPr>
                <w:b/>
              </w:rPr>
            </w:pPr>
            <w:r w:rsidRPr="00D37B73">
              <w:rPr>
                <w:b/>
              </w:rPr>
              <w:t>2015</w:t>
            </w:r>
          </w:p>
        </w:tc>
        <w:tc>
          <w:tcPr>
            <w:tcW w:w="1627" w:type="dxa"/>
            <w:shd w:val="clear" w:color="auto" w:fill="D9D9D9" w:themeFill="background1" w:themeFillShade="D9"/>
          </w:tcPr>
          <w:p w14:paraId="0FAED842" w14:textId="77777777" w:rsidR="00D37B73" w:rsidRPr="00D37B73" w:rsidRDefault="00D37B73" w:rsidP="0047677D">
            <w:pPr>
              <w:rPr>
                <w:b/>
              </w:rPr>
            </w:pPr>
            <w:r w:rsidRPr="00D37B73">
              <w:rPr>
                <w:b/>
              </w:rPr>
              <w:t>2015</w:t>
            </w:r>
          </w:p>
        </w:tc>
        <w:tc>
          <w:tcPr>
            <w:tcW w:w="1627" w:type="dxa"/>
            <w:shd w:val="clear" w:color="auto" w:fill="D9D9D9" w:themeFill="background1" w:themeFillShade="D9"/>
          </w:tcPr>
          <w:p w14:paraId="41AB2748" w14:textId="77777777" w:rsidR="00D37B73" w:rsidRPr="00D37B73" w:rsidRDefault="00D37B73" w:rsidP="0047677D">
            <w:pPr>
              <w:rPr>
                <w:b/>
              </w:rPr>
            </w:pPr>
            <w:r w:rsidRPr="00D37B73">
              <w:rPr>
                <w:b/>
              </w:rPr>
              <w:t>2017 (F)</w:t>
            </w:r>
          </w:p>
        </w:tc>
      </w:tr>
      <w:tr w:rsidR="00D37B73" w14:paraId="18CEABE0" w14:textId="77777777" w:rsidTr="0086035E">
        <w:tc>
          <w:tcPr>
            <w:tcW w:w="3794" w:type="dxa"/>
            <w:tcBorders>
              <w:bottom w:val="single" w:sz="4" w:space="0" w:color="auto"/>
            </w:tcBorders>
          </w:tcPr>
          <w:p w14:paraId="768FDC2E" w14:textId="77777777" w:rsidR="00D37B73" w:rsidRPr="0086035E" w:rsidRDefault="00D37B73" w:rsidP="0047677D">
            <w:r w:rsidRPr="0086035E">
              <w:t>Child protection</w:t>
            </w:r>
          </w:p>
        </w:tc>
        <w:tc>
          <w:tcPr>
            <w:tcW w:w="1627" w:type="dxa"/>
            <w:tcBorders>
              <w:bottom w:val="single" w:sz="4" w:space="0" w:color="auto"/>
            </w:tcBorders>
          </w:tcPr>
          <w:p w14:paraId="07FEC959" w14:textId="77777777" w:rsidR="00D37B73" w:rsidRDefault="00D37B73" w:rsidP="0047677D">
            <w:r>
              <w:t>6,177</w:t>
            </w:r>
          </w:p>
        </w:tc>
        <w:tc>
          <w:tcPr>
            <w:tcW w:w="1627" w:type="dxa"/>
            <w:tcBorders>
              <w:bottom w:val="single" w:sz="4" w:space="0" w:color="auto"/>
            </w:tcBorders>
          </w:tcPr>
          <w:p w14:paraId="547F1FE4" w14:textId="77777777" w:rsidR="00D37B73" w:rsidRDefault="00D37B73" w:rsidP="0047677D">
            <w:r>
              <w:t>6,704</w:t>
            </w:r>
          </w:p>
        </w:tc>
        <w:tc>
          <w:tcPr>
            <w:tcW w:w="1627" w:type="dxa"/>
            <w:tcBorders>
              <w:bottom w:val="single" w:sz="4" w:space="0" w:color="auto"/>
            </w:tcBorders>
          </w:tcPr>
          <w:p w14:paraId="2BF74F63" w14:textId="77777777" w:rsidR="00D37B73" w:rsidRDefault="00D37B73" w:rsidP="0047677D">
            <w:r>
              <w:t>7,718</w:t>
            </w:r>
          </w:p>
        </w:tc>
        <w:tc>
          <w:tcPr>
            <w:tcW w:w="1627" w:type="dxa"/>
            <w:tcBorders>
              <w:bottom w:val="single" w:sz="4" w:space="0" w:color="auto"/>
            </w:tcBorders>
          </w:tcPr>
          <w:p w14:paraId="49AD4F79" w14:textId="77777777" w:rsidR="00D37B73" w:rsidRDefault="00D37B73" w:rsidP="0047677D">
            <w:r>
              <w:t>9,057</w:t>
            </w:r>
          </w:p>
        </w:tc>
      </w:tr>
      <w:tr w:rsidR="00D37B73" w14:paraId="2795403B" w14:textId="77777777" w:rsidTr="0086035E">
        <w:tc>
          <w:tcPr>
            <w:tcW w:w="3794" w:type="dxa"/>
            <w:shd w:val="clear" w:color="auto" w:fill="F2F2F2" w:themeFill="background1" w:themeFillShade="F2"/>
          </w:tcPr>
          <w:p w14:paraId="4BA47ED3" w14:textId="77777777" w:rsidR="00D37B73" w:rsidRPr="0086035E" w:rsidRDefault="00D37B73" w:rsidP="0047677D">
            <w:pPr>
              <w:rPr>
                <w:b/>
              </w:rPr>
            </w:pPr>
            <w:r w:rsidRPr="0086035E">
              <w:rPr>
                <w:b/>
              </w:rPr>
              <w:t>Growth</w:t>
            </w:r>
          </w:p>
        </w:tc>
        <w:tc>
          <w:tcPr>
            <w:tcW w:w="1627" w:type="dxa"/>
            <w:shd w:val="clear" w:color="auto" w:fill="F2F2F2" w:themeFill="background1" w:themeFillShade="F2"/>
          </w:tcPr>
          <w:p w14:paraId="00A24550" w14:textId="77777777" w:rsidR="00D37B73" w:rsidRDefault="00D37B73" w:rsidP="0047677D">
            <w:r>
              <w:t>-</w:t>
            </w:r>
          </w:p>
        </w:tc>
        <w:tc>
          <w:tcPr>
            <w:tcW w:w="1627" w:type="dxa"/>
            <w:shd w:val="clear" w:color="auto" w:fill="F2F2F2" w:themeFill="background1" w:themeFillShade="F2"/>
          </w:tcPr>
          <w:p w14:paraId="6C49CDAD" w14:textId="77777777" w:rsidR="00D37B73" w:rsidRDefault="00D37B73" w:rsidP="0047677D">
            <w:r>
              <w:t>9%</w:t>
            </w:r>
          </w:p>
        </w:tc>
        <w:tc>
          <w:tcPr>
            <w:tcW w:w="1627" w:type="dxa"/>
            <w:shd w:val="clear" w:color="auto" w:fill="F2F2F2" w:themeFill="background1" w:themeFillShade="F2"/>
          </w:tcPr>
          <w:p w14:paraId="666447DA" w14:textId="77777777" w:rsidR="00D37B73" w:rsidRDefault="00D37B73" w:rsidP="0047677D">
            <w:r>
              <w:t>15%</w:t>
            </w:r>
          </w:p>
        </w:tc>
        <w:tc>
          <w:tcPr>
            <w:tcW w:w="1627" w:type="dxa"/>
            <w:shd w:val="clear" w:color="auto" w:fill="F2F2F2" w:themeFill="background1" w:themeFillShade="F2"/>
          </w:tcPr>
          <w:p w14:paraId="3025720E" w14:textId="77777777" w:rsidR="00D37B73" w:rsidRDefault="00D37B73" w:rsidP="0047677D">
            <w:r>
              <w:t>17%</w:t>
            </w:r>
          </w:p>
        </w:tc>
      </w:tr>
      <w:tr w:rsidR="00D37B73" w14:paraId="63FF304E" w14:textId="77777777" w:rsidTr="0086035E">
        <w:tc>
          <w:tcPr>
            <w:tcW w:w="3794" w:type="dxa"/>
            <w:tcBorders>
              <w:bottom w:val="single" w:sz="4" w:space="0" w:color="auto"/>
            </w:tcBorders>
          </w:tcPr>
          <w:p w14:paraId="23CDD34E" w14:textId="77777777" w:rsidR="00D37B73" w:rsidRPr="0086035E" w:rsidRDefault="00D37B73" w:rsidP="0047677D">
            <w:r w:rsidRPr="0086035E">
              <w:t>Summary crime</w:t>
            </w:r>
          </w:p>
        </w:tc>
        <w:tc>
          <w:tcPr>
            <w:tcW w:w="1627" w:type="dxa"/>
            <w:tcBorders>
              <w:bottom w:val="single" w:sz="4" w:space="0" w:color="auto"/>
            </w:tcBorders>
          </w:tcPr>
          <w:p w14:paraId="2A300FD5" w14:textId="77777777" w:rsidR="00D37B73" w:rsidRDefault="00D37B73" w:rsidP="0047677D">
            <w:r>
              <w:t>11,896</w:t>
            </w:r>
          </w:p>
        </w:tc>
        <w:tc>
          <w:tcPr>
            <w:tcW w:w="1627" w:type="dxa"/>
            <w:tcBorders>
              <w:bottom w:val="single" w:sz="4" w:space="0" w:color="auto"/>
            </w:tcBorders>
          </w:tcPr>
          <w:p w14:paraId="10DC3693" w14:textId="77777777" w:rsidR="00D37B73" w:rsidRDefault="00D37B73" w:rsidP="0047677D">
            <w:r>
              <w:t>12,604</w:t>
            </w:r>
          </w:p>
        </w:tc>
        <w:tc>
          <w:tcPr>
            <w:tcW w:w="1627" w:type="dxa"/>
            <w:tcBorders>
              <w:bottom w:val="single" w:sz="4" w:space="0" w:color="auto"/>
            </w:tcBorders>
          </w:tcPr>
          <w:p w14:paraId="6B2650DC" w14:textId="77777777" w:rsidR="00D37B73" w:rsidRDefault="00D37B73" w:rsidP="0047677D">
            <w:r>
              <w:t>14,591</w:t>
            </w:r>
          </w:p>
        </w:tc>
        <w:tc>
          <w:tcPr>
            <w:tcW w:w="1627" w:type="dxa"/>
            <w:tcBorders>
              <w:bottom w:val="single" w:sz="4" w:space="0" w:color="auto"/>
            </w:tcBorders>
          </w:tcPr>
          <w:p w14:paraId="37F8EF40" w14:textId="77777777" w:rsidR="00D37B73" w:rsidRDefault="00D37B73" w:rsidP="0047677D">
            <w:r>
              <w:t>16,517</w:t>
            </w:r>
          </w:p>
        </w:tc>
      </w:tr>
      <w:tr w:rsidR="00D37B73" w14:paraId="1DA035B8" w14:textId="77777777" w:rsidTr="0086035E">
        <w:tc>
          <w:tcPr>
            <w:tcW w:w="3794" w:type="dxa"/>
            <w:shd w:val="clear" w:color="auto" w:fill="F2F2F2" w:themeFill="background1" w:themeFillShade="F2"/>
          </w:tcPr>
          <w:p w14:paraId="4FED1A2B" w14:textId="77777777" w:rsidR="00D37B73" w:rsidRPr="0086035E" w:rsidRDefault="00D37B73" w:rsidP="0047677D">
            <w:pPr>
              <w:rPr>
                <w:b/>
              </w:rPr>
            </w:pPr>
            <w:r w:rsidRPr="0086035E">
              <w:rPr>
                <w:b/>
              </w:rPr>
              <w:t>Growth</w:t>
            </w:r>
          </w:p>
        </w:tc>
        <w:tc>
          <w:tcPr>
            <w:tcW w:w="1627" w:type="dxa"/>
            <w:shd w:val="clear" w:color="auto" w:fill="F2F2F2" w:themeFill="background1" w:themeFillShade="F2"/>
          </w:tcPr>
          <w:p w14:paraId="5611CACC" w14:textId="77777777" w:rsidR="00D37B73" w:rsidRDefault="00D37B73" w:rsidP="0047677D">
            <w:r>
              <w:t>-</w:t>
            </w:r>
          </w:p>
        </w:tc>
        <w:tc>
          <w:tcPr>
            <w:tcW w:w="1627" w:type="dxa"/>
            <w:shd w:val="clear" w:color="auto" w:fill="F2F2F2" w:themeFill="background1" w:themeFillShade="F2"/>
          </w:tcPr>
          <w:p w14:paraId="039DD286" w14:textId="77777777" w:rsidR="00D37B73" w:rsidRDefault="00D37B73" w:rsidP="0047677D">
            <w:r>
              <w:t>6%</w:t>
            </w:r>
          </w:p>
        </w:tc>
        <w:tc>
          <w:tcPr>
            <w:tcW w:w="1627" w:type="dxa"/>
            <w:shd w:val="clear" w:color="auto" w:fill="F2F2F2" w:themeFill="background1" w:themeFillShade="F2"/>
          </w:tcPr>
          <w:p w14:paraId="58A20D0F" w14:textId="77777777" w:rsidR="00D37B73" w:rsidRDefault="00D37B73" w:rsidP="0047677D">
            <w:r>
              <w:t>16%</w:t>
            </w:r>
          </w:p>
        </w:tc>
        <w:tc>
          <w:tcPr>
            <w:tcW w:w="1627" w:type="dxa"/>
            <w:shd w:val="clear" w:color="auto" w:fill="F2F2F2" w:themeFill="background1" w:themeFillShade="F2"/>
          </w:tcPr>
          <w:p w14:paraId="5BDBE2FF" w14:textId="77777777" w:rsidR="00D37B73" w:rsidRDefault="00D37B73" w:rsidP="0047677D">
            <w:r>
              <w:t>13%</w:t>
            </w:r>
          </w:p>
        </w:tc>
      </w:tr>
    </w:tbl>
    <w:p w14:paraId="26398898" w14:textId="77777777" w:rsidR="0047677D" w:rsidRDefault="0047677D" w:rsidP="0047677D">
      <w:r>
        <w:lastRenderedPageBreak/>
        <w:t>Child protection grants of assistance saw double digit growth of 15 per cent last year after an increase of 9 per cent in the prior year. The growth is set to accelerate to 17 per cent this year with the number of grants expected to rise by nearly 3,000 or 47 per cent over four years.</w:t>
      </w:r>
    </w:p>
    <w:p w14:paraId="083A0444" w14:textId="6EB340F9" w:rsidR="0047677D" w:rsidRDefault="0047677D" w:rsidP="0047677D">
      <w:r>
        <w:t xml:space="preserve">Grants for summary crime peaked last year with a 16 per cent growth, and we are still forecasting considerable growth this year at 13 per cent. We expect to see approximately 4,600 additional grants over four years. While not shown in the </w:t>
      </w:r>
      <w:r w:rsidR="002D0843" w:rsidRPr="002D0843">
        <w:rPr>
          <w:i/>
        </w:rPr>
        <w:t>Grants of legal assistance</w:t>
      </w:r>
      <w:r w:rsidR="002D0843" w:rsidRPr="002D0843">
        <w:t xml:space="preserve"> </w:t>
      </w:r>
      <w:r>
        <w:t xml:space="preserve">graph, summary crime duty lawyer services have also seen considerable growth. In 2013–14, Victoria Legal Aid provided 40,785 </w:t>
      </w:r>
      <w:r w:rsidR="00C97F3C">
        <w:t xml:space="preserve">summary crime </w:t>
      </w:r>
      <w:r>
        <w:t xml:space="preserve">duty lawyer services. Victoria Legal Aid is forecasting </w:t>
      </w:r>
      <w:r w:rsidR="001D0AC3" w:rsidRPr="001D0AC3">
        <w:t>in excess of 59,000</w:t>
      </w:r>
      <w:r w:rsidRPr="001D0AC3">
        <w:t xml:space="preserve"> </w:t>
      </w:r>
      <w:r w:rsidR="00C97F3C">
        <w:t xml:space="preserve">summary crime </w:t>
      </w:r>
      <w:r w:rsidRPr="001D0AC3">
        <w:t>duty lawyer services this year</w:t>
      </w:r>
      <w:r>
        <w:t>, representing a growth of 4</w:t>
      </w:r>
      <w:r w:rsidR="00C97F3C">
        <w:t>5</w:t>
      </w:r>
      <w:r>
        <w:t xml:space="preserve"> per cent over four years or approximately 1</w:t>
      </w:r>
      <w:r w:rsidR="00C97F3C">
        <w:t>8</w:t>
      </w:r>
      <w:r>
        <w:t>,000 additional services.</w:t>
      </w:r>
    </w:p>
    <w:p w14:paraId="34C25E66" w14:textId="77777777" w:rsidR="0047677D" w:rsidRDefault="0047677D" w:rsidP="00165F28">
      <w:pPr>
        <w:pStyle w:val="Heading3"/>
      </w:pPr>
      <w:r>
        <w:t>Who delivers our grants?</w:t>
      </w:r>
    </w:p>
    <w:p w14:paraId="1FAC43A7" w14:textId="694E5A6C" w:rsidR="0047677D" w:rsidRDefault="0047677D" w:rsidP="0047677D">
      <w:r>
        <w:t>As at 31 December 2016, 72 per cent of our grants of legal assistance were assigned to private practitioners. At the same time last year, it was 68 per cent. The growth in grants of assistance is predominantly serviced by private practitioners. This increased participation reflects their capacity to scale up quickly in response to increased demand.</w:t>
      </w:r>
    </w:p>
    <w:tbl>
      <w:tblPr>
        <w:tblStyle w:val="TableGrid"/>
        <w:tblW w:w="0" w:type="auto"/>
        <w:tblLook w:val="04A0" w:firstRow="1" w:lastRow="0" w:firstColumn="1" w:lastColumn="0" w:noHBand="0" w:noVBand="1"/>
      </w:tblPr>
      <w:tblGrid>
        <w:gridCol w:w="3692"/>
        <w:gridCol w:w="1596"/>
        <w:gridCol w:w="1596"/>
        <w:gridCol w:w="1596"/>
        <w:gridCol w:w="1596"/>
      </w:tblGrid>
      <w:tr w:rsidR="00D37B73" w:rsidRPr="00D37B73" w14:paraId="722F8BAA" w14:textId="77777777" w:rsidTr="00A40CEB">
        <w:trPr>
          <w:tblHeader/>
        </w:trPr>
        <w:tc>
          <w:tcPr>
            <w:tcW w:w="3794" w:type="dxa"/>
            <w:shd w:val="clear" w:color="auto" w:fill="D9D9D9" w:themeFill="background1" w:themeFillShade="D9"/>
          </w:tcPr>
          <w:p w14:paraId="2EAC13EB" w14:textId="77777777" w:rsidR="00D37B73" w:rsidRPr="00D37B73" w:rsidRDefault="00D37B73" w:rsidP="00A40CEB">
            <w:pPr>
              <w:rPr>
                <w:b/>
              </w:rPr>
            </w:pPr>
            <w:r w:rsidRPr="00D37B73">
              <w:rPr>
                <w:b/>
              </w:rPr>
              <w:t>Grants of legal assistance</w:t>
            </w:r>
            <w:r w:rsidR="00303F32">
              <w:rPr>
                <w:b/>
              </w:rPr>
              <w:t xml:space="preserve"> </w:t>
            </w:r>
            <w:r w:rsidR="00303F32" w:rsidRPr="001D0AC3">
              <w:rPr>
                <w:b/>
              </w:rPr>
              <w:t>as at</w:t>
            </w:r>
          </w:p>
        </w:tc>
        <w:tc>
          <w:tcPr>
            <w:tcW w:w="1627" w:type="dxa"/>
            <w:shd w:val="clear" w:color="auto" w:fill="D9D9D9" w:themeFill="background1" w:themeFillShade="D9"/>
          </w:tcPr>
          <w:p w14:paraId="1A84E555" w14:textId="77777777" w:rsidR="00D37B73" w:rsidRPr="00D37B73" w:rsidRDefault="00D37B73" w:rsidP="00A40CEB">
            <w:pPr>
              <w:rPr>
                <w:b/>
              </w:rPr>
            </w:pPr>
            <w:r>
              <w:rPr>
                <w:b/>
              </w:rPr>
              <w:t>31 Dec 2013</w:t>
            </w:r>
          </w:p>
        </w:tc>
        <w:tc>
          <w:tcPr>
            <w:tcW w:w="1627" w:type="dxa"/>
            <w:shd w:val="clear" w:color="auto" w:fill="D9D9D9" w:themeFill="background1" w:themeFillShade="D9"/>
          </w:tcPr>
          <w:p w14:paraId="775EA1E0" w14:textId="77777777" w:rsidR="00D37B73" w:rsidRPr="00D37B73" w:rsidRDefault="00D37B73" w:rsidP="00A40CEB">
            <w:pPr>
              <w:rPr>
                <w:b/>
              </w:rPr>
            </w:pPr>
            <w:r>
              <w:rPr>
                <w:b/>
              </w:rPr>
              <w:t>31 Dec 2014</w:t>
            </w:r>
          </w:p>
        </w:tc>
        <w:tc>
          <w:tcPr>
            <w:tcW w:w="1627" w:type="dxa"/>
            <w:shd w:val="clear" w:color="auto" w:fill="D9D9D9" w:themeFill="background1" w:themeFillShade="D9"/>
          </w:tcPr>
          <w:p w14:paraId="047510D4" w14:textId="77777777" w:rsidR="00D37B73" w:rsidRPr="00D37B73" w:rsidRDefault="00D37B73" w:rsidP="00A40CEB">
            <w:pPr>
              <w:rPr>
                <w:b/>
              </w:rPr>
            </w:pPr>
            <w:r>
              <w:rPr>
                <w:b/>
              </w:rPr>
              <w:t>31 Dec 2015</w:t>
            </w:r>
          </w:p>
        </w:tc>
        <w:tc>
          <w:tcPr>
            <w:tcW w:w="1627" w:type="dxa"/>
            <w:shd w:val="clear" w:color="auto" w:fill="D9D9D9" w:themeFill="background1" w:themeFillShade="D9"/>
          </w:tcPr>
          <w:p w14:paraId="1A1351A3" w14:textId="77777777" w:rsidR="00D37B73" w:rsidRPr="00D37B73" w:rsidRDefault="00D37B73" w:rsidP="00A40CEB">
            <w:pPr>
              <w:rPr>
                <w:b/>
              </w:rPr>
            </w:pPr>
            <w:r>
              <w:rPr>
                <w:b/>
              </w:rPr>
              <w:t>31 Dec 2016</w:t>
            </w:r>
          </w:p>
        </w:tc>
      </w:tr>
      <w:tr w:rsidR="00D37B73" w14:paraId="2A00219A" w14:textId="77777777" w:rsidTr="00A40CEB">
        <w:tc>
          <w:tcPr>
            <w:tcW w:w="3794" w:type="dxa"/>
          </w:tcPr>
          <w:p w14:paraId="250DF477" w14:textId="77777777" w:rsidR="00D37B73" w:rsidRPr="00D37B73" w:rsidRDefault="00D37B73" w:rsidP="00A40CEB">
            <w:pPr>
              <w:rPr>
                <w:b/>
              </w:rPr>
            </w:pPr>
            <w:r>
              <w:t>In-house</w:t>
            </w:r>
          </w:p>
        </w:tc>
        <w:tc>
          <w:tcPr>
            <w:tcW w:w="1627" w:type="dxa"/>
          </w:tcPr>
          <w:p w14:paraId="23684EE0" w14:textId="77777777" w:rsidR="00D37B73" w:rsidRDefault="00D37B73" w:rsidP="00A40CEB">
            <w:r>
              <w:t>4,664</w:t>
            </w:r>
          </w:p>
        </w:tc>
        <w:tc>
          <w:tcPr>
            <w:tcW w:w="1627" w:type="dxa"/>
          </w:tcPr>
          <w:p w14:paraId="73A6B273" w14:textId="77777777" w:rsidR="00D37B73" w:rsidRDefault="00D37B73" w:rsidP="00A40CEB">
            <w:r>
              <w:t>5,577</w:t>
            </w:r>
          </w:p>
        </w:tc>
        <w:tc>
          <w:tcPr>
            <w:tcW w:w="1627" w:type="dxa"/>
          </w:tcPr>
          <w:p w14:paraId="5D18E621" w14:textId="77777777" w:rsidR="00D37B73" w:rsidRDefault="00D37B73" w:rsidP="00A40CEB">
            <w:r>
              <w:t>5,784</w:t>
            </w:r>
          </w:p>
        </w:tc>
        <w:tc>
          <w:tcPr>
            <w:tcW w:w="1627" w:type="dxa"/>
          </w:tcPr>
          <w:p w14:paraId="1F415FAD" w14:textId="77777777" w:rsidR="00D37B73" w:rsidRPr="001D0AC3" w:rsidRDefault="00D37B73" w:rsidP="00A40CEB">
            <w:r w:rsidRPr="001D0AC3">
              <w:t>5,</w:t>
            </w:r>
            <w:r w:rsidR="00303F32" w:rsidRPr="001D0AC3">
              <w:t>692</w:t>
            </w:r>
          </w:p>
        </w:tc>
      </w:tr>
      <w:tr w:rsidR="00D37B73" w14:paraId="4014F18F" w14:textId="77777777" w:rsidTr="0086035E">
        <w:tc>
          <w:tcPr>
            <w:tcW w:w="3794" w:type="dxa"/>
            <w:tcBorders>
              <w:bottom w:val="single" w:sz="4" w:space="0" w:color="auto"/>
            </w:tcBorders>
          </w:tcPr>
          <w:p w14:paraId="6215DBCC" w14:textId="77777777" w:rsidR="00D37B73" w:rsidRDefault="00D37B73" w:rsidP="00A40CEB">
            <w:r>
              <w:t>Private practitioner</w:t>
            </w:r>
          </w:p>
        </w:tc>
        <w:tc>
          <w:tcPr>
            <w:tcW w:w="1627" w:type="dxa"/>
            <w:tcBorders>
              <w:bottom w:val="single" w:sz="4" w:space="0" w:color="auto"/>
            </w:tcBorders>
          </w:tcPr>
          <w:p w14:paraId="7B9E0C8E" w14:textId="77777777" w:rsidR="00D37B73" w:rsidRDefault="00D37B73" w:rsidP="00A40CEB">
            <w:r>
              <w:t>11,975</w:t>
            </w:r>
          </w:p>
        </w:tc>
        <w:tc>
          <w:tcPr>
            <w:tcW w:w="1627" w:type="dxa"/>
            <w:tcBorders>
              <w:bottom w:val="single" w:sz="4" w:space="0" w:color="auto"/>
            </w:tcBorders>
          </w:tcPr>
          <w:p w14:paraId="79548F8E" w14:textId="77777777" w:rsidR="00D37B73" w:rsidRDefault="00D37B73" w:rsidP="00A40CEB">
            <w:r>
              <w:t>11,338</w:t>
            </w:r>
          </w:p>
        </w:tc>
        <w:tc>
          <w:tcPr>
            <w:tcW w:w="1627" w:type="dxa"/>
            <w:tcBorders>
              <w:bottom w:val="single" w:sz="4" w:space="0" w:color="auto"/>
            </w:tcBorders>
          </w:tcPr>
          <w:p w14:paraId="3C14310C" w14:textId="77777777" w:rsidR="00D37B73" w:rsidRDefault="00D37B73" w:rsidP="00A40CEB">
            <w:r>
              <w:t>12,476</w:t>
            </w:r>
          </w:p>
        </w:tc>
        <w:tc>
          <w:tcPr>
            <w:tcW w:w="1627" w:type="dxa"/>
            <w:tcBorders>
              <w:bottom w:val="single" w:sz="4" w:space="0" w:color="auto"/>
            </w:tcBorders>
          </w:tcPr>
          <w:p w14:paraId="6DAA79F1" w14:textId="77777777" w:rsidR="00D37B73" w:rsidRPr="001D0AC3" w:rsidRDefault="00D37B73" w:rsidP="00A40CEB">
            <w:r w:rsidRPr="001D0AC3">
              <w:t>14,</w:t>
            </w:r>
            <w:r w:rsidR="00303F32" w:rsidRPr="001D0AC3">
              <w:t>601</w:t>
            </w:r>
          </w:p>
        </w:tc>
      </w:tr>
      <w:tr w:rsidR="00D37B73" w14:paraId="2113C914" w14:textId="77777777" w:rsidTr="0086035E">
        <w:tc>
          <w:tcPr>
            <w:tcW w:w="3794" w:type="dxa"/>
            <w:tcBorders>
              <w:bottom w:val="single" w:sz="4" w:space="0" w:color="auto"/>
            </w:tcBorders>
            <w:shd w:val="clear" w:color="auto" w:fill="F2F2F2" w:themeFill="background1" w:themeFillShade="F2"/>
          </w:tcPr>
          <w:p w14:paraId="7E83E113" w14:textId="77777777" w:rsidR="00D37B73" w:rsidRPr="0086035E" w:rsidRDefault="00D37B73" w:rsidP="00A40CEB">
            <w:pPr>
              <w:rPr>
                <w:b/>
              </w:rPr>
            </w:pPr>
            <w:r w:rsidRPr="0086035E">
              <w:rPr>
                <w:b/>
              </w:rPr>
              <w:t>Totals</w:t>
            </w:r>
          </w:p>
        </w:tc>
        <w:tc>
          <w:tcPr>
            <w:tcW w:w="1627" w:type="dxa"/>
            <w:tcBorders>
              <w:bottom w:val="single" w:sz="4" w:space="0" w:color="auto"/>
            </w:tcBorders>
            <w:shd w:val="clear" w:color="auto" w:fill="F2F2F2" w:themeFill="background1" w:themeFillShade="F2"/>
          </w:tcPr>
          <w:p w14:paraId="245E85D9" w14:textId="77777777" w:rsidR="00D37B73" w:rsidRDefault="00D37B73" w:rsidP="00A40CEB">
            <w:r>
              <w:t>16,639</w:t>
            </w:r>
          </w:p>
        </w:tc>
        <w:tc>
          <w:tcPr>
            <w:tcW w:w="1627" w:type="dxa"/>
            <w:tcBorders>
              <w:bottom w:val="single" w:sz="4" w:space="0" w:color="auto"/>
            </w:tcBorders>
            <w:shd w:val="clear" w:color="auto" w:fill="F2F2F2" w:themeFill="background1" w:themeFillShade="F2"/>
          </w:tcPr>
          <w:p w14:paraId="594197B1" w14:textId="77777777" w:rsidR="00D37B73" w:rsidRDefault="00D37B73" w:rsidP="00A40CEB">
            <w:r>
              <w:t>16,915</w:t>
            </w:r>
          </w:p>
        </w:tc>
        <w:tc>
          <w:tcPr>
            <w:tcW w:w="1627" w:type="dxa"/>
            <w:tcBorders>
              <w:bottom w:val="single" w:sz="4" w:space="0" w:color="auto"/>
            </w:tcBorders>
            <w:shd w:val="clear" w:color="auto" w:fill="F2F2F2" w:themeFill="background1" w:themeFillShade="F2"/>
          </w:tcPr>
          <w:p w14:paraId="4465548A" w14:textId="77777777" w:rsidR="00D37B73" w:rsidRDefault="00D37B73" w:rsidP="00A40CEB">
            <w:r>
              <w:t>18,260</w:t>
            </w:r>
          </w:p>
        </w:tc>
        <w:tc>
          <w:tcPr>
            <w:tcW w:w="1627" w:type="dxa"/>
            <w:tcBorders>
              <w:bottom w:val="single" w:sz="4" w:space="0" w:color="auto"/>
            </w:tcBorders>
            <w:shd w:val="clear" w:color="auto" w:fill="F2F2F2" w:themeFill="background1" w:themeFillShade="F2"/>
          </w:tcPr>
          <w:p w14:paraId="7E6919E8" w14:textId="77777777" w:rsidR="00D37B73" w:rsidRPr="001D0AC3" w:rsidRDefault="00D37B73" w:rsidP="00A40CEB">
            <w:r w:rsidRPr="001D0AC3">
              <w:t>20,</w:t>
            </w:r>
            <w:r w:rsidR="00303F32" w:rsidRPr="001D0AC3">
              <w:t>293</w:t>
            </w:r>
          </w:p>
        </w:tc>
      </w:tr>
      <w:tr w:rsidR="00D37B73" w14:paraId="0A23A39B" w14:textId="77777777" w:rsidTr="0086035E">
        <w:tc>
          <w:tcPr>
            <w:tcW w:w="3794" w:type="dxa"/>
            <w:shd w:val="clear" w:color="auto" w:fill="F2F2F2" w:themeFill="background1" w:themeFillShade="F2"/>
          </w:tcPr>
          <w:p w14:paraId="0F15B80B" w14:textId="77777777" w:rsidR="00D37B73" w:rsidRPr="0086035E" w:rsidRDefault="00D37B73" w:rsidP="00A40CEB">
            <w:pPr>
              <w:rPr>
                <w:b/>
              </w:rPr>
            </w:pPr>
            <w:r w:rsidRPr="0086035E">
              <w:rPr>
                <w:b/>
              </w:rPr>
              <w:t>Growth</w:t>
            </w:r>
          </w:p>
        </w:tc>
        <w:tc>
          <w:tcPr>
            <w:tcW w:w="1627" w:type="dxa"/>
            <w:shd w:val="clear" w:color="auto" w:fill="F2F2F2" w:themeFill="background1" w:themeFillShade="F2"/>
          </w:tcPr>
          <w:p w14:paraId="4F42452D" w14:textId="77777777" w:rsidR="00D37B73" w:rsidRPr="004D05EB" w:rsidRDefault="0086035E" w:rsidP="00A40CEB">
            <w:pPr>
              <w:rPr>
                <w:b/>
              </w:rPr>
            </w:pPr>
            <w:r>
              <w:t>-</w:t>
            </w:r>
          </w:p>
        </w:tc>
        <w:tc>
          <w:tcPr>
            <w:tcW w:w="1627" w:type="dxa"/>
            <w:shd w:val="clear" w:color="auto" w:fill="F2F2F2" w:themeFill="background1" w:themeFillShade="F2"/>
          </w:tcPr>
          <w:p w14:paraId="3C64BE9E" w14:textId="77777777" w:rsidR="00D37B73" w:rsidRDefault="00D37B73" w:rsidP="00A40CEB">
            <w:r>
              <w:t>2%</w:t>
            </w:r>
          </w:p>
        </w:tc>
        <w:tc>
          <w:tcPr>
            <w:tcW w:w="1627" w:type="dxa"/>
            <w:shd w:val="clear" w:color="auto" w:fill="F2F2F2" w:themeFill="background1" w:themeFillShade="F2"/>
          </w:tcPr>
          <w:p w14:paraId="7FF1831E" w14:textId="77777777" w:rsidR="00D37B73" w:rsidRDefault="00D37B73" w:rsidP="00A40CEB">
            <w:r>
              <w:t>8%</w:t>
            </w:r>
          </w:p>
        </w:tc>
        <w:tc>
          <w:tcPr>
            <w:tcW w:w="1627" w:type="dxa"/>
            <w:shd w:val="clear" w:color="auto" w:fill="F2F2F2" w:themeFill="background1" w:themeFillShade="F2"/>
          </w:tcPr>
          <w:p w14:paraId="6F40204A" w14:textId="77777777" w:rsidR="00D37B73" w:rsidRDefault="00D37B73" w:rsidP="00A40CEB">
            <w:r>
              <w:t>11%</w:t>
            </w:r>
          </w:p>
        </w:tc>
      </w:tr>
    </w:tbl>
    <w:p w14:paraId="14483A5E" w14:textId="77777777" w:rsidR="0047677D" w:rsidRDefault="0047677D" w:rsidP="00165F28">
      <w:pPr>
        <w:pStyle w:val="Heading3"/>
      </w:pPr>
      <w:r>
        <w:t xml:space="preserve">Duty lawyer services </w:t>
      </w:r>
    </w:p>
    <w:p w14:paraId="31F3DF72" w14:textId="6E69DE4A" w:rsidR="0047677D" w:rsidRDefault="0047677D" w:rsidP="0047677D">
      <w:r>
        <w:t xml:space="preserve">Victoria Legal Aid lawyers and some private practitioners are on ‘duty’ at many courts and tribunals across Victoria to help people </w:t>
      </w:r>
      <w:r w:rsidR="00687C56" w:rsidRPr="00687C56">
        <w:t>who are at the court or tribunal for a hearing</w:t>
      </w:r>
      <w:r>
        <w:t>, but do not have their own lawyer.</w:t>
      </w:r>
    </w:p>
    <w:p w14:paraId="73CFF433" w14:textId="26752AEE" w:rsidR="0047677D" w:rsidRDefault="0047677D" w:rsidP="0047677D">
      <w:r>
        <w:t>Our duty lawyers provide free legal information, advice and representation to clients. Duty lawyers do not represent everyone. We prioritise serious cases, including people who are in custody</w:t>
      </w:r>
      <w:r w:rsidR="00C97F3C">
        <w:t xml:space="preserve">, </w:t>
      </w:r>
      <w:r>
        <w:t>or at risk of going into custody and people needing intensive support.</w:t>
      </w:r>
    </w:p>
    <w:tbl>
      <w:tblPr>
        <w:tblStyle w:val="TableGrid"/>
        <w:tblW w:w="0" w:type="auto"/>
        <w:tblLook w:val="04A0" w:firstRow="1" w:lastRow="0" w:firstColumn="1" w:lastColumn="0" w:noHBand="0" w:noVBand="1"/>
      </w:tblPr>
      <w:tblGrid>
        <w:gridCol w:w="3687"/>
        <w:gridCol w:w="1598"/>
        <w:gridCol w:w="1597"/>
        <w:gridCol w:w="1597"/>
        <w:gridCol w:w="1597"/>
      </w:tblGrid>
      <w:tr w:rsidR="0086035E" w:rsidRPr="00D37B73" w14:paraId="199040C3" w14:textId="77777777" w:rsidTr="00A40CEB">
        <w:trPr>
          <w:tblHeader/>
        </w:trPr>
        <w:tc>
          <w:tcPr>
            <w:tcW w:w="3794" w:type="dxa"/>
            <w:shd w:val="clear" w:color="auto" w:fill="D9D9D9" w:themeFill="background1" w:themeFillShade="D9"/>
          </w:tcPr>
          <w:p w14:paraId="0BD835ED" w14:textId="77777777" w:rsidR="0086035E" w:rsidRPr="00D37B73" w:rsidRDefault="0086035E" w:rsidP="00A40CEB">
            <w:pPr>
              <w:rPr>
                <w:b/>
              </w:rPr>
            </w:pPr>
            <w:r>
              <w:rPr>
                <w:b/>
              </w:rPr>
              <w:t>Duty lawyer services as at</w:t>
            </w:r>
          </w:p>
        </w:tc>
        <w:tc>
          <w:tcPr>
            <w:tcW w:w="1627" w:type="dxa"/>
            <w:shd w:val="clear" w:color="auto" w:fill="D9D9D9" w:themeFill="background1" w:themeFillShade="D9"/>
          </w:tcPr>
          <w:p w14:paraId="00998012" w14:textId="77777777" w:rsidR="0086035E" w:rsidRPr="00D37B73" w:rsidRDefault="0086035E" w:rsidP="00A40CEB">
            <w:pPr>
              <w:rPr>
                <w:b/>
              </w:rPr>
            </w:pPr>
            <w:r>
              <w:rPr>
                <w:b/>
              </w:rPr>
              <w:t>31 Dec 2013</w:t>
            </w:r>
          </w:p>
        </w:tc>
        <w:tc>
          <w:tcPr>
            <w:tcW w:w="1627" w:type="dxa"/>
            <w:shd w:val="clear" w:color="auto" w:fill="D9D9D9" w:themeFill="background1" w:themeFillShade="D9"/>
          </w:tcPr>
          <w:p w14:paraId="1BD2E425" w14:textId="77777777" w:rsidR="0086035E" w:rsidRPr="00D37B73" w:rsidRDefault="0086035E" w:rsidP="00A40CEB">
            <w:pPr>
              <w:rPr>
                <w:b/>
              </w:rPr>
            </w:pPr>
            <w:r>
              <w:rPr>
                <w:b/>
              </w:rPr>
              <w:t>31 Dec 2014</w:t>
            </w:r>
          </w:p>
        </w:tc>
        <w:tc>
          <w:tcPr>
            <w:tcW w:w="1627" w:type="dxa"/>
            <w:shd w:val="clear" w:color="auto" w:fill="D9D9D9" w:themeFill="background1" w:themeFillShade="D9"/>
          </w:tcPr>
          <w:p w14:paraId="04871C5D" w14:textId="77777777" w:rsidR="0086035E" w:rsidRPr="00D37B73" w:rsidRDefault="0086035E" w:rsidP="00A40CEB">
            <w:pPr>
              <w:rPr>
                <w:b/>
              </w:rPr>
            </w:pPr>
            <w:r>
              <w:rPr>
                <w:b/>
              </w:rPr>
              <w:t>31 Dec 2015</w:t>
            </w:r>
          </w:p>
        </w:tc>
        <w:tc>
          <w:tcPr>
            <w:tcW w:w="1627" w:type="dxa"/>
            <w:shd w:val="clear" w:color="auto" w:fill="D9D9D9" w:themeFill="background1" w:themeFillShade="D9"/>
          </w:tcPr>
          <w:p w14:paraId="4E57CE40" w14:textId="77777777" w:rsidR="0086035E" w:rsidRPr="00D37B73" w:rsidRDefault="0086035E" w:rsidP="00A40CEB">
            <w:pPr>
              <w:rPr>
                <w:b/>
              </w:rPr>
            </w:pPr>
            <w:r>
              <w:rPr>
                <w:b/>
              </w:rPr>
              <w:t>31 Dec 2016</w:t>
            </w:r>
          </w:p>
        </w:tc>
      </w:tr>
      <w:tr w:rsidR="0086035E" w14:paraId="2B795DE5" w14:textId="77777777" w:rsidTr="0086035E">
        <w:tc>
          <w:tcPr>
            <w:tcW w:w="3794" w:type="dxa"/>
            <w:tcBorders>
              <w:bottom w:val="single" w:sz="4" w:space="0" w:color="auto"/>
            </w:tcBorders>
          </w:tcPr>
          <w:p w14:paraId="4E1129FE" w14:textId="77777777" w:rsidR="0086035E" w:rsidRPr="00D37B73" w:rsidRDefault="0086035E" w:rsidP="00A40CEB">
            <w:pPr>
              <w:rPr>
                <w:b/>
              </w:rPr>
            </w:pPr>
            <w:r>
              <w:t>Duty lawyer services</w:t>
            </w:r>
          </w:p>
        </w:tc>
        <w:tc>
          <w:tcPr>
            <w:tcW w:w="1627" w:type="dxa"/>
            <w:tcBorders>
              <w:bottom w:val="single" w:sz="4" w:space="0" w:color="auto"/>
            </w:tcBorders>
          </w:tcPr>
          <w:p w14:paraId="0384D51C" w14:textId="77777777" w:rsidR="0086035E" w:rsidRDefault="0086035E" w:rsidP="00A40CEB">
            <w:r>
              <w:t>35,150</w:t>
            </w:r>
          </w:p>
        </w:tc>
        <w:tc>
          <w:tcPr>
            <w:tcW w:w="1627" w:type="dxa"/>
            <w:tcBorders>
              <w:bottom w:val="single" w:sz="4" w:space="0" w:color="auto"/>
            </w:tcBorders>
          </w:tcPr>
          <w:p w14:paraId="19F052DD" w14:textId="77777777" w:rsidR="0086035E" w:rsidRDefault="0086035E" w:rsidP="00A40CEB">
            <w:r>
              <w:t>40,100</w:t>
            </w:r>
          </w:p>
        </w:tc>
        <w:tc>
          <w:tcPr>
            <w:tcW w:w="1627" w:type="dxa"/>
            <w:tcBorders>
              <w:bottom w:val="single" w:sz="4" w:space="0" w:color="auto"/>
            </w:tcBorders>
          </w:tcPr>
          <w:p w14:paraId="33A7AAE6" w14:textId="77777777" w:rsidR="0086035E" w:rsidRDefault="0086035E" w:rsidP="00A40CEB">
            <w:r>
              <w:t>42,708</w:t>
            </w:r>
          </w:p>
        </w:tc>
        <w:tc>
          <w:tcPr>
            <w:tcW w:w="1627" w:type="dxa"/>
            <w:tcBorders>
              <w:bottom w:val="single" w:sz="4" w:space="0" w:color="auto"/>
            </w:tcBorders>
          </w:tcPr>
          <w:p w14:paraId="4253FF63" w14:textId="77777777" w:rsidR="0086035E" w:rsidRDefault="0086035E" w:rsidP="00A40CEB">
            <w:r>
              <w:t>44,871</w:t>
            </w:r>
          </w:p>
        </w:tc>
      </w:tr>
      <w:tr w:rsidR="0086035E" w14:paraId="52F89539" w14:textId="77777777" w:rsidTr="0086035E">
        <w:tc>
          <w:tcPr>
            <w:tcW w:w="3794" w:type="dxa"/>
            <w:shd w:val="clear" w:color="auto" w:fill="F2F2F2" w:themeFill="background1" w:themeFillShade="F2"/>
          </w:tcPr>
          <w:p w14:paraId="6A13E75E" w14:textId="77777777" w:rsidR="0086035E" w:rsidRPr="0086035E" w:rsidRDefault="0086035E" w:rsidP="0086035E">
            <w:pPr>
              <w:rPr>
                <w:b/>
              </w:rPr>
            </w:pPr>
            <w:r w:rsidRPr="0086035E">
              <w:rPr>
                <w:b/>
              </w:rPr>
              <w:t>Growth</w:t>
            </w:r>
          </w:p>
        </w:tc>
        <w:tc>
          <w:tcPr>
            <w:tcW w:w="1627" w:type="dxa"/>
            <w:shd w:val="clear" w:color="auto" w:fill="F2F2F2" w:themeFill="background1" w:themeFillShade="F2"/>
          </w:tcPr>
          <w:p w14:paraId="189FDE70" w14:textId="77777777" w:rsidR="0086035E" w:rsidRDefault="0086035E" w:rsidP="0086035E">
            <w:r>
              <w:t>-</w:t>
            </w:r>
          </w:p>
        </w:tc>
        <w:tc>
          <w:tcPr>
            <w:tcW w:w="1627" w:type="dxa"/>
            <w:shd w:val="clear" w:color="auto" w:fill="F2F2F2" w:themeFill="background1" w:themeFillShade="F2"/>
          </w:tcPr>
          <w:p w14:paraId="482527A2" w14:textId="77777777" w:rsidR="0086035E" w:rsidRDefault="0086035E" w:rsidP="0086035E">
            <w:r>
              <w:t>14%</w:t>
            </w:r>
          </w:p>
        </w:tc>
        <w:tc>
          <w:tcPr>
            <w:tcW w:w="1627" w:type="dxa"/>
            <w:shd w:val="clear" w:color="auto" w:fill="F2F2F2" w:themeFill="background1" w:themeFillShade="F2"/>
          </w:tcPr>
          <w:p w14:paraId="546E4D7D" w14:textId="77777777" w:rsidR="0086035E" w:rsidRDefault="0086035E" w:rsidP="0086035E">
            <w:r>
              <w:t>7%</w:t>
            </w:r>
          </w:p>
        </w:tc>
        <w:tc>
          <w:tcPr>
            <w:tcW w:w="1627" w:type="dxa"/>
            <w:shd w:val="clear" w:color="auto" w:fill="F2F2F2" w:themeFill="background1" w:themeFillShade="F2"/>
          </w:tcPr>
          <w:p w14:paraId="269F93DF" w14:textId="77777777" w:rsidR="0086035E" w:rsidRDefault="0086035E" w:rsidP="0086035E">
            <w:r>
              <w:t>5%</w:t>
            </w:r>
          </w:p>
        </w:tc>
      </w:tr>
    </w:tbl>
    <w:p w14:paraId="258182ED" w14:textId="3AA658C1" w:rsidR="0047677D" w:rsidRDefault="0047677D" w:rsidP="0047677D">
      <w:r>
        <w:t xml:space="preserve">Similar to grants of legal assistance, we have seen increases in duty lawyer services, in particular our summary crime and family violence related matters: </w:t>
      </w:r>
      <w:r w:rsidR="004A0601">
        <w:t xml:space="preserve">6,275 </w:t>
      </w:r>
      <w:r>
        <w:t xml:space="preserve">services </w:t>
      </w:r>
      <w:r w:rsidR="00687C56" w:rsidRPr="00687C56">
        <w:t>for respondents and applicants to family violence intervention orders</w:t>
      </w:r>
      <w:r>
        <w:t>, an increase of 2</w:t>
      </w:r>
      <w:r w:rsidR="004A0601">
        <w:t>3</w:t>
      </w:r>
      <w:r>
        <w:t>% from 2015–</w:t>
      </w:r>
      <w:r w:rsidR="004830F2">
        <w:t>16, 1,998</w:t>
      </w:r>
      <w:r>
        <w:t xml:space="preserve"> services for assault matters, an increase of 6% from 2015–16, and 1,184 services for criminal damage matters, an increase of 16% from 2015–16.</w:t>
      </w:r>
    </w:p>
    <w:p w14:paraId="7488820E" w14:textId="77777777" w:rsidR="0047677D" w:rsidRDefault="0047677D" w:rsidP="0086035E">
      <w:pPr>
        <w:pStyle w:val="Heading3"/>
      </w:pPr>
      <w:r>
        <w:t xml:space="preserve">Legal advice and minor assistance </w:t>
      </w:r>
    </w:p>
    <w:p w14:paraId="33F249A0" w14:textId="3C59613E" w:rsidR="0047677D" w:rsidRDefault="0047677D" w:rsidP="0047677D">
      <w:r>
        <w:t xml:space="preserve">Victoria Legal Aid lawyers provide legal advice and minor assistance to help people resolve their legal problems as early as possible and in some </w:t>
      </w:r>
      <w:r w:rsidR="004830F2">
        <w:t>circumstances,</w:t>
      </w:r>
      <w:r>
        <w:t xml:space="preserve"> avoid the need to go to court.</w:t>
      </w:r>
    </w:p>
    <w:p w14:paraId="70FF4063" w14:textId="77777777" w:rsidR="0047677D" w:rsidRDefault="0047677D" w:rsidP="0047677D">
      <w:r>
        <w:lastRenderedPageBreak/>
        <w:t>Legal advice is provided over the phone, face-to-face at our offices or via outreach services. Minor assistance is provided where there is a need for some ongoing assistance such as providing written advice, making phone calls and negotiating on a person’s behalf.</w:t>
      </w:r>
    </w:p>
    <w:tbl>
      <w:tblPr>
        <w:tblStyle w:val="TableGrid"/>
        <w:tblW w:w="0" w:type="auto"/>
        <w:tblLook w:val="04A0" w:firstRow="1" w:lastRow="0" w:firstColumn="1" w:lastColumn="0" w:noHBand="0" w:noVBand="1"/>
      </w:tblPr>
      <w:tblGrid>
        <w:gridCol w:w="3692"/>
        <w:gridCol w:w="1596"/>
        <w:gridCol w:w="1596"/>
        <w:gridCol w:w="1596"/>
        <w:gridCol w:w="1596"/>
      </w:tblGrid>
      <w:tr w:rsidR="0086035E" w:rsidRPr="00D37B73" w14:paraId="7096B839" w14:textId="77777777" w:rsidTr="00A40CEB">
        <w:trPr>
          <w:tblHeader/>
        </w:trPr>
        <w:tc>
          <w:tcPr>
            <w:tcW w:w="3794" w:type="dxa"/>
            <w:shd w:val="clear" w:color="auto" w:fill="D9D9D9" w:themeFill="background1" w:themeFillShade="D9"/>
          </w:tcPr>
          <w:p w14:paraId="0B55F7D3" w14:textId="77777777" w:rsidR="0086035E" w:rsidRPr="00D37B73" w:rsidRDefault="0086035E" w:rsidP="00A40CEB">
            <w:pPr>
              <w:rPr>
                <w:b/>
              </w:rPr>
            </w:pPr>
            <w:r>
              <w:rPr>
                <w:b/>
              </w:rPr>
              <w:t>Legal advice and minor assistance as at</w:t>
            </w:r>
          </w:p>
        </w:tc>
        <w:tc>
          <w:tcPr>
            <w:tcW w:w="1627" w:type="dxa"/>
            <w:shd w:val="clear" w:color="auto" w:fill="D9D9D9" w:themeFill="background1" w:themeFillShade="D9"/>
          </w:tcPr>
          <w:p w14:paraId="7C1115D1" w14:textId="77777777" w:rsidR="0086035E" w:rsidRPr="00D37B73" w:rsidRDefault="0086035E" w:rsidP="00A40CEB">
            <w:pPr>
              <w:rPr>
                <w:b/>
              </w:rPr>
            </w:pPr>
            <w:r>
              <w:rPr>
                <w:b/>
              </w:rPr>
              <w:t>31 Dec 2013</w:t>
            </w:r>
          </w:p>
        </w:tc>
        <w:tc>
          <w:tcPr>
            <w:tcW w:w="1627" w:type="dxa"/>
            <w:shd w:val="clear" w:color="auto" w:fill="D9D9D9" w:themeFill="background1" w:themeFillShade="D9"/>
          </w:tcPr>
          <w:p w14:paraId="367EEDA9" w14:textId="77777777" w:rsidR="0086035E" w:rsidRPr="00D37B73" w:rsidRDefault="0086035E" w:rsidP="00A40CEB">
            <w:pPr>
              <w:rPr>
                <w:b/>
              </w:rPr>
            </w:pPr>
            <w:r>
              <w:rPr>
                <w:b/>
              </w:rPr>
              <w:t>31 Dec 2014</w:t>
            </w:r>
          </w:p>
        </w:tc>
        <w:tc>
          <w:tcPr>
            <w:tcW w:w="1627" w:type="dxa"/>
            <w:shd w:val="clear" w:color="auto" w:fill="D9D9D9" w:themeFill="background1" w:themeFillShade="D9"/>
          </w:tcPr>
          <w:p w14:paraId="3E703440" w14:textId="77777777" w:rsidR="0086035E" w:rsidRPr="00D37B73" w:rsidRDefault="0086035E" w:rsidP="00A40CEB">
            <w:pPr>
              <w:rPr>
                <w:b/>
              </w:rPr>
            </w:pPr>
            <w:r>
              <w:rPr>
                <w:b/>
              </w:rPr>
              <w:t>31 Dec 2015</w:t>
            </w:r>
          </w:p>
        </w:tc>
        <w:tc>
          <w:tcPr>
            <w:tcW w:w="1627" w:type="dxa"/>
            <w:shd w:val="clear" w:color="auto" w:fill="D9D9D9" w:themeFill="background1" w:themeFillShade="D9"/>
          </w:tcPr>
          <w:p w14:paraId="71915C81" w14:textId="77777777" w:rsidR="0086035E" w:rsidRPr="00D37B73" w:rsidRDefault="0086035E" w:rsidP="00A40CEB">
            <w:pPr>
              <w:rPr>
                <w:b/>
              </w:rPr>
            </w:pPr>
            <w:r>
              <w:rPr>
                <w:b/>
              </w:rPr>
              <w:t>31 Dec 2016</w:t>
            </w:r>
          </w:p>
        </w:tc>
      </w:tr>
      <w:tr w:rsidR="0086035E" w14:paraId="14B53AF5" w14:textId="77777777" w:rsidTr="0086035E">
        <w:tc>
          <w:tcPr>
            <w:tcW w:w="3794" w:type="dxa"/>
            <w:tcBorders>
              <w:bottom w:val="single" w:sz="4" w:space="0" w:color="auto"/>
            </w:tcBorders>
          </w:tcPr>
          <w:p w14:paraId="61264A2E" w14:textId="77777777" w:rsidR="0086035E" w:rsidRPr="00D37B73" w:rsidRDefault="0086035E" w:rsidP="00A40CEB">
            <w:pPr>
              <w:rPr>
                <w:b/>
              </w:rPr>
            </w:pPr>
            <w:r>
              <w:t>Legal advice and minor assistance</w:t>
            </w:r>
          </w:p>
        </w:tc>
        <w:tc>
          <w:tcPr>
            <w:tcW w:w="1627" w:type="dxa"/>
            <w:tcBorders>
              <w:bottom w:val="single" w:sz="4" w:space="0" w:color="auto"/>
            </w:tcBorders>
          </w:tcPr>
          <w:p w14:paraId="14F8C112" w14:textId="77777777" w:rsidR="0086035E" w:rsidRDefault="0086035E" w:rsidP="00A40CEB">
            <w:r>
              <w:t>22,675</w:t>
            </w:r>
          </w:p>
        </w:tc>
        <w:tc>
          <w:tcPr>
            <w:tcW w:w="1627" w:type="dxa"/>
            <w:tcBorders>
              <w:bottom w:val="single" w:sz="4" w:space="0" w:color="auto"/>
            </w:tcBorders>
          </w:tcPr>
          <w:p w14:paraId="26139AC5" w14:textId="77777777" w:rsidR="0086035E" w:rsidRDefault="0086035E" w:rsidP="00A40CEB">
            <w:r>
              <w:t>25,497</w:t>
            </w:r>
          </w:p>
        </w:tc>
        <w:tc>
          <w:tcPr>
            <w:tcW w:w="1627" w:type="dxa"/>
            <w:tcBorders>
              <w:bottom w:val="single" w:sz="4" w:space="0" w:color="auto"/>
            </w:tcBorders>
          </w:tcPr>
          <w:p w14:paraId="59253921" w14:textId="77777777" w:rsidR="0086035E" w:rsidRDefault="0086035E" w:rsidP="00A40CEB">
            <w:r>
              <w:t>20,703</w:t>
            </w:r>
          </w:p>
        </w:tc>
        <w:tc>
          <w:tcPr>
            <w:tcW w:w="1627" w:type="dxa"/>
            <w:tcBorders>
              <w:bottom w:val="single" w:sz="4" w:space="0" w:color="auto"/>
            </w:tcBorders>
          </w:tcPr>
          <w:p w14:paraId="040D7E5C" w14:textId="77777777" w:rsidR="0086035E" w:rsidRDefault="0086035E" w:rsidP="00A40CEB">
            <w:r>
              <w:t>21,148</w:t>
            </w:r>
          </w:p>
        </w:tc>
      </w:tr>
      <w:tr w:rsidR="0086035E" w14:paraId="0AC7E056" w14:textId="77777777" w:rsidTr="0086035E">
        <w:tc>
          <w:tcPr>
            <w:tcW w:w="3794" w:type="dxa"/>
            <w:shd w:val="clear" w:color="auto" w:fill="F2F2F2" w:themeFill="background1" w:themeFillShade="F2"/>
          </w:tcPr>
          <w:p w14:paraId="07A390F0" w14:textId="77777777" w:rsidR="0086035E" w:rsidRPr="0086035E" w:rsidRDefault="0086035E" w:rsidP="00A40CEB">
            <w:pPr>
              <w:rPr>
                <w:b/>
              </w:rPr>
            </w:pPr>
            <w:r w:rsidRPr="0086035E">
              <w:rPr>
                <w:b/>
              </w:rPr>
              <w:t>Growth</w:t>
            </w:r>
          </w:p>
        </w:tc>
        <w:tc>
          <w:tcPr>
            <w:tcW w:w="1627" w:type="dxa"/>
            <w:shd w:val="clear" w:color="auto" w:fill="F2F2F2" w:themeFill="background1" w:themeFillShade="F2"/>
          </w:tcPr>
          <w:p w14:paraId="28FC090D" w14:textId="77777777" w:rsidR="0086035E" w:rsidRDefault="0086035E" w:rsidP="00A40CEB">
            <w:r>
              <w:t>-</w:t>
            </w:r>
          </w:p>
        </w:tc>
        <w:tc>
          <w:tcPr>
            <w:tcW w:w="1627" w:type="dxa"/>
            <w:shd w:val="clear" w:color="auto" w:fill="F2F2F2" w:themeFill="background1" w:themeFillShade="F2"/>
          </w:tcPr>
          <w:p w14:paraId="67F40499" w14:textId="77777777" w:rsidR="0086035E" w:rsidRDefault="0086035E" w:rsidP="00A40CEB">
            <w:r>
              <w:t>12%</w:t>
            </w:r>
          </w:p>
        </w:tc>
        <w:tc>
          <w:tcPr>
            <w:tcW w:w="1627" w:type="dxa"/>
            <w:shd w:val="clear" w:color="auto" w:fill="F2F2F2" w:themeFill="background1" w:themeFillShade="F2"/>
          </w:tcPr>
          <w:p w14:paraId="1761495C" w14:textId="77777777" w:rsidR="0086035E" w:rsidRDefault="0086035E" w:rsidP="00A40CEB">
            <w:r>
              <w:t>-19%</w:t>
            </w:r>
          </w:p>
        </w:tc>
        <w:tc>
          <w:tcPr>
            <w:tcW w:w="1627" w:type="dxa"/>
            <w:shd w:val="clear" w:color="auto" w:fill="F2F2F2" w:themeFill="background1" w:themeFillShade="F2"/>
          </w:tcPr>
          <w:p w14:paraId="0A4817DB" w14:textId="77777777" w:rsidR="0086035E" w:rsidRDefault="0086035E" w:rsidP="00A40CEB">
            <w:r>
              <w:t>2%</w:t>
            </w:r>
          </w:p>
        </w:tc>
      </w:tr>
    </w:tbl>
    <w:p w14:paraId="30F60A6D" w14:textId="34837AC9" w:rsidR="0047677D" w:rsidRDefault="0047677D" w:rsidP="0047677D">
      <w:r>
        <w:t xml:space="preserve">While there has been a targeted effort over the last few years to </w:t>
      </w:r>
      <w:r w:rsidRPr="00920686">
        <w:t>decrease minor work files</w:t>
      </w:r>
      <w:r w:rsidR="00920686" w:rsidRPr="00332DB5">
        <w:t xml:space="preserve"> to</w:t>
      </w:r>
      <w:r w:rsidR="00920686">
        <w:t xml:space="preserve"> ensure we accurately capture work performed as a grant of aid</w:t>
      </w:r>
      <w:r>
        <w:t xml:space="preserve">, there are signs of this decrease slowing with year to date totals higher than in previous years, predominantly in criminal law. Minor work files continue to make up less than 5 per cent of the total work by Victoria Legal Aid lawyers. </w:t>
      </w:r>
    </w:p>
    <w:p w14:paraId="69FAC080" w14:textId="0A4AE5EA" w:rsidR="0047677D" w:rsidRDefault="0047677D" w:rsidP="0086035E">
      <w:pPr>
        <w:pStyle w:val="Heading3"/>
      </w:pPr>
      <w:r>
        <w:t xml:space="preserve">Legal </w:t>
      </w:r>
      <w:r w:rsidR="00375C12">
        <w:t>H</w:t>
      </w:r>
      <w:r>
        <w:t xml:space="preserve">elp telephone service </w:t>
      </w:r>
    </w:p>
    <w:p w14:paraId="53B7E496" w14:textId="7E05B4F2" w:rsidR="0047677D" w:rsidRDefault="0047677D" w:rsidP="0047677D">
      <w:r>
        <w:t>Our free Legal Help telephone service is a major access and triage point for legal aid services. The top five matters dealt with by our Legal Help telephone service between 1 July 2016 to 31 December 2016 were: Spending time with children (4,331), Property settlement</w:t>
      </w:r>
      <w:r w:rsidR="00375C12">
        <w:t xml:space="preserve"> in family law matters</w:t>
      </w:r>
      <w:r>
        <w:t xml:space="preserve"> (3,354), Infringements (3,193), Family violence (3,193), the law in general (2,285).</w:t>
      </w:r>
    </w:p>
    <w:tbl>
      <w:tblPr>
        <w:tblStyle w:val="TableGrid"/>
        <w:tblW w:w="0" w:type="auto"/>
        <w:tblLook w:val="04A0" w:firstRow="1" w:lastRow="0" w:firstColumn="1" w:lastColumn="0" w:noHBand="0" w:noVBand="1"/>
      </w:tblPr>
      <w:tblGrid>
        <w:gridCol w:w="3688"/>
        <w:gridCol w:w="1597"/>
        <w:gridCol w:w="1597"/>
        <w:gridCol w:w="1597"/>
        <w:gridCol w:w="1597"/>
      </w:tblGrid>
      <w:tr w:rsidR="0086035E" w:rsidRPr="00D37B73" w14:paraId="564E42F9" w14:textId="77777777" w:rsidTr="00A40CEB">
        <w:trPr>
          <w:tblHeader/>
        </w:trPr>
        <w:tc>
          <w:tcPr>
            <w:tcW w:w="3794" w:type="dxa"/>
            <w:shd w:val="clear" w:color="auto" w:fill="D9D9D9" w:themeFill="background1" w:themeFillShade="D9"/>
          </w:tcPr>
          <w:p w14:paraId="50C93285" w14:textId="77777777" w:rsidR="0086035E" w:rsidRPr="00D37B73" w:rsidRDefault="0086035E" w:rsidP="00A40CEB">
            <w:pPr>
              <w:rPr>
                <w:b/>
              </w:rPr>
            </w:pPr>
            <w:r>
              <w:rPr>
                <w:b/>
              </w:rPr>
              <w:t>Legal Help telephone service as at</w:t>
            </w:r>
          </w:p>
        </w:tc>
        <w:tc>
          <w:tcPr>
            <w:tcW w:w="1627" w:type="dxa"/>
            <w:shd w:val="clear" w:color="auto" w:fill="D9D9D9" w:themeFill="background1" w:themeFillShade="D9"/>
          </w:tcPr>
          <w:p w14:paraId="51A404F6" w14:textId="77777777" w:rsidR="0086035E" w:rsidRPr="00D37B73" w:rsidRDefault="0086035E" w:rsidP="00A40CEB">
            <w:pPr>
              <w:rPr>
                <w:b/>
              </w:rPr>
            </w:pPr>
            <w:r>
              <w:rPr>
                <w:b/>
              </w:rPr>
              <w:t>31 Dec 2013</w:t>
            </w:r>
          </w:p>
        </w:tc>
        <w:tc>
          <w:tcPr>
            <w:tcW w:w="1627" w:type="dxa"/>
            <w:shd w:val="clear" w:color="auto" w:fill="D9D9D9" w:themeFill="background1" w:themeFillShade="D9"/>
          </w:tcPr>
          <w:p w14:paraId="1C5F39BF" w14:textId="77777777" w:rsidR="0086035E" w:rsidRPr="00D37B73" w:rsidRDefault="0086035E" w:rsidP="00A40CEB">
            <w:pPr>
              <w:rPr>
                <w:b/>
              </w:rPr>
            </w:pPr>
            <w:r>
              <w:rPr>
                <w:b/>
              </w:rPr>
              <w:t>31 Dec 2014</w:t>
            </w:r>
          </w:p>
        </w:tc>
        <w:tc>
          <w:tcPr>
            <w:tcW w:w="1627" w:type="dxa"/>
            <w:shd w:val="clear" w:color="auto" w:fill="D9D9D9" w:themeFill="background1" w:themeFillShade="D9"/>
          </w:tcPr>
          <w:p w14:paraId="0C3708D7" w14:textId="77777777" w:rsidR="0086035E" w:rsidRPr="00D37B73" w:rsidRDefault="0086035E" w:rsidP="00A40CEB">
            <w:pPr>
              <w:rPr>
                <w:b/>
              </w:rPr>
            </w:pPr>
            <w:r>
              <w:rPr>
                <w:b/>
              </w:rPr>
              <w:t>31 Dec 2015</w:t>
            </w:r>
          </w:p>
        </w:tc>
        <w:tc>
          <w:tcPr>
            <w:tcW w:w="1627" w:type="dxa"/>
            <w:shd w:val="clear" w:color="auto" w:fill="D9D9D9" w:themeFill="background1" w:themeFillShade="D9"/>
          </w:tcPr>
          <w:p w14:paraId="365AD947" w14:textId="77777777" w:rsidR="0086035E" w:rsidRPr="00D37B73" w:rsidRDefault="0086035E" w:rsidP="00A40CEB">
            <w:pPr>
              <w:rPr>
                <w:b/>
              </w:rPr>
            </w:pPr>
            <w:r>
              <w:rPr>
                <w:b/>
              </w:rPr>
              <w:t>31 Dec 2016</w:t>
            </w:r>
          </w:p>
        </w:tc>
      </w:tr>
      <w:tr w:rsidR="0086035E" w14:paraId="46D5D9C9" w14:textId="77777777" w:rsidTr="0086035E">
        <w:tc>
          <w:tcPr>
            <w:tcW w:w="3794" w:type="dxa"/>
            <w:tcBorders>
              <w:bottom w:val="single" w:sz="4" w:space="0" w:color="auto"/>
            </w:tcBorders>
          </w:tcPr>
          <w:p w14:paraId="136C1D8E" w14:textId="77777777" w:rsidR="0086035E" w:rsidRPr="00D37B73" w:rsidRDefault="0086035E" w:rsidP="00A40CEB">
            <w:pPr>
              <w:rPr>
                <w:b/>
              </w:rPr>
            </w:pPr>
            <w:r>
              <w:t>Calls to the service</w:t>
            </w:r>
          </w:p>
        </w:tc>
        <w:tc>
          <w:tcPr>
            <w:tcW w:w="1627" w:type="dxa"/>
            <w:tcBorders>
              <w:bottom w:val="single" w:sz="4" w:space="0" w:color="auto"/>
            </w:tcBorders>
          </w:tcPr>
          <w:p w14:paraId="35B694EC" w14:textId="77777777" w:rsidR="0086035E" w:rsidRDefault="0086035E" w:rsidP="00A40CEB">
            <w:r>
              <w:t>77,011</w:t>
            </w:r>
          </w:p>
        </w:tc>
        <w:tc>
          <w:tcPr>
            <w:tcW w:w="1627" w:type="dxa"/>
            <w:tcBorders>
              <w:bottom w:val="single" w:sz="4" w:space="0" w:color="auto"/>
            </w:tcBorders>
          </w:tcPr>
          <w:p w14:paraId="387BEE63" w14:textId="77777777" w:rsidR="0086035E" w:rsidRDefault="0086035E" w:rsidP="00A40CEB">
            <w:r>
              <w:t>79,095</w:t>
            </w:r>
          </w:p>
        </w:tc>
        <w:tc>
          <w:tcPr>
            <w:tcW w:w="1627" w:type="dxa"/>
            <w:tcBorders>
              <w:bottom w:val="single" w:sz="4" w:space="0" w:color="auto"/>
            </w:tcBorders>
          </w:tcPr>
          <w:p w14:paraId="05751ED7" w14:textId="77777777" w:rsidR="0086035E" w:rsidRDefault="0086035E" w:rsidP="00A40CEB">
            <w:r>
              <w:t>89,797</w:t>
            </w:r>
          </w:p>
        </w:tc>
        <w:tc>
          <w:tcPr>
            <w:tcW w:w="1627" w:type="dxa"/>
            <w:tcBorders>
              <w:bottom w:val="single" w:sz="4" w:space="0" w:color="auto"/>
            </w:tcBorders>
          </w:tcPr>
          <w:p w14:paraId="792CCD88" w14:textId="77777777" w:rsidR="0086035E" w:rsidRDefault="0086035E" w:rsidP="00A40CEB">
            <w:r>
              <w:t>89,592</w:t>
            </w:r>
          </w:p>
        </w:tc>
      </w:tr>
      <w:tr w:rsidR="0086035E" w14:paraId="717BDFDA" w14:textId="77777777" w:rsidTr="0086035E">
        <w:tc>
          <w:tcPr>
            <w:tcW w:w="3794" w:type="dxa"/>
            <w:shd w:val="clear" w:color="auto" w:fill="F2F2F2" w:themeFill="background1" w:themeFillShade="F2"/>
          </w:tcPr>
          <w:p w14:paraId="1510C5C5" w14:textId="77777777" w:rsidR="0086035E" w:rsidRPr="0086035E" w:rsidRDefault="0086035E" w:rsidP="00A40CEB">
            <w:pPr>
              <w:rPr>
                <w:b/>
              </w:rPr>
            </w:pPr>
            <w:r w:rsidRPr="0086035E">
              <w:rPr>
                <w:b/>
              </w:rPr>
              <w:t>Growth</w:t>
            </w:r>
          </w:p>
        </w:tc>
        <w:tc>
          <w:tcPr>
            <w:tcW w:w="1627" w:type="dxa"/>
            <w:shd w:val="clear" w:color="auto" w:fill="F2F2F2" w:themeFill="background1" w:themeFillShade="F2"/>
          </w:tcPr>
          <w:p w14:paraId="3F7FD090" w14:textId="77777777" w:rsidR="0086035E" w:rsidRDefault="0086035E" w:rsidP="00A40CEB">
            <w:r>
              <w:t>-</w:t>
            </w:r>
          </w:p>
        </w:tc>
        <w:tc>
          <w:tcPr>
            <w:tcW w:w="1627" w:type="dxa"/>
            <w:shd w:val="clear" w:color="auto" w:fill="F2F2F2" w:themeFill="background1" w:themeFillShade="F2"/>
          </w:tcPr>
          <w:p w14:paraId="2570EE6B" w14:textId="77777777" w:rsidR="0086035E" w:rsidRDefault="0086035E" w:rsidP="00A40CEB">
            <w:r>
              <w:t>3%</w:t>
            </w:r>
          </w:p>
        </w:tc>
        <w:tc>
          <w:tcPr>
            <w:tcW w:w="1627" w:type="dxa"/>
            <w:shd w:val="clear" w:color="auto" w:fill="F2F2F2" w:themeFill="background1" w:themeFillShade="F2"/>
          </w:tcPr>
          <w:p w14:paraId="78774AFF" w14:textId="77777777" w:rsidR="0086035E" w:rsidRDefault="0086035E" w:rsidP="00A40CEB">
            <w:r>
              <w:t>14%</w:t>
            </w:r>
          </w:p>
        </w:tc>
        <w:tc>
          <w:tcPr>
            <w:tcW w:w="1627" w:type="dxa"/>
            <w:shd w:val="clear" w:color="auto" w:fill="F2F2F2" w:themeFill="background1" w:themeFillShade="F2"/>
          </w:tcPr>
          <w:p w14:paraId="13850775" w14:textId="77777777" w:rsidR="0086035E" w:rsidRDefault="0086035E" w:rsidP="00A40CEB">
            <w:r>
              <w:t>0%</w:t>
            </w:r>
          </w:p>
        </w:tc>
      </w:tr>
      <w:tr w:rsidR="0086035E" w14:paraId="632748C6" w14:textId="77777777" w:rsidTr="0086035E">
        <w:tc>
          <w:tcPr>
            <w:tcW w:w="3794" w:type="dxa"/>
            <w:tcBorders>
              <w:bottom w:val="single" w:sz="4" w:space="0" w:color="auto"/>
            </w:tcBorders>
          </w:tcPr>
          <w:p w14:paraId="3847B1EC" w14:textId="77777777" w:rsidR="0086035E" w:rsidRPr="0086035E" w:rsidRDefault="0086035E" w:rsidP="00A40CEB">
            <w:pPr>
              <w:rPr>
                <w:b/>
              </w:rPr>
            </w:pPr>
            <w:r>
              <w:t>Calls answered</w:t>
            </w:r>
          </w:p>
        </w:tc>
        <w:tc>
          <w:tcPr>
            <w:tcW w:w="1627" w:type="dxa"/>
            <w:tcBorders>
              <w:bottom w:val="single" w:sz="4" w:space="0" w:color="auto"/>
            </w:tcBorders>
          </w:tcPr>
          <w:p w14:paraId="31816ACD" w14:textId="77777777" w:rsidR="0086035E" w:rsidRDefault="0086035E" w:rsidP="00A40CEB">
            <w:r>
              <w:t>49,111</w:t>
            </w:r>
          </w:p>
        </w:tc>
        <w:tc>
          <w:tcPr>
            <w:tcW w:w="1627" w:type="dxa"/>
            <w:tcBorders>
              <w:bottom w:val="single" w:sz="4" w:space="0" w:color="auto"/>
            </w:tcBorders>
          </w:tcPr>
          <w:p w14:paraId="4CEAF990" w14:textId="77777777" w:rsidR="0086035E" w:rsidRDefault="0086035E" w:rsidP="00A40CEB">
            <w:r>
              <w:t>54,604</w:t>
            </w:r>
          </w:p>
        </w:tc>
        <w:tc>
          <w:tcPr>
            <w:tcW w:w="1627" w:type="dxa"/>
            <w:tcBorders>
              <w:bottom w:val="single" w:sz="4" w:space="0" w:color="auto"/>
            </w:tcBorders>
          </w:tcPr>
          <w:p w14:paraId="6D74E0E7" w14:textId="77777777" w:rsidR="0086035E" w:rsidRDefault="0086035E" w:rsidP="00A40CEB">
            <w:r>
              <w:t>55,911</w:t>
            </w:r>
          </w:p>
        </w:tc>
        <w:tc>
          <w:tcPr>
            <w:tcW w:w="1627" w:type="dxa"/>
            <w:tcBorders>
              <w:bottom w:val="single" w:sz="4" w:space="0" w:color="auto"/>
            </w:tcBorders>
          </w:tcPr>
          <w:p w14:paraId="37E4E4B8" w14:textId="77777777" w:rsidR="0086035E" w:rsidRDefault="0086035E" w:rsidP="00A40CEB">
            <w:r>
              <w:t>59,655</w:t>
            </w:r>
          </w:p>
        </w:tc>
      </w:tr>
      <w:tr w:rsidR="0086035E" w14:paraId="3E2EEA4B" w14:textId="77777777" w:rsidTr="0086035E">
        <w:tc>
          <w:tcPr>
            <w:tcW w:w="3794" w:type="dxa"/>
            <w:shd w:val="clear" w:color="auto" w:fill="F2F2F2" w:themeFill="background1" w:themeFillShade="F2"/>
          </w:tcPr>
          <w:p w14:paraId="751FBD47" w14:textId="77777777" w:rsidR="0086035E" w:rsidRPr="0086035E" w:rsidRDefault="0086035E" w:rsidP="00A40CEB">
            <w:pPr>
              <w:rPr>
                <w:b/>
              </w:rPr>
            </w:pPr>
            <w:r w:rsidRPr="0086035E">
              <w:rPr>
                <w:b/>
              </w:rPr>
              <w:t>Growth</w:t>
            </w:r>
          </w:p>
        </w:tc>
        <w:tc>
          <w:tcPr>
            <w:tcW w:w="1627" w:type="dxa"/>
            <w:shd w:val="clear" w:color="auto" w:fill="F2F2F2" w:themeFill="background1" w:themeFillShade="F2"/>
          </w:tcPr>
          <w:p w14:paraId="5DAD3577" w14:textId="77777777" w:rsidR="0086035E" w:rsidRDefault="0086035E" w:rsidP="00A40CEB">
            <w:r>
              <w:t>-</w:t>
            </w:r>
          </w:p>
        </w:tc>
        <w:tc>
          <w:tcPr>
            <w:tcW w:w="1627" w:type="dxa"/>
            <w:shd w:val="clear" w:color="auto" w:fill="F2F2F2" w:themeFill="background1" w:themeFillShade="F2"/>
          </w:tcPr>
          <w:p w14:paraId="58E90CFE" w14:textId="77777777" w:rsidR="0086035E" w:rsidRDefault="0086035E" w:rsidP="00A40CEB">
            <w:r>
              <w:t>11%</w:t>
            </w:r>
          </w:p>
        </w:tc>
        <w:tc>
          <w:tcPr>
            <w:tcW w:w="1627" w:type="dxa"/>
            <w:shd w:val="clear" w:color="auto" w:fill="F2F2F2" w:themeFill="background1" w:themeFillShade="F2"/>
          </w:tcPr>
          <w:p w14:paraId="7FA4424A" w14:textId="77777777" w:rsidR="0086035E" w:rsidRDefault="0086035E" w:rsidP="00A40CEB">
            <w:r>
              <w:t>2%</w:t>
            </w:r>
          </w:p>
        </w:tc>
        <w:tc>
          <w:tcPr>
            <w:tcW w:w="1627" w:type="dxa"/>
            <w:shd w:val="clear" w:color="auto" w:fill="F2F2F2" w:themeFill="background1" w:themeFillShade="F2"/>
          </w:tcPr>
          <w:p w14:paraId="5B8FFECD" w14:textId="77777777" w:rsidR="0086035E" w:rsidRDefault="0086035E" w:rsidP="00A40CEB">
            <w:r>
              <w:t>7%</w:t>
            </w:r>
          </w:p>
        </w:tc>
      </w:tr>
      <w:tr w:rsidR="0086035E" w14:paraId="532B4D20" w14:textId="77777777" w:rsidTr="00A40CEB">
        <w:tc>
          <w:tcPr>
            <w:tcW w:w="3794" w:type="dxa"/>
          </w:tcPr>
          <w:p w14:paraId="28DF27B3" w14:textId="77777777" w:rsidR="0086035E" w:rsidRPr="0086035E" w:rsidRDefault="0086035E" w:rsidP="00A40CEB">
            <w:pPr>
              <w:rPr>
                <w:b/>
              </w:rPr>
            </w:pPr>
            <w:r>
              <w:t>Answer rate</w:t>
            </w:r>
          </w:p>
        </w:tc>
        <w:tc>
          <w:tcPr>
            <w:tcW w:w="1627" w:type="dxa"/>
          </w:tcPr>
          <w:p w14:paraId="1402B973" w14:textId="77777777" w:rsidR="0086035E" w:rsidRDefault="0086035E" w:rsidP="00A40CEB">
            <w:r>
              <w:t>57%</w:t>
            </w:r>
          </w:p>
        </w:tc>
        <w:tc>
          <w:tcPr>
            <w:tcW w:w="1627" w:type="dxa"/>
          </w:tcPr>
          <w:p w14:paraId="479125D4" w14:textId="77777777" w:rsidR="0086035E" w:rsidRDefault="0086035E" w:rsidP="00A40CEB">
            <w:r>
              <w:t>70%</w:t>
            </w:r>
          </w:p>
        </w:tc>
        <w:tc>
          <w:tcPr>
            <w:tcW w:w="1627" w:type="dxa"/>
          </w:tcPr>
          <w:p w14:paraId="26650092" w14:textId="77777777" w:rsidR="0086035E" w:rsidRDefault="0086035E" w:rsidP="00A40CEB">
            <w:r>
              <w:t>62%</w:t>
            </w:r>
          </w:p>
        </w:tc>
        <w:tc>
          <w:tcPr>
            <w:tcW w:w="1627" w:type="dxa"/>
          </w:tcPr>
          <w:p w14:paraId="0BD3B09E" w14:textId="77777777" w:rsidR="0086035E" w:rsidRDefault="0086035E" w:rsidP="00A40CEB">
            <w:r>
              <w:t>67%</w:t>
            </w:r>
          </w:p>
        </w:tc>
      </w:tr>
      <w:tr w:rsidR="0086035E" w14:paraId="77166665" w14:textId="77777777" w:rsidTr="00A40CEB">
        <w:tc>
          <w:tcPr>
            <w:tcW w:w="3794" w:type="dxa"/>
          </w:tcPr>
          <w:p w14:paraId="3F3AB983" w14:textId="77777777" w:rsidR="0086035E" w:rsidRPr="0086035E" w:rsidRDefault="0086035E" w:rsidP="00A40CEB">
            <w:pPr>
              <w:rPr>
                <w:b/>
              </w:rPr>
            </w:pPr>
            <w:r>
              <w:t>Average call duration</w:t>
            </w:r>
          </w:p>
        </w:tc>
        <w:tc>
          <w:tcPr>
            <w:tcW w:w="1627" w:type="dxa"/>
          </w:tcPr>
          <w:p w14:paraId="4AEBBE37" w14:textId="77777777" w:rsidR="0086035E" w:rsidRDefault="0086035E" w:rsidP="00A40CEB">
            <w:r>
              <w:t>7m 51s</w:t>
            </w:r>
          </w:p>
        </w:tc>
        <w:tc>
          <w:tcPr>
            <w:tcW w:w="1627" w:type="dxa"/>
          </w:tcPr>
          <w:p w14:paraId="50ED25D6" w14:textId="77777777" w:rsidR="0086035E" w:rsidRDefault="0086035E" w:rsidP="00A40CEB">
            <w:r>
              <w:t>7m 38s</w:t>
            </w:r>
          </w:p>
        </w:tc>
        <w:tc>
          <w:tcPr>
            <w:tcW w:w="1627" w:type="dxa"/>
          </w:tcPr>
          <w:p w14:paraId="34D16520" w14:textId="77777777" w:rsidR="0086035E" w:rsidRDefault="0086035E" w:rsidP="00A40CEB">
            <w:r>
              <w:t>6m 49s</w:t>
            </w:r>
          </w:p>
        </w:tc>
        <w:tc>
          <w:tcPr>
            <w:tcW w:w="1627" w:type="dxa"/>
          </w:tcPr>
          <w:p w14:paraId="6021430E" w14:textId="77777777" w:rsidR="0086035E" w:rsidRDefault="0086035E" w:rsidP="00A40CEB">
            <w:r>
              <w:t>9m 15s</w:t>
            </w:r>
          </w:p>
        </w:tc>
      </w:tr>
    </w:tbl>
    <w:p w14:paraId="316329A0" w14:textId="1F1401A9" w:rsidR="0047677D" w:rsidRDefault="0047677D" w:rsidP="0047677D">
      <w:r>
        <w:t xml:space="preserve">Our </w:t>
      </w:r>
      <w:proofErr w:type="spellStart"/>
      <w:r>
        <w:t>callback</w:t>
      </w:r>
      <w:proofErr w:type="spellEnd"/>
      <w:r>
        <w:t xml:space="preserve"> facility increases the accessibility of our service by making it possible for clients to request that we return their call, meaning that they don’t need to wait in the queue o</w:t>
      </w:r>
      <w:r w:rsidR="0086035E">
        <w:t>r try us again at another time.</w:t>
      </w:r>
    </w:p>
    <w:p w14:paraId="4440BF8F" w14:textId="206DCCE2" w:rsidR="0047677D" w:rsidRDefault="0047677D" w:rsidP="0047677D">
      <w:r>
        <w:t xml:space="preserve">The number of information services we provide are lower than projected, down 6%, due to an increase in average call duration and some callers not answering our call-backs to them. We are pleased to see an improvement in our call answer rates following the appointment of new staff and the implementation of new </w:t>
      </w:r>
      <w:r w:rsidR="00FE2E82">
        <w:t>tele</w:t>
      </w:r>
      <w:r>
        <w:t>phon</w:t>
      </w:r>
      <w:r w:rsidR="00FE2E82">
        <w:t>y</w:t>
      </w:r>
      <w:r>
        <w:t xml:space="preserve"> software.  </w:t>
      </w:r>
    </w:p>
    <w:p w14:paraId="13D07E7F" w14:textId="4C043A2B" w:rsidR="002D0843" w:rsidRDefault="002D0843" w:rsidP="002D0843">
      <w:pPr>
        <w:pStyle w:val="Heading2"/>
      </w:pPr>
      <w:r>
        <w:t>Other Victoria Legal Aid headlines for 2016–17</w:t>
      </w:r>
    </w:p>
    <w:p w14:paraId="1E68C885" w14:textId="77777777" w:rsidR="002D0843" w:rsidRDefault="002D0843" w:rsidP="002D0843">
      <w:pPr>
        <w:pStyle w:val="ListBullet"/>
      </w:pPr>
      <w:r w:rsidRPr="0047677D">
        <w:rPr>
          <w:b/>
        </w:rPr>
        <w:t>September</w:t>
      </w:r>
      <w:r>
        <w:t xml:space="preserve"> – Victoria Legal Aid’s Independent Mental Health Advocacy team celebrated its first year providing services in 34 mental health outposts across Victoria.</w:t>
      </w:r>
    </w:p>
    <w:p w14:paraId="34E14898" w14:textId="0A813DC0" w:rsidR="002D0843" w:rsidRDefault="002D0843" w:rsidP="002D0843">
      <w:pPr>
        <w:pStyle w:val="ListBullet"/>
      </w:pPr>
      <w:r w:rsidRPr="0047677D">
        <w:rPr>
          <w:b/>
        </w:rPr>
        <w:t>October</w:t>
      </w:r>
      <w:r>
        <w:t xml:space="preserve"> – The Victorian Access to Justice Review </w:t>
      </w:r>
      <w:r w:rsidR="00687C56">
        <w:t xml:space="preserve">report was </w:t>
      </w:r>
      <w:r>
        <w:t>released recognising the importance of</w:t>
      </w:r>
      <w:r w:rsidR="00687C56">
        <w:t xml:space="preserve"> a</w:t>
      </w:r>
      <w:r>
        <w:t xml:space="preserve"> fair and accessible justice system and the need for more investment from both State and Commonwealth governments to overcome ‘stretched’ services. </w:t>
      </w:r>
    </w:p>
    <w:p w14:paraId="41AAC47D" w14:textId="1AA7CA3E" w:rsidR="002D0843" w:rsidRDefault="002D0843" w:rsidP="00687C56">
      <w:pPr>
        <w:pStyle w:val="ListBullet"/>
      </w:pPr>
      <w:r w:rsidRPr="0047677D">
        <w:rPr>
          <w:b/>
        </w:rPr>
        <w:lastRenderedPageBreak/>
        <w:t>October</w:t>
      </w:r>
      <w:r>
        <w:t xml:space="preserve"> – </w:t>
      </w:r>
      <w:r w:rsidR="00687C56" w:rsidRPr="00687C56">
        <w:t xml:space="preserve">Victoria Legal Aid </w:t>
      </w:r>
      <w:r w:rsidR="00687C56">
        <w:t>r</w:t>
      </w:r>
      <w:r>
        <w:t>eleased a consultation and options paper for our Child Protection Legal Aid Services Review to help inform options for improving legally aided child protection services.</w:t>
      </w:r>
    </w:p>
    <w:p w14:paraId="4F40BE02" w14:textId="77777777" w:rsidR="002D0843" w:rsidRDefault="002D0843" w:rsidP="002D0843">
      <w:pPr>
        <w:pStyle w:val="ListBullet"/>
      </w:pPr>
      <w:r w:rsidRPr="0047677D">
        <w:rPr>
          <w:b/>
        </w:rPr>
        <w:t>November</w:t>
      </w:r>
      <w:r>
        <w:t xml:space="preserve"> – Victoria Legal Aid, Peninsula Community Legal Centre and Hume Riverina Community Legal Service launched new pilots to provide a continuing family law service for parents first dealing with a family violence intervention order.</w:t>
      </w:r>
    </w:p>
    <w:p w14:paraId="01C64153" w14:textId="77777777" w:rsidR="002D0843" w:rsidRDefault="002D0843" w:rsidP="002D0843">
      <w:pPr>
        <w:pStyle w:val="ListBullet"/>
      </w:pPr>
      <w:r w:rsidRPr="0047677D">
        <w:rPr>
          <w:b/>
        </w:rPr>
        <w:t>December</w:t>
      </w:r>
      <w:r>
        <w:t xml:space="preserve"> – Launched a Health Justice Partnership with </w:t>
      </w:r>
      <w:proofErr w:type="spellStart"/>
      <w:r>
        <w:t>Sunraysia</w:t>
      </w:r>
      <w:proofErr w:type="spellEnd"/>
      <w:r>
        <w:t xml:space="preserve"> Community Health Service in the Mallee region.</w:t>
      </w:r>
    </w:p>
    <w:p w14:paraId="0301A207" w14:textId="77777777" w:rsidR="0047677D" w:rsidRDefault="0047677D" w:rsidP="0086035E">
      <w:pPr>
        <w:pStyle w:val="Heading2"/>
      </w:pPr>
      <w:r>
        <w:t>Financial summary</w:t>
      </w:r>
    </w:p>
    <w:p w14:paraId="6E02BB90" w14:textId="77777777" w:rsidR="00FE2E82" w:rsidRDefault="0047677D" w:rsidP="0047677D">
      <w:r>
        <w:t xml:space="preserve">For the first six months, we operated (as expected) with a $2.1 million deficit. </w:t>
      </w:r>
    </w:p>
    <w:p w14:paraId="70B1882F" w14:textId="79A9FEF0" w:rsidR="0047677D" w:rsidRDefault="0047677D" w:rsidP="0047677D">
      <w:r>
        <w:t xml:space="preserve">Case-related payments which include payments to private practitioners, barristers, medical experts and interpreters, as well as to third parties for services provided for cases run by Victoria Legal Aid lawyers, increased by $6 million or 17 per cent. This growth can be attributed to payments relating to criminal and family </w:t>
      </w:r>
      <w:r w:rsidR="00FE2E82">
        <w:t>and children</w:t>
      </w:r>
      <w:r w:rsidR="001A0DF1">
        <w:t>’s</w:t>
      </w:r>
      <w:r w:rsidR="00FE2E82">
        <w:t xml:space="preserve"> </w:t>
      </w:r>
      <w:r>
        <w:t>law, which is a direct result of the increased demand for grants of legal assistance.</w:t>
      </w:r>
    </w:p>
    <w:p w14:paraId="65C26245" w14:textId="77777777" w:rsidR="0047677D" w:rsidRDefault="00F97BE6" w:rsidP="00F97BE6">
      <w:pPr>
        <w:pStyle w:val="Heading3"/>
      </w:pPr>
      <w:r>
        <w:t>Revenue</w:t>
      </w:r>
    </w:p>
    <w:tbl>
      <w:tblPr>
        <w:tblStyle w:val="TableGrid"/>
        <w:tblW w:w="0" w:type="auto"/>
        <w:tblLook w:val="04A0" w:firstRow="1" w:lastRow="0" w:firstColumn="1" w:lastColumn="0" w:noHBand="0" w:noVBand="1"/>
      </w:tblPr>
      <w:tblGrid>
        <w:gridCol w:w="3964"/>
        <w:gridCol w:w="2037"/>
        <w:gridCol w:w="2037"/>
        <w:gridCol w:w="2038"/>
      </w:tblGrid>
      <w:tr w:rsidR="002312A1" w14:paraId="63AD6F67" w14:textId="77777777" w:rsidTr="002312A1">
        <w:trPr>
          <w:tblHeader/>
        </w:trPr>
        <w:tc>
          <w:tcPr>
            <w:tcW w:w="3964" w:type="dxa"/>
            <w:shd w:val="clear" w:color="auto" w:fill="D9D9D9" w:themeFill="background1" w:themeFillShade="D9"/>
          </w:tcPr>
          <w:p w14:paraId="6D40D0E6" w14:textId="77777777" w:rsidR="002312A1" w:rsidRPr="002312A1" w:rsidRDefault="002312A1" w:rsidP="002312A1">
            <w:pPr>
              <w:rPr>
                <w:b/>
                <w:lang w:eastAsia="en-AU"/>
              </w:rPr>
            </w:pPr>
            <w:r w:rsidRPr="002312A1">
              <w:rPr>
                <w:b/>
              </w:rPr>
              <w:t>Year to date</w:t>
            </w:r>
          </w:p>
        </w:tc>
        <w:tc>
          <w:tcPr>
            <w:tcW w:w="2037" w:type="dxa"/>
            <w:shd w:val="clear" w:color="auto" w:fill="D9D9D9" w:themeFill="background1" w:themeFillShade="D9"/>
          </w:tcPr>
          <w:p w14:paraId="6A9AED9B" w14:textId="77777777" w:rsidR="002312A1" w:rsidRPr="002312A1" w:rsidRDefault="002312A1" w:rsidP="002312A1">
            <w:pPr>
              <w:rPr>
                <w:b/>
                <w:lang w:eastAsia="en-AU"/>
              </w:rPr>
            </w:pPr>
            <w:r w:rsidRPr="002312A1">
              <w:rPr>
                <w:b/>
                <w:lang w:eastAsia="en-AU"/>
              </w:rPr>
              <w:t>As at 31 Dec 2015 ($’m)</w:t>
            </w:r>
          </w:p>
        </w:tc>
        <w:tc>
          <w:tcPr>
            <w:tcW w:w="2037" w:type="dxa"/>
            <w:shd w:val="clear" w:color="auto" w:fill="D9D9D9" w:themeFill="background1" w:themeFillShade="D9"/>
          </w:tcPr>
          <w:p w14:paraId="549A3C6F" w14:textId="0DB2C581" w:rsidR="002312A1" w:rsidRPr="002312A1" w:rsidRDefault="00920686" w:rsidP="002312A1">
            <w:pPr>
              <w:rPr>
                <w:b/>
                <w:lang w:eastAsia="en-AU"/>
              </w:rPr>
            </w:pPr>
            <w:r>
              <w:rPr>
                <w:b/>
                <w:noProof/>
                <w:lang w:eastAsia="en-AU"/>
              </w:rPr>
              <mc:AlternateContent>
                <mc:Choice Requires="wpi">
                  <w:drawing>
                    <wp:anchor distT="0" distB="0" distL="114300" distR="114300" simplePos="0" relativeHeight="251659264" behindDoc="0" locked="0" layoutInCell="1" allowOverlap="1" wp14:anchorId="1E4FAE2C" wp14:editId="170F402E">
                      <wp:simplePos x="0" y="0"/>
                      <wp:positionH relativeFrom="column">
                        <wp:posOffset>510031</wp:posOffset>
                      </wp:positionH>
                      <wp:positionV relativeFrom="paragraph">
                        <wp:posOffset>356009</wp:posOffset>
                      </wp:positionV>
                      <wp:extent cx="5394" cy="5394"/>
                      <wp:effectExtent l="19050" t="19050" r="52070" b="52070"/>
                      <wp:wrapNone/>
                      <wp:docPr id="4" name="Ink 4"/>
                      <wp:cNvGraphicFramePr/>
                      <a:graphic xmlns:a="http://schemas.openxmlformats.org/drawingml/2006/main">
                        <a:graphicData uri="http://schemas.microsoft.com/office/word/2010/wordprocessingInk">
                          <w14:contentPart bwMode="auto" r:id="rId8">
                            <w14:nvContentPartPr>
                              <w14:cNvContentPartPr/>
                            </w14:nvContentPartPr>
                            <w14:xfrm>
                              <a:off x="0" y="0"/>
                              <a:ext cx="5394" cy="5394"/>
                            </w14:xfrm>
                          </w14:contentPart>
                        </a:graphicData>
                      </a:graphic>
                    </wp:anchor>
                  </w:drawing>
                </mc:Choice>
                <mc:Fallback>
                  <w:pict>
                    <v:shapetype w14:anchorId="1FEC272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40pt;margin-top:27.9pt;width:.7pt;height:.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">
                      <v:imagedata r:id="rId11" o:title=""/>
                    </v:shape>
                  </w:pict>
                </mc:Fallback>
              </mc:AlternateContent>
            </w:r>
            <w:r w:rsidR="002312A1" w:rsidRPr="002312A1">
              <w:rPr>
                <w:b/>
              </w:rPr>
              <w:t xml:space="preserve">As at 31 Dec 2016 </w:t>
            </w:r>
            <w:r w:rsidR="002312A1" w:rsidRPr="002312A1">
              <w:rPr>
                <w:b/>
                <w:lang w:eastAsia="en-AU"/>
              </w:rPr>
              <w:t>($’m)</w:t>
            </w:r>
          </w:p>
        </w:tc>
        <w:tc>
          <w:tcPr>
            <w:tcW w:w="2038" w:type="dxa"/>
            <w:shd w:val="clear" w:color="auto" w:fill="D9D9D9" w:themeFill="background1" w:themeFillShade="D9"/>
          </w:tcPr>
          <w:p w14:paraId="3C0D4218" w14:textId="77777777" w:rsidR="002312A1" w:rsidRPr="002312A1" w:rsidRDefault="002312A1" w:rsidP="002312A1">
            <w:pPr>
              <w:rPr>
                <w:b/>
                <w:lang w:eastAsia="en-AU"/>
              </w:rPr>
            </w:pPr>
            <w:r w:rsidRPr="002312A1">
              <w:rPr>
                <w:b/>
                <w:lang w:eastAsia="en-AU"/>
              </w:rPr>
              <w:t>Variance</w:t>
            </w:r>
          </w:p>
        </w:tc>
      </w:tr>
      <w:tr w:rsidR="002312A1" w14:paraId="580267E9" w14:textId="77777777" w:rsidTr="002312A1">
        <w:tc>
          <w:tcPr>
            <w:tcW w:w="3964" w:type="dxa"/>
          </w:tcPr>
          <w:p w14:paraId="0F97B6B6" w14:textId="77777777" w:rsidR="002312A1" w:rsidRDefault="002312A1" w:rsidP="002312A1">
            <w:pPr>
              <w:rPr>
                <w:lang w:eastAsia="en-AU"/>
              </w:rPr>
            </w:pPr>
            <w:r>
              <w:t>Commonwealth – grants</w:t>
            </w:r>
          </w:p>
        </w:tc>
        <w:tc>
          <w:tcPr>
            <w:tcW w:w="2037" w:type="dxa"/>
          </w:tcPr>
          <w:p w14:paraId="4A4913FF" w14:textId="77777777" w:rsidR="002312A1" w:rsidRDefault="002312A1" w:rsidP="002312A1">
            <w:pPr>
              <w:rPr>
                <w:lang w:eastAsia="en-AU"/>
              </w:rPr>
            </w:pPr>
            <w:r>
              <w:t>30.0</w:t>
            </w:r>
          </w:p>
        </w:tc>
        <w:tc>
          <w:tcPr>
            <w:tcW w:w="2037" w:type="dxa"/>
          </w:tcPr>
          <w:p w14:paraId="7090FA18" w14:textId="77777777" w:rsidR="002312A1" w:rsidRDefault="002312A1" w:rsidP="002312A1">
            <w:pPr>
              <w:rPr>
                <w:lang w:eastAsia="en-AU"/>
              </w:rPr>
            </w:pPr>
            <w:r>
              <w:t>30.4</w:t>
            </w:r>
          </w:p>
        </w:tc>
        <w:tc>
          <w:tcPr>
            <w:tcW w:w="2038" w:type="dxa"/>
          </w:tcPr>
          <w:p w14:paraId="04D77078" w14:textId="77777777" w:rsidR="002312A1" w:rsidRDefault="002312A1" w:rsidP="002312A1">
            <w:pPr>
              <w:rPr>
                <w:lang w:eastAsia="en-AU"/>
              </w:rPr>
            </w:pPr>
            <w:r>
              <w:t>1%</w:t>
            </w:r>
          </w:p>
        </w:tc>
      </w:tr>
      <w:tr w:rsidR="002312A1" w14:paraId="13047186" w14:textId="77777777" w:rsidTr="002312A1">
        <w:tc>
          <w:tcPr>
            <w:tcW w:w="3964" w:type="dxa"/>
          </w:tcPr>
          <w:p w14:paraId="6F5937F3" w14:textId="77777777" w:rsidR="002312A1" w:rsidRDefault="002312A1" w:rsidP="002312A1">
            <w:pPr>
              <w:rPr>
                <w:lang w:eastAsia="en-AU"/>
              </w:rPr>
            </w:pPr>
            <w:r>
              <w:t>State – grants</w:t>
            </w:r>
          </w:p>
        </w:tc>
        <w:tc>
          <w:tcPr>
            <w:tcW w:w="2037" w:type="dxa"/>
          </w:tcPr>
          <w:p w14:paraId="4CC44B1B" w14:textId="77777777" w:rsidR="002312A1" w:rsidRDefault="002312A1" w:rsidP="002312A1">
            <w:pPr>
              <w:rPr>
                <w:lang w:eastAsia="en-AU"/>
              </w:rPr>
            </w:pPr>
            <w:r>
              <w:t>45.0</w:t>
            </w:r>
          </w:p>
        </w:tc>
        <w:tc>
          <w:tcPr>
            <w:tcW w:w="2037" w:type="dxa"/>
          </w:tcPr>
          <w:p w14:paraId="21821EF5" w14:textId="77777777" w:rsidR="002312A1" w:rsidRDefault="002312A1" w:rsidP="002312A1">
            <w:pPr>
              <w:rPr>
                <w:lang w:eastAsia="en-AU"/>
              </w:rPr>
            </w:pPr>
            <w:r>
              <w:t>47.3</w:t>
            </w:r>
          </w:p>
        </w:tc>
        <w:tc>
          <w:tcPr>
            <w:tcW w:w="2038" w:type="dxa"/>
          </w:tcPr>
          <w:p w14:paraId="17EA4FCF" w14:textId="77777777" w:rsidR="002312A1" w:rsidRDefault="002312A1" w:rsidP="002312A1">
            <w:pPr>
              <w:rPr>
                <w:lang w:eastAsia="en-AU"/>
              </w:rPr>
            </w:pPr>
            <w:r>
              <w:t>5%</w:t>
            </w:r>
          </w:p>
        </w:tc>
      </w:tr>
      <w:tr w:rsidR="002312A1" w14:paraId="634512DE" w14:textId="77777777" w:rsidTr="002312A1">
        <w:tc>
          <w:tcPr>
            <w:tcW w:w="3964" w:type="dxa"/>
          </w:tcPr>
          <w:p w14:paraId="2C83D36F" w14:textId="77777777" w:rsidR="002312A1" w:rsidRDefault="002312A1" w:rsidP="002312A1">
            <w:pPr>
              <w:rPr>
                <w:lang w:eastAsia="en-AU"/>
              </w:rPr>
            </w:pPr>
            <w:r>
              <w:t>Public Purpose Fund</w:t>
            </w:r>
          </w:p>
        </w:tc>
        <w:tc>
          <w:tcPr>
            <w:tcW w:w="2037" w:type="dxa"/>
          </w:tcPr>
          <w:p w14:paraId="5853142D" w14:textId="77777777" w:rsidR="002312A1" w:rsidRDefault="002312A1" w:rsidP="002312A1">
            <w:pPr>
              <w:rPr>
                <w:lang w:eastAsia="en-AU"/>
              </w:rPr>
            </w:pPr>
            <w:r>
              <w:t>14.2</w:t>
            </w:r>
          </w:p>
        </w:tc>
        <w:tc>
          <w:tcPr>
            <w:tcW w:w="2037" w:type="dxa"/>
          </w:tcPr>
          <w:p w14:paraId="0639EDCC" w14:textId="77777777" w:rsidR="002312A1" w:rsidRDefault="002312A1" w:rsidP="002312A1">
            <w:pPr>
              <w:rPr>
                <w:lang w:eastAsia="en-AU"/>
              </w:rPr>
            </w:pPr>
            <w:r>
              <w:t>14.6</w:t>
            </w:r>
          </w:p>
        </w:tc>
        <w:tc>
          <w:tcPr>
            <w:tcW w:w="2038" w:type="dxa"/>
          </w:tcPr>
          <w:p w14:paraId="776470B7" w14:textId="77777777" w:rsidR="002312A1" w:rsidRDefault="002312A1" w:rsidP="002312A1">
            <w:pPr>
              <w:rPr>
                <w:lang w:eastAsia="en-AU"/>
              </w:rPr>
            </w:pPr>
            <w:r>
              <w:t>3%</w:t>
            </w:r>
          </w:p>
        </w:tc>
      </w:tr>
      <w:tr w:rsidR="002312A1" w14:paraId="43929E34" w14:textId="77777777" w:rsidTr="002312A1">
        <w:tc>
          <w:tcPr>
            <w:tcW w:w="3964" w:type="dxa"/>
          </w:tcPr>
          <w:p w14:paraId="6BF1A82F" w14:textId="77777777" w:rsidR="002312A1" w:rsidRDefault="00303F32" w:rsidP="002312A1">
            <w:pPr>
              <w:rPr>
                <w:lang w:eastAsia="en-AU"/>
              </w:rPr>
            </w:pPr>
            <w:r w:rsidRPr="001D0AC3">
              <w:t xml:space="preserve">Case </w:t>
            </w:r>
            <w:r w:rsidR="002312A1" w:rsidRPr="001D0AC3">
              <w:t>revenue</w:t>
            </w:r>
          </w:p>
        </w:tc>
        <w:tc>
          <w:tcPr>
            <w:tcW w:w="2037" w:type="dxa"/>
          </w:tcPr>
          <w:p w14:paraId="30CE159A" w14:textId="77777777" w:rsidR="002312A1" w:rsidRDefault="002312A1" w:rsidP="002312A1">
            <w:pPr>
              <w:rPr>
                <w:lang w:eastAsia="en-AU"/>
              </w:rPr>
            </w:pPr>
            <w:r>
              <w:t>3.0</w:t>
            </w:r>
          </w:p>
        </w:tc>
        <w:tc>
          <w:tcPr>
            <w:tcW w:w="2037" w:type="dxa"/>
          </w:tcPr>
          <w:p w14:paraId="6D1F789A" w14:textId="77777777" w:rsidR="002312A1" w:rsidRDefault="002312A1" w:rsidP="002312A1">
            <w:pPr>
              <w:rPr>
                <w:lang w:eastAsia="en-AU"/>
              </w:rPr>
            </w:pPr>
            <w:r>
              <w:t>2.1</w:t>
            </w:r>
          </w:p>
        </w:tc>
        <w:tc>
          <w:tcPr>
            <w:tcW w:w="2038" w:type="dxa"/>
          </w:tcPr>
          <w:p w14:paraId="6B62ACF8" w14:textId="77777777" w:rsidR="002312A1" w:rsidRDefault="002312A1" w:rsidP="002312A1">
            <w:pPr>
              <w:rPr>
                <w:lang w:eastAsia="en-AU"/>
              </w:rPr>
            </w:pPr>
            <w:r>
              <w:t>-30%</w:t>
            </w:r>
          </w:p>
        </w:tc>
      </w:tr>
      <w:tr w:rsidR="002312A1" w14:paraId="49F12A9E" w14:textId="77777777" w:rsidTr="002312A1">
        <w:tc>
          <w:tcPr>
            <w:tcW w:w="3964" w:type="dxa"/>
            <w:tcBorders>
              <w:bottom w:val="single" w:sz="4" w:space="0" w:color="auto"/>
            </w:tcBorders>
          </w:tcPr>
          <w:p w14:paraId="6ACC1152" w14:textId="77777777" w:rsidR="002312A1" w:rsidRDefault="002312A1" w:rsidP="002312A1">
            <w:pPr>
              <w:rPr>
                <w:lang w:eastAsia="en-AU"/>
              </w:rPr>
            </w:pPr>
            <w:r>
              <w:t>Other income</w:t>
            </w:r>
          </w:p>
        </w:tc>
        <w:tc>
          <w:tcPr>
            <w:tcW w:w="2037" w:type="dxa"/>
            <w:tcBorders>
              <w:bottom w:val="single" w:sz="4" w:space="0" w:color="auto"/>
            </w:tcBorders>
          </w:tcPr>
          <w:p w14:paraId="31C16E3A" w14:textId="77777777" w:rsidR="002312A1" w:rsidRDefault="002312A1" w:rsidP="002312A1">
            <w:pPr>
              <w:rPr>
                <w:lang w:eastAsia="en-AU"/>
              </w:rPr>
            </w:pPr>
            <w:r>
              <w:t>0.7</w:t>
            </w:r>
          </w:p>
        </w:tc>
        <w:tc>
          <w:tcPr>
            <w:tcW w:w="2037" w:type="dxa"/>
            <w:tcBorders>
              <w:bottom w:val="single" w:sz="4" w:space="0" w:color="auto"/>
            </w:tcBorders>
          </w:tcPr>
          <w:p w14:paraId="64AE6F39" w14:textId="77777777" w:rsidR="002312A1" w:rsidRDefault="002312A1" w:rsidP="002312A1">
            <w:pPr>
              <w:rPr>
                <w:lang w:eastAsia="en-AU"/>
              </w:rPr>
            </w:pPr>
            <w:r>
              <w:t>1.0</w:t>
            </w:r>
          </w:p>
        </w:tc>
        <w:tc>
          <w:tcPr>
            <w:tcW w:w="2038" w:type="dxa"/>
            <w:tcBorders>
              <w:bottom w:val="single" w:sz="4" w:space="0" w:color="auto"/>
            </w:tcBorders>
          </w:tcPr>
          <w:p w14:paraId="12EDDAD7" w14:textId="77777777" w:rsidR="002312A1" w:rsidRDefault="002312A1" w:rsidP="002312A1">
            <w:pPr>
              <w:rPr>
                <w:lang w:eastAsia="en-AU"/>
              </w:rPr>
            </w:pPr>
            <w:r>
              <w:t>43%</w:t>
            </w:r>
          </w:p>
        </w:tc>
      </w:tr>
      <w:tr w:rsidR="002312A1" w14:paraId="09153DAC" w14:textId="77777777" w:rsidTr="002312A1">
        <w:tc>
          <w:tcPr>
            <w:tcW w:w="3964" w:type="dxa"/>
            <w:shd w:val="clear" w:color="auto" w:fill="F2F2F2" w:themeFill="background1" w:themeFillShade="F2"/>
          </w:tcPr>
          <w:p w14:paraId="43FCD84C" w14:textId="77777777" w:rsidR="002312A1" w:rsidRPr="002312A1" w:rsidRDefault="002312A1" w:rsidP="002312A1">
            <w:pPr>
              <w:rPr>
                <w:b/>
                <w:lang w:eastAsia="en-AU"/>
              </w:rPr>
            </w:pPr>
            <w:r w:rsidRPr="002312A1">
              <w:rPr>
                <w:b/>
              </w:rPr>
              <w:t>Total revenue</w:t>
            </w:r>
          </w:p>
        </w:tc>
        <w:tc>
          <w:tcPr>
            <w:tcW w:w="2037" w:type="dxa"/>
            <w:shd w:val="clear" w:color="auto" w:fill="F2F2F2" w:themeFill="background1" w:themeFillShade="F2"/>
          </w:tcPr>
          <w:p w14:paraId="5602C0D6" w14:textId="77777777" w:rsidR="002312A1" w:rsidRDefault="002312A1" w:rsidP="002312A1">
            <w:pPr>
              <w:rPr>
                <w:lang w:eastAsia="en-AU"/>
              </w:rPr>
            </w:pPr>
            <w:r>
              <w:t>92.8</w:t>
            </w:r>
          </w:p>
        </w:tc>
        <w:tc>
          <w:tcPr>
            <w:tcW w:w="2037" w:type="dxa"/>
            <w:shd w:val="clear" w:color="auto" w:fill="F2F2F2" w:themeFill="background1" w:themeFillShade="F2"/>
          </w:tcPr>
          <w:p w14:paraId="42ACBACB" w14:textId="77777777" w:rsidR="002312A1" w:rsidRDefault="002312A1" w:rsidP="002312A1">
            <w:pPr>
              <w:rPr>
                <w:lang w:eastAsia="en-AU"/>
              </w:rPr>
            </w:pPr>
            <w:r>
              <w:t>95.5</w:t>
            </w:r>
          </w:p>
        </w:tc>
        <w:tc>
          <w:tcPr>
            <w:tcW w:w="2038" w:type="dxa"/>
            <w:shd w:val="clear" w:color="auto" w:fill="F2F2F2" w:themeFill="background1" w:themeFillShade="F2"/>
          </w:tcPr>
          <w:p w14:paraId="7786CA8B" w14:textId="77777777" w:rsidR="002312A1" w:rsidRDefault="002312A1" w:rsidP="002312A1">
            <w:r>
              <w:t>3%</w:t>
            </w:r>
          </w:p>
        </w:tc>
      </w:tr>
    </w:tbl>
    <w:p w14:paraId="0EEB96AD" w14:textId="77777777" w:rsidR="002312A1" w:rsidRDefault="002312A1" w:rsidP="002312A1">
      <w:pPr>
        <w:pStyle w:val="Heading3"/>
      </w:pPr>
      <w:r>
        <w:t>Expenditure</w:t>
      </w:r>
    </w:p>
    <w:tbl>
      <w:tblPr>
        <w:tblStyle w:val="TableGrid"/>
        <w:tblW w:w="0" w:type="auto"/>
        <w:tblLook w:val="04A0" w:firstRow="1" w:lastRow="0" w:firstColumn="1" w:lastColumn="0" w:noHBand="0" w:noVBand="1"/>
      </w:tblPr>
      <w:tblGrid>
        <w:gridCol w:w="3964"/>
        <w:gridCol w:w="2037"/>
        <w:gridCol w:w="2037"/>
        <w:gridCol w:w="2038"/>
      </w:tblGrid>
      <w:tr w:rsidR="002312A1" w14:paraId="7F2607FA" w14:textId="77777777" w:rsidTr="00A40CEB">
        <w:trPr>
          <w:tblHeader/>
        </w:trPr>
        <w:tc>
          <w:tcPr>
            <w:tcW w:w="3964" w:type="dxa"/>
            <w:shd w:val="clear" w:color="auto" w:fill="D9D9D9" w:themeFill="background1" w:themeFillShade="D9"/>
          </w:tcPr>
          <w:p w14:paraId="7F001E3F" w14:textId="77777777" w:rsidR="002312A1" w:rsidRPr="002312A1" w:rsidRDefault="002312A1" w:rsidP="00A40CEB">
            <w:pPr>
              <w:rPr>
                <w:b/>
                <w:lang w:eastAsia="en-AU"/>
              </w:rPr>
            </w:pPr>
            <w:r w:rsidRPr="002312A1">
              <w:rPr>
                <w:b/>
              </w:rPr>
              <w:t>Year to date</w:t>
            </w:r>
          </w:p>
        </w:tc>
        <w:tc>
          <w:tcPr>
            <w:tcW w:w="2037" w:type="dxa"/>
            <w:shd w:val="clear" w:color="auto" w:fill="D9D9D9" w:themeFill="background1" w:themeFillShade="D9"/>
          </w:tcPr>
          <w:p w14:paraId="429547F4" w14:textId="77777777" w:rsidR="002312A1" w:rsidRPr="002312A1" w:rsidRDefault="002312A1" w:rsidP="00A40CEB">
            <w:pPr>
              <w:rPr>
                <w:b/>
                <w:lang w:eastAsia="en-AU"/>
              </w:rPr>
            </w:pPr>
            <w:r w:rsidRPr="002312A1">
              <w:rPr>
                <w:b/>
                <w:lang w:eastAsia="en-AU"/>
              </w:rPr>
              <w:t>As at 31 Dec 2015 ($’m)</w:t>
            </w:r>
          </w:p>
        </w:tc>
        <w:tc>
          <w:tcPr>
            <w:tcW w:w="2037" w:type="dxa"/>
            <w:shd w:val="clear" w:color="auto" w:fill="D9D9D9" w:themeFill="background1" w:themeFillShade="D9"/>
          </w:tcPr>
          <w:p w14:paraId="73F63939" w14:textId="77777777" w:rsidR="002312A1" w:rsidRPr="002312A1" w:rsidRDefault="002312A1" w:rsidP="00A40CEB">
            <w:pPr>
              <w:rPr>
                <w:b/>
                <w:lang w:eastAsia="en-AU"/>
              </w:rPr>
            </w:pPr>
            <w:r w:rsidRPr="002312A1">
              <w:rPr>
                <w:b/>
              </w:rPr>
              <w:t xml:space="preserve">As at 31 Dec 2016 </w:t>
            </w:r>
            <w:r w:rsidRPr="002312A1">
              <w:rPr>
                <w:b/>
                <w:lang w:eastAsia="en-AU"/>
              </w:rPr>
              <w:t>($’m)</w:t>
            </w:r>
          </w:p>
        </w:tc>
        <w:tc>
          <w:tcPr>
            <w:tcW w:w="2038" w:type="dxa"/>
            <w:shd w:val="clear" w:color="auto" w:fill="D9D9D9" w:themeFill="background1" w:themeFillShade="D9"/>
          </w:tcPr>
          <w:p w14:paraId="47FE3AE4" w14:textId="77777777" w:rsidR="002312A1" w:rsidRPr="002312A1" w:rsidRDefault="002312A1" w:rsidP="00A40CEB">
            <w:pPr>
              <w:rPr>
                <w:b/>
                <w:lang w:eastAsia="en-AU"/>
              </w:rPr>
            </w:pPr>
            <w:r w:rsidRPr="002312A1">
              <w:rPr>
                <w:b/>
                <w:lang w:eastAsia="en-AU"/>
              </w:rPr>
              <w:t>Variance</w:t>
            </w:r>
          </w:p>
        </w:tc>
      </w:tr>
      <w:tr w:rsidR="002312A1" w14:paraId="661255F2" w14:textId="77777777" w:rsidTr="00A40CEB">
        <w:tc>
          <w:tcPr>
            <w:tcW w:w="3964" w:type="dxa"/>
          </w:tcPr>
          <w:p w14:paraId="710D0923" w14:textId="77777777" w:rsidR="002312A1" w:rsidRDefault="002312A1" w:rsidP="00A40CEB">
            <w:pPr>
              <w:rPr>
                <w:lang w:eastAsia="en-AU"/>
              </w:rPr>
            </w:pPr>
            <w:r>
              <w:t>Case expenditure</w:t>
            </w:r>
          </w:p>
        </w:tc>
        <w:tc>
          <w:tcPr>
            <w:tcW w:w="2037" w:type="dxa"/>
          </w:tcPr>
          <w:p w14:paraId="1C2485B8" w14:textId="77777777" w:rsidR="002312A1" w:rsidRDefault="002312A1" w:rsidP="00A40CEB">
            <w:pPr>
              <w:rPr>
                <w:lang w:eastAsia="en-AU"/>
              </w:rPr>
            </w:pPr>
            <w:r>
              <w:t>34.6</w:t>
            </w:r>
          </w:p>
        </w:tc>
        <w:tc>
          <w:tcPr>
            <w:tcW w:w="2037" w:type="dxa"/>
          </w:tcPr>
          <w:p w14:paraId="402A9D04" w14:textId="77777777" w:rsidR="002312A1" w:rsidRDefault="002312A1" w:rsidP="00A40CEB">
            <w:pPr>
              <w:rPr>
                <w:lang w:eastAsia="en-AU"/>
              </w:rPr>
            </w:pPr>
            <w:r>
              <w:t>40.6</w:t>
            </w:r>
          </w:p>
        </w:tc>
        <w:tc>
          <w:tcPr>
            <w:tcW w:w="2038" w:type="dxa"/>
          </w:tcPr>
          <w:p w14:paraId="3DD66CA2" w14:textId="77777777" w:rsidR="002312A1" w:rsidRDefault="002312A1" w:rsidP="00A40CEB">
            <w:pPr>
              <w:rPr>
                <w:lang w:eastAsia="en-AU"/>
              </w:rPr>
            </w:pPr>
            <w:r>
              <w:t>17%</w:t>
            </w:r>
          </w:p>
        </w:tc>
      </w:tr>
      <w:tr w:rsidR="002312A1" w14:paraId="55C83B4A" w14:textId="77777777" w:rsidTr="00A40CEB">
        <w:tc>
          <w:tcPr>
            <w:tcW w:w="3964" w:type="dxa"/>
          </w:tcPr>
          <w:p w14:paraId="68780F9C" w14:textId="77777777" w:rsidR="002312A1" w:rsidRDefault="002312A1" w:rsidP="00A40CEB">
            <w:pPr>
              <w:rPr>
                <w:lang w:eastAsia="en-AU"/>
              </w:rPr>
            </w:pPr>
            <w:r>
              <w:t>Community legal centre payments</w:t>
            </w:r>
          </w:p>
        </w:tc>
        <w:tc>
          <w:tcPr>
            <w:tcW w:w="2037" w:type="dxa"/>
          </w:tcPr>
          <w:p w14:paraId="60FBC6AF" w14:textId="77777777" w:rsidR="002312A1" w:rsidRDefault="002312A1" w:rsidP="00A40CEB">
            <w:pPr>
              <w:rPr>
                <w:lang w:eastAsia="en-AU"/>
              </w:rPr>
            </w:pPr>
            <w:r>
              <w:t>13.8</w:t>
            </w:r>
          </w:p>
        </w:tc>
        <w:tc>
          <w:tcPr>
            <w:tcW w:w="2037" w:type="dxa"/>
          </w:tcPr>
          <w:p w14:paraId="360220CF" w14:textId="77777777" w:rsidR="002312A1" w:rsidRDefault="002312A1" w:rsidP="00A40CEB">
            <w:pPr>
              <w:rPr>
                <w:lang w:eastAsia="en-AU"/>
              </w:rPr>
            </w:pPr>
            <w:r>
              <w:t>14.4</w:t>
            </w:r>
          </w:p>
        </w:tc>
        <w:tc>
          <w:tcPr>
            <w:tcW w:w="2038" w:type="dxa"/>
          </w:tcPr>
          <w:p w14:paraId="0AB17AFF" w14:textId="77777777" w:rsidR="002312A1" w:rsidRDefault="002312A1" w:rsidP="00A40CEB">
            <w:r>
              <w:t>4%</w:t>
            </w:r>
          </w:p>
        </w:tc>
      </w:tr>
      <w:tr w:rsidR="002312A1" w14:paraId="4CBEDBAA" w14:textId="77777777" w:rsidTr="00A40CEB">
        <w:tc>
          <w:tcPr>
            <w:tcW w:w="3964" w:type="dxa"/>
          </w:tcPr>
          <w:p w14:paraId="7D9757A0" w14:textId="77777777" w:rsidR="002312A1" w:rsidRDefault="002312A1" w:rsidP="00A40CEB">
            <w:pPr>
              <w:rPr>
                <w:lang w:eastAsia="en-AU"/>
              </w:rPr>
            </w:pPr>
            <w:r>
              <w:t>Staff costs</w:t>
            </w:r>
          </w:p>
        </w:tc>
        <w:tc>
          <w:tcPr>
            <w:tcW w:w="2037" w:type="dxa"/>
          </w:tcPr>
          <w:p w14:paraId="32099BD9" w14:textId="77777777" w:rsidR="002312A1" w:rsidRDefault="002312A1" w:rsidP="00A40CEB">
            <w:pPr>
              <w:rPr>
                <w:lang w:eastAsia="en-AU"/>
              </w:rPr>
            </w:pPr>
            <w:r>
              <w:t>30.7</w:t>
            </w:r>
          </w:p>
        </w:tc>
        <w:tc>
          <w:tcPr>
            <w:tcW w:w="2037" w:type="dxa"/>
          </w:tcPr>
          <w:p w14:paraId="35AC9E16" w14:textId="77777777" w:rsidR="002312A1" w:rsidRDefault="002312A1" w:rsidP="00A40CEB">
            <w:pPr>
              <w:rPr>
                <w:lang w:eastAsia="en-AU"/>
              </w:rPr>
            </w:pPr>
            <w:r>
              <w:t>32.5</w:t>
            </w:r>
          </w:p>
        </w:tc>
        <w:tc>
          <w:tcPr>
            <w:tcW w:w="2038" w:type="dxa"/>
          </w:tcPr>
          <w:p w14:paraId="3A398C0F" w14:textId="77777777" w:rsidR="002312A1" w:rsidRDefault="002312A1" w:rsidP="00A40CEB">
            <w:pPr>
              <w:rPr>
                <w:lang w:eastAsia="en-AU"/>
              </w:rPr>
            </w:pPr>
            <w:r>
              <w:t>6%</w:t>
            </w:r>
          </w:p>
        </w:tc>
      </w:tr>
      <w:tr w:rsidR="002312A1" w14:paraId="6FF60082" w14:textId="77777777" w:rsidTr="00A40CEB">
        <w:tc>
          <w:tcPr>
            <w:tcW w:w="3964" w:type="dxa"/>
          </w:tcPr>
          <w:p w14:paraId="50FDD5C9" w14:textId="77777777" w:rsidR="002312A1" w:rsidRDefault="002312A1" w:rsidP="00A40CEB">
            <w:pPr>
              <w:rPr>
                <w:lang w:eastAsia="en-AU"/>
              </w:rPr>
            </w:pPr>
            <w:r>
              <w:t>Administration</w:t>
            </w:r>
          </w:p>
        </w:tc>
        <w:tc>
          <w:tcPr>
            <w:tcW w:w="2037" w:type="dxa"/>
          </w:tcPr>
          <w:p w14:paraId="34FF4F5F" w14:textId="77777777" w:rsidR="002312A1" w:rsidRDefault="002312A1" w:rsidP="00A40CEB">
            <w:pPr>
              <w:rPr>
                <w:lang w:eastAsia="en-AU"/>
              </w:rPr>
            </w:pPr>
            <w:r>
              <w:t>10.7</w:t>
            </w:r>
          </w:p>
        </w:tc>
        <w:tc>
          <w:tcPr>
            <w:tcW w:w="2037" w:type="dxa"/>
          </w:tcPr>
          <w:p w14:paraId="4194B0B3" w14:textId="77777777" w:rsidR="002312A1" w:rsidRDefault="002312A1" w:rsidP="00A40CEB">
            <w:pPr>
              <w:rPr>
                <w:lang w:eastAsia="en-AU"/>
              </w:rPr>
            </w:pPr>
            <w:r>
              <w:t>10.2</w:t>
            </w:r>
          </w:p>
        </w:tc>
        <w:tc>
          <w:tcPr>
            <w:tcW w:w="2038" w:type="dxa"/>
          </w:tcPr>
          <w:p w14:paraId="004B9DEB" w14:textId="77777777" w:rsidR="002312A1" w:rsidRDefault="002312A1" w:rsidP="00A40CEB">
            <w:pPr>
              <w:rPr>
                <w:lang w:eastAsia="en-AU"/>
              </w:rPr>
            </w:pPr>
            <w:r>
              <w:t>-4%</w:t>
            </w:r>
          </w:p>
        </w:tc>
      </w:tr>
      <w:tr w:rsidR="002312A1" w14:paraId="41AAB339" w14:textId="77777777" w:rsidTr="002312A1">
        <w:tc>
          <w:tcPr>
            <w:tcW w:w="3964" w:type="dxa"/>
            <w:tcBorders>
              <w:bottom w:val="single" w:sz="4" w:space="0" w:color="auto"/>
            </w:tcBorders>
            <w:shd w:val="clear" w:color="auto" w:fill="F2F2F2" w:themeFill="background1" w:themeFillShade="F2"/>
          </w:tcPr>
          <w:p w14:paraId="4B7E67A6" w14:textId="77777777" w:rsidR="002312A1" w:rsidRPr="002312A1" w:rsidRDefault="002312A1" w:rsidP="002312A1">
            <w:pPr>
              <w:rPr>
                <w:b/>
                <w:lang w:eastAsia="en-AU"/>
              </w:rPr>
            </w:pPr>
            <w:r w:rsidRPr="002312A1">
              <w:rPr>
                <w:b/>
              </w:rPr>
              <w:t xml:space="preserve">Total </w:t>
            </w:r>
            <w:r>
              <w:rPr>
                <w:b/>
              </w:rPr>
              <w:t>expenditure</w:t>
            </w:r>
          </w:p>
        </w:tc>
        <w:tc>
          <w:tcPr>
            <w:tcW w:w="2037" w:type="dxa"/>
            <w:tcBorders>
              <w:bottom w:val="single" w:sz="4" w:space="0" w:color="auto"/>
            </w:tcBorders>
            <w:shd w:val="clear" w:color="auto" w:fill="F2F2F2" w:themeFill="background1" w:themeFillShade="F2"/>
          </w:tcPr>
          <w:p w14:paraId="4B5B2D3C" w14:textId="77777777" w:rsidR="002312A1" w:rsidRDefault="002312A1" w:rsidP="00A40CEB">
            <w:pPr>
              <w:rPr>
                <w:lang w:eastAsia="en-AU"/>
              </w:rPr>
            </w:pPr>
            <w:r>
              <w:t>89.7</w:t>
            </w:r>
          </w:p>
        </w:tc>
        <w:tc>
          <w:tcPr>
            <w:tcW w:w="2037" w:type="dxa"/>
            <w:tcBorders>
              <w:bottom w:val="single" w:sz="4" w:space="0" w:color="auto"/>
            </w:tcBorders>
            <w:shd w:val="clear" w:color="auto" w:fill="F2F2F2" w:themeFill="background1" w:themeFillShade="F2"/>
          </w:tcPr>
          <w:p w14:paraId="03E34026" w14:textId="77777777" w:rsidR="002312A1" w:rsidRDefault="002312A1" w:rsidP="00A40CEB">
            <w:pPr>
              <w:rPr>
                <w:lang w:eastAsia="en-AU"/>
              </w:rPr>
            </w:pPr>
            <w:r>
              <w:t>97.7</w:t>
            </w:r>
          </w:p>
        </w:tc>
        <w:tc>
          <w:tcPr>
            <w:tcW w:w="2038" w:type="dxa"/>
            <w:tcBorders>
              <w:bottom w:val="single" w:sz="4" w:space="0" w:color="auto"/>
            </w:tcBorders>
            <w:shd w:val="clear" w:color="auto" w:fill="F2F2F2" w:themeFill="background1" w:themeFillShade="F2"/>
          </w:tcPr>
          <w:p w14:paraId="4020B41E" w14:textId="77777777" w:rsidR="002312A1" w:rsidRDefault="002312A1" w:rsidP="00A40CEB">
            <w:r>
              <w:t>9%</w:t>
            </w:r>
          </w:p>
        </w:tc>
      </w:tr>
      <w:tr w:rsidR="002312A1" w14:paraId="65C24ADB" w14:textId="77777777" w:rsidTr="002312A1">
        <w:tc>
          <w:tcPr>
            <w:tcW w:w="3964" w:type="dxa"/>
            <w:shd w:val="clear" w:color="auto" w:fill="auto"/>
          </w:tcPr>
          <w:p w14:paraId="4CAA60C2" w14:textId="77777777" w:rsidR="002312A1" w:rsidRPr="002312A1" w:rsidRDefault="002312A1" w:rsidP="00A40CEB">
            <w:pPr>
              <w:rPr>
                <w:b/>
              </w:rPr>
            </w:pPr>
            <w:r>
              <w:t>Other economic flows</w:t>
            </w:r>
          </w:p>
        </w:tc>
        <w:tc>
          <w:tcPr>
            <w:tcW w:w="2037" w:type="dxa"/>
            <w:shd w:val="clear" w:color="auto" w:fill="auto"/>
          </w:tcPr>
          <w:p w14:paraId="3F4EBE28" w14:textId="77777777" w:rsidR="002312A1" w:rsidRDefault="002312A1" w:rsidP="00A40CEB">
            <w:r>
              <w:t>0.3</w:t>
            </w:r>
          </w:p>
        </w:tc>
        <w:tc>
          <w:tcPr>
            <w:tcW w:w="2037" w:type="dxa"/>
            <w:shd w:val="clear" w:color="auto" w:fill="auto"/>
          </w:tcPr>
          <w:p w14:paraId="4AE1C98A" w14:textId="77777777" w:rsidR="002312A1" w:rsidRDefault="002312A1" w:rsidP="00A40CEB">
            <w:r>
              <w:t>0.1</w:t>
            </w:r>
          </w:p>
        </w:tc>
        <w:tc>
          <w:tcPr>
            <w:tcW w:w="2038" w:type="dxa"/>
            <w:shd w:val="clear" w:color="auto" w:fill="auto"/>
          </w:tcPr>
          <w:p w14:paraId="52FD9823" w14:textId="77777777" w:rsidR="002312A1" w:rsidRDefault="002312A1" w:rsidP="00A40CEB">
            <w:r>
              <w:t>-</w:t>
            </w:r>
          </w:p>
        </w:tc>
      </w:tr>
      <w:tr w:rsidR="002312A1" w14:paraId="1590F394" w14:textId="77777777" w:rsidTr="002312A1">
        <w:tc>
          <w:tcPr>
            <w:tcW w:w="3964" w:type="dxa"/>
            <w:shd w:val="clear" w:color="auto" w:fill="auto"/>
          </w:tcPr>
          <w:p w14:paraId="69BEB316" w14:textId="77777777" w:rsidR="002312A1" w:rsidRPr="002312A1" w:rsidRDefault="002312A1" w:rsidP="00A40CEB">
            <w:pPr>
              <w:rPr>
                <w:b/>
              </w:rPr>
            </w:pPr>
            <w:r>
              <w:t>Operating surplus/(deficit)</w:t>
            </w:r>
          </w:p>
        </w:tc>
        <w:tc>
          <w:tcPr>
            <w:tcW w:w="2037" w:type="dxa"/>
            <w:shd w:val="clear" w:color="auto" w:fill="auto"/>
          </w:tcPr>
          <w:p w14:paraId="53E932AD" w14:textId="77777777" w:rsidR="002312A1" w:rsidRDefault="002312A1" w:rsidP="00A40CEB">
            <w:r>
              <w:t>3.4</w:t>
            </w:r>
          </w:p>
        </w:tc>
        <w:tc>
          <w:tcPr>
            <w:tcW w:w="2037" w:type="dxa"/>
            <w:shd w:val="clear" w:color="auto" w:fill="auto"/>
          </w:tcPr>
          <w:p w14:paraId="3449EEF7" w14:textId="77777777" w:rsidR="002312A1" w:rsidRDefault="002312A1" w:rsidP="00A40CEB">
            <w:r>
              <w:t>(2.1)</w:t>
            </w:r>
          </w:p>
        </w:tc>
        <w:tc>
          <w:tcPr>
            <w:tcW w:w="2038" w:type="dxa"/>
            <w:shd w:val="clear" w:color="auto" w:fill="auto"/>
          </w:tcPr>
          <w:p w14:paraId="13614496" w14:textId="77777777" w:rsidR="002312A1" w:rsidRDefault="002312A1" w:rsidP="00A40CEB">
            <w:r>
              <w:t>-</w:t>
            </w:r>
          </w:p>
        </w:tc>
      </w:tr>
    </w:tbl>
    <w:p w14:paraId="59010518" w14:textId="77777777" w:rsidR="0047677D" w:rsidRDefault="0047677D" w:rsidP="002312A1">
      <w:pPr>
        <w:pStyle w:val="Heading2"/>
      </w:pPr>
      <w:r>
        <w:t xml:space="preserve">Performance against Victorian Government service targets </w:t>
      </w:r>
    </w:p>
    <w:p w14:paraId="172D45E2" w14:textId="77777777" w:rsidR="0047677D" w:rsidRDefault="0047677D" w:rsidP="002312A1">
      <w:pPr>
        <w:pStyle w:val="Heading3"/>
      </w:pPr>
      <w:r>
        <w:t xml:space="preserve">Our results against targets up to 31 December 2016 for </w:t>
      </w:r>
      <w:r w:rsidR="001D0AC3">
        <w:t xml:space="preserve">Victoria Legal Aid’s </w:t>
      </w:r>
      <w:r>
        <w:t>output mea</w:t>
      </w:r>
      <w:r w:rsidR="002312A1">
        <w:t>sures under Budget Paper No. 3</w:t>
      </w:r>
    </w:p>
    <w:tbl>
      <w:tblPr>
        <w:tblStyle w:val="TableGrid"/>
        <w:tblW w:w="0" w:type="auto"/>
        <w:tblLook w:val="04A0" w:firstRow="1" w:lastRow="0" w:firstColumn="1" w:lastColumn="0" w:noHBand="0" w:noVBand="1"/>
      </w:tblPr>
      <w:tblGrid>
        <w:gridCol w:w="2972"/>
        <w:gridCol w:w="1776"/>
        <w:gridCol w:w="1776"/>
        <w:gridCol w:w="1776"/>
        <w:gridCol w:w="1776"/>
      </w:tblGrid>
      <w:tr w:rsidR="002312A1" w:rsidRPr="002312A1" w14:paraId="2CABC215" w14:textId="77777777" w:rsidTr="002312A1">
        <w:trPr>
          <w:tblHeader/>
        </w:trPr>
        <w:tc>
          <w:tcPr>
            <w:tcW w:w="2972" w:type="dxa"/>
            <w:shd w:val="clear" w:color="auto" w:fill="D9D9D9" w:themeFill="background1" w:themeFillShade="D9"/>
          </w:tcPr>
          <w:p w14:paraId="3EDEB29D" w14:textId="77777777" w:rsidR="002312A1" w:rsidRPr="002312A1" w:rsidRDefault="002312A1" w:rsidP="002312A1">
            <w:pPr>
              <w:rPr>
                <w:b/>
                <w:lang w:eastAsia="en-AU"/>
              </w:rPr>
            </w:pPr>
            <w:r w:rsidRPr="002312A1">
              <w:rPr>
                <w:b/>
              </w:rPr>
              <w:t>Output measure</w:t>
            </w:r>
          </w:p>
        </w:tc>
        <w:tc>
          <w:tcPr>
            <w:tcW w:w="1776" w:type="dxa"/>
            <w:shd w:val="clear" w:color="auto" w:fill="D9D9D9" w:themeFill="background1" w:themeFillShade="D9"/>
          </w:tcPr>
          <w:p w14:paraId="0076FDC4" w14:textId="77777777" w:rsidR="002312A1" w:rsidRPr="002312A1" w:rsidRDefault="002312A1" w:rsidP="002312A1">
            <w:pPr>
              <w:rPr>
                <w:b/>
                <w:lang w:eastAsia="en-AU"/>
              </w:rPr>
            </w:pPr>
            <w:r w:rsidRPr="002312A1">
              <w:rPr>
                <w:b/>
              </w:rPr>
              <w:t>Annual Target</w:t>
            </w:r>
          </w:p>
        </w:tc>
        <w:tc>
          <w:tcPr>
            <w:tcW w:w="1776" w:type="dxa"/>
            <w:shd w:val="clear" w:color="auto" w:fill="D9D9D9" w:themeFill="background1" w:themeFillShade="D9"/>
          </w:tcPr>
          <w:p w14:paraId="6FF1FBAD" w14:textId="77777777" w:rsidR="002312A1" w:rsidRPr="002312A1" w:rsidRDefault="002312A1" w:rsidP="002312A1">
            <w:pPr>
              <w:rPr>
                <w:b/>
                <w:lang w:eastAsia="en-AU"/>
              </w:rPr>
            </w:pPr>
            <w:r w:rsidRPr="002312A1">
              <w:rPr>
                <w:b/>
              </w:rPr>
              <w:t>Target</w:t>
            </w:r>
          </w:p>
        </w:tc>
        <w:tc>
          <w:tcPr>
            <w:tcW w:w="1776" w:type="dxa"/>
            <w:shd w:val="clear" w:color="auto" w:fill="D9D9D9" w:themeFill="background1" w:themeFillShade="D9"/>
          </w:tcPr>
          <w:p w14:paraId="315113E3" w14:textId="77777777" w:rsidR="002312A1" w:rsidRPr="002312A1" w:rsidRDefault="002312A1" w:rsidP="002312A1">
            <w:pPr>
              <w:rPr>
                <w:b/>
                <w:lang w:eastAsia="en-AU"/>
              </w:rPr>
            </w:pPr>
            <w:r w:rsidRPr="002312A1">
              <w:rPr>
                <w:b/>
              </w:rPr>
              <w:t>Actual</w:t>
            </w:r>
          </w:p>
        </w:tc>
        <w:tc>
          <w:tcPr>
            <w:tcW w:w="1776" w:type="dxa"/>
            <w:shd w:val="clear" w:color="auto" w:fill="D9D9D9" w:themeFill="background1" w:themeFillShade="D9"/>
          </w:tcPr>
          <w:p w14:paraId="0E74AA09" w14:textId="77777777" w:rsidR="002312A1" w:rsidRPr="002312A1" w:rsidRDefault="002312A1" w:rsidP="002312A1">
            <w:pPr>
              <w:rPr>
                <w:b/>
                <w:lang w:eastAsia="en-AU"/>
              </w:rPr>
            </w:pPr>
            <w:r w:rsidRPr="002312A1">
              <w:rPr>
                <w:b/>
              </w:rPr>
              <w:t>Variance</w:t>
            </w:r>
          </w:p>
        </w:tc>
      </w:tr>
      <w:tr w:rsidR="002312A1" w14:paraId="6B63F8D5" w14:textId="77777777" w:rsidTr="002312A1">
        <w:tc>
          <w:tcPr>
            <w:tcW w:w="2972" w:type="dxa"/>
          </w:tcPr>
          <w:p w14:paraId="54417CEA" w14:textId="77777777" w:rsidR="002312A1" w:rsidRDefault="002312A1" w:rsidP="002312A1">
            <w:pPr>
              <w:rPr>
                <w:lang w:eastAsia="en-AU"/>
              </w:rPr>
            </w:pPr>
            <w:r>
              <w:t>Community legal education and information services</w:t>
            </w:r>
          </w:p>
        </w:tc>
        <w:tc>
          <w:tcPr>
            <w:tcW w:w="1776" w:type="dxa"/>
          </w:tcPr>
          <w:p w14:paraId="6F61FC50" w14:textId="77777777" w:rsidR="002312A1" w:rsidRDefault="002312A1" w:rsidP="002312A1">
            <w:pPr>
              <w:rPr>
                <w:lang w:eastAsia="en-AU"/>
              </w:rPr>
            </w:pPr>
            <w:r>
              <w:t>135,000–140,000</w:t>
            </w:r>
          </w:p>
        </w:tc>
        <w:tc>
          <w:tcPr>
            <w:tcW w:w="1776" w:type="dxa"/>
          </w:tcPr>
          <w:p w14:paraId="1D198B11" w14:textId="77777777" w:rsidR="002312A1" w:rsidRDefault="002312A1" w:rsidP="002312A1">
            <w:pPr>
              <w:rPr>
                <w:lang w:eastAsia="en-AU"/>
              </w:rPr>
            </w:pPr>
            <w:r>
              <w:t>69,100–72,000</w:t>
            </w:r>
          </w:p>
        </w:tc>
        <w:tc>
          <w:tcPr>
            <w:tcW w:w="1776" w:type="dxa"/>
          </w:tcPr>
          <w:p w14:paraId="77F8C458" w14:textId="77777777" w:rsidR="002312A1" w:rsidRDefault="002312A1" w:rsidP="002312A1">
            <w:pPr>
              <w:rPr>
                <w:lang w:eastAsia="en-AU"/>
              </w:rPr>
            </w:pPr>
            <w:r>
              <w:t>64,948</w:t>
            </w:r>
          </w:p>
        </w:tc>
        <w:tc>
          <w:tcPr>
            <w:tcW w:w="1776" w:type="dxa"/>
          </w:tcPr>
          <w:p w14:paraId="1D915483" w14:textId="77777777" w:rsidR="002312A1" w:rsidRDefault="002312A1" w:rsidP="002312A1">
            <w:pPr>
              <w:rPr>
                <w:lang w:eastAsia="en-AU"/>
              </w:rPr>
            </w:pPr>
            <w:r>
              <w:t>-6%</w:t>
            </w:r>
          </w:p>
        </w:tc>
      </w:tr>
      <w:tr w:rsidR="002312A1" w14:paraId="05B24B57" w14:textId="77777777" w:rsidTr="002312A1">
        <w:tc>
          <w:tcPr>
            <w:tcW w:w="2972" w:type="dxa"/>
          </w:tcPr>
          <w:p w14:paraId="754DFC03" w14:textId="77777777" w:rsidR="002312A1" w:rsidRDefault="002312A1" w:rsidP="002312A1">
            <w:pPr>
              <w:rPr>
                <w:lang w:eastAsia="en-AU"/>
              </w:rPr>
            </w:pPr>
            <w:r>
              <w:t>Duty lawyer services</w:t>
            </w:r>
          </w:p>
        </w:tc>
        <w:tc>
          <w:tcPr>
            <w:tcW w:w="1776" w:type="dxa"/>
          </w:tcPr>
          <w:p w14:paraId="4BC9EA03" w14:textId="77777777" w:rsidR="002312A1" w:rsidRDefault="002312A1" w:rsidP="002312A1">
            <w:pPr>
              <w:rPr>
                <w:lang w:eastAsia="en-AU"/>
              </w:rPr>
            </w:pPr>
            <w:r>
              <w:t>83,000–85,000</w:t>
            </w:r>
          </w:p>
        </w:tc>
        <w:tc>
          <w:tcPr>
            <w:tcW w:w="1776" w:type="dxa"/>
          </w:tcPr>
          <w:p w14:paraId="1C2356B9" w14:textId="77777777" w:rsidR="002312A1" w:rsidRDefault="002312A1" w:rsidP="002312A1">
            <w:pPr>
              <w:rPr>
                <w:lang w:eastAsia="en-AU"/>
              </w:rPr>
            </w:pPr>
            <w:r>
              <w:t>41,100–42,100</w:t>
            </w:r>
          </w:p>
        </w:tc>
        <w:tc>
          <w:tcPr>
            <w:tcW w:w="1776" w:type="dxa"/>
          </w:tcPr>
          <w:p w14:paraId="12C2C4B0" w14:textId="77777777" w:rsidR="002312A1" w:rsidRDefault="002312A1" w:rsidP="002312A1">
            <w:pPr>
              <w:rPr>
                <w:lang w:eastAsia="en-AU"/>
              </w:rPr>
            </w:pPr>
            <w:r>
              <w:t>44,871</w:t>
            </w:r>
          </w:p>
        </w:tc>
        <w:tc>
          <w:tcPr>
            <w:tcW w:w="1776" w:type="dxa"/>
          </w:tcPr>
          <w:p w14:paraId="5500405E" w14:textId="77777777" w:rsidR="002312A1" w:rsidRDefault="002312A1" w:rsidP="002312A1">
            <w:pPr>
              <w:rPr>
                <w:lang w:eastAsia="en-AU"/>
              </w:rPr>
            </w:pPr>
            <w:r>
              <w:t>7%</w:t>
            </w:r>
          </w:p>
        </w:tc>
      </w:tr>
      <w:tr w:rsidR="002312A1" w14:paraId="083E4055" w14:textId="77777777" w:rsidTr="002312A1">
        <w:tc>
          <w:tcPr>
            <w:tcW w:w="2972" w:type="dxa"/>
          </w:tcPr>
          <w:p w14:paraId="2400FF61" w14:textId="77777777" w:rsidR="002312A1" w:rsidRDefault="002312A1" w:rsidP="002312A1">
            <w:pPr>
              <w:rPr>
                <w:lang w:eastAsia="en-AU"/>
              </w:rPr>
            </w:pPr>
            <w:r>
              <w:t>Grants of legal assistance</w:t>
            </w:r>
          </w:p>
        </w:tc>
        <w:tc>
          <w:tcPr>
            <w:tcW w:w="1776" w:type="dxa"/>
          </w:tcPr>
          <w:p w14:paraId="5551FD9C" w14:textId="77777777" w:rsidR="002312A1" w:rsidRDefault="002312A1" w:rsidP="002312A1">
            <w:pPr>
              <w:rPr>
                <w:lang w:eastAsia="en-AU"/>
              </w:rPr>
            </w:pPr>
            <w:r>
              <w:t>35,000</w:t>
            </w:r>
          </w:p>
        </w:tc>
        <w:tc>
          <w:tcPr>
            <w:tcW w:w="1776" w:type="dxa"/>
          </w:tcPr>
          <w:p w14:paraId="457B2D8D" w14:textId="77777777" w:rsidR="002312A1" w:rsidRDefault="002312A1" w:rsidP="002312A1">
            <w:pPr>
              <w:rPr>
                <w:lang w:eastAsia="en-AU"/>
              </w:rPr>
            </w:pPr>
            <w:r>
              <w:t>17,100</w:t>
            </w:r>
          </w:p>
        </w:tc>
        <w:tc>
          <w:tcPr>
            <w:tcW w:w="1776" w:type="dxa"/>
          </w:tcPr>
          <w:p w14:paraId="218F58EF" w14:textId="77777777" w:rsidR="002312A1" w:rsidRDefault="002312A1" w:rsidP="002312A1">
            <w:pPr>
              <w:rPr>
                <w:lang w:eastAsia="en-AU"/>
              </w:rPr>
            </w:pPr>
            <w:r w:rsidRPr="001D0AC3">
              <w:t>20,</w:t>
            </w:r>
            <w:r w:rsidR="00303F32" w:rsidRPr="001D0AC3">
              <w:t>293</w:t>
            </w:r>
          </w:p>
        </w:tc>
        <w:tc>
          <w:tcPr>
            <w:tcW w:w="1776" w:type="dxa"/>
          </w:tcPr>
          <w:p w14:paraId="13539315" w14:textId="77777777" w:rsidR="002312A1" w:rsidRDefault="002312A1" w:rsidP="002312A1">
            <w:pPr>
              <w:rPr>
                <w:lang w:eastAsia="en-AU"/>
              </w:rPr>
            </w:pPr>
            <w:r>
              <w:t>19%</w:t>
            </w:r>
          </w:p>
        </w:tc>
      </w:tr>
      <w:tr w:rsidR="002312A1" w14:paraId="51427B58" w14:textId="77777777" w:rsidTr="002312A1">
        <w:tc>
          <w:tcPr>
            <w:tcW w:w="2972" w:type="dxa"/>
          </w:tcPr>
          <w:p w14:paraId="5736BD17" w14:textId="77777777" w:rsidR="002312A1" w:rsidRDefault="002312A1" w:rsidP="002312A1">
            <w:pPr>
              <w:rPr>
                <w:lang w:eastAsia="en-AU"/>
              </w:rPr>
            </w:pPr>
            <w:r>
              <w:t>Legal advice and minor assistance</w:t>
            </w:r>
          </w:p>
        </w:tc>
        <w:tc>
          <w:tcPr>
            <w:tcW w:w="1776" w:type="dxa"/>
          </w:tcPr>
          <w:p w14:paraId="6A010EBE" w14:textId="77777777" w:rsidR="002312A1" w:rsidRDefault="002312A1" w:rsidP="002312A1">
            <w:pPr>
              <w:rPr>
                <w:lang w:eastAsia="en-AU"/>
              </w:rPr>
            </w:pPr>
            <w:r>
              <w:t>42,000</w:t>
            </w:r>
          </w:p>
        </w:tc>
        <w:tc>
          <w:tcPr>
            <w:tcW w:w="1776" w:type="dxa"/>
          </w:tcPr>
          <w:p w14:paraId="459F84BC" w14:textId="77777777" w:rsidR="002312A1" w:rsidRDefault="002312A1" w:rsidP="002312A1">
            <w:pPr>
              <w:rPr>
                <w:lang w:eastAsia="en-AU"/>
              </w:rPr>
            </w:pPr>
            <w:r>
              <w:t>21,600</w:t>
            </w:r>
          </w:p>
        </w:tc>
        <w:tc>
          <w:tcPr>
            <w:tcW w:w="1776" w:type="dxa"/>
          </w:tcPr>
          <w:p w14:paraId="13B407DA" w14:textId="77777777" w:rsidR="002312A1" w:rsidRDefault="002312A1" w:rsidP="002312A1">
            <w:pPr>
              <w:rPr>
                <w:lang w:eastAsia="en-AU"/>
              </w:rPr>
            </w:pPr>
            <w:r>
              <w:t>20,887</w:t>
            </w:r>
          </w:p>
        </w:tc>
        <w:tc>
          <w:tcPr>
            <w:tcW w:w="1776" w:type="dxa"/>
          </w:tcPr>
          <w:p w14:paraId="7C9DEAB7" w14:textId="77777777" w:rsidR="002312A1" w:rsidRDefault="002312A1" w:rsidP="002312A1">
            <w:pPr>
              <w:rPr>
                <w:lang w:eastAsia="en-AU"/>
              </w:rPr>
            </w:pPr>
            <w:r>
              <w:t>-3%</w:t>
            </w:r>
          </w:p>
        </w:tc>
      </w:tr>
      <w:tr w:rsidR="002312A1" w14:paraId="3FBDCB9B" w14:textId="77777777" w:rsidTr="002312A1">
        <w:tc>
          <w:tcPr>
            <w:tcW w:w="2972" w:type="dxa"/>
          </w:tcPr>
          <w:p w14:paraId="7E82CB63" w14:textId="77777777" w:rsidR="002312A1" w:rsidRDefault="002312A1" w:rsidP="002312A1">
            <w:pPr>
              <w:rPr>
                <w:lang w:eastAsia="en-AU"/>
              </w:rPr>
            </w:pPr>
            <w:r>
              <w:t>Number of unique clients*</w:t>
            </w:r>
          </w:p>
        </w:tc>
        <w:tc>
          <w:tcPr>
            <w:tcW w:w="1776" w:type="dxa"/>
          </w:tcPr>
          <w:p w14:paraId="7AC18ECC" w14:textId="77777777" w:rsidR="002312A1" w:rsidRDefault="002312A1" w:rsidP="002312A1">
            <w:pPr>
              <w:rPr>
                <w:lang w:eastAsia="en-AU"/>
              </w:rPr>
            </w:pPr>
            <w:r>
              <w:t>84,000</w:t>
            </w:r>
          </w:p>
        </w:tc>
        <w:tc>
          <w:tcPr>
            <w:tcW w:w="1776" w:type="dxa"/>
          </w:tcPr>
          <w:p w14:paraId="6E900F6F" w14:textId="77777777" w:rsidR="002312A1" w:rsidRDefault="002312A1" w:rsidP="002312A1">
            <w:pPr>
              <w:rPr>
                <w:lang w:eastAsia="en-AU"/>
              </w:rPr>
            </w:pPr>
            <w:r>
              <w:t>50,200</w:t>
            </w:r>
          </w:p>
        </w:tc>
        <w:tc>
          <w:tcPr>
            <w:tcW w:w="1776" w:type="dxa"/>
          </w:tcPr>
          <w:p w14:paraId="27AD01BF" w14:textId="77777777" w:rsidR="002312A1" w:rsidRDefault="002312A1" w:rsidP="002312A1">
            <w:pPr>
              <w:rPr>
                <w:lang w:eastAsia="en-AU"/>
              </w:rPr>
            </w:pPr>
            <w:r>
              <w:t>51,798</w:t>
            </w:r>
          </w:p>
        </w:tc>
        <w:tc>
          <w:tcPr>
            <w:tcW w:w="1776" w:type="dxa"/>
          </w:tcPr>
          <w:p w14:paraId="3328CFEF" w14:textId="77777777" w:rsidR="002312A1" w:rsidRDefault="002312A1" w:rsidP="002312A1">
            <w:pPr>
              <w:rPr>
                <w:lang w:eastAsia="en-AU"/>
              </w:rPr>
            </w:pPr>
            <w:r>
              <w:t>3%</w:t>
            </w:r>
          </w:p>
        </w:tc>
      </w:tr>
      <w:tr w:rsidR="002312A1" w14:paraId="5A8A3262" w14:textId="77777777" w:rsidTr="002312A1">
        <w:tc>
          <w:tcPr>
            <w:tcW w:w="2972" w:type="dxa"/>
          </w:tcPr>
          <w:p w14:paraId="6F38D398" w14:textId="77777777" w:rsidR="002312A1" w:rsidRDefault="002312A1" w:rsidP="002312A1">
            <w:pPr>
              <w:rPr>
                <w:lang w:eastAsia="en-AU"/>
              </w:rPr>
            </w:pPr>
            <w:r>
              <w:t>Applications for legal assistance processed within 15 days</w:t>
            </w:r>
          </w:p>
        </w:tc>
        <w:tc>
          <w:tcPr>
            <w:tcW w:w="1776" w:type="dxa"/>
          </w:tcPr>
          <w:p w14:paraId="721A69B3" w14:textId="77777777" w:rsidR="002312A1" w:rsidRDefault="002312A1" w:rsidP="002312A1">
            <w:pPr>
              <w:rPr>
                <w:lang w:eastAsia="en-AU"/>
              </w:rPr>
            </w:pPr>
            <w:r>
              <w:t>95%</w:t>
            </w:r>
          </w:p>
        </w:tc>
        <w:tc>
          <w:tcPr>
            <w:tcW w:w="1776" w:type="dxa"/>
          </w:tcPr>
          <w:p w14:paraId="7A55DF0D" w14:textId="77777777" w:rsidR="002312A1" w:rsidRDefault="002312A1" w:rsidP="002312A1">
            <w:pPr>
              <w:rPr>
                <w:lang w:eastAsia="en-AU"/>
              </w:rPr>
            </w:pPr>
            <w:r>
              <w:t>95%</w:t>
            </w:r>
          </w:p>
        </w:tc>
        <w:tc>
          <w:tcPr>
            <w:tcW w:w="1776" w:type="dxa"/>
          </w:tcPr>
          <w:p w14:paraId="4B5AECA2" w14:textId="77777777" w:rsidR="002312A1" w:rsidRDefault="002312A1" w:rsidP="002312A1">
            <w:pPr>
              <w:rPr>
                <w:lang w:eastAsia="en-AU"/>
              </w:rPr>
            </w:pPr>
            <w:r>
              <w:t>96%</w:t>
            </w:r>
          </w:p>
        </w:tc>
        <w:tc>
          <w:tcPr>
            <w:tcW w:w="1776" w:type="dxa"/>
          </w:tcPr>
          <w:p w14:paraId="7A34E6E1" w14:textId="77777777" w:rsidR="002312A1" w:rsidRDefault="002312A1" w:rsidP="002312A1">
            <w:r>
              <w:t>1%</w:t>
            </w:r>
          </w:p>
        </w:tc>
      </w:tr>
    </w:tbl>
    <w:p w14:paraId="02BBC221" w14:textId="77777777" w:rsidR="00D75C29" w:rsidRPr="0047677D" w:rsidRDefault="00D75C29" w:rsidP="0047677D"/>
    <w:sectPr w:rsidR="00D75C29" w:rsidRPr="0047677D" w:rsidSect="001D0AC3">
      <w:headerReference w:type="even" r:id="rId12"/>
      <w:headerReference w:type="default" r:id="rId13"/>
      <w:footerReference w:type="even" r:id="rId14"/>
      <w:footerReference w:type="default" r:id="rId15"/>
      <w:headerReference w:type="first" r:id="rId16"/>
      <w:footerReference w:type="first" r:id="rId17"/>
      <w:pgSz w:w="11900" w:h="16840" w:code="9"/>
      <w:pgMar w:top="1276"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644C4" w14:textId="77777777" w:rsidR="00920686" w:rsidRDefault="00920686"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0253ED0E" w14:textId="77777777" w:rsidR="00920686" w:rsidRDefault="00920686"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78618" w14:textId="77777777" w:rsidR="00920686" w:rsidRDefault="00920686"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D04532" w14:textId="77777777" w:rsidR="00920686" w:rsidRDefault="00920686" w:rsidP="008074B3">
    <w:pPr>
      <w:pStyle w:val="Footer"/>
      <w:ind w:right="360" w:firstLine="360"/>
    </w:pPr>
  </w:p>
  <w:p w14:paraId="00FB8063" w14:textId="77777777" w:rsidR="00920686" w:rsidRDefault="009206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2A96A" w14:textId="544D420F" w:rsidR="00920686" w:rsidRDefault="00920686"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343733">
      <w:rPr>
        <w:rStyle w:val="PageNumber"/>
        <w:noProof/>
      </w:rPr>
      <w:t>4</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5E6206B3" wp14:editId="71A7DC83">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F72C42"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FF184" w14:textId="2FAAE4C4" w:rsidR="00920686" w:rsidRPr="008636E1" w:rsidRDefault="00920686"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343733">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46FAD666" wp14:editId="1FFFD20F">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DEB9E0"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6F38B" w14:textId="77777777" w:rsidR="00920686" w:rsidRDefault="00920686"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3B4229E7" w14:textId="77777777" w:rsidR="00920686" w:rsidRDefault="00920686" w:rsidP="00181303">
      <w:pPr>
        <w:pStyle w:val="Header"/>
        <w:framePr w:wrap="around" w:vAnchor="text" w:hAnchor="margin" w:xAlign="right" w:y="1"/>
        <w:rPr>
          <w:rStyle w:val="PageNumber"/>
        </w:rPr>
      </w:pPr>
      <w:r w:rsidRPr="009F0AA0">
        <w:pgNum/>
      </w:r>
      <w:r w:rsidRPr="009F0AA0">
        <w:pgNum/>
      </w:r>
      <w:r w:rsidRPr="009F0AA0">
        <w:pgNum/>
      </w:r>
    </w:p>
  </w:footnote>
  <w:footnote w:id="1">
    <w:p w14:paraId="342A5C79" w14:textId="67AA884F" w:rsidR="00920686" w:rsidRPr="00A20861" w:rsidRDefault="00920686">
      <w:pPr>
        <w:pStyle w:val="FootnoteText"/>
        <w:rPr>
          <w:lang w:val="en-US"/>
        </w:rPr>
      </w:pPr>
      <w:r>
        <w:rPr>
          <w:rStyle w:val="FootnoteReference"/>
        </w:rPr>
        <w:footnoteRef/>
      </w:r>
      <w:r>
        <w:t xml:space="preserve"> </w:t>
      </w:r>
      <w:r w:rsidRPr="00A20861">
        <w:t>Department of Justice and Regulation, Access to Justice Review (2016), 4</w:t>
      </w:r>
      <w:r w:rsidR="00687C56">
        <w:t>.</w:t>
      </w:r>
    </w:p>
  </w:footnote>
  <w:footnote w:id="2">
    <w:p w14:paraId="582A4B52" w14:textId="77777777" w:rsidR="00920686" w:rsidRPr="00A20861" w:rsidRDefault="00920686" w:rsidP="00A20861">
      <w:pPr>
        <w:pStyle w:val="FootnoteText"/>
        <w:rPr>
          <w:rStyle w:val="FootnoteReference"/>
          <w:vertAlign w:val="baseline"/>
        </w:rPr>
      </w:pPr>
      <w:r>
        <w:rPr>
          <w:rStyle w:val="FootnoteReference"/>
        </w:rPr>
        <w:footnoteRef/>
      </w:r>
      <w:r>
        <w:t xml:space="preserve"> </w:t>
      </w:r>
      <w:r w:rsidRPr="00A20861">
        <w:rPr>
          <w:rStyle w:val="FootnoteReference"/>
          <w:vertAlign w:val="baseline"/>
        </w:rPr>
        <w:t>A unique client is an individual who accessed one or more of our legal services. This does not include people</w:t>
      </w:r>
    </w:p>
    <w:p w14:paraId="69987FEC" w14:textId="77777777" w:rsidR="00920686" w:rsidRPr="00A20861" w:rsidRDefault="00920686" w:rsidP="00A20861">
      <w:pPr>
        <w:pStyle w:val="FootnoteText"/>
        <w:rPr>
          <w:rStyle w:val="FootnoteReference"/>
          <w:vertAlign w:val="baseline"/>
        </w:rPr>
      </w:pPr>
      <w:r w:rsidRPr="00A20861">
        <w:rPr>
          <w:rStyle w:val="FootnoteReference"/>
          <w:vertAlign w:val="baseline"/>
        </w:rPr>
        <w:t>for whom a client-lawyer relationship was not formed, who received information via the telephone, website or</w:t>
      </w:r>
    </w:p>
    <w:p w14:paraId="1A707999" w14:textId="77777777" w:rsidR="00920686" w:rsidRPr="00A20861" w:rsidRDefault="00920686" w:rsidP="00A20861">
      <w:pPr>
        <w:pStyle w:val="FootnoteText"/>
        <w:rPr>
          <w:rStyle w:val="FootnoteReference"/>
          <w:vertAlign w:val="baseline"/>
        </w:rPr>
      </w:pPr>
      <w:r w:rsidRPr="00A20861">
        <w:rPr>
          <w:rStyle w:val="FootnoteReference"/>
          <w:vertAlign w:val="baseline"/>
        </w:rPr>
        <w:t>in-person at court or at a public counter, who participated in community legal education sessions, or clients</w:t>
      </w:r>
    </w:p>
    <w:p w14:paraId="67F59588" w14:textId="77777777" w:rsidR="00920686" w:rsidRPr="00A20861" w:rsidRDefault="00920686" w:rsidP="00A20861">
      <w:pPr>
        <w:pStyle w:val="FootnoteText"/>
      </w:pPr>
      <w:r w:rsidRPr="00A20861">
        <w:rPr>
          <w:rStyle w:val="FootnoteReference"/>
          <w:vertAlign w:val="baseline"/>
        </w:rPr>
        <w:t>from community legal centres.</w:t>
      </w:r>
    </w:p>
    <w:p w14:paraId="53767007" w14:textId="77777777" w:rsidR="00920686" w:rsidRPr="00A20861" w:rsidRDefault="00920686">
      <w:pPr>
        <w:pStyle w:val="FootnoteText"/>
        <w:rPr>
          <w:lang w:val="en-US"/>
        </w:rPr>
      </w:pPr>
    </w:p>
  </w:footnote>
  <w:footnote w:id="3">
    <w:p w14:paraId="3A89DC71" w14:textId="693BE02F" w:rsidR="00920686" w:rsidRPr="002D0843" w:rsidRDefault="00920686">
      <w:pPr>
        <w:pStyle w:val="FootnoteText"/>
        <w:rPr>
          <w:lang w:val="en-US"/>
        </w:rPr>
      </w:pPr>
      <w:r>
        <w:rPr>
          <w:rStyle w:val="FootnoteReference"/>
        </w:rPr>
        <w:footnoteRef/>
      </w:r>
      <w:r>
        <w:t xml:space="preserve"> </w:t>
      </w:r>
      <w:r>
        <w:rPr>
          <w:lang w:val="en-US"/>
        </w:rPr>
        <w:t xml:space="preserve">Clients with no income are defined as young people, people in custody, detention or psychiatric care, and people not receiving a form of government benefit at the time the legal service was delivered.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CF0A4" w14:textId="77777777" w:rsidR="00920686" w:rsidRDefault="00920686"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188B49" w14:textId="77777777" w:rsidR="00920686" w:rsidRDefault="00920686" w:rsidP="00091AFC">
    <w:pPr>
      <w:pStyle w:val="Header"/>
      <w:ind w:right="360"/>
    </w:pPr>
  </w:p>
  <w:p w14:paraId="2AA442D7" w14:textId="77777777" w:rsidR="00920686" w:rsidRDefault="009206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1159F" w14:textId="77777777" w:rsidR="00920686" w:rsidRPr="006A6FC6" w:rsidRDefault="00920686"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2C9748E8" w14:textId="173952C9" w:rsidR="00920686" w:rsidRPr="00EF7C5C" w:rsidRDefault="00920686" w:rsidP="00EF7C5C">
    <w:pPr>
      <w:spacing w:line="240" w:lineRule="auto"/>
      <w:ind w:left="-330"/>
      <w:rPr>
        <w:rFonts w:ascii="Arial Bold" w:hAnsi="Arial Bold" w:cs="Arial"/>
        <w:color w:val="B1005D"/>
      </w:rPr>
    </w:pPr>
    <w:r>
      <w:rPr>
        <w:rFonts w:ascii="Arial Bold" w:hAnsi="Arial Bold" w:cs="Arial"/>
        <w:b/>
        <w:color w:val="B1005D"/>
        <w:sz w:val="18"/>
        <w:szCs w:val="18"/>
      </w:rPr>
      <w:t>Victoria Legal Aid 2016–17 midyear report</w:t>
    </w:r>
    <w:r>
      <w:rPr>
        <w:rFonts w:ascii="Arial Bold" w:hAnsi="Arial Bold" w:cs="Arial"/>
        <w:b/>
        <w:noProof/>
        <w:color w:val="B1005D"/>
        <w:sz w:val="18"/>
        <w:szCs w:val="18"/>
        <w:lang w:eastAsia="en-AU"/>
      </w:rPr>
      <w:t xml:space="preserve"> </w:t>
    </w:r>
    <w:r>
      <w:rPr>
        <w:rFonts w:ascii="Arial Bold" w:hAnsi="Arial Bold" w:cs="Arial"/>
        <w:b/>
        <w:noProof/>
        <w:color w:val="B1005D"/>
        <w:sz w:val="18"/>
        <w:szCs w:val="18"/>
        <w:lang w:eastAsia="en-AU"/>
      </w:rPr>
      <mc:AlternateContent>
        <mc:Choice Requires="wps">
          <w:drawing>
            <wp:anchor distT="0" distB="0" distL="114300" distR="114300" simplePos="0" relativeHeight="251656704" behindDoc="1" locked="1" layoutInCell="1" allowOverlap="1" wp14:anchorId="386FE77B" wp14:editId="381024D6">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63985" id="Straight Connector 3" o:spid="_x0000_s1026" alt=" "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F0734" w14:textId="77777777" w:rsidR="00920686" w:rsidRPr="00833658" w:rsidRDefault="00920686"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63872" behindDoc="1" locked="0" layoutInCell="1" allowOverlap="1" wp14:anchorId="4FC38579" wp14:editId="1AE464C7">
          <wp:simplePos x="0" y="0"/>
          <wp:positionH relativeFrom="column">
            <wp:posOffset>-389890</wp:posOffset>
          </wp:positionH>
          <wp:positionV relativeFrom="paragraph">
            <wp:posOffset>423</wp:posOffset>
          </wp:positionV>
          <wp:extent cx="7200000" cy="1258537"/>
          <wp:effectExtent l="0" t="0" r="0"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244521F" w14:textId="77777777" w:rsidR="00920686" w:rsidRPr="00D82005" w:rsidRDefault="00920686" w:rsidP="00D82005">
    <w:pPr>
      <w:pStyle w:val="VLAPublicationdate"/>
      <w:spacing w:before="240" w:after="1200"/>
    </w:pPr>
    <w:r>
      <w:t>February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12"/>
  </w:num>
  <w:num w:numId="4">
    <w:abstractNumId w:val="11"/>
  </w:num>
  <w:num w:numId="5">
    <w:abstractNumId w:val="12"/>
  </w:num>
  <w:num w:numId="6">
    <w:abstractNumId w:val="12"/>
  </w:num>
  <w:num w:numId="7">
    <w:abstractNumId w:val="13"/>
  </w:num>
  <w:num w:numId="8">
    <w:abstractNumId w:val="12"/>
  </w:num>
  <w:num w:numId="9">
    <w:abstractNumId w:val="10"/>
  </w:num>
  <w:num w:numId="10">
    <w:abstractNumId w:val="8"/>
  </w:num>
  <w:num w:numId="11">
    <w:abstractNumId w:val="10"/>
  </w:num>
  <w:num w:numId="12">
    <w:abstractNumId w:val="7"/>
  </w:num>
  <w:num w:numId="13">
    <w:abstractNumId w:val="7"/>
  </w:num>
  <w:num w:numId="14">
    <w:abstractNumId w:val="7"/>
  </w:num>
  <w:num w:numId="15">
    <w:abstractNumId w:val="7"/>
  </w:num>
  <w:num w:numId="16">
    <w:abstractNumId w:val="8"/>
  </w:num>
  <w:num w:numId="17">
    <w:abstractNumId w:val="12"/>
  </w:num>
  <w:num w:numId="18">
    <w:abstractNumId w:val="12"/>
  </w:num>
  <w:num w:numId="19">
    <w:abstractNumId w:val="11"/>
  </w:num>
  <w:num w:numId="20">
    <w:abstractNumId w:val="11"/>
  </w:num>
  <w:num w:numId="21">
    <w:abstractNumId w:val="11"/>
  </w:num>
  <w:num w:numId="22">
    <w:abstractNumId w:val="10"/>
  </w:num>
  <w:num w:numId="23">
    <w:abstractNumId w:val="8"/>
  </w:num>
  <w:num w:numId="24">
    <w:abstractNumId w:val="12"/>
  </w:num>
  <w:num w:numId="25">
    <w:abstractNumId w:val="12"/>
  </w:num>
  <w:num w:numId="26">
    <w:abstractNumId w:val="11"/>
  </w:num>
  <w:num w:numId="27">
    <w:abstractNumId w:val="11"/>
  </w:num>
  <w:num w:numId="28">
    <w:abstractNumId w:val="11"/>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rawingGridHorizontalSpacing w:val="110"/>
  <w:drawingGridVerticalSpacing w:val="360"/>
  <w:displayHorizontalDrawingGridEvery w:val="0"/>
  <w:displayVerticalDrawingGridEvery w:val="0"/>
  <w:characterSpacingControl w:val="doNotCompress"/>
  <w:hdrShapeDefaults>
    <o:shapedefaults v:ext="edit" spidmax="18433">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 w:name="OpenInPublishingView" w:val="0"/>
  </w:docVars>
  <w:rsids>
    <w:rsidRoot w:val="0047677D"/>
    <w:rsid w:val="000078CE"/>
    <w:rsid w:val="000360EC"/>
    <w:rsid w:val="00040F0B"/>
    <w:rsid w:val="00057FDC"/>
    <w:rsid w:val="000759A6"/>
    <w:rsid w:val="00091432"/>
    <w:rsid w:val="00091AFC"/>
    <w:rsid w:val="00094FE1"/>
    <w:rsid w:val="000A1C94"/>
    <w:rsid w:val="000C6955"/>
    <w:rsid w:val="000E1BEB"/>
    <w:rsid w:val="00136ED3"/>
    <w:rsid w:val="00151B7E"/>
    <w:rsid w:val="0015359B"/>
    <w:rsid w:val="00160C7E"/>
    <w:rsid w:val="00165F28"/>
    <w:rsid w:val="00181303"/>
    <w:rsid w:val="001A0DF1"/>
    <w:rsid w:val="001A2999"/>
    <w:rsid w:val="001D0AC3"/>
    <w:rsid w:val="001D131A"/>
    <w:rsid w:val="0021722B"/>
    <w:rsid w:val="002312A1"/>
    <w:rsid w:val="002B73A4"/>
    <w:rsid w:val="002D0843"/>
    <w:rsid w:val="002F7860"/>
    <w:rsid w:val="00303F32"/>
    <w:rsid w:val="00306C10"/>
    <w:rsid w:val="00310DD1"/>
    <w:rsid w:val="00315C03"/>
    <w:rsid w:val="003224F8"/>
    <w:rsid w:val="003315F4"/>
    <w:rsid w:val="00332DB5"/>
    <w:rsid w:val="00343733"/>
    <w:rsid w:val="00360994"/>
    <w:rsid w:val="003655D7"/>
    <w:rsid w:val="0037081E"/>
    <w:rsid w:val="00375C12"/>
    <w:rsid w:val="003A6F61"/>
    <w:rsid w:val="00402557"/>
    <w:rsid w:val="004158B6"/>
    <w:rsid w:val="00427C16"/>
    <w:rsid w:val="004421BD"/>
    <w:rsid w:val="00443649"/>
    <w:rsid w:val="004707EF"/>
    <w:rsid w:val="0047677D"/>
    <w:rsid w:val="004830F2"/>
    <w:rsid w:val="004A0601"/>
    <w:rsid w:val="004C75B1"/>
    <w:rsid w:val="004D05EB"/>
    <w:rsid w:val="004D17FC"/>
    <w:rsid w:val="004D7100"/>
    <w:rsid w:val="00504F13"/>
    <w:rsid w:val="005317C2"/>
    <w:rsid w:val="00546C0D"/>
    <w:rsid w:val="005B1640"/>
    <w:rsid w:val="005B3D02"/>
    <w:rsid w:val="005C1DFD"/>
    <w:rsid w:val="005D19C7"/>
    <w:rsid w:val="005D4A19"/>
    <w:rsid w:val="005D5C9C"/>
    <w:rsid w:val="005F7333"/>
    <w:rsid w:val="006213C1"/>
    <w:rsid w:val="00622473"/>
    <w:rsid w:val="006305B3"/>
    <w:rsid w:val="0066019E"/>
    <w:rsid w:val="00662048"/>
    <w:rsid w:val="006764E3"/>
    <w:rsid w:val="00680746"/>
    <w:rsid w:val="00687C56"/>
    <w:rsid w:val="006A00A7"/>
    <w:rsid w:val="006A6FC6"/>
    <w:rsid w:val="006B35B8"/>
    <w:rsid w:val="006B3F5E"/>
    <w:rsid w:val="006B612D"/>
    <w:rsid w:val="006B6E7E"/>
    <w:rsid w:val="006F181A"/>
    <w:rsid w:val="006F2D6F"/>
    <w:rsid w:val="00714549"/>
    <w:rsid w:val="00724661"/>
    <w:rsid w:val="00781FFA"/>
    <w:rsid w:val="0078739B"/>
    <w:rsid w:val="007B0612"/>
    <w:rsid w:val="007D5BA7"/>
    <w:rsid w:val="008074B3"/>
    <w:rsid w:val="0082595B"/>
    <w:rsid w:val="00833658"/>
    <w:rsid w:val="00847377"/>
    <w:rsid w:val="00856DA8"/>
    <w:rsid w:val="0086035E"/>
    <w:rsid w:val="008636E1"/>
    <w:rsid w:val="00875E86"/>
    <w:rsid w:val="00876A7D"/>
    <w:rsid w:val="008958CB"/>
    <w:rsid w:val="00896E60"/>
    <w:rsid w:val="008A1E46"/>
    <w:rsid w:val="008A1E5F"/>
    <w:rsid w:val="008B2419"/>
    <w:rsid w:val="008C388A"/>
    <w:rsid w:val="008F4DC6"/>
    <w:rsid w:val="008F60E3"/>
    <w:rsid w:val="00920686"/>
    <w:rsid w:val="00940793"/>
    <w:rsid w:val="0099270D"/>
    <w:rsid w:val="009A74F1"/>
    <w:rsid w:val="009B0D09"/>
    <w:rsid w:val="009B59BF"/>
    <w:rsid w:val="009D539D"/>
    <w:rsid w:val="009E1AC3"/>
    <w:rsid w:val="009F0AA0"/>
    <w:rsid w:val="009F62DB"/>
    <w:rsid w:val="00A11120"/>
    <w:rsid w:val="00A20861"/>
    <w:rsid w:val="00A40CEB"/>
    <w:rsid w:val="00A4395A"/>
    <w:rsid w:val="00A52F29"/>
    <w:rsid w:val="00A86650"/>
    <w:rsid w:val="00A93509"/>
    <w:rsid w:val="00AB5376"/>
    <w:rsid w:val="00AC0D29"/>
    <w:rsid w:val="00AC3D95"/>
    <w:rsid w:val="00B044A6"/>
    <w:rsid w:val="00B6049A"/>
    <w:rsid w:val="00B85795"/>
    <w:rsid w:val="00B94279"/>
    <w:rsid w:val="00BB122F"/>
    <w:rsid w:val="00BD3873"/>
    <w:rsid w:val="00BE36EB"/>
    <w:rsid w:val="00BE6D3A"/>
    <w:rsid w:val="00C16B80"/>
    <w:rsid w:val="00C23872"/>
    <w:rsid w:val="00C33AEF"/>
    <w:rsid w:val="00C415B1"/>
    <w:rsid w:val="00C61CB5"/>
    <w:rsid w:val="00C64A61"/>
    <w:rsid w:val="00C81372"/>
    <w:rsid w:val="00C84D28"/>
    <w:rsid w:val="00C97F3C"/>
    <w:rsid w:val="00CB48F9"/>
    <w:rsid w:val="00CC0626"/>
    <w:rsid w:val="00CC216F"/>
    <w:rsid w:val="00CD6D43"/>
    <w:rsid w:val="00CF2D05"/>
    <w:rsid w:val="00D30B8E"/>
    <w:rsid w:val="00D37B73"/>
    <w:rsid w:val="00D46466"/>
    <w:rsid w:val="00D75C29"/>
    <w:rsid w:val="00D82005"/>
    <w:rsid w:val="00DB07C5"/>
    <w:rsid w:val="00DC01DC"/>
    <w:rsid w:val="00DD5EE1"/>
    <w:rsid w:val="00DE037E"/>
    <w:rsid w:val="00DE3C33"/>
    <w:rsid w:val="00E03ADB"/>
    <w:rsid w:val="00E33B3F"/>
    <w:rsid w:val="00E865F8"/>
    <w:rsid w:val="00E92D5D"/>
    <w:rsid w:val="00EF4FC5"/>
    <w:rsid w:val="00EF7C5C"/>
    <w:rsid w:val="00F0005B"/>
    <w:rsid w:val="00F14EC8"/>
    <w:rsid w:val="00F63972"/>
    <w:rsid w:val="00F77E0F"/>
    <w:rsid w:val="00F825B6"/>
    <w:rsid w:val="00F97BE6"/>
    <w:rsid w:val="00FB3760"/>
    <w:rsid w:val="00FC06C1"/>
    <w:rsid w:val="00FC7D92"/>
    <w:rsid w:val="00FE2E8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colormru v:ext="edit" colors="#017165,#96004a,#b1005d"/>
    </o:shapedefaults>
    <o:shapelayout v:ext="edit">
      <o:idmap v:ext="edit" data="1"/>
    </o:shapelayout>
  </w:shapeDefaults>
  <w:decimalSymbol w:val="."/>
  <w:listSeparator w:val=","/>
  <w14:docId w14:val="522DF65D"/>
  <w15:docId w15:val="{A5DB2DDD-5153-49D0-9924-C5805D86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47677D"/>
    <w:pPr>
      <w:numPr>
        <w:numId w:val="23"/>
      </w:numPr>
      <w:spacing w:after="120" w:line="300" w:lineRule="atLeast"/>
      <w:ind w:left="850" w:hanging="340"/>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aliases w:val="Footnote,Footnotes refss,4_G,Footnote number,Stinking Styles,Nota a pie,NO"/>
    <w:qFormat/>
    <w:rsid w:val="00DB07C5"/>
    <w:rPr>
      <w:rFonts w:ascii="Arial" w:hAnsi="Arial"/>
      <w:sz w:val="18"/>
      <w:vertAlign w:val="superscript"/>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C"/>
    <w:basedOn w:val="Normal"/>
    <w:link w:val="FootnoteTextChar"/>
    <w:qFormat/>
    <w:rsid w:val="00A20861"/>
    <w:pPr>
      <w:ind w:left="284" w:hanging="284"/>
      <w:contextualSpacing/>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character" w:customStyle="1" w:styleId="FootnoteTextChar">
    <w:name w:val="Footnote Text Char"/>
    <w:aliases w:val="Footnote Text Char Char Char Char Char Char Char,Footnote Text Char Char Char Char Char Char Char Char Char Char Char Char Char Char Char Char Char Char,C Char"/>
    <w:basedOn w:val="DefaultParagraphFont"/>
    <w:link w:val="FootnoteText"/>
    <w:rsid w:val="00A20861"/>
    <w:rPr>
      <w:rFonts w:ascii="Arial" w:eastAsia="Times New Roman" w:hAnsi="Arial"/>
      <w:sz w:val="18"/>
    </w:rPr>
  </w:style>
  <w:style w:type="character" w:styleId="CommentReference">
    <w:name w:val="annotation reference"/>
    <w:basedOn w:val="DefaultParagraphFont"/>
    <w:semiHidden/>
    <w:unhideWhenUsed/>
    <w:rsid w:val="00A40CEB"/>
    <w:rPr>
      <w:sz w:val="16"/>
      <w:szCs w:val="16"/>
    </w:rPr>
  </w:style>
  <w:style w:type="paragraph" w:styleId="CommentText">
    <w:name w:val="annotation text"/>
    <w:basedOn w:val="Normal"/>
    <w:link w:val="CommentTextChar"/>
    <w:semiHidden/>
    <w:unhideWhenUsed/>
    <w:rsid w:val="00A40CEB"/>
    <w:pPr>
      <w:spacing w:line="240" w:lineRule="auto"/>
    </w:pPr>
    <w:rPr>
      <w:sz w:val="20"/>
      <w:szCs w:val="20"/>
    </w:rPr>
  </w:style>
  <w:style w:type="character" w:customStyle="1" w:styleId="CommentTextChar">
    <w:name w:val="Comment Text Char"/>
    <w:basedOn w:val="DefaultParagraphFont"/>
    <w:link w:val="CommentText"/>
    <w:semiHidden/>
    <w:rsid w:val="00A40CEB"/>
    <w:rPr>
      <w:rFonts w:ascii="Arial" w:eastAsia="Times New Roman" w:hAnsi="Arial"/>
    </w:rPr>
  </w:style>
  <w:style w:type="paragraph" w:styleId="CommentSubject">
    <w:name w:val="annotation subject"/>
    <w:basedOn w:val="CommentText"/>
    <w:next w:val="CommentText"/>
    <w:link w:val="CommentSubjectChar"/>
    <w:semiHidden/>
    <w:unhideWhenUsed/>
    <w:rsid w:val="00A40CEB"/>
    <w:rPr>
      <w:b/>
      <w:bCs/>
    </w:rPr>
  </w:style>
  <w:style w:type="character" w:customStyle="1" w:styleId="CommentSubjectChar">
    <w:name w:val="Comment Subject Char"/>
    <w:basedOn w:val="CommentTextChar"/>
    <w:link w:val="CommentSubject"/>
    <w:semiHidden/>
    <w:rsid w:val="00A40CEB"/>
    <w:rPr>
      <w:rFonts w:ascii="Arial" w:eastAsia="Times New Roman" w:hAnsi="Arial"/>
      <w:b/>
      <w:bCs/>
    </w:rPr>
  </w:style>
  <w:style w:type="paragraph" w:styleId="BalloonText">
    <w:name w:val="Balloon Text"/>
    <w:basedOn w:val="Normal"/>
    <w:link w:val="BalloonTextChar"/>
    <w:semiHidden/>
    <w:unhideWhenUsed/>
    <w:rsid w:val="00A40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40CEB"/>
    <w:rPr>
      <w:rFonts w:ascii="Segoe UI" w:eastAsia="Times New Roman" w:hAnsi="Segoe UI" w:cs="Segoe UI"/>
      <w:sz w:val="18"/>
      <w:szCs w:val="18"/>
    </w:rPr>
  </w:style>
  <w:style w:type="character" w:styleId="Emphasis">
    <w:name w:val="Emphasis"/>
    <w:basedOn w:val="DefaultParagraphFont"/>
    <w:qFormat/>
    <w:locked/>
    <w:rsid w:val="00FC06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2-20T10:30:21.268"/>
    </inkml:context>
    <inkml:brush xml:id="br0">
      <inkml:brushProperty name="width" value="0.02857" units="cm"/>
      <inkml:brushProperty name="height" value="0.02857" units="cm"/>
    </inkml:brush>
  </inkml:definitions>
  <inkml:trace contextRef="#ctx0" brushRef="#br0">15192 15804 11584,'27'27'-6400</inkml:trace>
</inkml:ink>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DA421-9872-4A9F-A1E9-A2FA12202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Victoria Legal Aid 2016–17 mid-year report</vt:lpstr>
    </vt:vector>
  </TitlesOfParts>
  <Company>Victoria Legal Aid</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Legal Aid 2016–17 mid-year report</dc:title>
  <dc:subject/>
  <dc:creator>Victoria Legal Aid</dc:creator>
  <cp:keywords/>
  <cp:lastModifiedBy/>
  <cp:revision>1</cp:revision>
  <dcterms:created xsi:type="dcterms:W3CDTF">2021-04-29T23:58:00Z</dcterms:created>
  <dcterms:modified xsi:type="dcterms:W3CDTF">2021-04-29T23:58:00Z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