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E6931" w14:textId="77777777" w:rsidR="0047535D" w:rsidRDefault="0047535D" w:rsidP="00745ECC">
      <w:pPr>
        <w:pStyle w:val="VLAdate"/>
        <w:rPr>
          <w:rFonts w:cs="Arial"/>
          <w:b/>
          <w:color w:val="971A4B"/>
          <w:kern w:val="28"/>
          <w:sz w:val="36"/>
          <w:szCs w:val="32"/>
        </w:rPr>
      </w:pPr>
    </w:p>
    <w:p w14:paraId="7C36797A" w14:textId="77777777" w:rsidR="0047535D" w:rsidRDefault="0047535D" w:rsidP="00745ECC">
      <w:pPr>
        <w:pStyle w:val="VLAdate"/>
        <w:rPr>
          <w:rFonts w:cs="Arial"/>
          <w:b/>
          <w:color w:val="971A4B"/>
          <w:kern w:val="28"/>
          <w:sz w:val="36"/>
          <w:szCs w:val="32"/>
        </w:rPr>
      </w:pPr>
    </w:p>
    <w:p w14:paraId="50DF471D" w14:textId="77777777" w:rsidR="0047535D" w:rsidRPr="00B71AF8" w:rsidRDefault="0047535D" w:rsidP="00745ECC">
      <w:pPr>
        <w:pStyle w:val="VLAdate"/>
        <w:rPr>
          <w:rFonts w:cs="Arial"/>
          <w:b/>
          <w:color w:val="971A4B"/>
          <w:kern w:val="28"/>
          <w:sz w:val="36"/>
          <w:szCs w:val="32"/>
        </w:rPr>
      </w:pPr>
      <w:bookmarkStart w:id="0" w:name="_Hlk536611033"/>
      <w:r w:rsidRPr="00B71AF8">
        <w:rPr>
          <w:rFonts w:cs="Arial"/>
          <w:b/>
          <w:color w:val="971A4B"/>
          <w:kern w:val="28"/>
          <w:sz w:val="36"/>
          <w:szCs w:val="32"/>
        </w:rPr>
        <w:t xml:space="preserve">Roads to Recovery: 10 themes that </w:t>
      </w:r>
      <w:r w:rsidR="0079400E" w:rsidRPr="00B71AF8">
        <w:rPr>
          <w:rFonts w:cs="Arial"/>
          <w:b/>
          <w:color w:val="971A4B"/>
          <w:kern w:val="28"/>
          <w:sz w:val="36"/>
          <w:szCs w:val="32"/>
        </w:rPr>
        <w:t>must</w:t>
      </w:r>
      <w:r w:rsidRPr="00B71AF8">
        <w:rPr>
          <w:rFonts w:cs="Arial"/>
          <w:b/>
          <w:color w:val="971A4B"/>
          <w:kern w:val="28"/>
          <w:sz w:val="36"/>
          <w:szCs w:val="32"/>
        </w:rPr>
        <w:t xml:space="preserve"> be considered by Victoria’s Royal Commission into Mental Health</w:t>
      </w:r>
      <w:r w:rsidR="009C1935" w:rsidRPr="00B71AF8">
        <w:rPr>
          <w:rFonts w:cs="Arial"/>
          <w:b/>
          <w:color w:val="971A4B"/>
          <w:kern w:val="28"/>
          <w:sz w:val="36"/>
          <w:szCs w:val="32"/>
        </w:rPr>
        <w:t xml:space="preserve"> </w:t>
      </w:r>
    </w:p>
    <w:bookmarkEnd w:id="0"/>
    <w:p w14:paraId="20B7FEE0" w14:textId="77777777" w:rsidR="0047535D" w:rsidRPr="00B71AF8" w:rsidRDefault="0047535D" w:rsidP="00745ECC">
      <w:pPr>
        <w:pStyle w:val="VLAdate"/>
      </w:pPr>
    </w:p>
    <w:p w14:paraId="4DB99AF6" w14:textId="77777777" w:rsidR="0047535D" w:rsidRPr="00B71AF8" w:rsidRDefault="0047535D" w:rsidP="00745ECC">
      <w:pPr>
        <w:pStyle w:val="VLAdate"/>
        <w:rPr>
          <w:b/>
        </w:rPr>
      </w:pPr>
      <w:r w:rsidRPr="00B71AF8">
        <w:rPr>
          <w:b/>
        </w:rPr>
        <w:t xml:space="preserve">Submission to the Consultation on the Royal Commission into Mental Health Terms of Reference </w:t>
      </w:r>
    </w:p>
    <w:p w14:paraId="647AA30F" w14:textId="77777777" w:rsidR="00853BDA" w:rsidRPr="00B71AF8" w:rsidRDefault="00745ECC" w:rsidP="00745ECC">
      <w:pPr>
        <w:pStyle w:val="VLAdate"/>
        <w:sectPr w:rsidR="00853BDA" w:rsidRPr="00B71AF8" w:rsidSect="00DA29C4">
          <w:headerReference w:type="even" r:id="rId8"/>
          <w:headerReference w:type="default" r:id="rId9"/>
          <w:footerReference w:type="default" r:id="rId10"/>
          <w:headerReference w:type="first" r:id="rId11"/>
          <w:type w:val="oddPage"/>
          <w:pgSz w:w="11906" w:h="16838" w:code="9"/>
          <w:pgMar w:top="1418" w:right="992" w:bottom="3969" w:left="1134" w:header="851" w:footer="2835" w:gutter="0"/>
          <w:paperSrc w:first="7" w:other="7"/>
          <w:cols w:space="720"/>
          <w:titlePg/>
          <w:docGrid w:linePitch="299"/>
        </w:sectPr>
      </w:pPr>
      <w:r w:rsidRPr="00B71AF8">
        <w:t>January 2019</w:t>
      </w:r>
    </w:p>
    <w:p w14:paraId="4FCE7288" w14:textId="77777777" w:rsidR="00E52D83" w:rsidRPr="00B71AF8" w:rsidRDefault="002A7402" w:rsidP="008F0579">
      <w:pPr>
        <w:pStyle w:val="Confidentialityclause"/>
        <w:spacing w:before="12300"/>
        <w:rPr>
          <w:bCs w:val="0"/>
        </w:rPr>
      </w:pPr>
      <w:r w:rsidRPr="00B71AF8">
        <w:rPr>
          <w:rFonts w:cs="Arial"/>
          <w:color w:val="971A4B"/>
        </w:rPr>
        <w:lastRenderedPageBreak/>
        <w:t>©</w:t>
      </w:r>
      <w:r w:rsidRPr="00B71AF8">
        <w:rPr>
          <w:color w:val="971A4B"/>
        </w:rPr>
        <w:t xml:space="preserve"> </w:t>
      </w:r>
      <w:r w:rsidRPr="00B71AF8">
        <w:rPr>
          <w:color w:val="971A4B"/>
        </w:rPr>
        <w:fldChar w:fldCharType="begin"/>
      </w:r>
      <w:r w:rsidRPr="00B71AF8">
        <w:rPr>
          <w:color w:val="971A4B"/>
        </w:rPr>
        <w:instrText xml:space="preserve"> DATE  \@ "yyyy"  \* MERGEFORMAT </w:instrText>
      </w:r>
      <w:r w:rsidRPr="00B71AF8">
        <w:rPr>
          <w:color w:val="971A4B"/>
        </w:rPr>
        <w:fldChar w:fldCharType="separate"/>
      </w:r>
      <w:r w:rsidR="0030138A">
        <w:rPr>
          <w:noProof/>
          <w:color w:val="971A4B"/>
        </w:rPr>
        <w:t>2019</w:t>
      </w:r>
      <w:r w:rsidRPr="00B71AF8">
        <w:rPr>
          <w:color w:val="971A4B"/>
        </w:rPr>
        <w:fldChar w:fldCharType="end"/>
      </w:r>
      <w:r w:rsidRPr="00B71AF8">
        <w:rPr>
          <w:color w:val="971A4B"/>
        </w:rPr>
        <w:t xml:space="preserve"> Victoria Legal Aid.</w:t>
      </w:r>
      <w:r w:rsidRPr="00B71AF8">
        <w:t xml:space="preserve"> </w:t>
      </w:r>
      <w:r w:rsidR="006E2882" w:rsidRPr="00B71AF8">
        <w:rPr>
          <w:bCs w:val="0"/>
        </w:rPr>
        <w:t>Reproduction without express written permission is prohibited</w:t>
      </w:r>
      <w:r w:rsidR="00E52D83" w:rsidRPr="00B71AF8">
        <w:rPr>
          <w:bCs w:val="0"/>
        </w:rPr>
        <w:t>.</w:t>
      </w:r>
    </w:p>
    <w:p w14:paraId="3E0C9D74" w14:textId="77777777" w:rsidR="00022C83" w:rsidRPr="00B71AF8" w:rsidRDefault="006E2882" w:rsidP="00CE4C2F">
      <w:pPr>
        <w:pStyle w:val="Confidentialityclause"/>
        <w:rPr>
          <w:bCs w:val="0"/>
        </w:rPr>
      </w:pPr>
      <w:r w:rsidRPr="00B71AF8">
        <w:rPr>
          <w:bCs w:val="0"/>
        </w:rPr>
        <w:t xml:space="preserve">Written requests should be directed to Victoria Legal Aid, Research and </w:t>
      </w:r>
      <w:r w:rsidRPr="00B71AF8">
        <w:rPr>
          <w:bCs w:val="0"/>
          <w:szCs w:val="18"/>
        </w:rPr>
        <w:t xml:space="preserve">Communications, </w:t>
      </w:r>
      <w:r w:rsidR="00495ED9" w:rsidRPr="00B71AF8">
        <w:rPr>
          <w:rFonts w:cs="Arial"/>
          <w:szCs w:val="18"/>
        </w:rPr>
        <w:t>Level 9, 570 Bourke</w:t>
      </w:r>
      <w:r w:rsidR="00495ED9" w:rsidRPr="00B71AF8">
        <w:rPr>
          <w:rFonts w:cs="Arial"/>
          <w:sz w:val="16"/>
        </w:rPr>
        <w:t xml:space="preserve"> </w:t>
      </w:r>
      <w:r w:rsidRPr="00B71AF8">
        <w:rPr>
          <w:bCs w:val="0"/>
        </w:rPr>
        <w:t>Street, Melbourne Vic</w:t>
      </w:r>
      <w:r w:rsidR="00C74608" w:rsidRPr="00B71AF8">
        <w:rPr>
          <w:bCs w:val="0"/>
        </w:rPr>
        <w:t xml:space="preserve"> </w:t>
      </w:r>
      <w:r w:rsidRPr="00B71AF8">
        <w:rPr>
          <w:bCs w:val="0"/>
        </w:rPr>
        <w:t>3000.</w:t>
      </w:r>
    </w:p>
    <w:p w14:paraId="05014103" w14:textId="77777777" w:rsidR="00696BAC" w:rsidRPr="00B71AF8" w:rsidRDefault="00696BAC" w:rsidP="002A7402">
      <w:pPr>
        <w:pStyle w:val="Confidentialityclause"/>
        <w:rPr>
          <w:bCs w:val="0"/>
        </w:rPr>
      </w:pPr>
    </w:p>
    <w:p w14:paraId="1C27C9B6" w14:textId="77777777" w:rsidR="00CE4C2F" w:rsidRPr="00B71AF8" w:rsidRDefault="00CE4C2F" w:rsidP="00CC0C03">
      <w:pPr>
        <w:sectPr w:rsidR="00CE4C2F" w:rsidRPr="00B71AF8" w:rsidSect="007538CC">
          <w:headerReference w:type="default" r:id="rId12"/>
          <w:footerReference w:type="default" r:id="rId13"/>
          <w:headerReference w:type="first" r:id="rId14"/>
          <w:footerReference w:type="first" r:id="rId15"/>
          <w:type w:val="evenPage"/>
          <w:pgSz w:w="11906" w:h="16838" w:code="9"/>
          <w:pgMar w:top="950" w:right="992" w:bottom="1134" w:left="1134" w:header="984" w:footer="429" w:gutter="0"/>
          <w:paperSrc w:first="7" w:other="7"/>
          <w:pgNumType w:start="1"/>
          <w:cols w:space="720"/>
          <w:titlePg/>
          <w:docGrid w:linePitch="299"/>
        </w:sectPr>
      </w:pPr>
    </w:p>
    <w:p w14:paraId="3D7218BE" w14:textId="77777777" w:rsidR="002B4970" w:rsidRPr="00B71AF8" w:rsidRDefault="002B4970" w:rsidP="0056464E">
      <w:pPr>
        <w:pStyle w:val="Contents"/>
        <w:rPr>
          <w:rFonts w:cs="Arial"/>
          <w:bCs/>
          <w:kern w:val="32"/>
          <w:sz w:val="32"/>
          <w:szCs w:val="32"/>
        </w:rPr>
      </w:pPr>
      <w:r w:rsidRPr="00B71AF8">
        <w:rPr>
          <w:rFonts w:cs="Arial"/>
          <w:bCs/>
          <w:kern w:val="32"/>
          <w:sz w:val="32"/>
          <w:szCs w:val="32"/>
        </w:rPr>
        <w:lastRenderedPageBreak/>
        <w:t>Contents</w:t>
      </w:r>
    </w:p>
    <w:p w14:paraId="5D2C11C1" w14:textId="77777777" w:rsidR="005A27FB" w:rsidRPr="00B71AF8" w:rsidRDefault="004E0688">
      <w:pPr>
        <w:pStyle w:val="TOC1"/>
        <w:rPr>
          <w:rFonts w:asciiTheme="minorHAnsi" w:eastAsiaTheme="minorEastAsia" w:hAnsiTheme="minorHAnsi" w:cstheme="minorBidi"/>
          <w:b w:val="0"/>
          <w:noProof/>
          <w:sz w:val="22"/>
          <w:szCs w:val="22"/>
          <w:lang w:eastAsia="en-AU"/>
        </w:rPr>
      </w:pPr>
      <w:r w:rsidRPr="00B71AF8">
        <w:rPr>
          <w:b w:val="0"/>
          <w:sz w:val="22"/>
          <w:szCs w:val="22"/>
        </w:rPr>
        <w:fldChar w:fldCharType="begin"/>
      </w:r>
      <w:r w:rsidRPr="00B71AF8">
        <w:rPr>
          <w:b w:val="0"/>
          <w:sz w:val="22"/>
          <w:szCs w:val="22"/>
        </w:rPr>
        <w:instrText xml:space="preserve"> TOC \h \z \t "Heading 1,1,Heading 2,2,Heading 3,3,Appendix,1" </w:instrText>
      </w:r>
      <w:r w:rsidRPr="00B71AF8">
        <w:rPr>
          <w:b w:val="0"/>
          <w:sz w:val="22"/>
          <w:szCs w:val="22"/>
        </w:rPr>
        <w:fldChar w:fldCharType="separate"/>
      </w:r>
      <w:hyperlink w:anchor="_Toc536642541" w:history="1">
        <w:r w:rsidR="005A27FB" w:rsidRPr="00B71AF8">
          <w:rPr>
            <w:rStyle w:val="Hyperlink"/>
            <w:noProof/>
            <w:sz w:val="22"/>
            <w:szCs w:val="22"/>
          </w:rPr>
          <w:t>Executive Summary and Recommendations</w:t>
        </w:r>
        <w:r w:rsidR="005A27FB" w:rsidRPr="00B71AF8">
          <w:rPr>
            <w:noProof/>
            <w:webHidden/>
            <w:sz w:val="22"/>
            <w:szCs w:val="22"/>
          </w:rPr>
          <w:tab/>
        </w:r>
        <w:r w:rsidR="005A27FB" w:rsidRPr="00B71AF8">
          <w:rPr>
            <w:noProof/>
            <w:webHidden/>
            <w:sz w:val="22"/>
            <w:szCs w:val="22"/>
          </w:rPr>
          <w:fldChar w:fldCharType="begin"/>
        </w:r>
        <w:r w:rsidR="005A27FB" w:rsidRPr="00B71AF8">
          <w:rPr>
            <w:noProof/>
            <w:webHidden/>
            <w:sz w:val="22"/>
            <w:szCs w:val="22"/>
          </w:rPr>
          <w:instrText xml:space="preserve"> PAGEREF _Toc536642541 \h </w:instrText>
        </w:r>
        <w:r w:rsidR="005A27FB" w:rsidRPr="00B71AF8">
          <w:rPr>
            <w:noProof/>
            <w:webHidden/>
            <w:sz w:val="22"/>
            <w:szCs w:val="22"/>
          </w:rPr>
        </w:r>
        <w:r w:rsidR="005A27FB" w:rsidRPr="00B71AF8">
          <w:rPr>
            <w:noProof/>
            <w:webHidden/>
            <w:sz w:val="22"/>
            <w:szCs w:val="22"/>
          </w:rPr>
          <w:fldChar w:fldCharType="separate"/>
        </w:r>
        <w:r w:rsidR="004B4765">
          <w:rPr>
            <w:noProof/>
            <w:webHidden/>
            <w:sz w:val="22"/>
            <w:szCs w:val="22"/>
          </w:rPr>
          <w:t>2</w:t>
        </w:r>
        <w:r w:rsidR="005A27FB" w:rsidRPr="00B71AF8">
          <w:rPr>
            <w:noProof/>
            <w:webHidden/>
            <w:sz w:val="22"/>
            <w:szCs w:val="22"/>
          </w:rPr>
          <w:fldChar w:fldCharType="end"/>
        </w:r>
      </w:hyperlink>
    </w:p>
    <w:p w14:paraId="7EB2060E" w14:textId="77777777" w:rsidR="005A27FB" w:rsidRPr="00B71AF8" w:rsidRDefault="009B333F">
      <w:pPr>
        <w:pStyle w:val="TOC1"/>
        <w:rPr>
          <w:rFonts w:asciiTheme="minorHAnsi" w:eastAsiaTheme="minorEastAsia" w:hAnsiTheme="minorHAnsi" w:cstheme="minorBidi"/>
          <w:b w:val="0"/>
          <w:noProof/>
          <w:sz w:val="22"/>
          <w:szCs w:val="22"/>
          <w:lang w:eastAsia="en-AU"/>
        </w:rPr>
      </w:pPr>
      <w:hyperlink w:anchor="_Toc536642544" w:history="1">
        <w:r w:rsidR="005A27FB" w:rsidRPr="00B71AF8">
          <w:rPr>
            <w:rStyle w:val="Hyperlink"/>
            <w:noProof/>
            <w:sz w:val="22"/>
            <w:szCs w:val="22"/>
          </w:rPr>
          <w:t>Victoria Legal Aid, our clients and consumers, and the mental health system</w:t>
        </w:r>
        <w:r w:rsidR="005A27FB" w:rsidRPr="00B71AF8">
          <w:rPr>
            <w:noProof/>
            <w:webHidden/>
            <w:sz w:val="22"/>
            <w:szCs w:val="22"/>
          </w:rPr>
          <w:tab/>
        </w:r>
        <w:r w:rsidR="005A27FB" w:rsidRPr="00B71AF8">
          <w:rPr>
            <w:noProof/>
            <w:webHidden/>
            <w:sz w:val="22"/>
            <w:szCs w:val="22"/>
          </w:rPr>
          <w:fldChar w:fldCharType="begin"/>
        </w:r>
        <w:r w:rsidR="005A27FB" w:rsidRPr="00B71AF8">
          <w:rPr>
            <w:noProof/>
            <w:webHidden/>
            <w:sz w:val="22"/>
            <w:szCs w:val="22"/>
          </w:rPr>
          <w:instrText xml:space="preserve"> PAGEREF _Toc536642544 \h </w:instrText>
        </w:r>
        <w:r w:rsidR="005A27FB" w:rsidRPr="00B71AF8">
          <w:rPr>
            <w:noProof/>
            <w:webHidden/>
            <w:sz w:val="22"/>
            <w:szCs w:val="22"/>
          </w:rPr>
        </w:r>
        <w:r w:rsidR="005A27FB" w:rsidRPr="00B71AF8">
          <w:rPr>
            <w:noProof/>
            <w:webHidden/>
            <w:sz w:val="22"/>
            <w:szCs w:val="22"/>
          </w:rPr>
          <w:fldChar w:fldCharType="separate"/>
        </w:r>
        <w:r w:rsidR="004B4765">
          <w:rPr>
            <w:noProof/>
            <w:webHidden/>
            <w:sz w:val="22"/>
            <w:szCs w:val="22"/>
          </w:rPr>
          <w:t>5</w:t>
        </w:r>
        <w:r w:rsidR="005A27FB" w:rsidRPr="00B71AF8">
          <w:rPr>
            <w:noProof/>
            <w:webHidden/>
            <w:sz w:val="22"/>
            <w:szCs w:val="22"/>
          </w:rPr>
          <w:fldChar w:fldCharType="end"/>
        </w:r>
      </w:hyperlink>
    </w:p>
    <w:p w14:paraId="0E9F4B56" w14:textId="77777777" w:rsidR="005A27FB" w:rsidRPr="00B71AF8" w:rsidRDefault="009B333F">
      <w:pPr>
        <w:pStyle w:val="TOC1"/>
        <w:rPr>
          <w:rFonts w:asciiTheme="minorHAnsi" w:eastAsiaTheme="minorEastAsia" w:hAnsiTheme="minorHAnsi" w:cstheme="minorBidi"/>
          <w:b w:val="0"/>
          <w:noProof/>
          <w:sz w:val="22"/>
          <w:szCs w:val="22"/>
          <w:lang w:eastAsia="en-AU"/>
        </w:rPr>
      </w:pPr>
      <w:hyperlink w:anchor="_Toc536642545" w:history="1">
        <w:r w:rsidR="005A27FB" w:rsidRPr="00B71AF8">
          <w:rPr>
            <w:rStyle w:val="Hyperlink"/>
            <w:noProof/>
            <w:sz w:val="22"/>
            <w:szCs w:val="22"/>
          </w:rPr>
          <w:t>10 themes that must be considered by Victoria’s Royal Commission into Mental Health</w:t>
        </w:r>
        <w:r w:rsidR="005A27FB" w:rsidRPr="00B71AF8">
          <w:rPr>
            <w:noProof/>
            <w:webHidden/>
            <w:sz w:val="22"/>
            <w:szCs w:val="22"/>
          </w:rPr>
          <w:tab/>
        </w:r>
        <w:r w:rsidR="005A27FB" w:rsidRPr="00B71AF8">
          <w:rPr>
            <w:noProof/>
            <w:webHidden/>
            <w:sz w:val="22"/>
            <w:szCs w:val="22"/>
          </w:rPr>
          <w:fldChar w:fldCharType="begin"/>
        </w:r>
        <w:r w:rsidR="005A27FB" w:rsidRPr="00B71AF8">
          <w:rPr>
            <w:noProof/>
            <w:webHidden/>
            <w:sz w:val="22"/>
            <w:szCs w:val="22"/>
          </w:rPr>
          <w:instrText xml:space="preserve"> PAGEREF _Toc536642545 \h </w:instrText>
        </w:r>
        <w:r w:rsidR="005A27FB" w:rsidRPr="00B71AF8">
          <w:rPr>
            <w:noProof/>
            <w:webHidden/>
            <w:sz w:val="22"/>
            <w:szCs w:val="22"/>
          </w:rPr>
        </w:r>
        <w:r w:rsidR="005A27FB" w:rsidRPr="00B71AF8">
          <w:rPr>
            <w:noProof/>
            <w:webHidden/>
            <w:sz w:val="22"/>
            <w:szCs w:val="22"/>
          </w:rPr>
          <w:fldChar w:fldCharType="separate"/>
        </w:r>
        <w:r w:rsidR="004B4765">
          <w:rPr>
            <w:noProof/>
            <w:webHidden/>
            <w:sz w:val="22"/>
            <w:szCs w:val="22"/>
          </w:rPr>
          <w:t>7</w:t>
        </w:r>
        <w:r w:rsidR="005A27FB" w:rsidRPr="00B71AF8">
          <w:rPr>
            <w:noProof/>
            <w:webHidden/>
            <w:sz w:val="22"/>
            <w:szCs w:val="22"/>
          </w:rPr>
          <w:fldChar w:fldCharType="end"/>
        </w:r>
      </w:hyperlink>
    </w:p>
    <w:p w14:paraId="1019ECA6" w14:textId="77777777" w:rsidR="005A27FB" w:rsidRPr="00B71AF8" w:rsidRDefault="009B333F">
      <w:pPr>
        <w:pStyle w:val="TOC1"/>
        <w:rPr>
          <w:rFonts w:asciiTheme="minorHAnsi" w:eastAsiaTheme="minorEastAsia" w:hAnsiTheme="minorHAnsi" w:cstheme="minorBidi"/>
          <w:b w:val="0"/>
          <w:noProof/>
          <w:sz w:val="22"/>
          <w:szCs w:val="22"/>
          <w:lang w:eastAsia="en-AU"/>
        </w:rPr>
      </w:pPr>
      <w:hyperlink w:anchor="_Toc536642546" w:history="1">
        <w:r w:rsidR="005A27FB" w:rsidRPr="00B71AF8">
          <w:rPr>
            <w:rStyle w:val="Hyperlink"/>
            <w:b w:val="0"/>
            <w:noProof/>
            <w:sz w:val="22"/>
            <w:szCs w:val="22"/>
          </w:rPr>
          <w:t>1.</w:t>
        </w:r>
        <w:r w:rsidR="005A27FB" w:rsidRPr="00B71AF8">
          <w:rPr>
            <w:rFonts w:asciiTheme="minorHAnsi" w:eastAsiaTheme="minorEastAsia" w:hAnsiTheme="minorHAnsi" w:cstheme="minorBidi"/>
            <w:b w:val="0"/>
            <w:noProof/>
            <w:sz w:val="22"/>
            <w:szCs w:val="22"/>
            <w:lang w:eastAsia="en-AU"/>
          </w:rPr>
          <w:tab/>
        </w:r>
        <w:r w:rsidR="005A27FB" w:rsidRPr="00B71AF8">
          <w:rPr>
            <w:rStyle w:val="Hyperlink"/>
            <w:b w:val="0"/>
            <w:noProof/>
            <w:sz w:val="22"/>
            <w:szCs w:val="22"/>
          </w:rPr>
          <w:t>Consumer leadership and co-production</w:t>
        </w:r>
        <w:r w:rsidR="005A27FB" w:rsidRPr="00B71AF8">
          <w:rPr>
            <w:b w:val="0"/>
            <w:noProof/>
            <w:webHidden/>
            <w:sz w:val="22"/>
            <w:szCs w:val="22"/>
          </w:rPr>
          <w:tab/>
        </w:r>
        <w:r w:rsidR="005A27FB" w:rsidRPr="00B71AF8">
          <w:rPr>
            <w:b w:val="0"/>
            <w:noProof/>
            <w:webHidden/>
            <w:sz w:val="22"/>
            <w:szCs w:val="22"/>
          </w:rPr>
          <w:fldChar w:fldCharType="begin"/>
        </w:r>
        <w:r w:rsidR="005A27FB" w:rsidRPr="00B71AF8">
          <w:rPr>
            <w:b w:val="0"/>
            <w:noProof/>
            <w:webHidden/>
            <w:sz w:val="22"/>
            <w:szCs w:val="22"/>
          </w:rPr>
          <w:instrText xml:space="preserve"> PAGEREF _Toc536642546 \h </w:instrText>
        </w:r>
        <w:r w:rsidR="005A27FB" w:rsidRPr="00B71AF8">
          <w:rPr>
            <w:b w:val="0"/>
            <w:noProof/>
            <w:webHidden/>
            <w:sz w:val="22"/>
            <w:szCs w:val="22"/>
          </w:rPr>
        </w:r>
        <w:r w:rsidR="005A27FB" w:rsidRPr="00B71AF8">
          <w:rPr>
            <w:b w:val="0"/>
            <w:noProof/>
            <w:webHidden/>
            <w:sz w:val="22"/>
            <w:szCs w:val="22"/>
          </w:rPr>
          <w:fldChar w:fldCharType="separate"/>
        </w:r>
        <w:r w:rsidR="004B4765">
          <w:rPr>
            <w:b w:val="0"/>
            <w:noProof/>
            <w:webHidden/>
            <w:sz w:val="22"/>
            <w:szCs w:val="22"/>
          </w:rPr>
          <w:t>7</w:t>
        </w:r>
        <w:r w:rsidR="005A27FB" w:rsidRPr="00B71AF8">
          <w:rPr>
            <w:b w:val="0"/>
            <w:noProof/>
            <w:webHidden/>
            <w:sz w:val="22"/>
            <w:szCs w:val="22"/>
          </w:rPr>
          <w:fldChar w:fldCharType="end"/>
        </w:r>
      </w:hyperlink>
    </w:p>
    <w:p w14:paraId="4D985DF1" w14:textId="77777777" w:rsidR="005A27FB" w:rsidRPr="00B71AF8" w:rsidRDefault="009B333F">
      <w:pPr>
        <w:pStyle w:val="TOC1"/>
        <w:rPr>
          <w:rFonts w:asciiTheme="minorHAnsi" w:eastAsiaTheme="minorEastAsia" w:hAnsiTheme="minorHAnsi" w:cstheme="minorBidi"/>
          <w:b w:val="0"/>
          <w:noProof/>
          <w:sz w:val="22"/>
          <w:szCs w:val="22"/>
          <w:lang w:eastAsia="en-AU"/>
        </w:rPr>
      </w:pPr>
      <w:hyperlink w:anchor="_Toc536642550" w:history="1">
        <w:r w:rsidR="005A27FB" w:rsidRPr="00B71AF8">
          <w:rPr>
            <w:rStyle w:val="Hyperlink"/>
            <w:b w:val="0"/>
            <w:noProof/>
            <w:sz w:val="22"/>
            <w:szCs w:val="22"/>
          </w:rPr>
          <w:t>2.</w:t>
        </w:r>
        <w:r w:rsidR="005A27FB" w:rsidRPr="00B71AF8">
          <w:rPr>
            <w:rFonts w:asciiTheme="minorHAnsi" w:eastAsiaTheme="minorEastAsia" w:hAnsiTheme="minorHAnsi" w:cstheme="minorBidi"/>
            <w:b w:val="0"/>
            <w:noProof/>
            <w:sz w:val="22"/>
            <w:szCs w:val="22"/>
            <w:lang w:eastAsia="en-AU"/>
          </w:rPr>
          <w:tab/>
        </w:r>
        <w:r w:rsidR="005A27FB" w:rsidRPr="00B71AF8">
          <w:rPr>
            <w:rStyle w:val="Hyperlink"/>
            <w:b w:val="0"/>
            <w:noProof/>
            <w:sz w:val="22"/>
            <w:szCs w:val="22"/>
          </w:rPr>
          <w:t>The regulation of compulsory treatment and a focus on people’s rights and recovery</w:t>
        </w:r>
        <w:r w:rsidR="005A27FB" w:rsidRPr="00B71AF8">
          <w:rPr>
            <w:b w:val="0"/>
            <w:noProof/>
            <w:webHidden/>
            <w:sz w:val="22"/>
            <w:szCs w:val="22"/>
          </w:rPr>
          <w:tab/>
        </w:r>
        <w:r w:rsidR="005A27FB" w:rsidRPr="00B71AF8">
          <w:rPr>
            <w:b w:val="0"/>
            <w:noProof/>
            <w:webHidden/>
            <w:sz w:val="22"/>
            <w:szCs w:val="22"/>
          </w:rPr>
          <w:fldChar w:fldCharType="begin"/>
        </w:r>
        <w:r w:rsidR="005A27FB" w:rsidRPr="00B71AF8">
          <w:rPr>
            <w:b w:val="0"/>
            <w:noProof/>
            <w:webHidden/>
            <w:sz w:val="22"/>
            <w:szCs w:val="22"/>
          </w:rPr>
          <w:instrText xml:space="preserve"> PAGEREF _Toc536642550 \h </w:instrText>
        </w:r>
        <w:r w:rsidR="005A27FB" w:rsidRPr="00B71AF8">
          <w:rPr>
            <w:b w:val="0"/>
            <w:noProof/>
            <w:webHidden/>
            <w:sz w:val="22"/>
            <w:szCs w:val="22"/>
          </w:rPr>
        </w:r>
        <w:r w:rsidR="005A27FB" w:rsidRPr="00B71AF8">
          <w:rPr>
            <w:b w:val="0"/>
            <w:noProof/>
            <w:webHidden/>
            <w:sz w:val="22"/>
            <w:szCs w:val="22"/>
          </w:rPr>
          <w:fldChar w:fldCharType="separate"/>
        </w:r>
        <w:r w:rsidR="004B4765">
          <w:rPr>
            <w:b w:val="0"/>
            <w:noProof/>
            <w:webHidden/>
            <w:sz w:val="22"/>
            <w:szCs w:val="22"/>
          </w:rPr>
          <w:t>8</w:t>
        </w:r>
        <w:r w:rsidR="005A27FB" w:rsidRPr="00B71AF8">
          <w:rPr>
            <w:b w:val="0"/>
            <w:noProof/>
            <w:webHidden/>
            <w:sz w:val="22"/>
            <w:szCs w:val="22"/>
          </w:rPr>
          <w:fldChar w:fldCharType="end"/>
        </w:r>
      </w:hyperlink>
    </w:p>
    <w:p w14:paraId="6958C4E2" w14:textId="77777777" w:rsidR="005A27FB" w:rsidRPr="00B71AF8" w:rsidRDefault="009B333F">
      <w:pPr>
        <w:pStyle w:val="TOC1"/>
        <w:rPr>
          <w:rFonts w:asciiTheme="minorHAnsi" w:eastAsiaTheme="minorEastAsia" w:hAnsiTheme="minorHAnsi" w:cstheme="minorBidi"/>
          <w:b w:val="0"/>
          <w:noProof/>
          <w:sz w:val="22"/>
          <w:szCs w:val="22"/>
          <w:lang w:eastAsia="en-AU"/>
        </w:rPr>
      </w:pPr>
      <w:hyperlink w:anchor="_Toc536642551" w:history="1">
        <w:r w:rsidR="005A27FB" w:rsidRPr="00B71AF8">
          <w:rPr>
            <w:rStyle w:val="Hyperlink"/>
            <w:b w:val="0"/>
            <w:noProof/>
            <w:sz w:val="22"/>
            <w:szCs w:val="22"/>
          </w:rPr>
          <w:t>3.</w:t>
        </w:r>
        <w:r w:rsidR="005A27FB" w:rsidRPr="00B71AF8">
          <w:rPr>
            <w:rFonts w:asciiTheme="minorHAnsi" w:eastAsiaTheme="minorEastAsia" w:hAnsiTheme="minorHAnsi" w:cstheme="minorBidi"/>
            <w:b w:val="0"/>
            <w:noProof/>
            <w:sz w:val="22"/>
            <w:szCs w:val="22"/>
            <w:lang w:eastAsia="en-AU"/>
          </w:rPr>
          <w:tab/>
        </w:r>
        <w:r w:rsidR="005A27FB" w:rsidRPr="00B71AF8">
          <w:rPr>
            <w:rStyle w:val="Hyperlink"/>
            <w:b w:val="0"/>
            <w:noProof/>
            <w:sz w:val="22"/>
            <w:szCs w:val="22"/>
          </w:rPr>
          <w:t>Services and supports in the community</w:t>
        </w:r>
        <w:r w:rsidR="005A27FB" w:rsidRPr="00B71AF8">
          <w:rPr>
            <w:b w:val="0"/>
            <w:noProof/>
            <w:webHidden/>
            <w:sz w:val="22"/>
            <w:szCs w:val="22"/>
          </w:rPr>
          <w:tab/>
        </w:r>
        <w:r w:rsidR="005A27FB" w:rsidRPr="00B71AF8">
          <w:rPr>
            <w:b w:val="0"/>
            <w:noProof/>
            <w:webHidden/>
            <w:sz w:val="22"/>
            <w:szCs w:val="22"/>
          </w:rPr>
          <w:fldChar w:fldCharType="begin"/>
        </w:r>
        <w:r w:rsidR="005A27FB" w:rsidRPr="00B71AF8">
          <w:rPr>
            <w:b w:val="0"/>
            <w:noProof/>
            <w:webHidden/>
            <w:sz w:val="22"/>
            <w:szCs w:val="22"/>
          </w:rPr>
          <w:instrText xml:space="preserve"> PAGEREF _Toc536642551 \h </w:instrText>
        </w:r>
        <w:r w:rsidR="005A27FB" w:rsidRPr="00B71AF8">
          <w:rPr>
            <w:b w:val="0"/>
            <w:noProof/>
            <w:webHidden/>
            <w:sz w:val="22"/>
            <w:szCs w:val="22"/>
          </w:rPr>
        </w:r>
        <w:r w:rsidR="005A27FB" w:rsidRPr="00B71AF8">
          <w:rPr>
            <w:b w:val="0"/>
            <w:noProof/>
            <w:webHidden/>
            <w:sz w:val="22"/>
            <w:szCs w:val="22"/>
          </w:rPr>
          <w:fldChar w:fldCharType="separate"/>
        </w:r>
        <w:r w:rsidR="004B4765">
          <w:rPr>
            <w:b w:val="0"/>
            <w:noProof/>
            <w:webHidden/>
            <w:sz w:val="22"/>
            <w:szCs w:val="22"/>
          </w:rPr>
          <w:t>9</w:t>
        </w:r>
        <w:r w:rsidR="005A27FB" w:rsidRPr="00B71AF8">
          <w:rPr>
            <w:b w:val="0"/>
            <w:noProof/>
            <w:webHidden/>
            <w:sz w:val="22"/>
            <w:szCs w:val="22"/>
          </w:rPr>
          <w:fldChar w:fldCharType="end"/>
        </w:r>
      </w:hyperlink>
    </w:p>
    <w:p w14:paraId="0D86063E" w14:textId="77777777" w:rsidR="005A27FB" w:rsidRPr="00B71AF8" w:rsidRDefault="009B333F">
      <w:pPr>
        <w:pStyle w:val="TOC1"/>
        <w:rPr>
          <w:rFonts w:asciiTheme="minorHAnsi" w:eastAsiaTheme="minorEastAsia" w:hAnsiTheme="minorHAnsi" w:cstheme="minorBidi"/>
          <w:b w:val="0"/>
          <w:noProof/>
          <w:sz w:val="22"/>
          <w:szCs w:val="22"/>
          <w:lang w:eastAsia="en-AU"/>
        </w:rPr>
      </w:pPr>
      <w:hyperlink w:anchor="_Toc536642552" w:history="1">
        <w:r w:rsidR="005A27FB" w:rsidRPr="00B71AF8">
          <w:rPr>
            <w:rStyle w:val="Hyperlink"/>
            <w:b w:val="0"/>
            <w:noProof/>
            <w:sz w:val="22"/>
            <w:szCs w:val="22"/>
          </w:rPr>
          <w:t>4.</w:t>
        </w:r>
        <w:r w:rsidR="005A27FB" w:rsidRPr="00B71AF8">
          <w:rPr>
            <w:rFonts w:asciiTheme="minorHAnsi" w:eastAsiaTheme="minorEastAsia" w:hAnsiTheme="minorHAnsi" w:cstheme="minorBidi"/>
            <w:b w:val="0"/>
            <w:noProof/>
            <w:sz w:val="22"/>
            <w:szCs w:val="22"/>
            <w:lang w:eastAsia="en-AU"/>
          </w:rPr>
          <w:tab/>
        </w:r>
        <w:r w:rsidR="005A27FB" w:rsidRPr="00B71AF8">
          <w:rPr>
            <w:rStyle w:val="Hyperlink"/>
            <w:b w:val="0"/>
            <w:noProof/>
            <w:sz w:val="22"/>
            <w:szCs w:val="22"/>
          </w:rPr>
          <w:t>Forensic mental health and justice services: Mental health assessment and treatment for people in contact with the criminal justice system</w:t>
        </w:r>
        <w:r w:rsidR="005A27FB" w:rsidRPr="00B71AF8">
          <w:rPr>
            <w:b w:val="0"/>
            <w:noProof/>
            <w:webHidden/>
            <w:sz w:val="22"/>
            <w:szCs w:val="22"/>
          </w:rPr>
          <w:tab/>
        </w:r>
        <w:r w:rsidR="005A27FB" w:rsidRPr="00B71AF8">
          <w:rPr>
            <w:b w:val="0"/>
            <w:noProof/>
            <w:webHidden/>
            <w:sz w:val="22"/>
            <w:szCs w:val="22"/>
          </w:rPr>
          <w:fldChar w:fldCharType="begin"/>
        </w:r>
        <w:r w:rsidR="005A27FB" w:rsidRPr="00B71AF8">
          <w:rPr>
            <w:b w:val="0"/>
            <w:noProof/>
            <w:webHidden/>
            <w:sz w:val="22"/>
            <w:szCs w:val="22"/>
          </w:rPr>
          <w:instrText xml:space="preserve"> PAGEREF _Toc536642552 \h </w:instrText>
        </w:r>
        <w:r w:rsidR="005A27FB" w:rsidRPr="00B71AF8">
          <w:rPr>
            <w:b w:val="0"/>
            <w:noProof/>
            <w:webHidden/>
            <w:sz w:val="22"/>
            <w:szCs w:val="22"/>
          </w:rPr>
        </w:r>
        <w:r w:rsidR="005A27FB" w:rsidRPr="00B71AF8">
          <w:rPr>
            <w:b w:val="0"/>
            <w:noProof/>
            <w:webHidden/>
            <w:sz w:val="22"/>
            <w:szCs w:val="22"/>
          </w:rPr>
          <w:fldChar w:fldCharType="separate"/>
        </w:r>
        <w:r w:rsidR="004B4765">
          <w:rPr>
            <w:b w:val="0"/>
            <w:noProof/>
            <w:webHidden/>
            <w:sz w:val="22"/>
            <w:szCs w:val="22"/>
          </w:rPr>
          <w:t>10</w:t>
        </w:r>
        <w:r w:rsidR="005A27FB" w:rsidRPr="00B71AF8">
          <w:rPr>
            <w:b w:val="0"/>
            <w:noProof/>
            <w:webHidden/>
            <w:sz w:val="22"/>
            <w:szCs w:val="22"/>
          </w:rPr>
          <w:fldChar w:fldCharType="end"/>
        </w:r>
      </w:hyperlink>
    </w:p>
    <w:p w14:paraId="69AA40D4" w14:textId="77777777" w:rsidR="005A27FB" w:rsidRPr="00B71AF8" w:rsidRDefault="009B333F">
      <w:pPr>
        <w:pStyle w:val="TOC1"/>
        <w:rPr>
          <w:rFonts w:asciiTheme="minorHAnsi" w:eastAsiaTheme="minorEastAsia" w:hAnsiTheme="minorHAnsi" w:cstheme="minorBidi"/>
          <w:b w:val="0"/>
          <w:noProof/>
          <w:sz w:val="22"/>
          <w:szCs w:val="22"/>
          <w:lang w:eastAsia="en-AU"/>
        </w:rPr>
      </w:pPr>
      <w:hyperlink w:anchor="_Toc536642553" w:history="1">
        <w:r w:rsidR="005A27FB" w:rsidRPr="00B71AF8">
          <w:rPr>
            <w:rStyle w:val="Hyperlink"/>
            <w:b w:val="0"/>
            <w:noProof/>
            <w:sz w:val="22"/>
            <w:szCs w:val="22"/>
          </w:rPr>
          <w:t>5.</w:t>
        </w:r>
        <w:r w:rsidR="005A27FB" w:rsidRPr="00B71AF8">
          <w:rPr>
            <w:rFonts w:asciiTheme="minorHAnsi" w:eastAsiaTheme="minorEastAsia" w:hAnsiTheme="minorHAnsi" w:cstheme="minorBidi"/>
            <w:b w:val="0"/>
            <w:noProof/>
            <w:sz w:val="22"/>
            <w:szCs w:val="22"/>
            <w:lang w:eastAsia="en-AU"/>
          </w:rPr>
          <w:tab/>
        </w:r>
        <w:r w:rsidR="005A27FB" w:rsidRPr="00B71AF8">
          <w:rPr>
            <w:rStyle w:val="Hyperlink"/>
            <w:b w:val="0"/>
            <w:noProof/>
            <w:sz w:val="22"/>
            <w:szCs w:val="22"/>
          </w:rPr>
          <w:t>Overlapping life and legal issues</w:t>
        </w:r>
        <w:r w:rsidR="005A27FB" w:rsidRPr="00B71AF8">
          <w:rPr>
            <w:b w:val="0"/>
            <w:noProof/>
            <w:webHidden/>
            <w:sz w:val="22"/>
            <w:szCs w:val="22"/>
          </w:rPr>
          <w:tab/>
        </w:r>
        <w:r w:rsidR="005A27FB" w:rsidRPr="00B71AF8">
          <w:rPr>
            <w:b w:val="0"/>
            <w:noProof/>
            <w:webHidden/>
            <w:sz w:val="22"/>
            <w:szCs w:val="22"/>
          </w:rPr>
          <w:fldChar w:fldCharType="begin"/>
        </w:r>
        <w:r w:rsidR="005A27FB" w:rsidRPr="00B71AF8">
          <w:rPr>
            <w:b w:val="0"/>
            <w:noProof/>
            <w:webHidden/>
            <w:sz w:val="22"/>
            <w:szCs w:val="22"/>
          </w:rPr>
          <w:instrText xml:space="preserve"> PAGEREF _Toc536642553 \h </w:instrText>
        </w:r>
        <w:r w:rsidR="005A27FB" w:rsidRPr="00B71AF8">
          <w:rPr>
            <w:b w:val="0"/>
            <w:noProof/>
            <w:webHidden/>
            <w:sz w:val="22"/>
            <w:szCs w:val="22"/>
          </w:rPr>
        </w:r>
        <w:r w:rsidR="005A27FB" w:rsidRPr="00B71AF8">
          <w:rPr>
            <w:b w:val="0"/>
            <w:noProof/>
            <w:webHidden/>
            <w:sz w:val="22"/>
            <w:szCs w:val="22"/>
          </w:rPr>
          <w:fldChar w:fldCharType="separate"/>
        </w:r>
        <w:r w:rsidR="004B4765">
          <w:rPr>
            <w:b w:val="0"/>
            <w:noProof/>
            <w:webHidden/>
            <w:sz w:val="22"/>
            <w:szCs w:val="22"/>
          </w:rPr>
          <w:t>12</w:t>
        </w:r>
        <w:r w:rsidR="005A27FB" w:rsidRPr="00B71AF8">
          <w:rPr>
            <w:b w:val="0"/>
            <w:noProof/>
            <w:webHidden/>
            <w:sz w:val="22"/>
            <w:szCs w:val="22"/>
          </w:rPr>
          <w:fldChar w:fldCharType="end"/>
        </w:r>
      </w:hyperlink>
    </w:p>
    <w:p w14:paraId="4385E9B8" w14:textId="77777777" w:rsidR="005A27FB" w:rsidRPr="00B71AF8" w:rsidRDefault="009B333F">
      <w:pPr>
        <w:pStyle w:val="TOC1"/>
        <w:rPr>
          <w:rFonts w:asciiTheme="minorHAnsi" w:eastAsiaTheme="minorEastAsia" w:hAnsiTheme="minorHAnsi" w:cstheme="minorBidi"/>
          <w:b w:val="0"/>
          <w:noProof/>
          <w:sz w:val="22"/>
          <w:szCs w:val="22"/>
          <w:lang w:eastAsia="en-AU"/>
        </w:rPr>
      </w:pPr>
      <w:hyperlink w:anchor="_Toc536642554" w:history="1">
        <w:r w:rsidR="005A27FB" w:rsidRPr="00B71AF8">
          <w:rPr>
            <w:rStyle w:val="Hyperlink"/>
            <w:b w:val="0"/>
            <w:noProof/>
            <w:sz w:val="22"/>
            <w:szCs w:val="22"/>
          </w:rPr>
          <w:t>6.</w:t>
        </w:r>
        <w:r w:rsidR="005A27FB" w:rsidRPr="00B71AF8">
          <w:rPr>
            <w:rFonts w:asciiTheme="minorHAnsi" w:eastAsiaTheme="minorEastAsia" w:hAnsiTheme="minorHAnsi" w:cstheme="minorBidi"/>
            <w:b w:val="0"/>
            <w:noProof/>
            <w:sz w:val="22"/>
            <w:szCs w:val="22"/>
            <w:lang w:eastAsia="en-AU"/>
          </w:rPr>
          <w:tab/>
        </w:r>
        <w:r w:rsidR="005A27FB" w:rsidRPr="00B71AF8">
          <w:rPr>
            <w:rStyle w:val="Hyperlink"/>
            <w:b w:val="0"/>
            <w:noProof/>
            <w:sz w:val="22"/>
            <w:szCs w:val="22"/>
          </w:rPr>
          <w:t>Inpatient services: Physical environment, safety and recovery-focus</w:t>
        </w:r>
        <w:r w:rsidR="005A27FB" w:rsidRPr="00B71AF8">
          <w:rPr>
            <w:b w:val="0"/>
            <w:noProof/>
            <w:webHidden/>
            <w:sz w:val="22"/>
            <w:szCs w:val="22"/>
          </w:rPr>
          <w:tab/>
        </w:r>
        <w:r w:rsidR="005A27FB" w:rsidRPr="00B71AF8">
          <w:rPr>
            <w:b w:val="0"/>
            <w:noProof/>
            <w:webHidden/>
            <w:sz w:val="22"/>
            <w:szCs w:val="22"/>
          </w:rPr>
          <w:fldChar w:fldCharType="begin"/>
        </w:r>
        <w:r w:rsidR="005A27FB" w:rsidRPr="00B71AF8">
          <w:rPr>
            <w:b w:val="0"/>
            <w:noProof/>
            <w:webHidden/>
            <w:sz w:val="22"/>
            <w:szCs w:val="22"/>
          </w:rPr>
          <w:instrText xml:space="preserve"> PAGEREF _Toc536642554 \h </w:instrText>
        </w:r>
        <w:r w:rsidR="005A27FB" w:rsidRPr="00B71AF8">
          <w:rPr>
            <w:b w:val="0"/>
            <w:noProof/>
            <w:webHidden/>
            <w:sz w:val="22"/>
            <w:szCs w:val="22"/>
          </w:rPr>
        </w:r>
        <w:r w:rsidR="005A27FB" w:rsidRPr="00B71AF8">
          <w:rPr>
            <w:b w:val="0"/>
            <w:noProof/>
            <w:webHidden/>
            <w:sz w:val="22"/>
            <w:szCs w:val="22"/>
          </w:rPr>
          <w:fldChar w:fldCharType="separate"/>
        </w:r>
        <w:r w:rsidR="004B4765">
          <w:rPr>
            <w:b w:val="0"/>
            <w:noProof/>
            <w:webHidden/>
            <w:sz w:val="22"/>
            <w:szCs w:val="22"/>
          </w:rPr>
          <w:t>14</w:t>
        </w:r>
        <w:r w:rsidR="005A27FB" w:rsidRPr="00B71AF8">
          <w:rPr>
            <w:b w:val="0"/>
            <w:noProof/>
            <w:webHidden/>
            <w:sz w:val="22"/>
            <w:szCs w:val="22"/>
          </w:rPr>
          <w:fldChar w:fldCharType="end"/>
        </w:r>
      </w:hyperlink>
    </w:p>
    <w:p w14:paraId="0364167B" w14:textId="77777777" w:rsidR="005A27FB" w:rsidRPr="00B71AF8" w:rsidRDefault="009B333F">
      <w:pPr>
        <w:pStyle w:val="TOC1"/>
        <w:rPr>
          <w:rFonts w:asciiTheme="minorHAnsi" w:eastAsiaTheme="minorEastAsia" w:hAnsiTheme="minorHAnsi" w:cstheme="minorBidi"/>
          <w:b w:val="0"/>
          <w:noProof/>
          <w:sz w:val="22"/>
          <w:szCs w:val="22"/>
          <w:lang w:eastAsia="en-AU"/>
        </w:rPr>
      </w:pPr>
      <w:hyperlink w:anchor="_Toc536642555" w:history="1">
        <w:r w:rsidR="005A27FB" w:rsidRPr="00B71AF8">
          <w:rPr>
            <w:rStyle w:val="Hyperlink"/>
            <w:b w:val="0"/>
            <w:noProof/>
            <w:sz w:val="22"/>
            <w:szCs w:val="22"/>
          </w:rPr>
          <w:t>7.</w:t>
        </w:r>
        <w:r w:rsidR="005A27FB" w:rsidRPr="00B71AF8">
          <w:rPr>
            <w:rFonts w:asciiTheme="minorHAnsi" w:eastAsiaTheme="minorEastAsia" w:hAnsiTheme="minorHAnsi" w:cstheme="minorBidi"/>
            <w:b w:val="0"/>
            <w:noProof/>
            <w:sz w:val="22"/>
            <w:szCs w:val="22"/>
            <w:lang w:eastAsia="en-AU"/>
          </w:rPr>
          <w:tab/>
        </w:r>
        <w:r w:rsidR="005A27FB" w:rsidRPr="00B71AF8">
          <w:rPr>
            <w:rStyle w:val="Hyperlink"/>
            <w:b w:val="0"/>
            <w:noProof/>
            <w:sz w:val="22"/>
            <w:szCs w:val="22"/>
          </w:rPr>
          <w:t>Tailored, appropriate, culturally safe services</w:t>
        </w:r>
        <w:r w:rsidR="005A27FB" w:rsidRPr="00B71AF8">
          <w:rPr>
            <w:b w:val="0"/>
            <w:noProof/>
            <w:webHidden/>
            <w:sz w:val="22"/>
            <w:szCs w:val="22"/>
          </w:rPr>
          <w:tab/>
        </w:r>
        <w:r w:rsidR="005A27FB" w:rsidRPr="00B71AF8">
          <w:rPr>
            <w:b w:val="0"/>
            <w:noProof/>
            <w:webHidden/>
            <w:sz w:val="22"/>
            <w:szCs w:val="22"/>
          </w:rPr>
          <w:fldChar w:fldCharType="begin"/>
        </w:r>
        <w:r w:rsidR="005A27FB" w:rsidRPr="00B71AF8">
          <w:rPr>
            <w:b w:val="0"/>
            <w:noProof/>
            <w:webHidden/>
            <w:sz w:val="22"/>
            <w:szCs w:val="22"/>
          </w:rPr>
          <w:instrText xml:space="preserve"> PAGEREF _Toc536642555 \h </w:instrText>
        </w:r>
        <w:r w:rsidR="005A27FB" w:rsidRPr="00B71AF8">
          <w:rPr>
            <w:b w:val="0"/>
            <w:noProof/>
            <w:webHidden/>
            <w:sz w:val="22"/>
            <w:szCs w:val="22"/>
          </w:rPr>
        </w:r>
        <w:r w:rsidR="005A27FB" w:rsidRPr="00B71AF8">
          <w:rPr>
            <w:b w:val="0"/>
            <w:noProof/>
            <w:webHidden/>
            <w:sz w:val="22"/>
            <w:szCs w:val="22"/>
          </w:rPr>
          <w:fldChar w:fldCharType="separate"/>
        </w:r>
        <w:r w:rsidR="004B4765">
          <w:rPr>
            <w:b w:val="0"/>
            <w:noProof/>
            <w:webHidden/>
            <w:sz w:val="22"/>
            <w:szCs w:val="22"/>
          </w:rPr>
          <w:t>15</w:t>
        </w:r>
        <w:r w:rsidR="005A27FB" w:rsidRPr="00B71AF8">
          <w:rPr>
            <w:b w:val="0"/>
            <w:noProof/>
            <w:webHidden/>
            <w:sz w:val="22"/>
            <w:szCs w:val="22"/>
          </w:rPr>
          <w:fldChar w:fldCharType="end"/>
        </w:r>
      </w:hyperlink>
    </w:p>
    <w:p w14:paraId="31BF2FF8" w14:textId="77777777" w:rsidR="005A27FB" w:rsidRPr="00B71AF8" w:rsidRDefault="009B333F">
      <w:pPr>
        <w:pStyle w:val="TOC1"/>
        <w:rPr>
          <w:rFonts w:asciiTheme="minorHAnsi" w:eastAsiaTheme="minorEastAsia" w:hAnsiTheme="minorHAnsi" w:cstheme="minorBidi"/>
          <w:b w:val="0"/>
          <w:noProof/>
          <w:sz w:val="22"/>
          <w:szCs w:val="22"/>
          <w:lang w:eastAsia="en-AU"/>
        </w:rPr>
      </w:pPr>
      <w:hyperlink w:anchor="_Toc536642556" w:history="1">
        <w:r w:rsidR="005A27FB" w:rsidRPr="00B71AF8">
          <w:rPr>
            <w:rStyle w:val="Hyperlink"/>
            <w:b w:val="0"/>
            <w:noProof/>
            <w:sz w:val="22"/>
            <w:szCs w:val="22"/>
          </w:rPr>
          <w:t>8.</w:t>
        </w:r>
        <w:r w:rsidR="005A27FB" w:rsidRPr="00B71AF8">
          <w:rPr>
            <w:rFonts w:asciiTheme="minorHAnsi" w:eastAsiaTheme="minorEastAsia" w:hAnsiTheme="minorHAnsi" w:cstheme="minorBidi"/>
            <w:b w:val="0"/>
            <w:noProof/>
            <w:sz w:val="22"/>
            <w:szCs w:val="22"/>
            <w:lang w:eastAsia="en-AU"/>
          </w:rPr>
          <w:tab/>
        </w:r>
        <w:r w:rsidR="005A27FB" w:rsidRPr="00B71AF8">
          <w:rPr>
            <w:rStyle w:val="Hyperlink"/>
            <w:b w:val="0"/>
            <w:noProof/>
            <w:sz w:val="22"/>
            <w:szCs w:val="22"/>
          </w:rPr>
          <w:t>Regional issues and inconsistencies across settings</w:t>
        </w:r>
        <w:r w:rsidR="005A27FB" w:rsidRPr="00B71AF8">
          <w:rPr>
            <w:b w:val="0"/>
            <w:noProof/>
            <w:webHidden/>
            <w:sz w:val="22"/>
            <w:szCs w:val="22"/>
          </w:rPr>
          <w:tab/>
        </w:r>
        <w:r w:rsidR="005A27FB" w:rsidRPr="00B71AF8">
          <w:rPr>
            <w:b w:val="0"/>
            <w:noProof/>
            <w:webHidden/>
            <w:sz w:val="22"/>
            <w:szCs w:val="22"/>
          </w:rPr>
          <w:fldChar w:fldCharType="begin"/>
        </w:r>
        <w:r w:rsidR="005A27FB" w:rsidRPr="00B71AF8">
          <w:rPr>
            <w:b w:val="0"/>
            <w:noProof/>
            <w:webHidden/>
            <w:sz w:val="22"/>
            <w:szCs w:val="22"/>
          </w:rPr>
          <w:instrText xml:space="preserve"> PAGEREF _Toc536642556 \h </w:instrText>
        </w:r>
        <w:r w:rsidR="005A27FB" w:rsidRPr="00B71AF8">
          <w:rPr>
            <w:b w:val="0"/>
            <w:noProof/>
            <w:webHidden/>
            <w:sz w:val="22"/>
            <w:szCs w:val="22"/>
          </w:rPr>
        </w:r>
        <w:r w:rsidR="005A27FB" w:rsidRPr="00B71AF8">
          <w:rPr>
            <w:b w:val="0"/>
            <w:noProof/>
            <w:webHidden/>
            <w:sz w:val="22"/>
            <w:szCs w:val="22"/>
          </w:rPr>
          <w:fldChar w:fldCharType="separate"/>
        </w:r>
        <w:r w:rsidR="004B4765">
          <w:rPr>
            <w:b w:val="0"/>
            <w:noProof/>
            <w:webHidden/>
            <w:sz w:val="22"/>
            <w:szCs w:val="22"/>
          </w:rPr>
          <w:t>16</w:t>
        </w:r>
        <w:r w:rsidR="005A27FB" w:rsidRPr="00B71AF8">
          <w:rPr>
            <w:b w:val="0"/>
            <w:noProof/>
            <w:webHidden/>
            <w:sz w:val="22"/>
            <w:szCs w:val="22"/>
          </w:rPr>
          <w:fldChar w:fldCharType="end"/>
        </w:r>
      </w:hyperlink>
    </w:p>
    <w:p w14:paraId="0EA01B48" w14:textId="77777777" w:rsidR="005A27FB" w:rsidRPr="00B71AF8" w:rsidRDefault="009B333F">
      <w:pPr>
        <w:pStyle w:val="TOC1"/>
        <w:rPr>
          <w:rFonts w:asciiTheme="minorHAnsi" w:eastAsiaTheme="minorEastAsia" w:hAnsiTheme="minorHAnsi" w:cstheme="minorBidi"/>
          <w:b w:val="0"/>
          <w:noProof/>
          <w:sz w:val="22"/>
          <w:szCs w:val="22"/>
          <w:lang w:eastAsia="en-AU"/>
        </w:rPr>
      </w:pPr>
      <w:hyperlink w:anchor="_Toc536642557" w:history="1">
        <w:r w:rsidR="005A27FB" w:rsidRPr="00B71AF8">
          <w:rPr>
            <w:rStyle w:val="Hyperlink"/>
            <w:b w:val="0"/>
            <w:noProof/>
            <w:sz w:val="22"/>
            <w:szCs w:val="22"/>
          </w:rPr>
          <w:t>9.</w:t>
        </w:r>
        <w:r w:rsidR="005A27FB" w:rsidRPr="00B71AF8">
          <w:rPr>
            <w:rFonts w:asciiTheme="minorHAnsi" w:eastAsiaTheme="minorEastAsia" w:hAnsiTheme="minorHAnsi" w:cstheme="minorBidi"/>
            <w:b w:val="0"/>
            <w:noProof/>
            <w:sz w:val="22"/>
            <w:szCs w:val="22"/>
            <w:lang w:eastAsia="en-AU"/>
          </w:rPr>
          <w:tab/>
        </w:r>
        <w:r w:rsidR="005A27FB" w:rsidRPr="00B71AF8">
          <w:rPr>
            <w:rStyle w:val="Hyperlink"/>
            <w:b w:val="0"/>
            <w:noProof/>
            <w:sz w:val="22"/>
            <w:szCs w:val="22"/>
          </w:rPr>
          <w:t>Governance, accountability, data and transparency</w:t>
        </w:r>
        <w:r w:rsidR="005A27FB" w:rsidRPr="00B71AF8">
          <w:rPr>
            <w:b w:val="0"/>
            <w:noProof/>
            <w:webHidden/>
            <w:sz w:val="22"/>
            <w:szCs w:val="22"/>
          </w:rPr>
          <w:tab/>
        </w:r>
        <w:r w:rsidR="005A27FB" w:rsidRPr="00B71AF8">
          <w:rPr>
            <w:b w:val="0"/>
            <w:noProof/>
            <w:webHidden/>
            <w:sz w:val="22"/>
            <w:szCs w:val="22"/>
          </w:rPr>
          <w:fldChar w:fldCharType="begin"/>
        </w:r>
        <w:r w:rsidR="005A27FB" w:rsidRPr="00B71AF8">
          <w:rPr>
            <w:b w:val="0"/>
            <w:noProof/>
            <w:webHidden/>
            <w:sz w:val="22"/>
            <w:szCs w:val="22"/>
          </w:rPr>
          <w:instrText xml:space="preserve"> PAGEREF _Toc536642557 \h </w:instrText>
        </w:r>
        <w:r w:rsidR="005A27FB" w:rsidRPr="00B71AF8">
          <w:rPr>
            <w:b w:val="0"/>
            <w:noProof/>
            <w:webHidden/>
            <w:sz w:val="22"/>
            <w:szCs w:val="22"/>
          </w:rPr>
        </w:r>
        <w:r w:rsidR="005A27FB" w:rsidRPr="00B71AF8">
          <w:rPr>
            <w:b w:val="0"/>
            <w:noProof/>
            <w:webHidden/>
            <w:sz w:val="22"/>
            <w:szCs w:val="22"/>
          </w:rPr>
          <w:fldChar w:fldCharType="separate"/>
        </w:r>
        <w:r w:rsidR="004B4765">
          <w:rPr>
            <w:b w:val="0"/>
            <w:noProof/>
            <w:webHidden/>
            <w:sz w:val="22"/>
            <w:szCs w:val="22"/>
          </w:rPr>
          <w:t>17</w:t>
        </w:r>
        <w:r w:rsidR="005A27FB" w:rsidRPr="00B71AF8">
          <w:rPr>
            <w:b w:val="0"/>
            <w:noProof/>
            <w:webHidden/>
            <w:sz w:val="22"/>
            <w:szCs w:val="22"/>
          </w:rPr>
          <w:fldChar w:fldCharType="end"/>
        </w:r>
      </w:hyperlink>
    </w:p>
    <w:p w14:paraId="2F4358FF" w14:textId="77777777" w:rsidR="005A27FB" w:rsidRPr="00B71AF8" w:rsidRDefault="009B333F">
      <w:pPr>
        <w:pStyle w:val="TOC1"/>
        <w:rPr>
          <w:rFonts w:asciiTheme="minorHAnsi" w:eastAsiaTheme="minorEastAsia" w:hAnsiTheme="minorHAnsi" w:cstheme="minorBidi"/>
          <w:b w:val="0"/>
          <w:noProof/>
          <w:sz w:val="22"/>
          <w:szCs w:val="22"/>
          <w:lang w:eastAsia="en-AU"/>
        </w:rPr>
      </w:pPr>
      <w:hyperlink w:anchor="_Toc536642558" w:history="1">
        <w:r w:rsidR="005A27FB" w:rsidRPr="00B71AF8">
          <w:rPr>
            <w:rStyle w:val="Hyperlink"/>
            <w:b w:val="0"/>
            <w:noProof/>
            <w:sz w:val="22"/>
            <w:szCs w:val="22"/>
          </w:rPr>
          <w:t>10.</w:t>
        </w:r>
        <w:r w:rsidR="005A27FB" w:rsidRPr="00B71AF8">
          <w:rPr>
            <w:rFonts w:asciiTheme="minorHAnsi" w:eastAsiaTheme="minorEastAsia" w:hAnsiTheme="minorHAnsi" w:cstheme="minorBidi"/>
            <w:b w:val="0"/>
            <w:noProof/>
            <w:sz w:val="22"/>
            <w:szCs w:val="22"/>
            <w:lang w:eastAsia="en-AU"/>
          </w:rPr>
          <w:tab/>
        </w:r>
        <w:r w:rsidR="005A27FB" w:rsidRPr="00B71AF8">
          <w:rPr>
            <w:rStyle w:val="Hyperlink"/>
            <w:b w:val="0"/>
            <w:noProof/>
            <w:sz w:val="22"/>
            <w:szCs w:val="22"/>
          </w:rPr>
          <w:t>Time for a fundamental shift in our approach to mental health in Victoria – models that work</w:t>
        </w:r>
        <w:r w:rsidR="005A27FB" w:rsidRPr="00B71AF8">
          <w:rPr>
            <w:b w:val="0"/>
            <w:noProof/>
            <w:webHidden/>
            <w:sz w:val="22"/>
            <w:szCs w:val="22"/>
          </w:rPr>
          <w:tab/>
        </w:r>
        <w:r w:rsidR="005A27FB" w:rsidRPr="00B71AF8">
          <w:rPr>
            <w:b w:val="0"/>
            <w:noProof/>
            <w:webHidden/>
            <w:sz w:val="22"/>
            <w:szCs w:val="22"/>
          </w:rPr>
          <w:fldChar w:fldCharType="begin"/>
        </w:r>
        <w:r w:rsidR="005A27FB" w:rsidRPr="00B71AF8">
          <w:rPr>
            <w:b w:val="0"/>
            <w:noProof/>
            <w:webHidden/>
            <w:sz w:val="22"/>
            <w:szCs w:val="22"/>
          </w:rPr>
          <w:instrText xml:space="preserve"> PAGEREF _Toc536642558 \h </w:instrText>
        </w:r>
        <w:r w:rsidR="005A27FB" w:rsidRPr="00B71AF8">
          <w:rPr>
            <w:b w:val="0"/>
            <w:noProof/>
            <w:webHidden/>
            <w:sz w:val="22"/>
            <w:szCs w:val="22"/>
          </w:rPr>
        </w:r>
        <w:r w:rsidR="005A27FB" w:rsidRPr="00B71AF8">
          <w:rPr>
            <w:b w:val="0"/>
            <w:noProof/>
            <w:webHidden/>
            <w:sz w:val="22"/>
            <w:szCs w:val="22"/>
          </w:rPr>
          <w:fldChar w:fldCharType="separate"/>
        </w:r>
        <w:r w:rsidR="004B4765">
          <w:rPr>
            <w:b w:val="0"/>
            <w:noProof/>
            <w:webHidden/>
            <w:sz w:val="22"/>
            <w:szCs w:val="22"/>
          </w:rPr>
          <w:t>18</w:t>
        </w:r>
        <w:r w:rsidR="005A27FB" w:rsidRPr="00B71AF8">
          <w:rPr>
            <w:b w:val="0"/>
            <w:noProof/>
            <w:webHidden/>
            <w:sz w:val="22"/>
            <w:szCs w:val="22"/>
          </w:rPr>
          <w:fldChar w:fldCharType="end"/>
        </w:r>
      </w:hyperlink>
    </w:p>
    <w:p w14:paraId="45B9FF2F" w14:textId="77777777" w:rsidR="00804816" w:rsidRDefault="004E0688" w:rsidP="00E508EB">
      <w:pPr>
        <w:spacing w:line="480" w:lineRule="auto"/>
        <w:rPr>
          <w:szCs w:val="22"/>
        </w:rPr>
      </w:pPr>
      <w:r w:rsidRPr="00B71AF8">
        <w:rPr>
          <w:szCs w:val="22"/>
        </w:rPr>
        <w:fldChar w:fldCharType="end"/>
      </w:r>
    </w:p>
    <w:p w14:paraId="0B7F9208" w14:textId="77777777" w:rsidR="00804816" w:rsidRDefault="00804816">
      <w:pPr>
        <w:spacing w:after="0" w:line="240" w:lineRule="auto"/>
        <w:rPr>
          <w:szCs w:val="22"/>
        </w:rPr>
      </w:pPr>
      <w:r>
        <w:rPr>
          <w:szCs w:val="22"/>
        </w:rPr>
        <w:br w:type="page"/>
      </w:r>
    </w:p>
    <w:p w14:paraId="3811FC39" w14:textId="77777777" w:rsidR="007825F3" w:rsidRPr="00B71AF8" w:rsidRDefault="00866280" w:rsidP="00161EEF">
      <w:pPr>
        <w:pStyle w:val="Heading1"/>
      </w:pPr>
      <w:bookmarkStart w:id="1" w:name="_Toc536642541"/>
      <w:r w:rsidRPr="00B71AF8">
        <w:lastRenderedPageBreak/>
        <w:t>Executive Summary and Recommendations</w:t>
      </w:r>
      <w:bookmarkEnd w:id="1"/>
    </w:p>
    <w:p w14:paraId="2505DCD8" w14:textId="77777777" w:rsidR="00D06F53" w:rsidRPr="00B71AF8" w:rsidRDefault="00D06F53" w:rsidP="00D06F53">
      <w:pPr>
        <w:keepNext/>
        <w:keepLines/>
        <w:spacing w:after="240"/>
      </w:pPr>
      <w:r w:rsidRPr="00B71AF8">
        <w:t xml:space="preserve">Victoria Legal Aid congratulates the Victorian Government for </w:t>
      </w:r>
      <w:r w:rsidR="000929BF" w:rsidRPr="00B71AF8">
        <w:t>establishing</w:t>
      </w:r>
      <w:r w:rsidRPr="00B71AF8">
        <w:t xml:space="preserve"> Australia’s first Royal Commission into Mental Health (</w:t>
      </w:r>
      <w:r w:rsidRPr="00B71AF8">
        <w:rPr>
          <w:b/>
        </w:rPr>
        <w:t>RCMH</w:t>
      </w:r>
      <w:r w:rsidRPr="00B71AF8">
        <w:t xml:space="preserve">). </w:t>
      </w:r>
    </w:p>
    <w:p w14:paraId="6CF5FE8B" w14:textId="77777777" w:rsidR="00B85D10" w:rsidRPr="00B71AF8" w:rsidRDefault="00B85D10" w:rsidP="00A32974">
      <w:pPr>
        <w:keepNext/>
        <w:keepLines/>
        <w:spacing w:after="240"/>
      </w:pPr>
      <w:bookmarkStart w:id="2" w:name="_Toc536530004"/>
      <w:bookmarkStart w:id="3" w:name="_Toc536547209"/>
      <w:r w:rsidRPr="00B71AF8">
        <w:t>The RCMH is a critical opportunity to look at a system that is not currently working to support people’s personal recovery. At its best, the RCMH has the potential to help shape Victoria’s laws, policies, services and culture into a system that protects and promotes the rights of Victorians experiencing mental health issues or mental distress. It has the potential to inform and build a system that supports people's choices and their recovery in ways that enable them to live the best lives they can, as determined by them.</w:t>
      </w:r>
    </w:p>
    <w:p w14:paraId="3432FD8D" w14:textId="77777777" w:rsidR="00782CA5" w:rsidRPr="00B71AF8" w:rsidRDefault="00782CA5" w:rsidP="00CA1E53">
      <w:pPr>
        <w:pStyle w:val="Heading2"/>
      </w:pPr>
      <w:bookmarkStart w:id="4" w:name="_Toc536642542"/>
      <w:r w:rsidRPr="00B71AF8">
        <w:t>A critical opportunity for consumer-led, system-wide reform</w:t>
      </w:r>
      <w:bookmarkEnd w:id="2"/>
      <w:bookmarkEnd w:id="3"/>
      <w:bookmarkEnd w:id="4"/>
      <w:r w:rsidRPr="00B71AF8">
        <w:t xml:space="preserve"> </w:t>
      </w:r>
    </w:p>
    <w:p w14:paraId="2335E929" w14:textId="77777777" w:rsidR="0079400E" w:rsidRPr="00B71AF8" w:rsidRDefault="0097346B" w:rsidP="00AC7978">
      <w:pPr>
        <w:spacing w:after="240"/>
      </w:pPr>
      <w:r w:rsidRPr="00B71AF8">
        <w:t>Recognition of the importance of consumer co-production and leadership should be a</w:t>
      </w:r>
      <w:r w:rsidR="0079400E" w:rsidRPr="00B71AF8">
        <w:t xml:space="preserve">t </w:t>
      </w:r>
      <w:r w:rsidR="00D4110F" w:rsidRPr="00B71AF8">
        <w:t xml:space="preserve">the </w:t>
      </w:r>
      <w:r w:rsidR="0079400E" w:rsidRPr="00B71AF8">
        <w:t xml:space="preserve">foundation </w:t>
      </w:r>
      <w:r w:rsidR="00D4110F" w:rsidRPr="00B71AF8">
        <w:t xml:space="preserve">of </w:t>
      </w:r>
      <w:r w:rsidR="0079400E" w:rsidRPr="00B71AF8">
        <w:t>the RCMH and the system i</w:t>
      </w:r>
      <w:r w:rsidR="002650FF" w:rsidRPr="00B71AF8">
        <w:t>t</w:t>
      </w:r>
      <w:r w:rsidR="0079400E" w:rsidRPr="00B71AF8">
        <w:t xml:space="preserve"> helps redesign</w:t>
      </w:r>
      <w:r w:rsidR="00EA1406" w:rsidRPr="00B71AF8">
        <w:t>.</w:t>
      </w:r>
      <w:r w:rsidR="0079400E" w:rsidRPr="00B71AF8">
        <w:t xml:space="preserve"> Consumers must be engaged to shape and have influence over the </w:t>
      </w:r>
      <w:r w:rsidR="00443040" w:rsidRPr="00B71AF8">
        <w:t xml:space="preserve">RCMH </w:t>
      </w:r>
      <w:r w:rsidR="0079400E" w:rsidRPr="00B71AF8">
        <w:t xml:space="preserve">process and outcomes, and the reformed mental health system that emerges. </w:t>
      </w:r>
    </w:p>
    <w:p w14:paraId="663E82B0" w14:textId="77777777" w:rsidR="00765E31" w:rsidRPr="00B71AF8" w:rsidRDefault="0079400E" w:rsidP="00AC7978">
      <w:pPr>
        <w:spacing w:after="240"/>
      </w:pPr>
      <w:r w:rsidRPr="00B71AF8">
        <w:t xml:space="preserve">The RCMH presents an opportunity for a review of </w:t>
      </w:r>
      <w:r w:rsidRPr="00B71AF8">
        <w:rPr>
          <w:rFonts w:cs="Arial"/>
        </w:rPr>
        <w:t xml:space="preserve">the experiences of consumers of mental health services </w:t>
      </w:r>
      <w:r w:rsidR="00D4110F" w:rsidRPr="00B71AF8">
        <w:rPr>
          <w:rFonts w:cs="Arial"/>
        </w:rPr>
        <w:t xml:space="preserve">before, during and after their engagement with the mental health system. </w:t>
      </w:r>
      <w:r w:rsidRPr="00B71AF8">
        <w:rPr>
          <w:rFonts w:cs="Arial"/>
        </w:rPr>
        <w:t xml:space="preserve">To make sure this </w:t>
      </w:r>
      <w:r w:rsidR="002650FF" w:rsidRPr="00B71AF8">
        <w:rPr>
          <w:rFonts w:cs="Arial"/>
        </w:rPr>
        <w:t>happens</w:t>
      </w:r>
      <w:r w:rsidRPr="00B71AF8">
        <w:rPr>
          <w:rFonts w:cs="Arial"/>
        </w:rPr>
        <w:t xml:space="preserve">, </w:t>
      </w:r>
      <w:r w:rsidR="00443040" w:rsidRPr="00B71AF8">
        <w:rPr>
          <w:rFonts w:cs="Arial"/>
        </w:rPr>
        <w:t xml:space="preserve">we </w:t>
      </w:r>
      <w:r w:rsidRPr="00B71AF8">
        <w:rPr>
          <w:rFonts w:cs="Arial"/>
        </w:rPr>
        <w:t>encourage the Government to include within the scope of the RCMH a review of the way mental health services interact – or should interact – with other services and systems</w:t>
      </w:r>
      <w:r w:rsidR="007012CD" w:rsidRPr="00B71AF8">
        <w:rPr>
          <w:rFonts w:cs="Arial"/>
        </w:rPr>
        <w:t>.</w:t>
      </w:r>
      <w:r w:rsidR="009C1935" w:rsidRPr="00B71AF8">
        <w:rPr>
          <w:rFonts w:cs="Arial"/>
        </w:rPr>
        <w:t xml:space="preserve"> </w:t>
      </w:r>
    </w:p>
    <w:p w14:paraId="07288E01" w14:textId="77777777" w:rsidR="00D06F53" w:rsidRPr="00B71AF8" w:rsidRDefault="007012CD" w:rsidP="00AC7978">
      <w:pPr>
        <w:spacing w:after="240"/>
        <w:rPr>
          <w:rFonts w:cs="Arial"/>
        </w:rPr>
      </w:pPr>
      <w:r w:rsidRPr="00B71AF8">
        <w:rPr>
          <w:rFonts w:cs="Arial"/>
        </w:rPr>
        <w:t>By way of example, t</w:t>
      </w:r>
      <w:r w:rsidR="00C76E5E" w:rsidRPr="00B71AF8">
        <w:rPr>
          <w:rFonts w:cs="Arial"/>
        </w:rPr>
        <w:t xml:space="preserve">hrough our work, </w:t>
      </w:r>
      <w:r w:rsidR="00D06F53" w:rsidRPr="00B71AF8">
        <w:rPr>
          <w:rFonts w:cs="Arial"/>
        </w:rPr>
        <w:t>VLA sees the way in which lack of access to housing</w:t>
      </w:r>
      <w:r w:rsidR="00DD5979" w:rsidRPr="00B71AF8">
        <w:rPr>
          <w:rFonts w:cs="Arial"/>
        </w:rPr>
        <w:t>, disability services, employment, income support, therapeutic services</w:t>
      </w:r>
      <w:r w:rsidR="00D06F53" w:rsidRPr="00B71AF8">
        <w:rPr>
          <w:rFonts w:cs="Arial"/>
        </w:rPr>
        <w:t xml:space="preserve"> and mental health services in the community can contribute to escalating issues, which can include family breakdown, criminal offending or hospitalisation. Once people have entered these crisis-based systems, their exit, reintegration and/or recovery is again dependent on access to adequate housing and supports in the community. The RCMH presents a </w:t>
      </w:r>
      <w:r w:rsidR="00C76E5E" w:rsidRPr="00B71AF8">
        <w:rPr>
          <w:rFonts w:cs="Arial"/>
        </w:rPr>
        <w:t>critical</w:t>
      </w:r>
      <w:r w:rsidR="00D06F53" w:rsidRPr="00B71AF8">
        <w:rPr>
          <w:rFonts w:cs="Arial"/>
        </w:rPr>
        <w:t xml:space="preserve"> opportunity to understand the ways in which these, and other, systems could work together more effectively to deliver better outcomes for individuals and the Victorian community. </w:t>
      </w:r>
      <w:r w:rsidR="00AF7DF7" w:rsidRPr="00B71AF8">
        <w:rPr>
          <w:rFonts w:cs="Arial"/>
        </w:rPr>
        <w:t xml:space="preserve">One overarching comment about how the RCMH approaches its task is that it must consider system-wide context and reform. </w:t>
      </w:r>
      <w:r w:rsidR="00D06F53" w:rsidRPr="00B71AF8">
        <w:rPr>
          <w:rFonts w:cs="Arial"/>
        </w:rPr>
        <w:t>We caution against a narrow review of the mental health system</w:t>
      </w:r>
      <w:r w:rsidR="00DD5979" w:rsidRPr="00B71AF8">
        <w:rPr>
          <w:rFonts w:cs="Arial"/>
        </w:rPr>
        <w:t xml:space="preserve"> or one that replicates the silos of the </w:t>
      </w:r>
      <w:r w:rsidR="00067C6E" w:rsidRPr="00B71AF8">
        <w:rPr>
          <w:rFonts w:cs="Arial"/>
        </w:rPr>
        <w:t xml:space="preserve">current </w:t>
      </w:r>
      <w:r w:rsidR="00DD5979" w:rsidRPr="00B71AF8">
        <w:rPr>
          <w:rFonts w:cs="Arial"/>
        </w:rPr>
        <w:t>service system</w:t>
      </w:r>
      <w:r w:rsidR="00D06F53" w:rsidRPr="00B71AF8">
        <w:rPr>
          <w:rFonts w:cs="Arial"/>
        </w:rPr>
        <w:t>, which will not present the same opportunity for positive change.</w:t>
      </w:r>
    </w:p>
    <w:p w14:paraId="39DC7DB4" w14:textId="77777777" w:rsidR="007012CD" w:rsidRPr="00B71AF8" w:rsidRDefault="007012CD" w:rsidP="00AC7978">
      <w:pPr>
        <w:spacing w:after="240"/>
        <w:rPr>
          <w:rFonts w:cs="Arial"/>
        </w:rPr>
      </w:pPr>
      <w:r w:rsidRPr="00B71AF8">
        <w:rPr>
          <w:rFonts w:cs="Arial"/>
        </w:rPr>
        <w:t xml:space="preserve">The scope of the RCMH should be informed by social determinants of mental health and be framed within a social model of health rather than a purely medical model. In our view, the proposed themes presented as part of the </w:t>
      </w:r>
      <w:r w:rsidRPr="00B71AF8">
        <w:t xml:space="preserve">‘Royal Commission into Mental Health Terms of Reference Consultation’ online engagement do not offer sufficient scope to deliver the much-needed system-wide reform </w:t>
      </w:r>
      <w:r w:rsidR="00D05AAF" w:rsidRPr="00B71AF8">
        <w:t xml:space="preserve">(and risk reinforcing existing silos) </w:t>
      </w:r>
      <w:r w:rsidRPr="00B71AF8">
        <w:t>and we commend you for consulting outside these parameters.</w:t>
      </w:r>
      <w:r w:rsidRPr="00B71AF8">
        <w:rPr>
          <w:rStyle w:val="FootnoteReference"/>
        </w:rPr>
        <w:footnoteReference w:id="1"/>
      </w:r>
      <w:r w:rsidR="009C1935" w:rsidRPr="00B71AF8">
        <w:t xml:space="preserve"> </w:t>
      </w:r>
    </w:p>
    <w:p w14:paraId="5ACF24DA" w14:textId="77777777" w:rsidR="0097346B" w:rsidRPr="00B71AF8" w:rsidRDefault="0097346B">
      <w:pPr>
        <w:spacing w:after="0" w:line="240" w:lineRule="auto"/>
        <w:rPr>
          <w:rFonts w:cs="Arial"/>
          <w:b/>
          <w:bCs/>
          <w:iCs/>
          <w:color w:val="971A4B"/>
          <w:sz w:val="28"/>
          <w:szCs w:val="28"/>
          <w:lang w:eastAsia="en-AU"/>
        </w:rPr>
      </w:pPr>
      <w:r w:rsidRPr="00B71AF8">
        <w:br w:type="page"/>
      </w:r>
    </w:p>
    <w:p w14:paraId="57C59D74" w14:textId="77777777" w:rsidR="00F24FB1" w:rsidRPr="00B71AF8" w:rsidRDefault="00F24FB1" w:rsidP="00CA1E53">
      <w:pPr>
        <w:pStyle w:val="Heading2"/>
      </w:pPr>
      <w:bookmarkStart w:id="5" w:name="_Toc536530005"/>
      <w:bookmarkStart w:id="6" w:name="_Toc536547210"/>
      <w:bookmarkStart w:id="7" w:name="_Toc536642543"/>
      <w:r w:rsidRPr="00B71AF8">
        <w:lastRenderedPageBreak/>
        <w:t>Our perspectives and recommendations</w:t>
      </w:r>
      <w:bookmarkEnd w:id="5"/>
      <w:bookmarkEnd w:id="6"/>
      <w:bookmarkEnd w:id="7"/>
      <w:r w:rsidRPr="00B71AF8">
        <w:t xml:space="preserve"> </w:t>
      </w:r>
    </w:p>
    <w:p w14:paraId="5336584F" w14:textId="77777777" w:rsidR="00D06F53" w:rsidRPr="00B71AF8" w:rsidRDefault="00362BBB" w:rsidP="00D06F53">
      <w:pPr>
        <w:keepNext/>
        <w:keepLines/>
        <w:spacing w:after="240"/>
        <w:rPr>
          <w:rFonts w:cs="Arial"/>
        </w:rPr>
      </w:pPr>
      <w:r w:rsidRPr="00B71AF8">
        <w:rPr>
          <w:rFonts w:cs="Arial"/>
        </w:rPr>
        <w:t>VLA’s position and recommendations</w:t>
      </w:r>
      <w:r w:rsidR="00D06F53" w:rsidRPr="00B71AF8">
        <w:rPr>
          <w:rFonts w:cs="Arial"/>
        </w:rPr>
        <w:t xml:space="preserve"> have been informed by:</w:t>
      </w:r>
    </w:p>
    <w:p w14:paraId="66E6C17D" w14:textId="77777777" w:rsidR="00D06F53" w:rsidRPr="00B71AF8" w:rsidRDefault="00D06F53" w:rsidP="00983C9A">
      <w:pPr>
        <w:pStyle w:val="ListParagraph"/>
        <w:keepNext/>
        <w:keepLines/>
        <w:numPr>
          <w:ilvl w:val="1"/>
          <w:numId w:val="25"/>
        </w:numPr>
        <w:spacing w:after="240"/>
        <w:ind w:left="360"/>
        <w:rPr>
          <w:rFonts w:cs="Arial"/>
        </w:rPr>
      </w:pPr>
      <w:r w:rsidRPr="00B71AF8">
        <w:rPr>
          <w:rFonts w:cs="Arial"/>
        </w:rPr>
        <w:t xml:space="preserve">VLA’s specialist </w:t>
      </w:r>
      <w:r w:rsidR="00D4110F" w:rsidRPr="00B71AF8">
        <w:rPr>
          <w:rFonts w:cs="Arial"/>
        </w:rPr>
        <w:t xml:space="preserve">legal and non-legal </w:t>
      </w:r>
      <w:r w:rsidRPr="00B71AF8">
        <w:rPr>
          <w:rFonts w:cs="Arial"/>
        </w:rPr>
        <w:t xml:space="preserve">expertise in the mental health system via </w:t>
      </w:r>
      <w:r w:rsidR="00BA03EA" w:rsidRPr="00B71AF8">
        <w:rPr>
          <w:rFonts w:cs="Arial"/>
        </w:rPr>
        <w:t xml:space="preserve">our Mental Health and Disability Law </w:t>
      </w:r>
      <w:r w:rsidR="00D4110F" w:rsidRPr="00B71AF8">
        <w:rPr>
          <w:rFonts w:cs="Arial"/>
        </w:rPr>
        <w:t xml:space="preserve">service, </w:t>
      </w:r>
      <w:r w:rsidRPr="00B71AF8">
        <w:rPr>
          <w:rFonts w:cs="Arial"/>
        </w:rPr>
        <w:t xml:space="preserve">and </w:t>
      </w:r>
      <w:r w:rsidR="00BA03EA" w:rsidRPr="00B71AF8">
        <w:rPr>
          <w:rFonts w:cs="Arial"/>
        </w:rPr>
        <w:t>our non-legal Independent Mental Health Advocacy (</w:t>
      </w:r>
      <w:r w:rsidR="00BA03EA" w:rsidRPr="00B71AF8">
        <w:rPr>
          <w:rFonts w:cs="Arial"/>
          <w:b/>
        </w:rPr>
        <w:t>IMHA</w:t>
      </w:r>
      <w:r w:rsidR="00BA03EA" w:rsidRPr="00B71AF8">
        <w:rPr>
          <w:rFonts w:cs="Arial"/>
        </w:rPr>
        <w:t>)</w:t>
      </w:r>
      <w:r w:rsidR="00D4110F" w:rsidRPr="00B71AF8">
        <w:rPr>
          <w:rFonts w:cs="Arial"/>
        </w:rPr>
        <w:t xml:space="preserve"> service. This expertise includes </w:t>
      </w:r>
      <w:r w:rsidRPr="00B71AF8">
        <w:rPr>
          <w:rFonts w:cs="Arial"/>
        </w:rPr>
        <w:t>direct knowledge of consumer experience</w:t>
      </w:r>
      <w:r w:rsidR="00BA03EA" w:rsidRPr="00B71AF8">
        <w:rPr>
          <w:rFonts w:cs="Arial"/>
        </w:rPr>
        <w:t>.</w:t>
      </w:r>
      <w:r w:rsidRPr="00B71AF8">
        <w:rPr>
          <w:rFonts w:cs="Arial"/>
        </w:rPr>
        <w:t xml:space="preserve"> </w:t>
      </w:r>
    </w:p>
    <w:p w14:paraId="3D99BCBD" w14:textId="77777777" w:rsidR="00D06F53" w:rsidRPr="00B71AF8" w:rsidRDefault="00D06F53" w:rsidP="00983C9A">
      <w:pPr>
        <w:pStyle w:val="ListParagraph"/>
        <w:keepNext/>
        <w:keepLines/>
        <w:numPr>
          <w:ilvl w:val="1"/>
          <w:numId w:val="25"/>
        </w:numPr>
        <w:spacing w:after="240"/>
        <w:ind w:left="360"/>
        <w:rPr>
          <w:rFonts w:cs="Arial"/>
        </w:rPr>
      </w:pPr>
      <w:r w:rsidRPr="00B71AF8">
        <w:rPr>
          <w:rFonts w:cs="Arial"/>
        </w:rPr>
        <w:t xml:space="preserve">The views of members of our advisory group of consumer experts, </w:t>
      </w:r>
      <w:r w:rsidRPr="00B71AF8">
        <w:rPr>
          <w:rFonts w:cs="Arial"/>
          <w:i/>
        </w:rPr>
        <w:t>Speaking from Experience</w:t>
      </w:r>
      <w:r w:rsidR="00BA03EA" w:rsidRPr="00B71AF8">
        <w:rPr>
          <w:rFonts w:cs="Arial"/>
        </w:rPr>
        <w:t>.</w:t>
      </w:r>
    </w:p>
    <w:p w14:paraId="4DEA80D1" w14:textId="77777777" w:rsidR="00562C2D" w:rsidRPr="00B71AF8" w:rsidRDefault="00D06F53" w:rsidP="00983C9A">
      <w:pPr>
        <w:pStyle w:val="ListParagraph"/>
        <w:keepNext/>
        <w:keepLines/>
        <w:numPr>
          <w:ilvl w:val="1"/>
          <w:numId w:val="25"/>
        </w:numPr>
        <w:spacing w:after="240"/>
        <w:ind w:left="360"/>
        <w:rPr>
          <w:rFonts w:cs="Arial"/>
        </w:rPr>
      </w:pPr>
      <w:r w:rsidRPr="00B71AF8">
        <w:rPr>
          <w:rFonts w:cs="Arial"/>
        </w:rPr>
        <w:t xml:space="preserve">VLA’s direct experience of the flow-on effects of the gaps in the mental health system, which are apparent through our work in summary crime, indictable crime, child protection, family law, family violence, discrimination, </w:t>
      </w:r>
      <w:r w:rsidR="00E0158D" w:rsidRPr="00B71AF8">
        <w:rPr>
          <w:rFonts w:cs="Arial"/>
        </w:rPr>
        <w:t xml:space="preserve">social security, </w:t>
      </w:r>
      <w:r w:rsidRPr="00B71AF8">
        <w:rPr>
          <w:rFonts w:cs="Arial"/>
        </w:rPr>
        <w:t>tenancy and</w:t>
      </w:r>
      <w:r w:rsidR="0005536B" w:rsidRPr="00B71AF8">
        <w:rPr>
          <w:rFonts w:cs="Arial"/>
        </w:rPr>
        <w:t xml:space="preserve"> legal help for people in prison.</w:t>
      </w:r>
      <w:r w:rsidR="009C1935" w:rsidRPr="00B71AF8">
        <w:rPr>
          <w:rFonts w:cs="Arial"/>
        </w:rPr>
        <w:t xml:space="preserve"> </w:t>
      </w:r>
    </w:p>
    <w:p w14:paraId="385CA9D1" w14:textId="77777777" w:rsidR="00562C2D" w:rsidRPr="00B71AF8" w:rsidRDefault="00562C2D" w:rsidP="00562C2D">
      <w:pPr>
        <w:pStyle w:val="ListParagraph"/>
        <w:spacing w:before="100" w:after="100" w:line="280" w:lineRule="exact"/>
        <w:rPr>
          <w:rFonts w:cs="Arial"/>
        </w:rPr>
      </w:pPr>
    </w:p>
    <w:p w14:paraId="55EB933D" w14:textId="77777777" w:rsidR="00670FA5" w:rsidRPr="00B71AF8" w:rsidRDefault="001A4E1B" w:rsidP="00AC7978">
      <w:pPr>
        <w:spacing w:before="100" w:after="100" w:line="280" w:lineRule="exact"/>
      </w:pPr>
      <w:r w:rsidRPr="00B71AF8">
        <w:t>Informed by this work and these perspectives, we</w:t>
      </w:r>
      <w:r w:rsidR="007012CD" w:rsidRPr="00B71AF8">
        <w:t xml:space="preserve"> would like to see </w:t>
      </w:r>
      <w:r w:rsidR="004373C5" w:rsidRPr="00B71AF8">
        <w:t>Terms of Reference (</w:t>
      </w:r>
      <w:r w:rsidR="007012CD" w:rsidRPr="00B71AF8">
        <w:rPr>
          <w:b/>
        </w:rPr>
        <w:t>TOR</w:t>
      </w:r>
      <w:r w:rsidR="004373C5" w:rsidRPr="00B71AF8">
        <w:t>)</w:t>
      </w:r>
      <w:r w:rsidR="007012CD" w:rsidRPr="00B71AF8">
        <w:t xml:space="preserve"> that allow for the system to be reimagined.</w:t>
      </w:r>
      <w:r w:rsidR="009C1935" w:rsidRPr="00B71AF8">
        <w:t xml:space="preserve"> </w:t>
      </w:r>
      <w:r w:rsidR="007012CD" w:rsidRPr="00B71AF8">
        <w:t xml:space="preserve">The </w:t>
      </w:r>
      <w:r w:rsidR="00D828A2" w:rsidRPr="00B71AF8">
        <w:t xml:space="preserve">current mental health </w:t>
      </w:r>
      <w:r w:rsidR="007012CD" w:rsidRPr="00B71AF8">
        <w:t>system is not broke</w:t>
      </w:r>
      <w:r w:rsidR="00670FA5" w:rsidRPr="00B71AF8">
        <w:t>n</w:t>
      </w:r>
      <w:r w:rsidRPr="00B71AF8">
        <w:t>;</w:t>
      </w:r>
      <w:r w:rsidR="00670FA5" w:rsidRPr="00B71AF8">
        <w:t xml:space="preserve"> </w:t>
      </w:r>
      <w:r w:rsidRPr="00B71AF8">
        <w:t>i</w:t>
      </w:r>
      <w:r w:rsidR="00670FA5" w:rsidRPr="00B71AF8">
        <w:t xml:space="preserve">t is </w:t>
      </w:r>
      <w:r w:rsidR="007012CD" w:rsidRPr="00B71AF8">
        <w:t xml:space="preserve">poorly designed. </w:t>
      </w:r>
      <w:r w:rsidR="00670FA5" w:rsidRPr="00B71AF8">
        <w:t xml:space="preserve">Rather than try to </w:t>
      </w:r>
      <w:r w:rsidR="00FD338C" w:rsidRPr="00B71AF8">
        <w:t>“</w:t>
      </w:r>
      <w:r w:rsidR="00670FA5" w:rsidRPr="00B71AF8">
        <w:t>fix</w:t>
      </w:r>
      <w:r w:rsidR="00FD338C" w:rsidRPr="00B71AF8">
        <w:t>”</w:t>
      </w:r>
      <w:r w:rsidR="00670FA5" w:rsidRPr="00B71AF8">
        <w:t xml:space="preserve"> </w:t>
      </w:r>
      <w:r w:rsidR="00FD338C" w:rsidRPr="00B71AF8">
        <w:t xml:space="preserve">the system </w:t>
      </w:r>
      <w:r w:rsidR="008B6823" w:rsidRPr="00B71AF8">
        <w:t>as it is currently conceived</w:t>
      </w:r>
      <w:r w:rsidR="00670FA5" w:rsidRPr="00B71AF8">
        <w:t xml:space="preserve">, we should be moving toward a </w:t>
      </w:r>
      <w:r w:rsidR="00670FA5" w:rsidRPr="00B71AF8">
        <w:rPr>
          <w:rFonts w:cs="Arial"/>
          <w:szCs w:val="22"/>
        </w:rPr>
        <w:t>social</w:t>
      </w:r>
      <w:r w:rsidR="00670FA5" w:rsidRPr="00B71AF8">
        <w:t xml:space="preserve"> model of health, designed with people with lived experience</w:t>
      </w:r>
      <w:r w:rsidR="004373C5" w:rsidRPr="00B71AF8">
        <w:t xml:space="preserve"> of mental health issues</w:t>
      </w:r>
      <w:r w:rsidR="00670FA5" w:rsidRPr="00B71AF8">
        <w:t>.</w:t>
      </w:r>
      <w:r w:rsidR="009C1935" w:rsidRPr="00B71AF8">
        <w:t xml:space="preserve"> </w:t>
      </w:r>
    </w:p>
    <w:p w14:paraId="497C5C9B" w14:textId="77777777" w:rsidR="00562C2D" w:rsidRPr="00B71AF8" w:rsidRDefault="00D05AAF" w:rsidP="00AC7978">
      <w:pPr>
        <w:spacing w:before="100" w:after="100" w:line="280" w:lineRule="exact"/>
      </w:pPr>
      <w:r w:rsidRPr="00B71AF8">
        <w:t>In</w:t>
      </w:r>
      <w:r w:rsidR="00670FA5" w:rsidRPr="00B71AF8">
        <w:t xml:space="preserve"> </w:t>
      </w:r>
      <w:r w:rsidR="00670FA5" w:rsidRPr="00B71AF8">
        <w:rPr>
          <w:rFonts w:cs="Arial"/>
          <w:szCs w:val="22"/>
        </w:rPr>
        <w:t>reimagining</w:t>
      </w:r>
      <w:r w:rsidR="00670FA5" w:rsidRPr="00B71AF8">
        <w:t xml:space="preserve"> a new system, we should not brush past or gloss over the harm people have experienced through the current system. We must </w:t>
      </w:r>
      <w:r w:rsidR="00D828A2" w:rsidRPr="00B71AF8">
        <w:t>listen to</w:t>
      </w:r>
      <w:r w:rsidR="00670FA5" w:rsidRPr="00B71AF8">
        <w:t xml:space="preserve"> the voices of people who have experienced this system </w:t>
      </w:r>
      <w:r w:rsidR="00DB03E2" w:rsidRPr="00B71AF8">
        <w:t>in order</w:t>
      </w:r>
      <w:r w:rsidR="00670FA5" w:rsidRPr="00B71AF8">
        <w:t xml:space="preserve"> to move on from it.</w:t>
      </w:r>
      <w:r w:rsidR="009C1935" w:rsidRPr="00B71AF8">
        <w:t xml:space="preserve"> </w:t>
      </w:r>
    </w:p>
    <w:p w14:paraId="42F99128" w14:textId="77777777" w:rsidR="00670FA5" w:rsidRDefault="001A4E1B">
      <w:pPr>
        <w:spacing w:before="100" w:after="100" w:line="280" w:lineRule="exact"/>
        <w:rPr>
          <w:rFonts w:cs="Arial"/>
        </w:rPr>
      </w:pPr>
      <w:r w:rsidRPr="00B71AF8">
        <w:rPr>
          <w:rFonts w:cs="Arial"/>
        </w:rPr>
        <w:t xml:space="preserve">To make </w:t>
      </w:r>
      <w:r w:rsidRPr="00B71AF8">
        <w:rPr>
          <w:rFonts w:cs="Arial"/>
          <w:szCs w:val="22"/>
        </w:rPr>
        <w:t>sure</w:t>
      </w:r>
      <w:r w:rsidRPr="00B71AF8">
        <w:rPr>
          <w:rFonts w:cs="Arial"/>
        </w:rPr>
        <w:t xml:space="preserve"> the RCMH achieves its potential</w:t>
      </w:r>
      <w:r w:rsidR="00670FA5" w:rsidRPr="00B71AF8">
        <w:rPr>
          <w:rFonts w:cs="Arial"/>
        </w:rPr>
        <w:t xml:space="preserve">, </w:t>
      </w:r>
      <w:r w:rsidRPr="00B71AF8">
        <w:rPr>
          <w:rFonts w:cs="Arial"/>
        </w:rPr>
        <w:t>here</w:t>
      </w:r>
      <w:r w:rsidR="00670FA5" w:rsidRPr="00B71AF8">
        <w:rPr>
          <w:rFonts w:cs="Arial"/>
        </w:rPr>
        <w:t xml:space="preserve"> </w:t>
      </w:r>
      <w:r w:rsidRPr="00B71AF8">
        <w:rPr>
          <w:rFonts w:cs="Arial"/>
        </w:rPr>
        <w:t xml:space="preserve">are </w:t>
      </w:r>
      <w:r w:rsidR="00670FA5" w:rsidRPr="00B71AF8">
        <w:rPr>
          <w:rFonts w:cs="Arial"/>
        </w:rPr>
        <w:t xml:space="preserve">10 themes </w:t>
      </w:r>
      <w:r w:rsidR="00D05AAF" w:rsidRPr="00B71AF8">
        <w:rPr>
          <w:rFonts w:cs="Arial"/>
        </w:rPr>
        <w:t xml:space="preserve">that </w:t>
      </w:r>
      <w:r w:rsidR="00324963" w:rsidRPr="00B71AF8">
        <w:rPr>
          <w:rFonts w:cs="Arial"/>
        </w:rPr>
        <w:t xml:space="preserve">must </w:t>
      </w:r>
      <w:r w:rsidR="00D05AAF" w:rsidRPr="00B71AF8">
        <w:rPr>
          <w:rFonts w:cs="Arial"/>
        </w:rPr>
        <w:t>be within its scope.</w:t>
      </w:r>
      <w:r w:rsidR="009C1935" w:rsidRPr="00B71AF8">
        <w:rPr>
          <w:rFonts w:cs="Arial"/>
        </w:rPr>
        <w:t xml:space="preserve"> </w:t>
      </w:r>
    </w:p>
    <w:p w14:paraId="7B42861E" w14:textId="77777777" w:rsidR="001910F3" w:rsidRDefault="001910F3" w:rsidP="001910F3">
      <w:pPr>
        <w:pStyle w:val="Heading2"/>
      </w:pPr>
      <w:r w:rsidRPr="00B71AF8">
        <w:t>Roads to Recovery: 10 themes that must be considered by Victoria’s</w:t>
      </w:r>
      <w:r w:rsidRPr="00B71AF8">
        <w:br/>
        <w:t>Royal Commission into Mental Health</w:t>
      </w:r>
      <w:r w:rsidR="00423EFD">
        <w:t xml:space="preserve"> </w:t>
      </w:r>
    </w:p>
    <w:p w14:paraId="42201DE4" w14:textId="77777777" w:rsidR="001910F3" w:rsidRPr="001910F3" w:rsidRDefault="001910F3" w:rsidP="001910F3">
      <w:pPr>
        <w:pStyle w:val="Heading3"/>
        <w:numPr>
          <w:ilvl w:val="0"/>
          <w:numId w:val="30"/>
        </w:numPr>
      </w:pPr>
      <w:r w:rsidRPr="00B71AF8">
        <w:t>Consumer leadership and co-production</w:t>
      </w:r>
    </w:p>
    <w:p w14:paraId="65278A5E" w14:textId="77777777" w:rsidR="001910F3" w:rsidRPr="00423EFD" w:rsidRDefault="001910F3" w:rsidP="001910F3">
      <w:r w:rsidRPr="00423EFD">
        <w:t>Consumers – people whose lives are directly affected by the mental health system – should shape and have influence over the process and outcomes of the RCMH. This includes: consumer leadership of the RCMH; processes to ensure that consumers can contribute to and be heard by the RCMH; and embedding consumer leadership in the redesigned mental health system that emerges from the RCMH.</w:t>
      </w:r>
    </w:p>
    <w:p w14:paraId="38F4307C" w14:textId="77777777" w:rsidR="001910F3" w:rsidRPr="001910F3" w:rsidRDefault="001910F3" w:rsidP="001910F3">
      <w:pPr>
        <w:pStyle w:val="Heading3"/>
        <w:numPr>
          <w:ilvl w:val="0"/>
          <w:numId w:val="30"/>
        </w:numPr>
      </w:pPr>
      <w:r w:rsidRPr="001910F3">
        <w:t>The regulation of compulsory treatment – rights and recovery</w:t>
      </w:r>
    </w:p>
    <w:p w14:paraId="0AF4D3F3" w14:textId="77777777" w:rsidR="00377A41" w:rsidRPr="00423EFD" w:rsidRDefault="001910F3" w:rsidP="00423EFD">
      <w:r w:rsidRPr="00423EFD">
        <w:t>The RCMH provides an opportunity to consider whether the principles and provisions of the Mental Health Act 2014 (Vic) – including a rights-based and recovery-oriented framework for the delivery of treatment and support – are operating as intended and, if not, how to change this.</w:t>
      </w:r>
    </w:p>
    <w:p w14:paraId="6D73CF04" w14:textId="77777777" w:rsidR="001910F3" w:rsidRDefault="001910F3" w:rsidP="001910F3">
      <w:pPr>
        <w:pStyle w:val="Heading3"/>
        <w:numPr>
          <w:ilvl w:val="0"/>
          <w:numId w:val="30"/>
        </w:numPr>
      </w:pPr>
      <w:r w:rsidRPr="00B71AF8">
        <w:t>Services and supports in the community</w:t>
      </w:r>
    </w:p>
    <w:p w14:paraId="0ED9C012" w14:textId="77777777" w:rsidR="001910F3" w:rsidRPr="00423EFD" w:rsidRDefault="001910F3" w:rsidP="00423EFD">
      <w:r w:rsidRPr="00423EFD">
        <w:t>The RCMH should consider the availability and appropriateness of services and supports in the community, including mental health and interdependent systems such as rehabilitation services, housing and NDIS.</w:t>
      </w:r>
    </w:p>
    <w:p w14:paraId="52AA3081" w14:textId="77777777" w:rsidR="001910F3" w:rsidRDefault="001910F3" w:rsidP="001910F3">
      <w:pPr>
        <w:pStyle w:val="Heading3"/>
        <w:numPr>
          <w:ilvl w:val="0"/>
          <w:numId w:val="30"/>
        </w:numPr>
      </w:pPr>
      <w:r w:rsidRPr="00B71AF8">
        <w:t>Forensic mental health and justice services</w:t>
      </w:r>
    </w:p>
    <w:p w14:paraId="6613A704" w14:textId="77777777" w:rsidR="001910F3" w:rsidRDefault="001910F3" w:rsidP="00AC7978">
      <w:pPr>
        <w:spacing w:before="100" w:after="100" w:line="280" w:lineRule="exact"/>
        <w:rPr>
          <w:rFonts w:cs="Arial"/>
          <w:sz w:val="21"/>
          <w:szCs w:val="21"/>
        </w:rPr>
      </w:pPr>
      <w:r w:rsidRPr="00423EFD">
        <w:t xml:space="preserve">The RCMH should consider the way in which the mental health system directly impacts on people’s justice outcomes, including their entry into and exit out of the criminal justice system. This includes early intervention and diversion (including the role of Victoria Police), courts, secure therapeutic </w:t>
      </w:r>
      <w:r w:rsidRPr="00423EFD">
        <w:lastRenderedPageBreak/>
        <w:t>facilities,</w:t>
      </w:r>
      <w:r w:rsidRPr="00B71AF8">
        <w:rPr>
          <w:rFonts w:cs="Arial"/>
          <w:sz w:val="21"/>
          <w:szCs w:val="21"/>
        </w:rPr>
        <w:t xml:space="preserve"> </w:t>
      </w:r>
      <w:r w:rsidRPr="00423EFD">
        <w:t>prisons, transition back into the community, and the needs and experiences of young people in the justice system.</w:t>
      </w:r>
    </w:p>
    <w:p w14:paraId="1AFB42B6" w14:textId="77777777" w:rsidR="001910F3" w:rsidRDefault="001910F3" w:rsidP="001910F3">
      <w:pPr>
        <w:pStyle w:val="Heading3"/>
        <w:numPr>
          <w:ilvl w:val="0"/>
          <w:numId w:val="30"/>
        </w:numPr>
      </w:pPr>
      <w:r w:rsidRPr="00B71AF8">
        <w:t>Overlapping life and legal issues</w:t>
      </w:r>
    </w:p>
    <w:p w14:paraId="343AF611" w14:textId="77777777" w:rsidR="001910F3" w:rsidRPr="00423EFD" w:rsidRDefault="001910F3" w:rsidP="001910F3">
      <w:r w:rsidRPr="00423EFD">
        <w:t xml:space="preserve">The RCMH should recognise that the experience of mental health issues can contribute to a broad range of legal issues. The existence of these issues – and the stress they bring with them – can also contribute to or exacerbate mental health issues for people. The RCMH should expressly consider the interaction between people’s mental health and the following legal issues and systems: family violence; child protection; family law; discrimination; fines; housing and tenancy; social security; migration law; and guardianship and administration.  </w:t>
      </w:r>
    </w:p>
    <w:p w14:paraId="54FEBB9F" w14:textId="77777777" w:rsidR="001910F3" w:rsidRDefault="001910F3" w:rsidP="001910F3">
      <w:pPr>
        <w:pStyle w:val="Heading3"/>
        <w:numPr>
          <w:ilvl w:val="0"/>
          <w:numId w:val="30"/>
        </w:numPr>
      </w:pPr>
      <w:r w:rsidRPr="00B71AF8">
        <w:t>Inpatient services</w:t>
      </w:r>
    </w:p>
    <w:p w14:paraId="4B70AD9C" w14:textId="77777777" w:rsidR="001910F3" w:rsidRPr="00423EFD" w:rsidRDefault="001910F3" w:rsidP="00423EFD">
      <w:r w:rsidRPr="00423EFD">
        <w:t>The RCMH should consider the conditions, physical environment, culture, safety and treatment of people who are hospitalised for their diagnosis or experience of a mental health issue or mental distress.</w:t>
      </w:r>
    </w:p>
    <w:p w14:paraId="3CC11443" w14:textId="77777777" w:rsidR="001910F3" w:rsidRPr="001910F3" w:rsidRDefault="001910F3" w:rsidP="001910F3">
      <w:pPr>
        <w:pStyle w:val="Heading3"/>
        <w:numPr>
          <w:ilvl w:val="0"/>
          <w:numId w:val="30"/>
        </w:numPr>
      </w:pPr>
      <w:r w:rsidRPr="00B71AF8">
        <w:t>Tailored, appropriate, culturally safe services</w:t>
      </w:r>
    </w:p>
    <w:p w14:paraId="563318F8" w14:textId="77777777" w:rsidR="001910F3" w:rsidRDefault="001910F3" w:rsidP="001910F3">
      <w:pPr>
        <w:rPr>
          <w:rFonts w:cs="Arial"/>
          <w:sz w:val="21"/>
          <w:szCs w:val="21"/>
        </w:rPr>
      </w:pPr>
      <w:r w:rsidRPr="00423EFD">
        <w:t>The RCMH should consider the need for tailored, appropriate and culturally safe services for groups</w:t>
      </w:r>
      <w:r w:rsidRPr="00B71AF8">
        <w:rPr>
          <w:rFonts w:cs="Arial"/>
          <w:sz w:val="21"/>
          <w:szCs w:val="21"/>
        </w:rPr>
        <w:t xml:space="preserve"> </w:t>
      </w:r>
      <w:r w:rsidRPr="00423EFD">
        <w:t>within our community, including Aboriginal and Torres Strait Islander people, CALD communities, LGBTIQ people, older Victorians, women and young people. The RCMH’s consideration of the service needs of these priority groups should be informed by engagement with consumers who are members of these communities.</w:t>
      </w:r>
    </w:p>
    <w:p w14:paraId="0151B8A4" w14:textId="77777777" w:rsidR="001910F3" w:rsidRDefault="001910F3" w:rsidP="001910F3">
      <w:pPr>
        <w:pStyle w:val="Heading3"/>
        <w:numPr>
          <w:ilvl w:val="0"/>
          <w:numId w:val="30"/>
        </w:numPr>
      </w:pPr>
      <w:r w:rsidRPr="00B71AF8">
        <w:t>Regional issues</w:t>
      </w:r>
    </w:p>
    <w:p w14:paraId="37251730" w14:textId="77777777" w:rsidR="001910F3" w:rsidRPr="00423EFD" w:rsidRDefault="001910F3" w:rsidP="001910F3">
      <w:r w:rsidRPr="00423EFD">
        <w:t>The RCMH should consider the way in which a person’s postcode affects the treatment and services available to them.</w:t>
      </w:r>
    </w:p>
    <w:p w14:paraId="24F75B57" w14:textId="77777777" w:rsidR="001910F3" w:rsidRDefault="001910F3" w:rsidP="001910F3">
      <w:pPr>
        <w:pStyle w:val="Heading3"/>
        <w:numPr>
          <w:ilvl w:val="0"/>
          <w:numId w:val="30"/>
        </w:numPr>
      </w:pPr>
      <w:r w:rsidRPr="00B71AF8">
        <w:t>Governance, accountability, data and transparency</w:t>
      </w:r>
    </w:p>
    <w:p w14:paraId="4077E1D0" w14:textId="77777777" w:rsidR="001910F3" w:rsidRPr="00423EFD" w:rsidRDefault="001910F3" w:rsidP="001910F3">
      <w:r w:rsidRPr="00423EFD">
        <w:t>The RCMH should consider the effectiveness of the current governance, oversight and accountability mechanisms in the mental health system. It should also consider the lack of publicly available data regarding the mental health system, including data on how many people are subject to compulsory treatment, geographical location, age, gender, cultural background, type and length of order, and complaints. Data is critical to service design, evaluation and consumer choice, and essential to ensure accountability.</w:t>
      </w:r>
    </w:p>
    <w:p w14:paraId="521EADCC" w14:textId="77777777" w:rsidR="001910F3" w:rsidRDefault="001910F3" w:rsidP="00423EFD">
      <w:pPr>
        <w:pStyle w:val="Heading3"/>
        <w:numPr>
          <w:ilvl w:val="0"/>
          <w:numId w:val="30"/>
        </w:numPr>
      </w:pPr>
      <w:r w:rsidRPr="00B71AF8">
        <w:t>Models that work</w:t>
      </w:r>
    </w:p>
    <w:p w14:paraId="7DFE3EA7" w14:textId="77777777" w:rsidR="001910F3" w:rsidRPr="001910F3" w:rsidRDefault="001910F3" w:rsidP="001910F3">
      <w:r w:rsidRPr="00423EFD">
        <w:t>The RCMH should take a social determinants of health approach, and should encourage evidence and ideas about models that work, including prioritising the expertise of people who have directly experienced the mental health system, and contemplating international best practice.</w:t>
      </w:r>
    </w:p>
    <w:p w14:paraId="1DB67AD1" w14:textId="77777777" w:rsidR="00377A41" w:rsidRPr="00B71AF8" w:rsidRDefault="00377A41" w:rsidP="00377A41">
      <w:pPr>
        <w:rPr>
          <w:rFonts w:cs="Arial"/>
          <w:b/>
        </w:rPr>
      </w:pPr>
    </w:p>
    <w:p w14:paraId="7C9257FF" w14:textId="77777777" w:rsidR="00377A41" w:rsidRPr="00B71AF8" w:rsidRDefault="00377A41" w:rsidP="00377A41">
      <w:pPr>
        <w:jc w:val="center"/>
        <w:rPr>
          <w:rFonts w:cs="Arial"/>
          <w:b/>
        </w:rPr>
      </w:pPr>
    </w:p>
    <w:p w14:paraId="1546DB0F" w14:textId="77777777" w:rsidR="00377A41" w:rsidRPr="00B71AF8" w:rsidRDefault="00377A41" w:rsidP="00377A41"/>
    <w:p w14:paraId="5A4E8705" w14:textId="77777777" w:rsidR="006A12CB" w:rsidRPr="00B71AF8" w:rsidRDefault="006A12CB" w:rsidP="009048CA">
      <w:pPr>
        <w:pStyle w:val="Heading1"/>
      </w:pPr>
      <w:bookmarkStart w:id="8" w:name="_Toc536642544"/>
      <w:bookmarkStart w:id="9" w:name="_Toc525755308"/>
      <w:r w:rsidRPr="00B71AF8">
        <w:lastRenderedPageBreak/>
        <w:t xml:space="preserve">Victoria </w:t>
      </w:r>
      <w:r w:rsidR="00ED0E39" w:rsidRPr="00B71AF8">
        <w:t>L</w:t>
      </w:r>
      <w:r w:rsidRPr="00B71AF8">
        <w:t>egal Aid</w:t>
      </w:r>
      <w:r w:rsidR="000B2326" w:rsidRPr="00B71AF8">
        <w:t>, our clients and consumers</w:t>
      </w:r>
      <w:r w:rsidR="008B6823" w:rsidRPr="00B71AF8">
        <w:t>,</w:t>
      </w:r>
      <w:r w:rsidR="000B2326" w:rsidRPr="00B71AF8">
        <w:t xml:space="preserve"> and the mental health system</w:t>
      </w:r>
      <w:bookmarkEnd w:id="8"/>
      <w:r w:rsidR="000B2326" w:rsidRPr="00B71AF8">
        <w:t xml:space="preserve"> </w:t>
      </w:r>
      <w:bookmarkEnd w:id="9"/>
    </w:p>
    <w:p w14:paraId="119EA9FA" w14:textId="77777777" w:rsidR="00DE0BF4" w:rsidRPr="00B71AF8" w:rsidRDefault="00DE0BF4" w:rsidP="003A39BB">
      <w:pPr>
        <w:spacing w:before="100" w:after="100" w:line="280" w:lineRule="exact"/>
        <w:rPr>
          <w:rFonts w:cs="Arial"/>
          <w:szCs w:val="22"/>
        </w:rPr>
      </w:pPr>
      <w:r w:rsidRPr="00B71AF8">
        <w:rPr>
          <w:rFonts w:cs="Arial"/>
          <w:szCs w:val="22"/>
        </w:rPr>
        <w:t>VLA is an independent statutory agency responsible for providing information, advice and assistance in response to a broad range of legal problems.</w:t>
      </w:r>
      <w:bookmarkStart w:id="10" w:name="_Ref536638712"/>
      <w:r w:rsidR="00724B6B" w:rsidRPr="00B71AF8">
        <w:rPr>
          <w:rStyle w:val="FootnoteReference"/>
          <w:rFonts w:cs="Arial"/>
          <w:szCs w:val="22"/>
        </w:rPr>
        <w:footnoteReference w:id="2"/>
      </w:r>
      <w:bookmarkEnd w:id="10"/>
      <w:r w:rsidRPr="00B71AF8">
        <w:rPr>
          <w:rFonts w:cs="Arial"/>
          <w:szCs w:val="22"/>
        </w:rPr>
        <w:t xml:space="preserve"> Working alongside our partners in the private profession and community legal centres, we help people with legal problems such as criminal matters, family breakdown, child protection, family violence, fines, social security, mental health, migration, discrimination, guardianship and administration, tenancy and debt.</w:t>
      </w:r>
      <w:r w:rsidR="009C1935" w:rsidRPr="00B71AF8">
        <w:rPr>
          <w:rFonts w:cs="Arial"/>
          <w:szCs w:val="22"/>
        </w:rPr>
        <w:t xml:space="preserve"> </w:t>
      </w:r>
    </w:p>
    <w:p w14:paraId="0EEBA986" w14:textId="77777777" w:rsidR="00DE0BF4" w:rsidRPr="00B71AF8" w:rsidRDefault="00DE0BF4" w:rsidP="003A39BB">
      <w:pPr>
        <w:spacing w:before="100" w:after="100" w:line="280" w:lineRule="exact"/>
        <w:rPr>
          <w:rFonts w:cs="Arial"/>
          <w:szCs w:val="22"/>
        </w:rPr>
      </w:pPr>
      <w:r w:rsidRPr="00B71AF8">
        <w:rPr>
          <w:rFonts w:cs="Arial"/>
          <w:szCs w:val="22"/>
        </w:rPr>
        <w:t>Our Legal Help telephone line is a resource for all Victorians to seek information, advice and assistance with legal problems. We also deliver specialist non-legal services, including our Family Dispute Resolution Service and our Independent Mental Health Advocacy</w:t>
      </w:r>
      <w:r w:rsidR="0031444C" w:rsidRPr="00B71AF8">
        <w:rPr>
          <w:rFonts w:cs="Arial"/>
          <w:szCs w:val="22"/>
        </w:rPr>
        <w:t xml:space="preserve"> service</w:t>
      </w:r>
      <w:r w:rsidRPr="00B71AF8">
        <w:rPr>
          <w:rFonts w:cs="Arial"/>
          <w:szCs w:val="22"/>
        </w:rPr>
        <w:t>, provide community legal education, and contribute to policy and law reform.</w:t>
      </w:r>
    </w:p>
    <w:p w14:paraId="01D33B05" w14:textId="77777777" w:rsidR="009048CA" w:rsidRPr="00B71AF8" w:rsidRDefault="009048CA" w:rsidP="003A39BB">
      <w:pPr>
        <w:spacing w:before="100" w:after="100" w:line="280" w:lineRule="exact"/>
        <w:rPr>
          <w:rFonts w:cs="Arial"/>
          <w:szCs w:val="22"/>
        </w:rPr>
      </w:pPr>
      <w:r w:rsidRPr="00B71AF8">
        <w:rPr>
          <w:rFonts w:cs="Arial"/>
          <w:szCs w:val="22"/>
        </w:rPr>
        <w:t>Our contribution to the RCMH will be informed by our work with clients and consumers</w:t>
      </w:r>
      <w:r w:rsidR="00724B6B" w:rsidRPr="00B71AF8">
        <w:rPr>
          <w:rFonts w:cs="Arial"/>
          <w:szCs w:val="22"/>
        </w:rPr>
        <w:t xml:space="preserve"> experiencing mental health issues</w:t>
      </w:r>
      <w:r w:rsidRPr="00B71AF8">
        <w:rPr>
          <w:rFonts w:cs="Arial"/>
          <w:szCs w:val="22"/>
        </w:rPr>
        <w:t xml:space="preserve">, </w:t>
      </w:r>
      <w:r w:rsidR="006673F6" w:rsidRPr="00B71AF8">
        <w:rPr>
          <w:rFonts w:cs="Arial"/>
          <w:szCs w:val="22"/>
        </w:rPr>
        <w:t>including</w:t>
      </w:r>
      <w:r w:rsidRPr="00B71AF8">
        <w:rPr>
          <w:rFonts w:cs="Arial"/>
          <w:szCs w:val="22"/>
        </w:rPr>
        <w:t xml:space="preserve">: </w:t>
      </w:r>
    </w:p>
    <w:p w14:paraId="1F8BF148" w14:textId="77777777" w:rsidR="000E1C82" w:rsidRPr="00B71AF8" w:rsidRDefault="00012090" w:rsidP="00AC7978">
      <w:pPr>
        <w:pStyle w:val="ListParagraph"/>
        <w:numPr>
          <w:ilvl w:val="1"/>
          <w:numId w:val="25"/>
        </w:numPr>
        <w:spacing w:after="240"/>
        <w:ind w:left="357"/>
        <w:rPr>
          <w:rFonts w:cs="Arial"/>
          <w:szCs w:val="22"/>
        </w:rPr>
      </w:pPr>
      <w:r w:rsidRPr="00B71AF8">
        <w:rPr>
          <w:rFonts w:cs="Arial"/>
          <w:b/>
          <w:color w:val="333333"/>
          <w:szCs w:val="22"/>
        </w:rPr>
        <w:t>Over one-quarter of our clients</w:t>
      </w:r>
      <w:r w:rsidR="000E1C82" w:rsidRPr="00B71AF8">
        <w:rPr>
          <w:rFonts w:cs="Arial"/>
          <w:color w:val="333333"/>
          <w:szCs w:val="22"/>
        </w:rPr>
        <w:t>. During</w:t>
      </w:r>
      <w:r w:rsidR="000E1C82" w:rsidRPr="00B71AF8">
        <w:rPr>
          <w:rFonts w:cs="Arial"/>
          <w:szCs w:val="22"/>
        </w:rPr>
        <w:t xml:space="preserve"> 2017–18, VLA helped 94,485 unique clients: 11% were in custody, detention or psychiatric care</w:t>
      </w:r>
      <w:r w:rsidR="0031444C" w:rsidRPr="00B71AF8">
        <w:rPr>
          <w:rFonts w:cs="Arial"/>
          <w:szCs w:val="22"/>
        </w:rPr>
        <w:t>,</w:t>
      </w:r>
      <w:r w:rsidR="000E1C82" w:rsidRPr="00B71AF8">
        <w:rPr>
          <w:rFonts w:cs="Arial"/>
          <w:szCs w:val="22"/>
        </w:rPr>
        <w:t xml:space="preserve"> and 26% disclosed having a disability or mental health issue.</w:t>
      </w:r>
      <w:r w:rsidR="000E1C82" w:rsidRPr="00B71AF8">
        <w:rPr>
          <w:rStyle w:val="FootnoteReference"/>
          <w:rFonts w:cs="Arial"/>
          <w:sz w:val="22"/>
          <w:szCs w:val="22"/>
        </w:rPr>
        <w:footnoteReference w:id="3"/>
      </w:r>
      <w:r w:rsidR="009C1935" w:rsidRPr="00B71AF8">
        <w:rPr>
          <w:rFonts w:cs="Arial"/>
          <w:szCs w:val="22"/>
        </w:rPr>
        <w:t xml:space="preserve"> </w:t>
      </w:r>
      <w:r w:rsidR="006E4A6F" w:rsidRPr="00B71AF8">
        <w:rPr>
          <w:rFonts w:cs="Arial"/>
          <w:szCs w:val="22"/>
        </w:rPr>
        <w:t xml:space="preserve">While some of this work is </w:t>
      </w:r>
      <w:r w:rsidR="006207E4" w:rsidRPr="00B71AF8">
        <w:rPr>
          <w:rFonts w:cs="Arial"/>
          <w:szCs w:val="22"/>
        </w:rPr>
        <w:t xml:space="preserve">specifically within the </w:t>
      </w:r>
      <w:r w:rsidR="006E4A6F" w:rsidRPr="00B71AF8">
        <w:rPr>
          <w:rFonts w:cs="Arial"/>
          <w:szCs w:val="22"/>
        </w:rPr>
        <w:t xml:space="preserve">mental health system, much of it is VLA's other day-to-day work across summary crime, indictable crime, child protection, family law, family violence, discrimination, social security, </w:t>
      </w:r>
      <w:r w:rsidR="006207E4" w:rsidRPr="00B71AF8">
        <w:rPr>
          <w:rFonts w:cs="Arial"/>
          <w:szCs w:val="22"/>
        </w:rPr>
        <w:t xml:space="preserve">migration, </w:t>
      </w:r>
      <w:r w:rsidR="006E4A6F" w:rsidRPr="00B71AF8">
        <w:rPr>
          <w:rFonts w:cs="Arial"/>
          <w:szCs w:val="22"/>
        </w:rPr>
        <w:t xml:space="preserve">tenancy and </w:t>
      </w:r>
      <w:r w:rsidR="00550A30" w:rsidRPr="00B71AF8">
        <w:rPr>
          <w:rFonts w:cs="Arial"/>
          <w:szCs w:val="22"/>
        </w:rPr>
        <w:t>legal help for people in prison</w:t>
      </w:r>
      <w:r w:rsidR="006E4A6F" w:rsidRPr="00B71AF8">
        <w:rPr>
          <w:rFonts w:cs="Arial"/>
          <w:szCs w:val="22"/>
        </w:rPr>
        <w:t>.</w:t>
      </w:r>
      <w:r w:rsidR="009C1935" w:rsidRPr="00B71AF8">
        <w:rPr>
          <w:rFonts w:cs="Arial"/>
          <w:szCs w:val="22"/>
        </w:rPr>
        <w:t xml:space="preserve"> </w:t>
      </w:r>
    </w:p>
    <w:p w14:paraId="56B40F0E" w14:textId="77777777" w:rsidR="000E1C82" w:rsidRPr="00B71AF8" w:rsidRDefault="000E1C82" w:rsidP="00AC7978">
      <w:pPr>
        <w:pStyle w:val="ListParagraph"/>
        <w:spacing w:after="240"/>
        <w:ind w:left="357"/>
        <w:rPr>
          <w:rFonts w:cs="Arial"/>
          <w:color w:val="333333"/>
          <w:szCs w:val="22"/>
        </w:rPr>
      </w:pPr>
    </w:p>
    <w:p w14:paraId="54B269E5" w14:textId="77777777" w:rsidR="00DB03E2" w:rsidRPr="00B71AF8" w:rsidRDefault="000B2326" w:rsidP="00DB03E2">
      <w:pPr>
        <w:pStyle w:val="ListParagraph"/>
        <w:numPr>
          <w:ilvl w:val="1"/>
          <w:numId w:val="25"/>
        </w:numPr>
        <w:spacing w:after="240"/>
        <w:ind w:left="357"/>
        <w:rPr>
          <w:rFonts w:cs="Arial"/>
          <w:color w:val="333333"/>
          <w:szCs w:val="22"/>
        </w:rPr>
      </w:pPr>
      <w:r w:rsidRPr="00B71AF8">
        <w:rPr>
          <w:b/>
        </w:rPr>
        <w:t>Specialist</w:t>
      </w:r>
      <w:r w:rsidRPr="00B71AF8">
        <w:rPr>
          <w:rFonts w:cs="Arial"/>
          <w:b/>
          <w:color w:val="333333"/>
          <w:szCs w:val="22"/>
        </w:rPr>
        <w:t xml:space="preserve"> mental health legal practice</w:t>
      </w:r>
      <w:r w:rsidRPr="00B71AF8">
        <w:rPr>
          <w:rFonts w:cs="Arial"/>
          <w:color w:val="333333"/>
          <w:szCs w:val="22"/>
        </w:rPr>
        <w:t xml:space="preserve">. </w:t>
      </w:r>
      <w:r w:rsidR="009048CA" w:rsidRPr="00B71AF8">
        <w:rPr>
          <w:rFonts w:cs="Arial"/>
          <w:color w:val="333333"/>
          <w:szCs w:val="22"/>
        </w:rPr>
        <w:t>The Mental Health and Disability Law program provides advice and representation to people with a mental health diagnosis or cognitive disability. We work to realise people’s rights and autonomy, and to help make sure the justice and health systems operate fairly. In 2017–18, we represented 1046 people before the Mental Health Tribunal, including 772 matters for people with inpatient treatment orders.</w:t>
      </w:r>
      <w:r w:rsidR="009C1935" w:rsidRPr="00B71AF8">
        <w:rPr>
          <w:rFonts w:cs="Arial"/>
          <w:color w:val="333333"/>
          <w:szCs w:val="22"/>
        </w:rPr>
        <w:t xml:space="preserve"> </w:t>
      </w:r>
      <w:r w:rsidR="00375B03" w:rsidRPr="00B71AF8">
        <w:rPr>
          <w:rFonts w:cs="Arial"/>
          <w:color w:val="333333"/>
          <w:szCs w:val="22"/>
        </w:rPr>
        <w:t xml:space="preserve">We also appeared for clients in 93 </w:t>
      </w:r>
      <w:r w:rsidR="00375B03" w:rsidRPr="00B71AF8">
        <w:rPr>
          <w:rFonts w:cs="Arial"/>
          <w:i/>
          <w:color w:val="333333"/>
          <w:szCs w:val="22"/>
        </w:rPr>
        <w:t xml:space="preserve">Crimes (Mental Impairment and Unfitness to be Tried) Act </w:t>
      </w:r>
      <w:r w:rsidR="00375B03" w:rsidRPr="00B71AF8">
        <w:rPr>
          <w:rFonts w:cs="Arial"/>
          <w:color w:val="333333"/>
          <w:szCs w:val="22"/>
        </w:rPr>
        <w:t>1997 (Vic) hearings in the County Court and Supreme Court, as well as at the Forensic Leave Panel for clients on supervision orders seeking access to leave.</w:t>
      </w:r>
    </w:p>
    <w:p w14:paraId="5B955FEA" w14:textId="77777777" w:rsidR="00DB03E2" w:rsidRPr="00B71AF8" w:rsidRDefault="00DB03E2" w:rsidP="00AC7978">
      <w:pPr>
        <w:pStyle w:val="ListParagraph"/>
        <w:rPr>
          <w:rFonts w:cs="Arial"/>
          <w:color w:val="333333"/>
          <w:szCs w:val="22"/>
        </w:rPr>
      </w:pPr>
    </w:p>
    <w:p w14:paraId="0C8D792A" w14:textId="77777777" w:rsidR="000B2326" w:rsidRPr="00B71AF8" w:rsidRDefault="000B2326" w:rsidP="00AC7978">
      <w:pPr>
        <w:pStyle w:val="ListParagraph"/>
        <w:widowControl w:val="0"/>
        <w:numPr>
          <w:ilvl w:val="1"/>
          <w:numId w:val="25"/>
        </w:numPr>
        <w:spacing w:after="240"/>
        <w:ind w:left="360"/>
        <w:rPr>
          <w:rFonts w:cs="Arial"/>
          <w:color w:val="333333"/>
          <w:szCs w:val="22"/>
        </w:rPr>
      </w:pPr>
      <w:r w:rsidRPr="00B71AF8">
        <w:rPr>
          <w:b/>
        </w:rPr>
        <w:t>Non</w:t>
      </w:r>
      <w:r w:rsidRPr="00B71AF8">
        <w:rPr>
          <w:rFonts w:cs="Arial"/>
          <w:b/>
          <w:color w:val="333333"/>
          <w:szCs w:val="22"/>
        </w:rPr>
        <w:t>-legal advocates and consumer experts</w:t>
      </w:r>
      <w:r w:rsidRPr="00B71AF8">
        <w:rPr>
          <w:rFonts w:cs="Arial"/>
          <w:color w:val="333333"/>
          <w:szCs w:val="22"/>
        </w:rPr>
        <w:t xml:space="preserve">. </w:t>
      </w:r>
      <w:r w:rsidR="009048CA" w:rsidRPr="00B71AF8">
        <w:rPr>
          <w:rFonts w:cs="Arial"/>
          <w:color w:val="333333"/>
          <w:szCs w:val="22"/>
        </w:rPr>
        <w:t>The Independent Mental Health Advocacy (</w:t>
      </w:r>
      <w:r w:rsidR="009048CA" w:rsidRPr="00B71AF8">
        <w:rPr>
          <w:rFonts w:cs="Arial"/>
          <w:b/>
          <w:color w:val="333333"/>
          <w:szCs w:val="22"/>
        </w:rPr>
        <w:t>IMHA</w:t>
      </w:r>
      <w:r w:rsidR="009048CA" w:rsidRPr="00B71AF8">
        <w:rPr>
          <w:rFonts w:cs="Arial"/>
          <w:color w:val="333333"/>
          <w:szCs w:val="22"/>
        </w:rPr>
        <w:t xml:space="preserve">) service, a non-legal advocacy service, supports people who are receiving compulsory psychiatric treatment to have as much say as possible about their assessment, treatment and recovery. </w:t>
      </w:r>
      <w:r w:rsidR="00EB1375" w:rsidRPr="00B71AF8">
        <w:rPr>
          <w:rFonts w:cs="Arial"/>
          <w:color w:val="333333"/>
          <w:szCs w:val="22"/>
        </w:rPr>
        <w:t xml:space="preserve">IMHA’s </w:t>
      </w:r>
      <w:r w:rsidR="009048CA" w:rsidRPr="00B71AF8">
        <w:rPr>
          <w:rFonts w:cs="Arial"/>
          <w:i/>
          <w:color w:val="333333"/>
          <w:szCs w:val="22"/>
        </w:rPr>
        <w:t>Speaking from Experience</w:t>
      </w:r>
      <w:r w:rsidR="009048CA" w:rsidRPr="00B71AF8">
        <w:rPr>
          <w:rFonts w:cs="Arial"/>
          <w:color w:val="333333"/>
          <w:szCs w:val="22"/>
        </w:rPr>
        <w:t xml:space="preserve"> advisory group is made up of people who have lived experience of mental health issues. IMHA is included in Victoria’s </w:t>
      </w:r>
      <w:r w:rsidR="009048CA" w:rsidRPr="00B71AF8">
        <w:rPr>
          <w:rFonts w:cs="Arial"/>
          <w:i/>
          <w:color w:val="333333"/>
          <w:szCs w:val="22"/>
        </w:rPr>
        <w:t>10-Year Mental Health Plan</w:t>
      </w:r>
      <w:r w:rsidR="009048CA" w:rsidRPr="00B71AF8">
        <w:rPr>
          <w:rFonts w:cs="Arial"/>
          <w:color w:val="333333"/>
          <w:szCs w:val="22"/>
        </w:rPr>
        <w:t xml:space="preserve"> as a service that will </w:t>
      </w:r>
      <w:r w:rsidR="006673F6" w:rsidRPr="00B71AF8">
        <w:rPr>
          <w:rFonts w:cs="Arial"/>
          <w:color w:val="333333"/>
          <w:szCs w:val="22"/>
        </w:rPr>
        <w:t>‘</w:t>
      </w:r>
      <w:r w:rsidR="009048CA" w:rsidRPr="00B71AF8">
        <w:rPr>
          <w:rFonts w:cs="Arial"/>
          <w:color w:val="333333"/>
          <w:szCs w:val="22"/>
        </w:rPr>
        <w:t>strengthen a rights-based framework for the delivery of treatment and support, and help embed person-directed assessment, treatment and recovery as the norm for service delivery</w:t>
      </w:r>
      <w:r w:rsidR="006673F6" w:rsidRPr="00B71AF8">
        <w:rPr>
          <w:rFonts w:cs="Arial"/>
          <w:color w:val="333333"/>
          <w:szCs w:val="22"/>
        </w:rPr>
        <w:t>’</w:t>
      </w:r>
      <w:r w:rsidR="009048CA" w:rsidRPr="00B71AF8">
        <w:rPr>
          <w:rFonts w:cs="Arial"/>
          <w:color w:val="333333"/>
          <w:szCs w:val="22"/>
        </w:rPr>
        <w:t>.</w:t>
      </w:r>
      <w:r w:rsidR="00D71D47" w:rsidRPr="00B71AF8">
        <w:rPr>
          <w:rFonts w:cs="Arial"/>
          <w:color w:val="333333"/>
          <w:szCs w:val="22"/>
        </w:rPr>
        <w:t xml:space="preserve"> IMHA has been</w:t>
      </w:r>
      <w:r w:rsidR="00851212" w:rsidRPr="00B71AF8">
        <w:rPr>
          <w:rFonts w:cs="Arial"/>
          <w:color w:val="333333"/>
          <w:szCs w:val="22"/>
        </w:rPr>
        <w:t xml:space="preserve"> favourably</w:t>
      </w:r>
      <w:r w:rsidR="00D71D47" w:rsidRPr="00B71AF8">
        <w:rPr>
          <w:rFonts w:cs="Arial"/>
          <w:color w:val="333333"/>
          <w:szCs w:val="22"/>
        </w:rPr>
        <w:t xml:space="preserve"> externally evaluated over </w:t>
      </w:r>
      <w:r w:rsidR="00CF0919" w:rsidRPr="00B71AF8">
        <w:rPr>
          <w:rFonts w:cs="Arial"/>
          <w:color w:val="333333"/>
          <w:szCs w:val="22"/>
        </w:rPr>
        <w:t>three</w:t>
      </w:r>
      <w:r w:rsidR="00D71D47" w:rsidRPr="00B71AF8">
        <w:rPr>
          <w:rFonts w:cs="Arial"/>
          <w:color w:val="333333"/>
          <w:szCs w:val="22"/>
        </w:rPr>
        <w:t xml:space="preserve"> years</w:t>
      </w:r>
      <w:r w:rsidR="002D2D89" w:rsidRPr="00B71AF8">
        <w:rPr>
          <w:rFonts w:cs="Arial"/>
          <w:color w:val="333333"/>
          <w:szCs w:val="22"/>
        </w:rPr>
        <w:t xml:space="preserve">, providing </w:t>
      </w:r>
      <w:r w:rsidR="00D71D47" w:rsidRPr="00B71AF8">
        <w:rPr>
          <w:rFonts w:cs="Arial"/>
          <w:color w:val="333333"/>
          <w:szCs w:val="22"/>
        </w:rPr>
        <w:t xml:space="preserve">insights into current issues within the mental health system and </w:t>
      </w:r>
      <w:r w:rsidR="002D2D89" w:rsidRPr="00B71AF8">
        <w:rPr>
          <w:rFonts w:cs="Arial"/>
          <w:color w:val="333333"/>
          <w:szCs w:val="22"/>
        </w:rPr>
        <w:t xml:space="preserve">the </w:t>
      </w:r>
      <w:r w:rsidR="00D71D47" w:rsidRPr="00B71AF8">
        <w:rPr>
          <w:rFonts w:cs="Arial"/>
          <w:color w:val="333333"/>
          <w:szCs w:val="22"/>
        </w:rPr>
        <w:t>importance of advocacy</w:t>
      </w:r>
      <w:r w:rsidR="00CF0919" w:rsidRPr="00B71AF8">
        <w:rPr>
          <w:rFonts w:cs="Arial"/>
          <w:color w:val="333333"/>
          <w:szCs w:val="22"/>
        </w:rPr>
        <w:t>,</w:t>
      </w:r>
      <w:r w:rsidR="00D71D47" w:rsidRPr="00B71AF8">
        <w:rPr>
          <w:rFonts w:cs="Arial"/>
          <w:color w:val="333333"/>
          <w:szCs w:val="22"/>
        </w:rPr>
        <w:t xml:space="preserve"> as </w:t>
      </w:r>
      <w:r w:rsidR="00D71D47" w:rsidRPr="00B71AF8">
        <w:rPr>
          <w:rFonts w:cs="Arial"/>
          <w:color w:val="333333"/>
          <w:szCs w:val="22"/>
        </w:rPr>
        <w:lastRenderedPageBreak/>
        <w:t>well as mechanisms to ensure coordinate</w:t>
      </w:r>
      <w:r w:rsidR="00EB1375" w:rsidRPr="00B71AF8">
        <w:rPr>
          <w:rFonts w:cs="Arial"/>
          <w:color w:val="333333"/>
          <w:szCs w:val="22"/>
        </w:rPr>
        <w:t>d</w:t>
      </w:r>
      <w:r w:rsidR="00D71D47" w:rsidRPr="00B71AF8">
        <w:rPr>
          <w:rFonts w:cs="Arial"/>
          <w:color w:val="333333"/>
          <w:szCs w:val="22"/>
        </w:rPr>
        <w:t xml:space="preserve"> oversight and safeguards.</w:t>
      </w:r>
      <w:bookmarkStart w:id="12" w:name="_Ref536524275"/>
      <w:r w:rsidR="00497582" w:rsidRPr="00B71AF8">
        <w:rPr>
          <w:rStyle w:val="FootnoteReference"/>
          <w:rFonts w:cs="Arial"/>
          <w:color w:val="333333"/>
          <w:szCs w:val="22"/>
        </w:rPr>
        <w:footnoteReference w:id="4"/>
      </w:r>
      <w:bookmarkEnd w:id="12"/>
      <w:r w:rsidR="00D71D47" w:rsidRPr="00B71AF8">
        <w:rPr>
          <w:rFonts w:cs="Arial"/>
          <w:color w:val="333333"/>
          <w:szCs w:val="22"/>
        </w:rPr>
        <w:t xml:space="preserve"> </w:t>
      </w:r>
    </w:p>
    <w:p w14:paraId="2A6DFBFA" w14:textId="77777777" w:rsidR="000B2326" w:rsidRPr="00B71AF8" w:rsidRDefault="000B2326" w:rsidP="00AC7978">
      <w:pPr>
        <w:pStyle w:val="ListParagraph"/>
        <w:widowControl w:val="0"/>
        <w:rPr>
          <w:rFonts w:cs="Arial"/>
          <w:b/>
          <w:color w:val="333333"/>
          <w:szCs w:val="22"/>
        </w:rPr>
      </w:pPr>
    </w:p>
    <w:p w14:paraId="586876BE" w14:textId="77777777" w:rsidR="00012090" w:rsidRPr="00B71AF8" w:rsidRDefault="00012090" w:rsidP="00AC7978">
      <w:pPr>
        <w:pStyle w:val="ListParagraph"/>
        <w:widowControl w:val="0"/>
        <w:numPr>
          <w:ilvl w:val="1"/>
          <w:numId w:val="25"/>
        </w:numPr>
        <w:spacing w:after="240"/>
        <w:ind w:left="360"/>
        <w:rPr>
          <w:rFonts w:cs="Arial"/>
          <w:color w:val="333333"/>
          <w:szCs w:val="22"/>
        </w:rPr>
      </w:pPr>
      <w:r w:rsidRPr="00B71AF8">
        <w:rPr>
          <w:rFonts w:cs="Arial"/>
          <w:b/>
          <w:color w:val="333333"/>
          <w:szCs w:val="22"/>
        </w:rPr>
        <w:t>Specialist work in the criminal justice system</w:t>
      </w:r>
      <w:r w:rsidR="000B2326" w:rsidRPr="00B71AF8">
        <w:rPr>
          <w:rFonts w:cs="Arial"/>
          <w:color w:val="333333"/>
          <w:szCs w:val="22"/>
        </w:rPr>
        <w:t xml:space="preserve">. </w:t>
      </w:r>
      <w:r w:rsidRPr="00B71AF8">
        <w:rPr>
          <w:rFonts w:cs="Arial"/>
          <w:color w:val="333333"/>
          <w:szCs w:val="22"/>
        </w:rPr>
        <w:t xml:space="preserve">Our Criminal Law </w:t>
      </w:r>
      <w:r w:rsidR="00C23FB6" w:rsidRPr="00B71AF8">
        <w:rPr>
          <w:rFonts w:cs="Arial"/>
          <w:color w:val="333333"/>
          <w:szCs w:val="22"/>
        </w:rPr>
        <w:t>p</w:t>
      </w:r>
      <w:r w:rsidRPr="00B71AF8">
        <w:rPr>
          <w:rFonts w:cs="Arial"/>
          <w:color w:val="333333"/>
          <w:szCs w:val="22"/>
        </w:rPr>
        <w:t xml:space="preserve">rogram provides specialist support for people </w:t>
      </w:r>
      <w:r w:rsidR="002D2D89" w:rsidRPr="00B71AF8">
        <w:rPr>
          <w:rFonts w:cs="Arial"/>
          <w:color w:val="333333"/>
          <w:szCs w:val="22"/>
        </w:rPr>
        <w:t xml:space="preserve">whose </w:t>
      </w:r>
      <w:r w:rsidRPr="00B71AF8">
        <w:rPr>
          <w:rFonts w:cs="Arial"/>
          <w:color w:val="333333"/>
          <w:szCs w:val="22"/>
        </w:rPr>
        <w:t>mental health issues intersect</w:t>
      </w:r>
      <w:r w:rsidR="002D2D89" w:rsidRPr="00B71AF8">
        <w:rPr>
          <w:rFonts w:cs="Arial"/>
          <w:color w:val="333333"/>
          <w:szCs w:val="22"/>
        </w:rPr>
        <w:t xml:space="preserve"> </w:t>
      </w:r>
      <w:r w:rsidRPr="00B71AF8">
        <w:rPr>
          <w:rFonts w:cs="Arial"/>
          <w:color w:val="333333"/>
          <w:szCs w:val="22"/>
        </w:rPr>
        <w:t xml:space="preserve">with their criminal </w:t>
      </w:r>
      <w:r w:rsidR="002D2D89" w:rsidRPr="00B71AF8">
        <w:rPr>
          <w:rFonts w:cs="Arial"/>
          <w:color w:val="333333"/>
          <w:szCs w:val="22"/>
        </w:rPr>
        <w:t xml:space="preserve">law </w:t>
      </w:r>
      <w:r w:rsidRPr="00B71AF8">
        <w:rPr>
          <w:rFonts w:cs="Arial"/>
          <w:color w:val="333333"/>
          <w:szCs w:val="22"/>
        </w:rPr>
        <w:t>issues</w:t>
      </w:r>
      <w:r w:rsidR="00EB1375" w:rsidRPr="00B71AF8">
        <w:rPr>
          <w:rFonts w:cs="Arial"/>
          <w:color w:val="333333"/>
          <w:szCs w:val="22"/>
        </w:rPr>
        <w:t>.</w:t>
      </w:r>
      <w:r w:rsidR="009C1935" w:rsidRPr="00B71AF8">
        <w:rPr>
          <w:rFonts w:cs="Arial"/>
          <w:color w:val="333333"/>
          <w:szCs w:val="22"/>
        </w:rPr>
        <w:t xml:space="preserve"> </w:t>
      </w:r>
      <w:r w:rsidR="00EB1375" w:rsidRPr="00B71AF8">
        <w:rPr>
          <w:rFonts w:cs="Arial"/>
          <w:color w:val="333333"/>
          <w:szCs w:val="22"/>
        </w:rPr>
        <w:t xml:space="preserve">This includes </w:t>
      </w:r>
      <w:r w:rsidRPr="00B71AF8">
        <w:rPr>
          <w:rFonts w:cs="Arial"/>
          <w:color w:val="333333"/>
          <w:szCs w:val="22"/>
        </w:rPr>
        <w:t>our Therapeutic Courts team</w:t>
      </w:r>
      <w:r w:rsidR="002D2D89" w:rsidRPr="00B71AF8">
        <w:rPr>
          <w:rFonts w:cs="Arial"/>
          <w:color w:val="333333"/>
          <w:szCs w:val="22"/>
        </w:rPr>
        <w:t xml:space="preserve">, comprising </w:t>
      </w:r>
      <w:r w:rsidRPr="00B71AF8">
        <w:rPr>
          <w:rFonts w:cs="Arial"/>
          <w:color w:val="333333"/>
          <w:szCs w:val="22"/>
        </w:rPr>
        <w:t>lawyers working in the</w:t>
      </w:r>
      <w:r w:rsidR="00964B68" w:rsidRPr="00B71AF8">
        <w:rPr>
          <w:rFonts w:cs="Arial"/>
          <w:color w:val="333333"/>
          <w:szCs w:val="22"/>
        </w:rPr>
        <w:t xml:space="preserve"> Assessment and Referral Court</w:t>
      </w:r>
      <w:r w:rsidRPr="00B71AF8">
        <w:rPr>
          <w:rFonts w:cs="Arial"/>
          <w:color w:val="333333"/>
          <w:szCs w:val="22"/>
        </w:rPr>
        <w:t xml:space="preserve"> </w:t>
      </w:r>
      <w:r w:rsidR="00964B68" w:rsidRPr="00B71AF8">
        <w:rPr>
          <w:rFonts w:cs="Arial"/>
          <w:color w:val="333333"/>
          <w:szCs w:val="22"/>
        </w:rPr>
        <w:t>(</w:t>
      </w:r>
      <w:r w:rsidRPr="00B71AF8">
        <w:rPr>
          <w:rFonts w:cs="Arial"/>
          <w:b/>
          <w:color w:val="333333"/>
          <w:szCs w:val="22"/>
        </w:rPr>
        <w:t>ARC</w:t>
      </w:r>
      <w:r w:rsidR="00964B68" w:rsidRPr="00B71AF8">
        <w:rPr>
          <w:rFonts w:cs="Arial"/>
          <w:color w:val="333333"/>
          <w:szCs w:val="22"/>
        </w:rPr>
        <w:t>)</w:t>
      </w:r>
      <w:r w:rsidRPr="00B71AF8">
        <w:rPr>
          <w:rFonts w:cs="Arial"/>
          <w:color w:val="333333"/>
          <w:szCs w:val="22"/>
        </w:rPr>
        <w:t xml:space="preserve"> List in the Magistrates’ Court</w:t>
      </w:r>
      <w:r w:rsidR="00AF5871" w:rsidRPr="00B71AF8">
        <w:rPr>
          <w:rFonts w:cs="Arial"/>
          <w:color w:val="333333"/>
          <w:szCs w:val="22"/>
        </w:rPr>
        <w:t>,</w:t>
      </w:r>
      <w:r w:rsidR="00AF5871" w:rsidRPr="00B71AF8">
        <w:rPr>
          <w:rStyle w:val="FootnoteReference"/>
          <w:rFonts w:cs="Arial"/>
          <w:color w:val="333333"/>
          <w:sz w:val="22"/>
          <w:szCs w:val="22"/>
        </w:rPr>
        <w:footnoteReference w:id="5"/>
      </w:r>
      <w:r w:rsidRPr="00B71AF8">
        <w:rPr>
          <w:rFonts w:cs="Arial"/>
          <w:color w:val="333333"/>
          <w:szCs w:val="22"/>
        </w:rPr>
        <w:t xml:space="preserve"> and our specialist practice with clients</w:t>
      </w:r>
      <w:r w:rsidR="00AF5871" w:rsidRPr="00B71AF8">
        <w:rPr>
          <w:rFonts w:cs="Arial"/>
          <w:color w:val="333333"/>
          <w:szCs w:val="22"/>
        </w:rPr>
        <w:t xml:space="preserve"> who fall under the </w:t>
      </w:r>
      <w:bookmarkStart w:id="13" w:name="_Hlk536541386"/>
      <w:r w:rsidR="00AF5871" w:rsidRPr="00B71AF8">
        <w:rPr>
          <w:rFonts w:cs="Arial"/>
          <w:i/>
          <w:color w:val="333333"/>
          <w:szCs w:val="22"/>
        </w:rPr>
        <w:t xml:space="preserve">Crimes </w:t>
      </w:r>
      <w:r w:rsidR="00410704" w:rsidRPr="00B71AF8">
        <w:rPr>
          <w:rFonts w:cs="Arial"/>
          <w:i/>
          <w:color w:val="333333"/>
          <w:szCs w:val="22"/>
        </w:rPr>
        <w:t>(</w:t>
      </w:r>
      <w:r w:rsidR="00AF5871" w:rsidRPr="00B71AF8">
        <w:rPr>
          <w:rFonts w:cs="Arial"/>
          <w:i/>
          <w:color w:val="333333"/>
          <w:szCs w:val="22"/>
        </w:rPr>
        <w:t>Mental Impairment and Unfitness to be Tried</w:t>
      </w:r>
      <w:r w:rsidR="00410704" w:rsidRPr="00B71AF8">
        <w:rPr>
          <w:rFonts w:cs="Arial"/>
          <w:i/>
          <w:color w:val="333333"/>
          <w:szCs w:val="22"/>
        </w:rPr>
        <w:t>)</w:t>
      </w:r>
      <w:r w:rsidR="00AF5871" w:rsidRPr="00B71AF8">
        <w:rPr>
          <w:rFonts w:cs="Arial"/>
          <w:i/>
          <w:color w:val="333333"/>
          <w:szCs w:val="22"/>
        </w:rPr>
        <w:t xml:space="preserve"> Act </w:t>
      </w:r>
      <w:r w:rsidR="00AF5871" w:rsidRPr="00B71AF8">
        <w:rPr>
          <w:rFonts w:cs="Arial"/>
          <w:color w:val="333333"/>
          <w:szCs w:val="22"/>
        </w:rPr>
        <w:t>1997 (Vic)</w:t>
      </w:r>
      <w:bookmarkEnd w:id="13"/>
      <w:r w:rsidR="00AF5871" w:rsidRPr="00B71AF8">
        <w:rPr>
          <w:rFonts w:cs="Arial"/>
          <w:color w:val="333333"/>
          <w:szCs w:val="22"/>
        </w:rPr>
        <w:t>.</w:t>
      </w:r>
      <w:r w:rsidR="009C1935" w:rsidRPr="00B71AF8">
        <w:rPr>
          <w:rFonts w:cs="Arial"/>
          <w:color w:val="333333"/>
          <w:szCs w:val="22"/>
        </w:rPr>
        <w:t xml:space="preserve"> </w:t>
      </w:r>
    </w:p>
    <w:p w14:paraId="3AA03775" w14:textId="77777777" w:rsidR="00A229A4" w:rsidRPr="00B71AF8" w:rsidRDefault="00A229A4" w:rsidP="00AC7978">
      <w:pPr>
        <w:spacing w:before="100" w:after="100" w:line="280" w:lineRule="exact"/>
      </w:pPr>
      <w:r w:rsidRPr="00B71AF8">
        <w:t xml:space="preserve">Through this work we see the intersection of the mental health system with </w:t>
      </w:r>
      <w:r w:rsidR="00091B0D" w:rsidRPr="00B71AF8">
        <w:t xml:space="preserve">people’s </w:t>
      </w:r>
      <w:r w:rsidR="00724B6B" w:rsidRPr="00B71AF8">
        <w:t xml:space="preserve">other </w:t>
      </w:r>
      <w:r w:rsidR="00091B0D" w:rsidRPr="00B71AF8">
        <w:t xml:space="preserve">life and legal issues. </w:t>
      </w:r>
    </w:p>
    <w:p w14:paraId="2F7C5494" w14:textId="77777777" w:rsidR="00E74B26" w:rsidRPr="00B71AF8" w:rsidRDefault="000B2326" w:rsidP="00AC7978">
      <w:pPr>
        <w:spacing w:before="100" w:after="100" w:line="280" w:lineRule="exact"/>
        <w:rPr>
          <w:rFonts w:cs="Arial"/>
          <w:szCs w:val="22"/>
        </w:rPr>
      </w:pPr>
      <w:r w:rsidRPr="00B71AF8">
        <w:rPr>
          <w:rFonts w:cs="Arial"/>
          <w:szCs w:val="22"/>
        </w:rPr>
        <w:t xml:space="preserve">It is this work that has informed our recommendations </w:t>
      </w:r>
      <w:r w:rsidR="00091B0D" w:rsidRPr="00B71AF8">
        <w:rPr>
          <w:rFonts w:cs="Arial"/>
          <w:szCs w:val="22"/>
        </w:rPr>
        <w:t>for</w:t>
      </w:r>
      <w:r w:rsidRPr="00B71AF8">
        <w:rPr>
          <w:rFonts w:cs="Arial"/>
          <w:szCs w:val="22"/>
        </w:rPr>
        <w:t xml:space="preserve"> 10 themes that</w:t>
      </w:r>
      <w:r w:rsidR="00BF017B" w:rsidRPr="00B71AF8">
        <w:rPr>
          <w:rFonts w:cs="Arial"/>
          <w:szCs w:val="22"/>
        </w:rPr>
        <w:t>, in our view,</w:t>
      </w:r>
      <w:r w:rsidRPr="00B71AF8">
        <w:rPr>
          <w:rFonts w:cs="Arial"/>
          <w:szCs w:val="22"/>
        </w:rPr>
        <w:t xml:space="preserve"> must be </w:t>
      </w:r>
      <w:r w:rsidR="008150DE" w:rsidRPr="00B71AF8">
        <w:rPr>
          <w:rFonts w:cs="Arial"/>
          <w:szCs w:val="22"/>
        </w:rPr>
        <w:t xml:space="preserve">considered </w:t>
      </w:r>
      <w:r w:rsidRPr="00B71AF8">
        <w:rPr>
          <w:rFonts w:cs="Arial"/>
          <w:szCs w:val="22"/>
        </w:rPr>
        <w:t>by the RC</w:t>
      </w:r>
      <w:r w:rsidR="006673F6" w:rsidRPr="00B71AF8">
        <w:rPr>
          <w:rFonts w:cs="Arial"/>
          <w:szCs w:val="22"/>
        </w:rPr>
        <w:t>MH</w:t>
      </w:r>
      <w:r w:rsidRPr="00B71AF8">
        <w:rPr>
          <w:rFonts w:cs="Arial"/>
          <w:szCs w:val="22"/>
        </w:rPr>
        <w:t xml:space="preserve">. </w:t>
      </w:r>
      <w:r w:rsidR="00987A98" w:rsidRPr="00B71AF8">
        <w:rPr>
          <w:rFonts w:cs="Arial"/>
          <w:szCs w:val="22"/>
        </w:rPr>
        <w:br w:type="page"/>
      </w:r>
    </w:p>
    <w:p w14:paraId="4FC579C5" w14:textId="77777777" w:rsidR="00D828A2" w:rsidRPr="00B71AF8" w:rsidRDefault="00D828A2" w:rsidP="00CA1E53">
      <w:pPr>
        <w:pStyle w:val="Heading1"/>
      </w:pPr>
      <w:bookmarkStart w:id="14" w:name="_Toc536642545"/>
      <w:r w:rsidRPr="00B71AF8">
        <w:lastRenderedPageBreak/>
        <w:t>10 themes that must be considered by Victoria’s Royal Commission into Mental Health</w:t>
      </w:r>
      <w:bookmarkEnd w:id="14"/>
    </w:p>
    <w:p w14:paraId="65DD69C2" w14:textId="77777777" w:rsidR="003E4BC8" w:rsidRPr="00B71AF8" w:rsidRDefault="003974CC" w:rsidP="00AC7978">
      <w:pPr>
        <w:pStyle w:val="Heading1"/>
        <w:numPr>
          <w:ilvl w:val="0"/>
          <w:numId w:val="16"/>
        </w:numPr>
        <w:ind w:hanging="720"/>
      </w:pPr>
      <w:bookmarkStart w:id="15" w:name="_Toc536642546"/>
      <w:r w:rsidRPr="00B71AF8">
        <w:t>Consumer leadership and co-production</w:t>
      </w:r>
      <w:bookmarkEnd w:id="15"/>
    </w:p>
    <w:p w14:paraId="7A2F2698" w14:textId="77777777" w:rsidR="00BF45C6" w:rsidRPr="00B71AF8" w:rsidRDefault="002A1B18" w:rsidP="002A1B18">
      <w:pPr>
        <w:pStyle w:val="Heading3"/>
      </w:pPr>
      <w:bookmarkStart w:id="16" w:name="_Toc536547214"/>
      <w:bookmarkStart w:id="17" w:name="_Toc536642547"/>
      <w:bookmarkStart w:id="18" w:name="_Hlk536508300"/>
      <w:r w:rsidRPr="00B71AF8">
        <w:t>Consumer leadership in establishing</w:t>
      </w:r>
      <w:r w:rsidR="00BF45C6" w:rsidRPr="00B71AF8">
        <w:t xml:space="preserve"> the RCMH and its processes and advisory structures</w:t>
      </w:r>
      <w:bookmarkEnd w:id="16"/>
      <w:bookmarkEnd w:id="17"/>
      <w:r w:rsidR="00BF45C6" w:rsidRPr="00B71AF8">
        <w:t xml:space="preserve"> </w:t>
      </w:r>
    </w:p>
    <w:p w14:paraId="7DE87D5E" w14:textId="77777777" w:rsidR="00D10B6B" w:rsidRPr="00B71AF8" w:rsidRDefault="006C0F2A" w:rsidP="00AC7978">
      <w:pPr>
        <w:spacing w:after="240"/>
      </w:pPr>
      <w:r w:rsidRPr="00B71AF8">
        <w:t>R</w:t>
      </w:r>
      <w:r w:rsidR="003974CC" w:rsidRPr="00B71AF8">
        <w:t xml:space="preserve">ecognition of the importance of consumer leadership </w:t>
      </w:r>
      <w:r w:rsidR="00947018" w:rsidRPr="00B71AF8">
        <w:t xml:space="preserve">and co-production </w:t>
      </w:r>
      <w:r w:rsidRPr="00B71AF8">
        <w:t xml:space="preserve">should be </w:t>
      </w:r>
      <w:r w:rsidR="003974CC" w:rsidRPr="00B71AF8">
        <w:t xml:space="preserve">reflected in the RCMH process. This means </w:t>
      </w:r>
      <w:bookmarkStart w:id="19" w:name="_Hlk536508644"/>
      <w:r w:rsidR="003974CC" w:rsidRPr="00B71AF8">
        <w:t>that consumers –</w:t>
      </w:r>
      <w:r w:rsidR="004373C5" w:rsidRPr="00B71AF8">
        <w:t xml:space="preserve"> </w:t>
      </w:r>
      <w:r w:rsidR="003974CC" w:rsidRPr="00B71AF8">
        <w:t xml:space="preserve">people whose lives are directly affected by the mental health system – </w:t>
      </w:r>
      <w:bookmarkStart w:id="20" w:name="_Hlk536619588"/>
      <w:r w:rsidR="003974CC" w:rsidRPr="00B71AF8">
        <w:t>will have the opportunity to shape and have influence over the process and outcomes</w:t>
      </w:r>
      <w:bookmarkEnd w:id="19"/>
      <w:bookmarkEnd w:id="20"/>
      <w:r w:rsidR="003974CC" w:rsidRPr="00B71AF8">
        <w:t>.</w:t>
      </w:r>
      <w:r w:rsidR="009C1935" w:rsidRPr="00B71AF8">
        <w:t xml:space="preserve"> </w:t>
      </w:r>
      <w:r w:rsidR="003974CC" w:rsidRPr="00B71AF8">
        <w:t>We recommend a consumer co-chair for the advisory committee</w:t>
      </w:r>
      <w:r w:rsidR="00E51753" w:rsidRPr="00B71AF8">
        <w:t>,</w:t>
      </w:r>
      <w:r w:rsidR="003974CC" w:rsidRPr="00B71AF8">
        <w:t xml:space="preserve"> a consumer Commissioner</w:t>
      </w:r>
      <w:r w:rsidR="00E51753" w:rsidRPr="00B71AF8">
        <w:t xml:space="preserve"> and an advisory group of consumers as crucial parts of the RCMH process</w:t>
      </w:r>
      <w:r w:rsidR="003974CC" w:rsidRPr="00B71AF8">
        <w:t>.</w:t>
      </w:r>
    </w:p>
    <w:p w14:paraId="5B1E6B91" w14:textId="77777777" w:rsidR="003974CC" w:rsidRPr="00B71AF8" w:rsidRDefault="00D10B6B" w:rsidP="00AC7978">
      <w:pPr>
        <w:spacing w:after="240"/>
      </w:pPr>
      <w:r w:rsidRPr="00B71AF8">
        <w:t xml:space="preserve">Government should be mindful of the power imbalance that can exist in relationships (for example, between medical and legal professionals and consumers) and </w:t>
      </w:r>
      <w:r w:rsidR="000B3C2F" w:rsidRPr="00B71AF8">
        <w:t>should</w:t>
      </w:r>
      <w:r w:rsidR="006A549B" w:rsidRPr="00B71AF8">
        <w:t xml:space="preserve"> proactively </w:t>
      </w:r>
      <w:r w:rsidR="00BF017B" w:rsidRPr="00B71AF8">
        <w:t>take steps</w:t>
      </w:r>
      <w:r w:rsidR="006A549B" w:rsidRPr="00B71AF8">
        <w:t xml:space="preserve"> to counter-balance this </w:t>
      </w:r>
      <w:r w:rsidRPr="00B71AF8">
        <w:t>in establishing the RCMH and its advisory groups</w:t>
      </w:r>
      <w:r w:rsidR="000B3C2F" w:rsidRPr="00B71AF8">
        <w:t xml:space="preserve"> (for example, through </w:t>
      </w:r>
      <w:r w:rsidR="006A549B" w:rsidRPr="00B71AF8">
        <w:t>avoiding having a solo consumer</w:t>
      </w:r>
      <w:r w:rsidR="009C1935" w:rsidRPr="00B71AF8">
        <w:t xml:space="preserve"> role</w:t>
      </w:r>
      <w:r w:rsidR="006A549B" w:rsidRPr="00B71AF8">
        <w:t xml:space="preserve">, </w:t>
      </w:r>
      <w:r w:rsidR="00BF017B" w:rsidRPr="00B71AF8">
        <w:t xml:space="preserve">and </w:t>
      </w:r>
      <w:r w:rsidR="006A549B" w:rsidRPr="00B71AF8">
        <w:t>having key supports in place for any consumer roles</w:t>
      </w:r>
      <w:r w:rsidR="00BF017B" w:rsidRPr="00B71AF8">
        <w:t>)</w:t>
      </w:r>
      <w:r w:rsidR="006A549B" w:rsidRPr="00B71AF8">
        <w:t xml:space="preserve">. Consideration </w:t>
      </w:r>
      <w:r w:rsidR="00BF017B" w:rsidRPr="00B71AF8">
        <w:t>should</w:t>
      </w:r>
      <w:r w:rsidR="006A549B" w:rsidRPr="00B71AF8">
        <w:t xml:space="preserve"> also be given to</w:t>
      </w:r>
      <w:bookmarkStart w:id="21" w:name="_Hlk536510144"/>
      <w:r w:rsidR="00400120" w:rsidRPr="00B71AF8">
        <w:t xml:space="preserve"> the background of non-consumer</w:t>
      </w:r>
      <w:r w:rsidR="006A549B" w:rsidRPr="00B71AF8">
        <w:t>s</w:t>
      </w:r>
      <w:r w:rsidR="00400120" w:rsidRPr="00B71AF8">
        <w:t>, including expertise in trauma-informed practice, the social model of health</w:t>
      </w:r>
      <w:r w:rsidR="00DF072F" w:rsidRPr="00B71AF8">
        <w:t>,</w:t>
      </w:r>
      <w:r w:rsidR="00400120" w:rsidRPr="00B71AF8">
        <w:t xml:space="preserve"> and</w:t>
      </w:r>
      <w:r w:rsidR="00BF017B" w:rsidRPr="00B71AF8">
        <w:t>/or</w:t>
      </w:r>
      <w:r w:rsidR="00400120" w:rsidRPr="00B71AF8">
        <w:t xml:space="preserve"> human rights</w:t>
      </w:r>
      <w:bookmarkEnd w:id="21"/>
      <w:r w:rsidRPr="00B71AF8">
        <w:t>.</w:t>
      </w:r>
      <w:r w:rsidR="009C1935" w:rsidRPr="00B71AF8">
        <w:t xml:space="preserve"> </w:t>
      </w:r>
    </w:p>
    <w:p w14:paraId="39119396" w14:textId="77777777" w:rsidR="009960DC" w:rsidRPr="00B71AF8" w:rsidRDefault="00D10B6B" w:rsidP="00AC7978">
      <w:pPr>
        <w:spacing w:after="240"/>
      </w:pPr>
      <w:r w:rsidRPr="00B71AF8">
        <w:t xml:space="preserve">There should be an opportunity for consumer advice and comment on the draft TOR. </w:t>
      </w:r>
    </w:p>
    <w:p w14:paraId="7257A945" w14:textId="77777777" w:rsidR="00BF45C6" w:rsidRPr="00B71AF8" w:rsidRDefault="002A1B18" w:rsidP="00AC7978">
      <w:pPr>
        <w:pStyle w:val="Heading3"/>
        <w:keepNext w:val="0"/>
      </w:pPr>
      <w:bookmarkStart w:id="22" w:name="_Toc536547215"/>
      <w:bookmarkStart w:id="23" w:name="_Toc536642548"/>
      <w:bookmarkEnd w:id="18"/>
      <w:r w:rsidRPr="00B71AF8">
        <w:t>Consumer participation in the</w:t>
      </w:r>
      <w:r w:rsidR="00BF45C6" w:rsidRPr="00B71AF8">
        <w:t xml:space="preserve"> RCMH</w:t>
      </w:r>
      <w:bookmarkEnd w:id="22"/>
      <w:bookmarkEnd w:id="23"/>
      <w:r w:rsidR="00BF45C6" w:rsidRPr="00B71AF8">
        <w:t xml:space="preserve"> </w:t>
      </w:r>
    </w:p>
    <w:p w14:paraId="2805BCB8" w14:textId="77777777" w:rsidR="00933D6E" w:rsidRPr="00B71AF8" w:rsidRDefault="005E64ED" w:rsidP="00AC7978">
      <w:pPr>
        <w:spacing w:after="240"/>
      </w:pPr>
      <w:r w:rsidRPr="00B71AF8">
        <w:t xml:space="preserve">Once the RCMH commences, it </w:t>
      </w:r>
      <w:r w:rsidR="00E51753" w:rsidRPr="00B71AF8">
        <w:t xml:space="preserve">is </w:t>
      </w:r>
      <w:r w:rsidR="006C0F2A" w:rsidRPr="00B71AF8">
        <w:t>vital</w:t>
      </w:r>
      <w:r w:rsidR="00E51753" w:rsidRPr="00B71AF8">
        <w:t xml:space="preserve"> that individual consumers are able to contribute </w:t>
      </w:r>
      <w:r w:rsidR="000B3C2F" w:rsidRPr="00B71AF8">
        <w:t xml:space="preserve">to the RCMH </w:t>
      </w:r>
      <w:r w:rsidR="00E51753" w:rsidRPr="00B71AF8">
        <w:t>and be heard, and that there are measures in place to reduce the barriers people will face to participation.</w:t>
      </w:r>
      <w:r w:rsidR="009C1935" w:rsidRPr="00B71AF8">
        <w:t xml:space="preserve"> </w:t>
      </w:r>
      <w:r w:rsidR="00E51753" w:rsidRPr="00B71AF8">
        <w:t>This should include access to advice and advocacy, as well as support.</w:t>
      </w:r>
      <w:r w:rsidR="009C1935" w:rsidRPr="00B71AF8">
        <w:t xml:space="preserve"> </w:t>
      </w:r>
      <w:r w:rsidR="00E51753" w:rsidRPr="00B71AF8">
        <w:t xml:space="preserve">The RCMH must </w:t>
      </w:r>
      <w:r w:rsidRPr="00B71AF8">
        <w:t xml:space="preserve">proactively </w:t>
      </w:r>
      <w:r w:rsidR="00E51753" w:rsidRPr="00B71AF8">
        <w:t xml:space="preserve">reach those who </w:t>
      </w:r>
      <w:r w:rsidRPr="00B71AF8">
        <w:t>may</w:t>
      </w:r>
      <w:r w:rsidR="00E51753" w:rsidRPr="00B71AF8">
        <w:t xml:space="preserve"> not otherwise participate, </w:t>
      </w:r>
      <w:bookmarkStart w:id="24" w:name="_Hlk536621696"/>
      <w:r w:rsidR="00E51753" w:rsidRPr="00B71AF8">
        <w:t>including people in prison or inpatient units</w:t>
      </w:r>
      <w:bookmarkEnd w:id="24"/>
      <w:r w:rsidR="00E51753" w:rsidRPr="00B71AF8">
        <w:t xml:space="preserve">. </w:t>
      </w:r>
      <w:r w:rsidR="006A33CD" w:rsidRPr="00B71AF8">
        <w:t xml:space="preserve">This could include resourcing peak bodies for consumers and carers, and other advocacy and legal services, to provide support for people with lived experience </w:t>
      </w:r>
      <w:r w:rsidR="00F1279D" w:rsidRPr="00B71AF8">
        <w:t xml:space="preserve">of mental health issues </w:t>
      </w:r>
      <w:r w:rsidR="006A33CD" w:rsidRPr="00B71AF8">
        <w:t>to participate in the process.</w:t>
      </w:r>
      <w:r w:rsidR="00377A41" w:rsidRPr="00B71AF8">
        <w:rPr>
          <w:rStyle w:val="FootnoteReference"/>
        </w:rPr>
        <w:footnoteReference w:id="6"/>
      </w:r>
      <w:r w:rsidR="006A33CD" w:rsidRPr="00B71AF8">
        <w:t xml:space="preserve"> </w:t>
      </w:r>
    </w:p>
    <w:p w14:paraId="7F25B409" w14:textId="77777777" w:rsidR="00BF45C6" w:rsidRPr="00B71AF8" w:rsidRDefault="002A1B18" w:rsidP="00AC7978">
      <w:pPr>
        <w:pStyle w:val="Heading3"/>
        <w:keepNext w:val="0"/>
      </w:pPr>
      <w:bookmarkStart w:id="25" w:name="_Toc536547216"/>
      <w:bookmarkStart w:id="26" w:name="_Toc536642549"/>
      <w:r w:rsidRPr="00B71AF8">
        <w:t>Consume</w:t>
      </w:r>
      <w:r w:rsidR="005F1FCB" w:rsidRPr="00B71AF8">
        <w:t>r</w:t>
      </w:r>
      <w:r w:rsidRPr="00B71AF8">
        <w:t xml:space="preserve"> leadership beyond</w:t>
      </w:r>
      <w:r w:rsidR="00BF45C6" w:rsidRPr="00B71AF8">
        <w:t xml:space="preserve"> the RCMH</w:t>
      </w:r>
      <w:bookmarkEnd w:id="25"/>
      <w:bookmarkEnd w:id="26"/>
      <w:r w:rsidR="00BF45C6" w:rsidRPr="00B71AF8">
        <w:t xml:space="preserve"> </w:t>
      </w:r>
    </w:p>
    <w:p w14:paraId="6478AB43" w14:textId="77777777" w:rsidR="00974954" w:rsidRPr="00B71AF8" w:rsidRDefault="003974CC" w:rsidP="009C1935">
      <w:pPr>
        <w:spacing w:after="240"/>
      </w:pPr>
      <w:bookmarkStart w:id="27" w:name="_Hlk536619537"/>
      <w:r w:rsidRPr="00B71AF8">
        <w:t xml:space="preserve">The TOR should include consideration of the ways in which, beyond the RCMH process, consumer leadership and self-advocacy </w:t>
      </w:r>
      <w:r w:rsidR="00E75C64" w:rsidRPr="00B71AF8">
        <w:t xml:space="preserve">will </w:t>
      </w:r>
      <w:r w:rsidRPr="00B71AF8">
        <w:t>be embedded as part of the mental health system and its reform</w:t>
      </w:r>
      <w:bookmarkEnd w:id="27"/>
      <w:r w:rsidR="001901F8" w:rsidRPr="00B71AF8">
        <w:t xml:space="preserve">, including opportunities, funding and support for consumer-led services. </w:t>
      </w:r>
    </w:p>
    <w:p w14:paraId="044F1C0F" w14:textId="77777777" w:rsidR="00974954" w:rsidRPr="00B71AF8" w:rsidRDefault="00974954">
      <w:pPr>
        <w:spacing w:after="0" w:line="240" w:lineRule="auto"/>
      </w:pPr>
      <w:r w:rsidRPr="00B71AF8">
        <w:br w:type="page"/>
      </w:r>
    </w:p>
    <w:p w14:paraId="69F42272" w14:textId="77777777" w:rsidR="003E4BC8" w:rsidRPr="00B71AF8" w:rsidRDefault="0098306C" w:rsidP="00AC7978">
      <w:pPr>
        <w:pStyle w:val="Heading1"/>
        <w:numPr>
          <w:ilvl w:val="0"/>
          <w:numId w:val="16"/>
        </w:numPr>
        <w:ind w:hanging="720"/>
      </w:pPr>
      <w:bookmarkStart w:id="28" w:name="_Toc536642550"/>
      <w:r w:rsidRPr="00B71AF8">
        <w:lastRenderedPageBreak/>
        <w:t>The regulation of compulsory treatment and a focus on people’s rights and recovery</w:t>
      </w:r>
      <w:bookmarkEnd w:id="28"/>
      <w:r w:rsidR="003E4BC8" w:rsidRPr="00B71AF8">
        <w:t xml:space="preserve"> </w:t>
      </w:r>
    </w:p>
    <w:p w14:paraId="55DA55B1" w14:textId="77777777" w:rsidR="0098306C" w:rsidRPr="00B71AF8" w:rsidRDefault="0098306C" w:rsidP="00AC7978">
      <w:pPr>
        <w:spacing w:after="240"/>
      </w:pPr>
      <w:bookmarkStart w:id="29" w:name="_Hlk536619654"/>
      <w:r w:rsidRPr="00B71AF8">
        <w:t xml:space="preserve">This year, the </w:t>
      </w:r>
      <w:r w:rsidRPr="00B71AF8">
        <w:rPr>
          <w:i/>
        </w:rPr>
        <w:t xml:space="preserve">Mental Health Act </w:t>
      </w:r>
      <w:r w:rsidRPr="00B71AF8">
        <w:t>2014 (Vic) (</w:t>
      </w:r>
      <w:r w:rsidRPr="00B71AF8">
        <w:rPr>
          <w:b/>
        </w:rPr>
        <w:t>Act</w:t>
      </w:r>
      <w:r w:rsidRPr="00B71AF8">
        <w:t xml:space="preserve">) </w:t>
      </w:r>
      <w:r w:rsidR="00C235FC" w:rsidRPr="00B71AF8">
        <w:t xml:space="preserve">will have </w:t>
      </w:r>
      <w:r w:rsidRPr="00B71AF8">
        <w:t>been in operation for five years.</w:t>
      </w:r>
      <w:r w:rsidR="009C1935" w:rsidRPr="00B71AF8">
        <w:t xml:space="preserve"> </w:t>
      </w:r>
      <w:r w:rsidRPr="00B71AF8">
        <w:t>The RCMH provides an opportunity to consider whether the principles</w:t>
      </w:r>
      <w:r w:rsidR="003F5E34" w:rsidRPr="00B71AF8">
        <w:t xml:space="preserve"> and provisions</w:t>
      </w:r>
      <w:r w:rsidRPr="00B71AF8">
        <w:t xml:space="preserve"> </w:t>
      </w:r>
      <w:r w:rsidR="003F5E34" w:rsidRPr="00B71AF8">
        <w:t xml:space="preserve">of </w:t>
      </w:r>
      <w:r w:rsidRPr="00B71AF8">
        <w:t>the Act</w:t>
      </w:r>
      <w:r w:rsidR="004A6BEA" w:rsidRPr="00B71AF8">
        <w:t xml:space="preserve"> – </w:t>
      </w:r>
      <w:r w:rsidRPr="00B71AF8">
        <w:t>including a rights-based</w:t>
      </w:r>
      <w:r w:rsidR="00640060" w:rsidRPr="00B71AF8">
        <w:t xml:space="preserve"> and recovery</w:t>
      </w:r>
      <w:r w:rsidR="00E44AF2" w:rsidRPr="00B71AF8">
        <w:t>-</w:t>
      </w:r>
      <w:r w:rsidR="00640060" w:rsidRPr="00B71AF8">
        <w:t>oriented</w:t>
      </w:r>
      <w:r w:rsidRPr="00B71AF8">
        <w:t xml:space="preserve"> framework</w:t>
      </w:r>
      <w:r w:rsidR="006E554B" w:rsidRPr="00B71AF8">
        <w:t xml:space="preserve"> </w:t>
      </w:r>
      <w:r w:rsidRPr="00B71AF8">
        <w:t>for the delivery of treatment and support</w:t>
      </w:r>
      <w:r w:rsidR="00081CD3" w:rsidRPr="00B71AF8">
        <w:rPr>
          <w:rStyle w:val="FootnoteReference"/>
        </w:rPr>
        <w:footnoteReference w:id="7"/>
      </w:r>
      <w:r w:rsidR="004A6BEA" w:rsidRPr="00B71AF8">
        <w:t xml:space="preserve"> –</w:t>
      </w:r>
      <w:r w:rsidRPr="00B71AF8">
        <w:t xml:space="preserve"> </w:t>
      </w:r>
      <w:r w:rsidR="009E1180" w:rsidRPr="00B71AF8">
        <w:t>are</w:t>
      </w:r>
      <w:r w:rsidR="003F5E34" w:rsidRPr="00B71AF8">
        <w:t xml:space="preserve"> operating as intended and</w:t>
      </w:r>
      <w:r w:rsidRPr="00B71AF8">
        <w:t xml:space="preserve">, </w:t>
      </w:r>
      <w:r w:rsidR="00566B78" w:rsidRPr="00B71AF8">
        <w:t xml:space="preserve">if </w:t>
      </w:r>
      <w:r w:rsidR="00640060" w:rsidRPr="00B71AF8">
        <w:t>not,</w:t>
      </w:r>
      <w:r w:rsidR="00A67062" w:rsidRPr="00B71AF8">
        <w:t xml:space="preserve"> </w:t>
      </w:r>
      <w:r w:rsidR="0071664D" w:rsidRPr="00B71AF8">
        <w:t>how to change</w:t>
      </w:r>
      <w:r w:rsidR="00640060" w:rsidRPr="00B71AF8">
        <w:t xml:space="preserve"> this.</w:t>
      </w:r>
      <w:r w:rsidR="009C1935" w:rsidRPr="00B71AF8">
        <w:t xml:space="preserve"> </w:t>
      </w:r>
    </w:p>
    <w:bookmarkEnd w:id="29"/>
    <w:p w14:paraId="34163ED1" w14:textId="77777777" w:rsidR="0098306C" w:rsidRPr="00B71AF8" w:rsidRDefault="0098306C" w:rsidP="00AC7978">
      <w:pPr>
        <w:keepNext/>
        <w:spacing w:after="240"/>
      </w:pPr>
      <w:r w:rsidRPr="00B71AF8">
        <w:t>In particular, the RCMH should consider:</w:t>
      </w:r>
      <w:r w:rsidR="009C1935" w:rsidRPr="00B71AF8">
        <w:t xml:space="preserve"> </w:t>
      </w:r>
    </w:p>
    <w:p w14:paraId="5474B7C2" w14:textId="77777777" w:rsidR="0098306C" w:rsidRPr="00B71AF8" w:rsidRDefault="009E1180" w:rsidP="00AC7978">
      <w:pPr>
        <w:pStyle w:val="ListParagraph"/>
        <w:numPr>
          <w:ilvl w:val="1"/>
          <w:numId w:val="25"/>
        </w:numPr>
        <w:spacing w:after="240"/>
        <w:ind w:left="360"/>
      </w:pPr>
      <w:r w:rsidRPr="00B71AF8">
        <w:t xml:space="preserve">The use of </w:t>
      </w:r>
      <w:r w:rsidR="0098306C" w:rsidRPr="00B71AF8">
        <w:t xml:space="preserve">compulsory treatment </w:t>
      </w:r>
      <w:r w:rsidR="00640060" w:rsidRPr="00B71AF8">
        <w:t>and restrictive practices such as seclusion and restraint</w:t>
      </w:r>
      <w:r w:rsidRPr="00B71AF8">
        <w:t xml:space="preserve">, and the rates of this in Victoria </w:t>
      </w:r>
      <w:r w:rsidR="0098306C" w:rsidRPr="00B71AF8">
        <w:t>relative to other jurisdictions</w:t>
      </w:r>
      <w:r w:rsidR="00544A36" w:rsidRPr="00B71AF8">
        <w:t>.</w:t>
      </w:r>
      <w:r w:rsidR="0098306C" w:rsidRPr="00B71AF8">
        <w:rPr>
          <w:rStyle w:val="FootnoteReference"/>
        </w:rPr>
        <w:footnoteReference w:id="8"/>
      </w:r>
      <w:r w:rsidR="009C1935" w:rsidRPr="00B71AF8">
        <w:t xml:space="preserve"> </w:t>
      </w:r>
    </w:p>
    <w:p w14:paraId="1CBA7388" w14:textId="77777777" w:rsidR="0098306C" w:rsidRPr="00B71AF8" w:rsidRDefault="0098306C" w:rsidP="00AC7978">
      <w:pPr>
        <w:pStyle w:val="ListParagraph"/>
        <w:numPr>
          <w:ilvl w:val="1"/>
          <w:numId w:val="25"/>
        </w:numPr>
        <w:spacing w:after="240"/>
        <w:ind w:left="360"/>
      </w:pPr>
      <w:r w:rsidRPr="00B71AF8">
        <w:t xml:space="preserve">Fundamental concepts of capacity and informed consent, including as recently considered in relation to compulsory electroconvulsive treatment in </w:t>
      </w:r>
      <w:r w:rsidRPr="00B71AF8">
        <w:rPr>
          <w:i/>
        </w:rPr>
        <w:t>PBU &amp; NJE v Mental Health Tribunal</w:t>
      </w:r>
      <w:r w:rsidRPr="00B71AF8">
        <w:t xml:space="preserve"> [2018] VSC 564 (1 November 2018)</w:t>
      </w:r>
      <w:r w:rsidR="00544A36" w:rsidRPr="00B71AF8">
        <w:t>.</w:t>
      </w:r>
    </w:p>
    <w:p w14:paraId="37EEEB05" w14:textId="77777777" w:rsidR="0098306C" w:rsidRPr="00B71AF8" w:rsidRDefault="0098306C" w:rsidP="00AC7978">
      <w:pPr>
        <w:pStyle w:val="ListParagraph"/>
        <w:numPr>
          <w:ilvl w:val="1"/>
          <w:numId w:val="25"/>
        </w:numPr>
        <w:spacing w:after="240"/>
        <w:ind w:left="360"/>
      </w:pPr>
      <w:r w:rsidRPr="00B71AF8">
        <w:t xml:space="preserve">Training and education for mental health professionals, </w:t>
      </w:r>
      <w:r w:rsidR="00322F69" w:rsidRPr="00B71AF8">
        <w:t xml:space="preserve">and development of appropriate systems, </w:t>
      </w:r>
      <w:r w:rsidRPr="00B71AF8">
        <w:t xml:space="preserve">to make sure there is genuine understanding </w:t>
      </w:r>
      <w:r w:rsidR="00322F69" w:rsidRPr="00B71AF8">
        <w:t xml:space="preserve">and implementation </w:t>
      </w:r>
      <w:r w:rsidRPr="00B71AF8">
        <w:t>of the Act and its safeguards</w:t>
      </w:r>
      <w:r w:rsidR="00544A36" w:rsidRPr="00B71AF8">
        <w:t>.</w:t>
      </w:r>
      <w:r w:rsidRPr="00B71AF8">
        <w:t xml:space="preserve"> </w:t>
      </w:r>
    </w:p>
    <w:p w14:paraId="63BAE4A6" w14:textId="77777777" w:rsidR="0098306C" w:rsidRPr="00B71AF8" w:rsidRDefault="0098306C" w:rsidP="00AC7978">
      <w:pPr>
        <w:pStyle w:val="ListParagraph"/>
        <w:numPr>
          <w:ilvl w:val="1"/>
          <w:numId w:val="25"/>
        </w:numPr>
        <w:spacing w:after="240"/>
        <w:ind w:left="360"/>
      </w:pPr>
      <w:r w:rsidRPr="00B71AF8">
        <w:t xml:space="preserve">The role </w:t>
      </w:r>
      <w:r w:rsidR="00566B78" w:rsidRPr="00B71AF8">
        <w:t xml:space="preserve">of </w:t>
      </w:r>
      <w:r w:rsidR="00CE347C" w:rsidRPr="00B71AF8">
        <w:t xml:space="preserve">– and access to – </w:t>
      </w:r>
      <w:r w:rsidRPr="00B71AF8">
        <w:t>representation by lawyers or advocates where people are facing compulsory treatment</w:t>
      </w:r>
      <w:r w:rsidR="00544A36" w:rsidRPr="00B71AF8">
        <w:t>.</w:t>
      </w:r>
      <w:r w:rsidR="009C1935" w:rsidRPr="00B71AF8">
        <w:t xml:space="preserve"> </w:t>
      </w:r>
    </w:p>
    <w:p w14:paraId="13E2993C" w14:textId="77777777" w:rsidR="0098306C" w:rsidRPr="00B71AF8" w:rsidRDefault="0098306C" w:rsidP="00AC7978">
      <w:pPr>
        <w:pStyle w:val="ListParagraph"/>
        <w:numPr>
          <w:ilvl w:val="1"/>
          <w:numId w:val="25"/>
        </w:numPr>
        <w:spacing w:after="240"/>
        <w:ind w:left="360"/>
      </w:pPr>
      <w:r w:rsidRPr="00B71AF8">
        <w:t>The impact that limited resourcing for the mental health system has on the ability to fulfil the principles in the Act</w:t>
      </w:r>
      <w:r w:rsidR="00544A36" w:rsidRPr="00B71AF8">
        <w:t>.</w:t>
      </w:r>
      <w:r w:rsidRPr="00B71AF8">
        <w:t xml:space="preserve"> </w:t>
      </w:r>
    </w:p>
    <w:p w14:paraId="771D5FF8" w14:textId="77777777" w:rsidR="0098306C" w:rsidRPr="00B71AF8" w:rsidRDefault="0098306C" w:rsidP="00AC7978">
      <w:pPr>
        <w:pStyle w:val="ListParagraph"/>
        <w:numPr>
          <w:ilvl w:val="1"/>
          <w:numId w:val="25"/>
        </w:numPr>
        <w:spacing w:after="240"/>
        <w:ind w:left="360"/>
      </w:pPr>
      <w:r w:rsidRPr="00B71AF8">
        <w:t>The current functioning and impact of safeguard and oversight bodies</w:t>
      </w:r>
      <w:r w:rsidR="00CE347C" w:rsidRPr="00B71AF8">
        <w:t xml:space="preserve"> (see also part </w:t>
      </w:r>
      <w:r w:rsidR="00AE4FC3" w:rsidRPr="00B71AF8">
        <w:fldChar w:fldCharType="begin"/>
      </w:r>
      <w:r w:rsidR="00AE4FC3" w:rsidRPr="00B71AF8">
        <w:instrText xml:space="preserve"> REF _Ref536638107 \r \h </w:instrText>
      </w:r>
      <w:r w:rsidR="00B71AF8">
        <w:instrText xml:space="preserve"> \* MERGEFORMAT </w:instrText>
      </w:r>
      <w:r w:rsidR="00AE4FC3" w:rsidRPr="00B71AF8">
        <w:fldChar w:fldCharType="separate"/>
      </w:r>
      <w:r w:rsidR="004B4765">
        <w:t>9</w:t>
      </w:r>
      <w:r w:rsidR="00AE4FC3" w:rsidRPr="00B71AF8">
        <w:fldChar w:fldCharType="end"/>
      </w:r>
      <w:r w:rsidR="00CE347C" w:rsidRPr="00B71AF8">
        <w:t xml:space="preserve"> below)</w:t>
      </w:r>
      <w:r w:rsidR="00544A36" w:rsidRPr="00B71AF8">
        <w:t>.</w:t>
      </w:r>
    </w:p>
    <w:p w14:paraId="3CF7B0BE" w14:textId="77777777" w:rsidR="005C419D" w:rsidRPr="00B71AF8" w:rsidRDefault="0098306C" w:rsidP="00AC7978">
      <w:pPr>
        <w:pStyle w:val="ListParagraph"/>
        <w:numPr>
          <w:ilvl w:val="1"/>
          <w:numId w:val="25"/>
        </w:numPr>
        <w:spacing w:after="240"/>
        <w:ind w:left="360"/>
      </w:pPr>
      <w:r w:rsidRPr="00B71AF8">
        <w:t xml:space="preserve">The reliance on medication and treatment of symptoms, rather than access to talk </w:t>
      </w:r>
      <w:r w:rsidR="000236CE" w:rsidRPr="00B71AF8">
        <w:t xml:space="preserve">and other </w:t>
      </w:r>
      <w:r w:rsidRPr="00B71AF8">
        <w:t xml:space="preserve">therapies </w:t>
      </w:r>
      <w:r w:rsidR="00CE347C" w:rsidRPr="00B71AF8">
        <w:t>(</w:t>
      </w:r>
      <w:r w:rsidRPr="00B71AF8">
        <w:t>and diverse professionals to deliver these</w:t>
      </w:r>
      <w:r w:rsidR="00CE347C" w:rsidRPr="00B71AF8">
        <w:t>)</w:t>
      </w:r>
      <w:r w:rsidRPr="00B71AF8">
        <w:t>, who could help address underlying trauma or causes of mental distress</w:t>
      </w:r>
      <w:r w:rsidR="00544A36" w:rsidRPr="00B71AF8">
        <w:t>.</w:t>
      </w:r>
      <w:r w:rsidRPr="00B71AF8">
        <w:t xml:space="preserve"> </w:t>
      </w:r>
    </w:p>
    <w:p w14:paraId="05444869" w14:textId="77777777" w:rsidR="0098306C" w:rsidRPr="00B71AF8" w:rsidRDefault="00535232" w:rsidP="00AC7978">
      <w:pPr>
        <w:pStyle w:val="ListParagraph"/>
        <w:numPr>
          <w:ilvl w:val="1"/>
          <w:numId w:val="25"/>
        </w:numPr>
        <w:spacing w:after="240"/>
        <w:ind w:left="360"/>
      </w:pPr>
      <w:r w:rsidRPr="00B71AF8">
        <w:t>Workforce reform and support required for mental health system reform, including the role and availability of</w:t>
      </w:r>
      <w:r w:rsidR="00532082" w:rsidRPr="00B71AF8">
        <w:t xml:space="preserve"> peer workforce staff. </w:t>
      </w:r>
    </w:p>
    <w:p w14:paraId="279AA064" w14:textId="77777777" w:rsidR="0098306C" w:rsidRPr="00B71AF8" w:rsidRDefault="0098306C" w:rsidP="00AC7978">
      <w:pPr>
        <w:pStyle w:val="ListParagraph"/>
        <w:numPr>
          <w:ilvl w:val="1"/>
          <w:numId w:val="25"/>
        </w:numPr>
        <w:spacing w:after="240"/>
        <w:ind w:left="360"/>
      </w:pPr>
      <w:r w:rsidRPr="00B71AF8">
        <w:t xml:space="preserve">Cultural drivers that would ensure </w:t>
      </w:r>
      <w:r w:rsidR="00566B78" w:rsidRPr="00B71AF8">
        <w:t xml:space="preserve">a </w:t>
      </w:r>
      <w:r w:rsidRPr="00B71AF8">
        <w:t>rights-based framework in mental health services and quality improvement, accountability and monitoring mechanisms</w:t>
      </w:r>
      <w:r w:rsidR="00544A36" w:rsidRPr="00B71AF8">
        <w:t>.</w:t>
      </w:r>
      <w:r w:rsidRPr="00B71AF8">
        <w:t xml:space="preserve"> </w:t>
      </w:r>
    </w:p>
    <w:p w14:paraId="7207D14D" w14:textId="77777777" w:rsidR="0098306C" w:rsidRPr="00B71AF8" w:rsidRDefault="0098306C" w:rsidP="00AC7978">
      <w:pPr>
        <w:pStyle w:val="ListParagraph"/>
        <w:numPr>
          <w:ilvl w:val="1"/>
          <w:numId w:val="25"/>
        </w:numPr>
        <w:spacing w:after="240"/>
        <w:ind w:left="360"/>
      </w:pPr>
      <w:r w:rsidRPr="00B71AF8">
        <w:t xml:space="preserve">The evidence-base regarding the nature and impact of a person’s experience of treatment depending on whether </w:t>
      </w:r>
      <w:r w:rsidR="00566B78" w:rsidRPr="00B71AF8">
        <w:t xml:space="preserve">treatment </w:t>
      </w:r>
      <w:r w:rsidRPr="00B71AF8">
        <w:t>is received voluntarily or compulsorily</w:t>
      </w:r>
      <w:r w:rsidR="00544A36" w:rsidRPr="00B71AF8">
        <w:t>.</w:t>
      </w:r>
    </w:p>
    <w:p w14:paraId="30F560EC" w14:textId="77777777" w:rsidR="0098306C" w:rsidRPr="00B71AF8" w:rsidRDefault="0098306C" w:rsidP="00AC7978">
      <w:pPr>
        <w:pStyle w:val="ListParagraph"/>
        <w:numPr>
          <w:ilvl w:val="1"/>
          <w:numId w:val="25"/>
        </w:numPr>
        <w:spacing w:after="240"/>
        <w:ind w:left="360"/>
      </w:pPr>
      <w:r w:rsidRPr="00B71AF8">
        <w:t xml:space="preserve">The impact of supported decision-making and whether or not the mechanisms under the Act are </w:t>
      </w:r>
      <w:r w:rsidR="00B63C4A" w:rsidRPr="00B71AF8">
        <w:t xml:space="preserve">fully understood and </w:t>
      </w:r>
      <w:r w:rsidRPr="00B71AF8">
        <w:t xml:space="preserve">implemented in mental health services. </w:t>
      </w:r>
    </w:p>
    <w:p w14:paraId="50941194" w14:textId="77777777" w:rsidR="00974954" w:rsidRPr="00B71AF8" w:rsidRDefault="003F21C1" w:rsidP="009C1935">
      <w:pPr>
        <w:pStyle w:val="ListParagraph"/>
        <w:numPr>
          <w:ilvl w:val="1"/>
          <w:numId w:val="25"/>
        </w:numPr>
        <w:spacing w:after="240"/>
        <w:ind w:left="360"/>
      </w:pPr>
      <w:r w:rsidRPr="00B71AF8">
        <w:t>The c</w:t>
      </w:r>
      <w:r w:rsidR="00322F69" w:rsidRPr="00B71AF8">
        <w:t xml:space="preserve">ompatibility of the Act, and how it is implemented in practice, with the </w:t>
      </w:r>
      <w:r w:rsidR="00B30D9D" w:rsidRPr="00B71AF8">
        <w:t xml:space="preserve">United Nations </w:t>
      </w:r>
      <w:r w:rsidR="00B30D9D" w:rsidRPr="00B71AF8">
        <w:rPr>
          <w:i/>
        </w:rPr>
        <w:t>Convention on the Rights of Persons with Disabilities</w:t>
      </w:r>
      <w:r w:rsidR="00B30D9D" w:rsidRPr="00B71AF8">
        <w:t xml:space="preserve"> (</w:t>
      </w:r>
      <w:r w:rsidR="00B30D9D" w:rsidRPr="00B71AF8">
        <w:rPr>
          <w:b/>
        </w:rPr>
        <w:t>CPRD</w:t>
      </w:r>
      <w:r w:rsidR="00B30D9D" w:rsidRPr="00B71AF8">
        <w:t>)</w:t>
      </w:r>
      <w:r w:rsidR="00535232" w:rsidRPr="00B71AF8">
        <w:t xml:space="preserve"> and</w:t>
      </w:r>
      <w:r w:rsidR="007C2E54" w:rsidRPr="00B71AF8">
        <w:t xml:space="preserve"> the </w:t>
      </w:r>
      <w:r w:rsidR="007C2E54" w:rsidRPr="00B71AF8">
        <w:rPr>
          <w:i/>
        </w:rPr>
        <w:t>Charter of Human Rights and Responsibilities Act</w:t>
      </w:r>
      <w:r w:rsidR="007C2E54" w:rsidRPr="00B71AF8">
        <w:t xml:space="preserve"> 2006 (Vic)</w:t>
      </w:r>
      <w:r w:rsidR="00322F69" w:rsidRPr="00B71AF8">
        <w:t>.</w:t>
      </w:r>
    </w:p>
    <w:p w14:paraId="5B733E6B" w14:textId="77777777" w:rsidR="00974954" w:rsidRPr="00B71AF8" w:rsidRDefault="00974954">
      <w:pPr>
        <w:spacing w:after="0" w:line="240" w:lineRule="auto"/>
      </w:pPr>
      <w:r w:rsidRPr="00B71AF8">
        <w:br w:type="page"/>
      </w:r>
    </w:p>
    <w:p w14:paraId="6F2E7F09" w14:textId="77777777" w:rsidR="003E4BC8" w:rsidRPr="00B71AF8" w:rsidRDefault="006E3B81" w:rsidP="00AC7978">
      <w:pPr>
        <w:pStyle w:val="Heading1"/>
        <w:numPr>
          <w:ilvl w:val="0"/>
          <w:numId w:val="16"/>
        </w:numPr>
        <w:ind w:hanging="720"/>
      </w:pPr>
      <w:bookmarkStart w:id="31" w:name="_Toc536642551"/>
      <w:r w:rsidRPr="00B71AF8">
        <w:lastRenderedPageBreak/>
        <w:t>S</w:t>
      </w:r>
      <w:r w:rsidR="00AA0785" w:rsidRPr="00B71AF8">
        <w:t>ervices and supports in the community</w:t>
      </w:r>
      <w:bookmarkEnd w:id="31"/>
    </w:p>
    <w:p w14:paraId="65CC793F" w14:textId="77777777" w:rsidR="00AA0785" w:rsidRPr="00B71AF8" w:rsidRDefault="004C7217" w:rsidP="005961C4">
      <w:pPr>
        <w:keepNext/>
        <w:keepLines/>
        <w:spacing w:after="240"/>
      </w:pPr>
      <w:bookmarkStart w:id="32" w:name="_Hlk536620205"/>
      <w:r w:rsidRPr="00B71AF8">
        <w:t>Through our work</w:t>
      </w:r>
      <w:r w:rsidR="00566B78" w:rsidRPr="00B71AF8">
        <w:t>,</w:t>
      </w:r>
      <w:r w:rsidRPr="00B71AF8">
        <w:t xml:space="preserve"> </w:t>
      </w:r>
      <w:r w:rsidR="00AA0785" w:rsidRPr="00B71AF8">
        <w:t xml:space="preserve">VLA sees that when there is a breakdown in services in the community – </w:t>
      </w:r>
      <w:r w:rsidR="00566B78" w:rsidRPr="00B71AF8">
        <w:t xml:space="preserve">in </w:t>
      </w:r>
      <w:r w:rsidR="00AA0785" w:rsidRPr="00B71AF8">
        <w:t xml:space="preserve">both mental health and </w:t>
      </w:r>
      <w:r w:rsidR="002052B4" w:rsidRPr="00B71AF8">
        <w:t>interdependent</w:t>
      </w:r>
      <w:r w:rsidR="00AA0785" w:rsidRPr="00B71AF8">
        <w:t xml:space="preserve"> systems</w:t>
      </w:r>
      <w:r w:rsidRPr="00B71AF8">
        <w:t>,</w:t>
      </w:r>
      <w:r w:rsidR="00AA0785" w:rsidRPr="00B71AF8">
        <w:t xml:space="preserve"> such as</w:t>
      </w:r>
      <w:r w:rsidR="00532082" w:rsidRPr="00B71AF8">
        <w:t xml:space="preserve"> rehabilitation services,</w:t>
      </w:r>
      <w:r w:rsidR="00AA0785" w:rsidRPr="00B71AF8">
        <w:t xml:space="preserve"> housing and NDIS – people can end up in crisis, </w:t>
      </w:r>
      <w:r w:rsidR="00535232" w:rsidRPr="00B71AF8">
        <w:t xml:space="preserve">and </w:t>
      </w:r>
      <w:r w:rsidRPr="00B71AF8">
        <w:t xml:space="preserve">consequently </w:t>
      </w:r>
      <w:r w:rsidR="00535232" w:rsidRPr="00B71AF8">
        <w:t>in an inpatient mental health unit</w:t>
      </w:r>
      <w:r w:rsidR="00AA0785" w:rsidRPr="00B71AF8">
        <w:t xml:space="preserve"> or the justice system</w:t>
      </w:r>
      <w:r w:rsidR="002721F2" w:rsidRPr="00B71AF8">
        <w:t>. In addition to funnelling people in, people can also become stuck in these systems</w:t>
      </w:r>
      <w:r w:rsidR="005F6BC4" w:rsidRPr="00B71AF8">
        <w:t xml:space="preserve">, </w:t>
      </w:r>
      <w:r w:rsidR="002721F2" w:rsidRPr="00B71AF8">
        <w:t xml:space="preserve">including being </w:t>
      </w:r>
      <w:r w:rsidR="005F6BC4" w:rsidRPr="00B71AF8">
        <w:t xml:space="preserve">indefinitely detained (for example, in </w:t>
      </w:r>
      <w:r w:rsidR="00AA0785" w:rsidRPr="00B71AF8">
        <w:t xml:space="preserve">Secure Extended Care </w:t>
      </w:r>
      <w:r w:rsidR="005F6BC4" w:rsidRPr="00B71AF8">
        <w:t>U</w:t>
      </w:r>
      <w:r w:rsidR="00AA0785" w:rsidRPr="00B71AF8">
        <w:t xml:space="preserve">nits </w:t>
      </w:r>
      <w:r w:rsidR="005F6BC4" w:rsidRPr="00B71AF8">
        <w:t>(</w:t>
      </w:r>
      <w:r w:rsidR="005F6BC4" w:rsidRPr="00B71AF8">
        <w:rPr>
          <w:b/>
        </w:rPr>
        <w:t>SECUs</w:t>
      </w:r>
      <w:r w:rsidR="005F6BC4" w:rsidRPr="00B71AF8">
        <w:t xml:space="preserve">) </w:t>
      </w:r>
      <w:r w:rsidR="00AA0785" w:rsidRPr="00B71AF8">
        <w:t xml:space="preserve">or Thomas </w:t>
      </w:r>
      <w:r w:rsidR="0047462C" w:rsidRPr="00B71AF8">
        <w:t>Embling</w:t>
      </w:r>
      <w:r w:rsidR="00AA0785" w:rsidRPr="00B71AF8">
        <w:t xml:space="preserve"> Hospital</w:t>
      </w:r>
      <w:r w:rsidR="0047462C" w:rsidRPr="00B71AF8">
        <w:t>)</w:t>
      </w:r>
      <w:r w:rsidR="005F6BC4" w:rsidRPr="00B71AF8">
        <w:t xml:space="preserve">, because of a lack of </w:t>
      </w:r>
      <w:r w:rsidR="002721F2" w:rsidRPr="00B71AF8">
        <w:t xml:space="preserve">support and services to enable discharge back into the community </w:t>
      </w:r>
      <w:r w:rsidR="005F6BC4" w:rsidRPr="00B71AF8">
        <w:t xml:space="preserve">(see also part </w:t>
      </w:r>
      <w:r w:rsidR="002052B4" w:rsidRPr="00B71AF8">
        <w:fldChar w:fldCharType="begin"/>
      </w:r>
      <w:r w:rsidR="002052B4" w:rsidRPr="00B71AF8">
        <w:instrText xml:space="preserve"> REF _Ref536185946 \r \h </w:instrText>
      </w:r>
      <w:r w:rsidR="00B71AF8">
        <w:instrText xml:space="preserve"> \* MERGEFORMAT </w:instrText>
      </w:r>
      <w:r w:rsidR="002052B4" w:rsidRPr="00B71AF8">
        <w:fldChar w:fldCharType="separate"/>
      </w:r>
      <w:r w:rsidR="004B4765">
        <w:t>4</w:t>
      </w:r>
      <w:r w:rsidR="002052B4" w:rsidRPr="00B71AF8">
        <w:fldChar w:fldCharType="end"/>
      </w:r>
      <w:r w:rsidR="005F6BC4" w:rsidRPr="00B71AF8">
        <w:t xml:space="preserve"> below)</w:t>
      </w:r>
      <w:r w:rsidR="00AA0785" w:rsidRPr="00B71AF8">
        <w:t>.</w:t>
      </w:r>
    </w:p>
    <w:bookmarkEnd w:id="32"/>
    <w:p w14:paraId="70546530" w14:textId="77777777" w:rsidR="00AA0785" w:rsidRPr="00B71AF8" w:rsidRDefault="002052B4" w:rsidP="005961C4">
      <w:pPr>
        <w:keepNext/>
        <w:keepLines/>
        <w:spacing w:after="240"/>
      </w:pPr>
      <w:r w:rsidRPr="00B71AF8">
        <w:t xml:space="preserve">Recognising this, </w:t>
      </w:r>
      <w:r w:rsidR="00AA0785" w:rsidRPr="00B71AF8">
        <w:t xml:space="preserve">the </w:t>
      </w:r>
      <w:r w:rsidRPr="00B71AF8">
        <w:t>RCMH should consider</w:t>
      </w:r>
      <w:r w:rsidR="00AA0785" w:rsidRPr="00B71AF8">
        <w:t>:</w:t>
      </w:r>
    </w:p>
    <w:p w14:paraId="70BAD394" w14:textId="77777777" w:rsidR="00AA0785" w:rsidRPr="00B71AF8" w:rsidRDefault="00AA0785" w:rsidP="005961C4">
      <w:pPr>
        <w:pStyle w:val="ListParagraph"/>
        <w:keepNext/>
        <w:keepLines/>
        <w:numPr>
          <w:ilvl w:val="1"/>
          <w:numId w:val="25"/>
        </w:numPr>
        <w:spacing w:after="240"/>
        <w:ind w:left="360"/>
      </w:pPr>
      <w:r w:rsidRPr="00B71AF8">
        <w:t xml:space="preserve">The availability and appropriateness of: </w:t>
      </w:r>
    </w:p>
    <w:p w14:paraId="4A53B965" w14:textId="77777777" w:rsidR="00AA0785" w:rsidRPr="00B71AF8" w:rsidRDefault="00AA0785" w:rsidP="00AC7978">
      <w:pPr>
        <w:pStyle w:val="ListParagraph"/>
        <w:numPr>
          <w:ilvl w:val="2"/>
          <w:numId w:val="25"/>
        </w:numPr>
        <w:spacing w:after="240"/>
        <w:ind w:left="1080" w:hanging="357"/>
      </w:pPr>
      <w:r w:rsidRPr="00B71AF8">
        <w:t>Care and supports for people after leaving acute</w:t>
      </w:r>
      <w:r w:rsidR="0014315A" w:rsidRPr="00B71AF8">
        <w:t xml:space="preserve"> inpatient</w:t>
      </w:r>
      <w:r w:rsidRPr="00B71AF8">
        <w:t xml:space="preserve"> services, including flexible ‘step up’ and ‘step down’ options</w:t>
      </w:r>
      <w:r w:rsidR="009B5A33" w:rsidRPr="00B71AF8">
        <w:t xml:space="preserve"> where the service access points are visible and known to consumers so they can take an active role in the direction of their treatment</w:t>
      </w:r>
      <w:r w:rsidR="00FF6435" w:rsidRPr="00B71AF8">
        <w:t>.</w:t>
      </w:r>
    </w:p>
    <w:p w14:paraId="08FC2F70" w14:textId="77777777" w:rsidR="00AA0785" w:rsidRPr="00B71AF8" w:rsidRDefault="00AA0785" w:rsidP="00AC7978">
      <w:pPr>
        <w:pStyle w:val="ListParagraph"/>
        <w:numPr>
          <w:ilvl w:val="2"/>
          <w:numId w:val="25"/>
        </w:numPr>
        <w:spacing w:after="240"/>
        <w:ind w:left="1080" w:hanging="357"/>
      </w:pPr>
      <w:r w:rsidRPr="00B71AF8">
        <w:t xml:space="preserve">Housing, </w:t>
      </w:r>
      <w:r w:rsidR="00532082" w:rsidRPr="00B71AF8">
        <w:t xml:space="preserve">therapeutic </w:t>
      </w:r>
      <w:r w:rsidRPr="00B71AF8">
        <w:t>support, supported decision-making</w:t>
      </w:r>
      <w:r w:rsidR="00532082" w:rsidRPr="00B71AF8">
        <w:t xml:space="preserve">, advocates </w:t>
      </w:r>
      <w:r w:rsidRPr="00B71AF8">
        <w:t>and free legal assistance for people experiencing mental health issues in the community</w:t>
      </w:r>
      <w:r w:rsidR="00FF6435" w:rsidRPr="00B71AF8">
        <w:t>.</w:t>
      </w:r>
      <w:r w:rsidRPr="00B71AF8">
        <w:t xml:space="preserve"> </w:t>
      </w:r>
    </w:p>
    <w:p w14:paraId="4DB483B3" w14:textId="77777777" w:rsidR="00AA0785" w:rsidRPr="00B71AF8" w:rsidRDefault="00AA0785" w:rsidP="00AC7978">
      <w:pPr>
        <w:pStyle w:val="ListParagraph"/>
        <w:numPr>
          <w:ilvl w:val="2"/>
          <w:numId w:val="25"/>
        </w:numPr>
        <w:spacing w:after="240"/>
        <w:ind w:left="1080" w:hanging="357"/>
      </w:pPr>
      <w:r w:rsidRPr="00B71AF8">
        <w:t xml:space="preserve">Outreach mental health services </w:t>
      </w:r>
      <w:r w:rsidR="00532082" w:rsidRPr="00B71AF8">
        <w:t>tailored to individual consumer needs</w:t>
      </w:r>
      <w:r w:rsidR="00FF6435" w:rsidRPr="00B71AF8">
        <w:t>.</w:t>
      </w:r>
    </w:p>
    <w:p w14:paraId="212D43B8" w14:textId="77777777" w:rsidR="00AA0785" w:rsidRPr="00B71AF8" w:rsidRDefault="002052B4" w:rsidP="00AC7978">
      <w:pPr>
        <w:pStyle w:val="ListParagraph"/>
        <w:numPr>
          <w:ilvl w:val="2"/>
          <w:numId w:val="25"/>
        </w:numPr>
        <w:spacing w:after="240"/>
        <w:ind w:left="1080" w:hanging="357"/>
      </w:pPr>
      <w:r w:rsidRPr="00B71AF8">
        <w:t>S</w:t>
      </w:r>
      <w:r w:rsidR="00AA0785" w:rsidRPr="00B71AF8">
        <w:t>ervices for people on Community Treatment Orders (including, for example, people who work).</w:t>
      </w:r>
      <w:r w:rsidR="009C1935" w:rsidRPr="00B71AF8">
        <w:t xml:space="preserve"> </w:t>
      </w:r>
      <w:r w:rsidR="00AA0785" w:rsidRPr="00B71AF8">
        <w:t>As one of our staff members said, ‘this treatment should be more than just an injection’</w:t>
      </w:r>
      <w:r w:rsidR="00544A36" w:rsidRPr="00B71AF8">
        <w:t>.</w:t>
      </w:r>
      <w:r w:rsidR="00AA0785" w:rsidRPr="00B71AF8">
        <w:t xml:space="preserve"> </w:t>
      </w:r>
    </w:p>
    <w:p w14:paraId="608BAD94" w14:textId="77777777" w:rsidR="00AA0785" w:rsidRPr="00B71AF8" w:rsidRDefault="00AA0785" w:rsidP="00AC7978">
      <w:pPr>
        <w:pStyle w:val="ListParagraph"/>
        <w:numPr>
          <w:ilvl w:val="1"/>
          <w:numId w:val="25"/>
        </w:numPr>
        <w:spacing w:after="240"/>
        <w:ind w:left="360" w:hanging="357"/>
      </w:pPr>
      <w:r w:rsidRPr="00B71AF8">
        <w:t>The impact of housing instability and homelessness on treatment and recovery, including the prevalence and impact of discharging people from hospital into rooming houses or onto the streets</w:t>
      </w:r>
      <w:r w:rsidR="00566B78" w:rsidRPr="00B71AF8">
        <w:t>,</w:t>
      </w:r>
      <w:r w:rsidRPr="00B71AF8">
        <w:t xml:space="preserve"> and the links to readmission</w:t>
      </w:r>
      <w:r w:rsidR="00544A36" w:rsidRPr="00B71AF8">
        <w:t>.</w:t>
      </w:r>
    </w:p>
    <w:p w14:paraId="698EE865" w14:textId="77777777" w:rsidR="00AA0785" w:rsidRPr="00B71AF8" w:rsidRDefault="00AA0785" w:rsidP="00AC7978">
      <w:pPr>
        <w:pStyle w:val="ListParagraph"/>
        <w:numPr>
          <w:ilvl w:val="1"/>
          <w:numId w:val="25"/>
        </w:numPr>
        <w:spacing w:after="240"/>
        <w:ind w:left="360" w:hanging="357"/>
      </w:pPr>
      <w:r w:rsidRPr="00B71AF8">
        <w:t xml:space="preserve">The </w:t>
      </w:r>
      <w:r w:rsidR="004F22B7" w:rsidRPr="00B71AF8">
        <w:t xml:space="preserve">opportunities </w:t>
      </w:r>
      <w:r w:rsidR="00B63C4A" w:rsidRPr="00B71AF8">
        <w:t>and gaps created by</w:t>
      </w:r>
      <w:r w:rsidRPr="00B71AF8">
        <w:t xml:space="preserve"> the</w:t>
      </w:r>
      <w:r w:rsidRPr="00B71AF8">
        <w:rPr>
          <w:rFonts w:ascii="Calibri" w:eastAsiaTheme="minorHAnsi" w:hAnsi="Calibri" w:cs="Calibri"/>
          <w:szCs w:val="22"/>
        </w:rPr>
        <w:t xml:space="preserve"> </w:t>
      </w:r>
      <w:r w:rsidRPr="00B71AF8">
        <w:t>National Disability Insurance Scheme (</w:t>
      </w:r>
      <w:r w:rsidRPr="00B71AF8">
        <w:rPr>
          <w:b/>
        </w:rPr>
        <w:t>NDIS</w:t>
      </w:r>
      <w:r w:rsidRPr="00B71AF8">
        <w:t>) for Victorians experiencing mental health issues and psychosocial disability</w:t>
      </w:r>
      <w:r w:rsidR="00544A36" w:rsidRPr="00B71AF8">
        <w:t>.</w:t>
      </w:r>
    </w:p>
    <w:p w14:paraId="2A765E88" w14:textId="77777777" w:rsidR="002721F2" w:rsidRPr="00B71AF8" w:rsidRDefault="0014315A" w:rsidP="00AC7978">
      <w:pPr>
        <w:pStyle w:val="ListParagraph"/>
        <w:numPr>
          <w:ilvl w:val="1"/>
          <w:numId w:val="25"/>
        </w:numPr>
        <w:spacing w:after="240"/>
        <w:ind w:left="360" w:hanging="357"/>
      </w:pPr>
      <w:r w:rsidRPr="00B71AF8">
        <w:t>L</w:t>
      </w:r>
      <w:r w:rsidR="003E5E10" w:rsidRPr="00B71AF8">
        <w:t>ack of</w:t>
      </w:r>
      <w:r w:rsidR="00500E4E" w:rsidRPr="00B71AF8">
        <w:t xml:space="preserve"> services and supports </w:t>
      </w:r>
      <w:r w:rsidR="003E5E10" w:rsidRPr="00B71AF8">
        <w:t>in the community</w:t>
      </w:r>
      <w:r w:rsidRPr="00B71AF8">
        <w:t xml:space="preserve"> resulting in long-term detention of people in SECUs or Thomas Embling Hospital</w:t>
      </w:r>
      <w:r w:rsidR="00544A36" w:rsidRPr="00B71AF8">
        <w:t>.</w:t>
      </w:r>
    </w:p>
    <w:p w14:paraId="1A155A34" w14:textId="77777777" w:rsidR="005A6183" w:rsidRPr="00B71AF8" w:rsidRDefault="002721F2" w:rsidP="00AC7978">
      <w:pPr>
        <w:pStyle w:val="ListParagraph"/>
        <w:numPr>
          <w:ilvl w:val="1"/>
          <w:numId w:val="25"/>
        </w:numPr>
        <w:spacing w:after="240"/>
        <w:ind w:left="360" w:hanging="357"/>
      </w:pPr>
      <w:r w:rsidRPr="00B71AF8">
        <w:t>The social determinants of health, including the links between poverty</w:t>
      </w:r>
      <w:r w:rsidR="006F0FBE" w:rsidRPr="00B71AF8">
        <w:t xml:space="preserve"> </w:t>
      </w:r>
      <w:r w:rsidRPr="00B71AF8">
        <w:t xml:space="preserve">and the inability to access </w:t>
      </w:r>
      <w:r w:rsidR="00566B78" w:rsidRPr="00B71AF8">
        <w:t>adequate</w:t>
      </w:r>
      <w:r w:rsidR="00550A30" w:rsidRPr="00B71AF8">
        <w:t xml:space="preserve"> and appropriate</w:t>
      </w:r>
      <w:r w:rsidR="00566B78" w:rsidRPr="00B71AF8">
        <w:t xml:space="preserve"> </w:t>
      </w:r>
      <w:r w:rsidRPr="00B71AF8">
        <w:t>mental health services</w:t>
      </w:r>
      <w:r w:rsidR="00544A36" w:rsidRPr="00B71AF8">
        <w:t>.</w:t>
      </w:r>
      <w:r w:rsidR="00BB2656" w:rsidRPr="00B71AF8">
        <w:t xml:space="preserve"> </w:t>
      </w:r>
    </w:p>
    <w:p w14:paraId="40324BB7" w14:textId="77777777" w:rsidR="00BB2656" w:rsidRPr="00B71AF8" w:rsidRDefault="00BB2656" w:rsidP="00AC7978">
      <w:pPr>
        <w:pStyle w:val="ListParagraph"/>
        <w:numPr>
          <w:ilvl w:val="1"/>
          <w:numId w:val="25"/>
        </w:numPr>
        <w:spacing w:after="240"/>
        <w:ind w:left="360" w:hanging="357"/>
      </w:pPr>
      <w:r w:rsidRPr="00B71AF8">
        <w:t xml:space="preserve">The </w:t>
      </w:r>
      <w:r w:rsidR="006F0FBE" w:rsidRPr="00B71AF8">
        <w:t>gaps</w:t>
      </w:r>
      <w:r w:rsidR="005B7A3E" w:rsidRPr="00B71AF8">
        <w:t xml:space="preserve"> </w:t>
      </w:r>
      <w:r w:rsidR="00EE187D" w:rsidRPr="00B71AF8">
        <w:t>between service systems</w:t>
      </w:r>
      <w:r w:rsidR="00566B78" w:rsidRPr="00B71AF8">
        <w:t>,</w:t>
      </w:r>
      <w:r w:rsidR="00EE187D" w:rsidRPr="00B71AF8">
        <w:t xml:space="preserve"> and the need for a joined-up approach to improving access to housing and services</w:t>
      </w:r>
      <w:r w:rsidR="004F22B7" w:rsidRPr="00B71AF8">
        <w:rPr>
          <w:rStyle w:val="FootnoteReference"/>
        </w:rPr>
        <w:footnoteReference w:id="9"/>
      </w:r>
      <w:r w:rsidR="00EE187D" w:rsidRPr="00B71AF8">
        <w:t xml:space="preserve"> to</w:t>
      </w:r>
      <w:r w:rsidR="006F0FBE" w:rsidRPr="00B71AF8">
        <w:t xml:space="preserve"> support people in the community and</w:t>
      </w:r>
      <w:r w:rsidR="00EE187D" w:rsidRPr="00B71AF8">
        <w:t xml:space="preserve"> facilitat</w:t>
      </w:r>
      <w:r w:rsidR="006F0FBE" w:rsidRPr="00B71AF8">
        <w:t>e</w:t>
      </w:r>
      <w:r w:rsidR="00EE187D" w:rsidRPr="00B71AF8">
        <w:t xml:space="preserve"> people’s transition out of SECUs, Thomas Embling Hospital or prison.</w:t>
      </w:r>
      <w:bookmarkStart w:id="33" w:name="_Ref536638726"/>
      <w:r w:rsidR="00EE187D" w:rsidRPr="00B71AF8">
        <w:rPr>
          <w:rStyle w:val="FootnoteReference"/>
        </w:rPr>
        <w:footnoteReference w:id="10"/>
      </w:r>
      <w:bookmarkEnd w:id="33"/>
      <w:r w:rsidR="00EE187D" w:rsidRPr="00B71AF8">
        <w:t xml:space="preserve"> </w:t>
      </w:r>
    </w:p>
    <w:p w14:paraId="648F889D" w14:textId="77777777" w:rsidR="005A6183" w:rsidRPr="00B71AF8" w:rsidRDefault="005A6183" w:rsidP="006E3B81">
      <w:pPr>
        <w:rPr>
          <w:lang w:eastAsia="en-AU"/>
        </w:rPr>
      </w:pPr>
    </w:p>
    <w:p w14:paraId="7178E6C5" w14:textId="77777777" w:rsidR="006E3B81" w:rsidRPr="00B71AF8" w:rsidRDefault="006E3B81" w:rsidP="00AC7978">
      <w:pPr>
        <w:pStyle w:val="Heading1"/>
        <w:numPr>
          <w:ilvl w:val="0"/>
          <w:numId w:val="16"/>
        </w:numPr>
        <w:ind w:hanging="720"/>
      </w:pPr>
      <w:bookmarkStart w:id="34" w:name="_Ref536185946"/>
      <w:bookmarkStart w:id="35" w:name="_Toc536642552"/>
      <w:r w:rsidRPr="00B71AF8">
        <w:lastRenderedPageBreak/>
        <w:t>Forensic mental health and justice services: Mental health assessment and treatment for people in contact with the criminal justice system</w:t>
      </w:r>
      <w:bookmarkEnd w:id="34"/>
      <w:bookmarkEnd w:id="35"/>
    </w:p>
    <w:p w14:paraId="4639F772" w14:textId="77777777" w:rsidR="009B5A33" w:rsidRPr="00B71AF8" w:rsidRDefault="009B5A33" w:rsidP="00E25D8F">
      <w:pPr>
        <w:keepLines/>
        <w:spacing w:after="240"/>
      </w:pPr>
      <w:r w:rsidRPr="00B71AF8">
        <w:t xml:space="preserve">In </w:t>
      </w:r>
      <w:r w:rsidR="00566B78" w:rsidRPr="00B71AF8">
        <w:t xml:space="preserve">her </w:t>
      </w:r>
      <w:r w:rsidRPr="00B71AF8">
        <w:t>‘investigation into the rehabilitation and reintegration of prisoners in Victoria’, the Victorian Ombudsman identified that 40% of the Victorian prison population had been assessed as having a mental health condition and found: ‘Failure to properly treat a prisoner’s mental health condition during their imprisonment will have a significant effect on their rehabilitation and ability to reintegrate into the community’.</w:t>
      </w:r>
      <w:bookmarkStart w:id="36" w:name="_Ref536638940"/>
      <w:r w:rsidRPr="00B71AF8">
        <w:rPr>
          <w:rStyle w:val="FootnoteReference"/>
        </w:rPr>
        <w:footnoteReference w:id="11"/>
      </w:r>
      <w:bookmarkEnd w:id="36"/>
    </w:p>
    <w:p w14:paraId="38D6AF33" w14:textId="77777777" w:rsidR="006E3B81" w:rsidRPr="00B71AF8" w:rsidRDefault="006E3B81" w:rsidP="00E25D8F">
      <w:pPr>
        <w:keepLines/>
        <w:spacing w:after="240"/>
        <w:rPr>
          <w:rFonts w:cs="Arial"/>
          <w:sz w:val="20"/>
          <w:szCs w:val="20"/>
        </w:rPr>
      </w:pPr>
      <w:r w:rsidRPr="00B71AF8">
        <w:t>During 2017–18, VLA helped 94,485 unique clients</w:t>
      </w:r>
      <w:r w:rsidR="00566B78" w:rsidRPr="00B71AF8">
        <w:t>. Of these clients,</w:t>
      </w:r>
      <w:r w:rsidRPr="00B71AF8">
        <w:t xml:space="preserve"> 11% were in custody, detention or psychiatric care; and 26% disclosed having a disability or mental </w:t>
      </w:r>
      <w:r w:rsidR="00FA07AC" w:rsidRPr="00B71AF8">
        <w:t>health issue</w:t>
      </w:r>
      <w:r w:rsidRPr="00B71AF8">
        <w:t>.</w:t>
      </w:r>
      <w:r w:rsidRPr="00B71AF8">
        <w:rPr>
          <w:vertAlign w:val="superscript"/>
        </w:rPr>
        <w:footnoteReference w:id="12"/>
      </w:r>
    </w:p>
    <w:p w14:paraId="1F0C08C0" w14:textId="77777777" w:rsidR="006E3B81" w:rsidRPr="00B71AF8" w:rsidRDefault="006E3B81" w:rsidP="00E25D8F">
      <w:bookmarkStart w:id="37" w:name="_Hlk536620543"/>
      <w:r w:rsidRPr="00B71AF8">
        <w:t xml:space="preserve">Through </w:t>
      </w:r>
      <w:r w:rsidR="00566B78" w:rsidRPr="00B71AF8">
        <w:t xml:space="preserve">our </w:t>
      </w:r>
      <w:r w:rsidRPr="00B71AF8">
        <w:t xml:space="preserve">work, </w:t>
      </w:r>
      <w:r w:rsidR="00566B78" w:rsidRPr="00B71AF8">
        <w:t xml:space="preserve">we see how </w:t>
      </w:r>
      <w:r w:rsidR="00B219CD" w:rsidRPr="00B71AF8">
        <w:t xml:space="preserve">the </w:t>
      </w:r>
      <w:r w:rsidRPr="00B71AF8">
        <w:t xml:space="preserve">mental health system </w:t>
      </w:r>
      <w:r w:rsidR="00B219CD" w:rsidRPr="00B71AF8">
        <w:t xml:space="preserve">directly </w:t>
      </w:r>
      <w:r w:rsidRPr="00B71AF8">
        <w:t xml:space="preserve">impacts on people’s justice outcomes, including their entry into and exit out of the </w:t>
      </w:r>
      <w:r w:rsidR="00B219CD" w:rsidRPr="00B71AF8">
        <w:t xml:space="preserve">criminal </w:t>
      </w:r>
      <w:r w:rsidRPr="00B71AF8">
        <w:t xml:space="preserve">justice system. </w:t>
      </w:r>
      <w:bookmarkEnd w:id="37"/>
      <w:r w:rsidR="00B219CD" w:rsidRPr="00B71AF8">
        <w:t xml:space="preserve">For example, people without appropriate accommodation may be living in public spaces and may be subject to additional police surveillance. People may be refused bail due to the lack of appropriate accommodation and supports that meet their needs. People in custody may not have access to appropriate treatment and support which may impact their transition back to the community and increase the likelihood of reoffending. </w:t>
      </w:r>
    </w:p>
    <w:p w14:paraId="2BB883B2" w14:textId="77777777" w:rsidR="006E3B81" w:rsidRPr="00B71AF8" w:rsidRDefault="00B219CD" w:rsidP="00A246C8">
      <w:bookmarkStart w:id="38" w:name="_Hlk536620590"/>
      <w:r w:rsidRPr="00B71AF8">
        <w:t xml:space="preserve">It is essential that </w:t>
      </w:r>
      <w:r w:rsidR="006E3B81" w:rsidRPr="00B71AF8">
        <w:t xml:space="preserve">the RCMH’s focus on ‘forensic mental health </w:t>
      </w:r>
      <w:r w:rsidR="00727DE2" w:rsidRPr="00B71AF8">
        <w:t xml:space="preserve">and justice </w:t>
      </w:r>
      <w:r w:rsidR="006E3B81" w:rsidRPr="00B71AF8">
        <w:t xml:space="preserve">services’ should include </w:t>
      </w:r>
      <w:r w:rsidR="00566B78" w:rsidRPr="00B71AF8">
        <w:t xml:space="preserve">explicit </w:t>
      </w:r>
      <w:r w:rsidR="006E3B81" w:rsidRPr="00B71AF8">
        <w:t>consideration of</w:t>
      </w:r>
      <w:r w:rsidRPr="00B71AF8">
        <w:t xml:space="preserve"> the different ways that access to treatment and supports impacts a person’s interaction with enforcement agencies and justice processes</w:t>
      </w:r>
      <w:r w:rsidR="00566B78" w:rsidRPr="00B71AF8">
        <w:t xml:space="preserve">. </w:t>
      </w:r>
      <w:bookmarkEnd w:id="38"/>
      <w:r w:rsidR="00566B78" w:rsidRPr="00B71AF8">
        <w:t>The RCMH should examine</w:t>
      </w:r>
      <w:r w:rsidRPr="00B71AF8">
        <w:t>:</w:t>
      </w:r>
      <w:r w:rsidR="006E3B81" w:rsidRPr="00B71AF8">
        <w:t xml:space="preserve"> </w:t>
      </w:r>
    </w:p>
    <w:p w14:paraId="60A10440" w14:textId="77777777" w:rsidR="00725A2B" w:rsidRPr="00B71AF8" w:rsidRDefault="00725A2B" w:rsidP="003F5E34">
      <w:pPr>
        <w:pStyle w:val="ListParagraph"/>
        <w:numPr>
          <w:ilvl w:val="1"/>
          <w:numId w:val="25"/>
        </w:numPr>
        <w:spacing w:after="0"/>
        <w:ind w:left="360"/>
      </w:pPr>
      <w:bookmarkStart w:id="39" w:name="_Hlk536620772"/>
      <w:r w:rsidRPr="00B71AF8">
        <w:rPr>
          <w:b/>
        </w:rPr>
        <w:t>Early intervention and diversion away from the criminal justice system</w:t>
      </w:r>
      <w:bookmarkEnd w:id="39"/>
      <w:r w:rsidR="00881521" w:rsidRPr="00B71AF8">
        <w:t>.</w:t>
      </w:r>
      <w:r w:rsidRPr="00B71AF8">
        <w:rPr>
          <w:b/>
          <w:i/>
        </w:rPr>
        <w:t xml:space="preserve"> </w:t>
      </w:r>
      <w:r w:rsidR="00881521" w:rsidRPr="00B71AF8">
        <w:t>W</w:t>
      </w:r>
      <w:r w:rsidRPr="00B71AF8">
        <w:t xml:space="preserve">ays to reduce the frequency and intensity of contact with the criminal justice system for people experiencing mental health issues, </w:t>
      </w:r>
      <w:bookmarkStart w:id="40" w:name="_Hlk536621411"/>
      <w:r w:rsidRPr="00B71AF8">
        <w:t>including the role of Victoria Police</w:t>
      </w:r>
      <w:bookmarkEnd w:id="40"/>
      <w:r w:rsidR="00727DE2" w:rsidRPr="00B71AF8">
        <w:t xml:space="preserve">, and </w:t>
      </w:r>
      <w:r w:rsidR="00E460E4" w:rsidRPr="00B71AF8">
        <w:t xml:space="preserve">the availability of </w:t>
      </w:r>
      <w:r w:rsidR="00727DE2" w:rsidRPr="00B71AF8">
        <w:t xml:space="preserve">diversion </w:t>
      </w:r>
      <w:r w:rsidR="00FE08D4" w:rsidRPr="00B71AF8">
        <w:t>away from</w:t>
      </w:r>
      <w:r w:rsidR="00727DE2" w:rsidRPr="00B71AF8">
        <w:t xml:space="preserve"> the justice system</w:t>
      </w:r>
      <w:r w:rsidRPr="00B71AF8">
        <w:t xml:space="preserve"> </w:t>
      </w:r>
      <w:r w:rsidR="00E63FA5" w:rsidRPr="00B71AF8">
        <w:t>where conduct is connected with a person’s mental health</w:t>
      </w:r>
      <w:r w:rsidR="00544A36" w:rsidRPr="00B71AF8">
        <w:t>.</w:t>
      </w:r>
    </w:p>
    <w:p w14:paraId="1C2CFB1F" w14:textId="77777777" w:rsidR="00F866B6" w:rsidRPr="00B71AF8" w:rsidRDefault="006E3B81" w:rsidP="00AC7978">
      <w:pPr>
        <w:pStyle w:val="ListParagraph"/>
        <w:numPr>
          <w:ilvl w:val="1"/>
          <w:numId w:val="25"/>
        </w:numPr>
        <w:spacing w:after="240"/>
        <w:ind w:left="360" w:hanging="357"/>
      </w:pPr>
      <w:bookmarkStart w:id="41" w:name="_Hlk536620784"/>
      <w:r w:rsidRPr="00B71AF8">
        <w:rPr>
          <w:b/>
        </w:rPr>
        <w:t>Courts</w:t>
      </w:r>
      <w:bookmarkEnd w:id="41"/>
      <w:r w:rsidR="00881521" w:rsidRPr="00B71AF8">
        <w:t>.</w:t>
      </w:r>
      <w:r w:rsidRPr="00B71AF8">
        <w:t xml:space="preserve"> </w:t>
      </w:r>
    </w:p>
    <w:p w14:paraId="04AA8F02" w14:textId="77777777" w:rsidR="00F866B6" w:rsidRPr="00B71AF8" w:rsidRDefault="00A246C8" w:rsidP="00AC7978">
      <w:pPr>
        <w:pStyle w:val="ListParagraph"/>
        <w:numPr>
          <w:ilvl w:val="2"/>
          <w:numId w:val="25"/>
        </w:numPr>
        <w:spacing w:after="240"/>
        <w:ind w:left="1080" w:hanging="357"/>
      </w:pPr>
      <w:r w:rsidRPr="00B71AF8">
        <w:t>The role of</w:t>
      </w:r>
      <w:r w:rsidR="00B219CD" w:rsidRPr="00B71AF8">
        <w:t xml:space="preserve"> therapeutic justice programs, </w:t>
      </w:r>
      <w:r w:rsidR="003167F6" w:rsidRPr="00B71AF8">
        <w:t>such as the ARC List</w:t>
      </w:r>
      <w:r w:rsidR="00F866B6" w:rsidRPr="00B71AF8">
        <w:t>, the Drug Court, supported bail programs and the Neighbourhood Justice Centre,</w:t>
      </w:r>
      <w:r w:rsidR="003167F6" w:rsidRPr="00B71AF8">
        <w:t xml:space="preserve"> in increasing access to therapeutic options and supports for people involved in the criminal justice system</w:t>
      </w:r>
      <w:r w:rsidR="00F866B6" w:rsidRPr="00B71AF8">
        <w:t xml:space="preserve">. </w:t>
      </w:r>
    </w:p>
    <w:p w14:paraId="1E3D02CA" w14:textId="77777777" w:rsidR="00F866B6" w:rsidRPr="00B71AF8" w:rsidRDefault="00F866B6" w:rsidP="00AC7978">
      <w:pPr>
        <w:pStyle w:val="ListParagraph"/>
        <w:numPr>
          <w:ilvl w:val="2"/>
          <w:numId w:val="25"/>
        </w:numPr>
        <w:spacing w:after="240"/>
        <w:ind w:left="1080" w:hanging="357"/>
      </w:pPr>
      <w:r w:rsidRPr="00B71AF8">
        <w:t>P</w:t>
      </w:r>
      <w:r w:rsidR="003167F6" w:rsidRPr="00B71AF8">
        <w:t xml:space="preserve">otential benefits of increased geographical reach and timely access to services to support </w:t>
      </w:r>
      <w:r w:rsidRPr="00B71AF8">
        <w:t>therapeutic justice programs</w:t>
      </w:r>
      <w:r w:rsidR="003167F6" w:rsidRPr="00B71AF8">
        <w:t xml:space="preserve">. </w:t>
      </w:r>
    </w:p>
    <w:p w14:paraId="25A0C8AA" w14:textId="77777777" w:rsidR="006E3B81" w:rsidRPr="00B71AF8" w:rsidRDefault="003167F6" w:rsidP="00AC7978">
      <w:pPr>
        <w:pStyle w:val="ListParagraph"/>
        <w:numPr>
          <w:ilvl w:val="2"/>
          <w:numId w:val="25"/>
        </w:numPr>
        <w:spacing w:after="240"/>
        <w:ind w:left="1080" w:hanging="357"/>
      </w:pPr>
      <w:bookmarkStart w:id="42" w:name="_Hlk536621338"/>
      <w:r w:rsidRPr="00B71AF8">
        <w:t xml:space="preserve">The </w:t>
      </w:r>
      <w:r w:rsidR="00B219CD" w:rsidRPr="00B71AF8">
        <w:t xml:space="preserve">availability of </w:t>
      </w:r>
      <w:r w:rsidRPr="00B71AF8">
        <w:t xml:space="preserve">mental health </w:t>
      </w:r>
      <w:r w:rsidR="00B219CD" w:rsidRPr="00B71AF8">
        <w:t>assessments</w:t>
      </w:r>
      <w:r w:rsidR="006F0FBE" w:rsidRPr="00B71AF8">
        <w:t xml:space="preserve"> </w:t>
      </w:r>
      <w:r w:rsidRPr="00B71AF8">
        <w:t xml:space="preserve">for the purposes of criminal proceedings such as </w:t>
      </w:r>
      <w:r w:rsidR="006E3B81" w:rsidRPr="00B71AF8">
        <w:t>fitness to plead</w:t>
      </w:r>
      <w:r w:rsidR="006F0FBE" w:rsidRPr="00B71AF8">
        <w:t>, mental impairment</w:t>
      </w:r>
      <w:r w:rsidR="00E63FA5" w:rsidRPr="00B71AF8">
        <w:t xml:space="preserve"> and </w:t>
      </w:r>
      <w:r w:rsidR="006E3B81" w:rsidRPr="00B71AF8">
        <w:t>sentencing</w:t>
      </w:r>
      <w:r w:rsidRPr="00B71AF8">
        <w:t xml:space="preserve"> and the impact on courts, prisons and clients of limited resources for these</w:t>
      </w:r>
      <w:r w:rsidR="006E3B81" w:rsidRPr="00B71AF8">
        <w:t>.</w:t>
      </w:r>
    </w:p>
    <w:p w14:paraId="243EEDF6" w14:textId="77777777" w:rsidR="00384C9B" w:rsidRPr="00B71AF8" w:rsidRDefault="00384C9B" w:rsidP="00AC7978">
      <w:pPr>
        <w:pStyle w:val="ListParagraph"/>
        <w:numPr>
          <w:ilvl w:val="1"/>
          <w:numId w:val="25"/>
        </w:numPr>
        <w:spacing w:after="240"/>
        <w:ind w:left="360" w:hanging="357"/>
      </w:pPr>
      <w:bookmarkStart w:id="43" w:name="_Hlk536620791"/>
      <w:bookmarkEnd w:id="42"/>
      <w:r w:rsidRPr="00B71AF8">
        <w:rPr>
          <w:b/>
        </w:rPr>
        <w:t>Secure therapeutic facilities</w:t>
      </w:r>
      <w:bookmarkEnd w:id="43"/>
      <w:r w:rsidRPr="00B71AF8">
        <w:t>.</w:t>
      </w:r>
      <w:r w:rsidRPr="00B71AF8">
        <w:rPr>
          <w:i/>
        </w:rPr>
        <w:t xml:space="preserve"> </w:t>
      </w:r>
      <w:r w:rsidRPr="00B71AF8">
        <w:t xml:space="preserve">The shortage of secure therapeutic facilities for mental health treatment for prisoners (whether remanded, sentenced, or found not guilty by reason of mental impairment), including the impact of prolonged detention </w:t>
      </w:r>
      <w:r w:rsidR="003167F6" w:rsidRPr="00B71AF8">
        <w:t xml:space="preserve">in prison </w:t>
      </w:r>
      <w:r w:rsidR="00C9285F" w:rsidRPr="00B71AF8">
        <w:t>on</w:t>
      </w:r>
      <w:r w:rsidRPr="00B71AF8">
        <w:t xml:space="preserve"> people who have been found unfit to be tried on their stabilisation, recovery and wellbeing.</w:t>
      </w:r>
      <w:r w:rsidR="00F866B6" w:rsidRPr="00B71AF8">
        <w:rPr>
          <w:rStyle w:val="FootnoteReference"/>
        </w:rPr>
        <w:footnoteReference w:id="13"/>
      </w:r>
    </w:p>
    <w:p w14:paraId="1D3BC5CB" w14:textId="77777777" w:rsidR="00F866B6" w:rsidRPr="00B71AF8" w:rsidRDefault="006E3B81" w:rsidP="00AC7978">
      <w:pPr>
        <w:pStyle w:val="ListParagraph"/>
        <w:keepNext/>
        <w:numPr>
          <w:ilvl w:val="1"/>
          <w:numId w:val="25"/>
        </w:numPr>
        <w:spacing w:after="240"/>
        <w:ind w:left="357" w:hanging="357"/>
      </w:pPr>
      <w:bookmarkStart w:id="44" w:name="_Hlk536620797"/>
      <w:r w:rsidRPr="00B71AF8">
        <w:rPr>
          <w:b/>
        </w:rPr>
        <w:lastRenderedPageBreak/>
        <w:t>Prisons</w:t>
      </w:r>
      <w:bookmarkEnd w:id="44"/>
      <w:r w:rsidR="00881521" w:rsidRPr="00B71AF8">
        <w:t xml:space="preserve">. </w:t>
      </w:r>
    </w:p>
    <w:p w14:paraId="191FC4E8" w14:textId="77777777" w:rsidR="00F866B6" w:rsidRPr="00B71AF8" w:rsidRDefault="00881521" w:rsidP="00AC7978">
      <w:pPr>
        <w:pStyle w:val="ListParagraph"/>
        <w:numPr>
          <w:ilvl w:val="2"/>
          <w:numId w:val="25"/>
        </w:numPr>
        <w:spacing w:after="240"/>
        <w:ind w:left="1080" w:hanging="357"/>
      </w:pPr>
      <w:r w:rsidRPr="00B71AF8">
        <w:t>T</w:t>
      </w:r>
      <w:r w:rsidR="006E3B81" w:rsidRPr="00B71AF8">
        <w:t>he impact that Victoria’s record number of remandees is having on assessments, access to programs and supports, and access to medication</w:t>
      </w:r>
      <w:r w:rsidR="004E59A8" w:rsidRPr="00B71AF8">
        <w:t xml:space="preserve"> and other treatments</w:t>
      </w:r>
      <w:r w:rsidR="006E3B81" w:rsidRPr="00B71AF8">
        <w:t>, as well as the flow-on effects for people’s recovery and rehabilitation.</w:t>
      </w:r>
      <w:r w:rsidR="00EC1B4A" w:rsidRPr="00B71AF8">
        <w:rPr>
          <w:rStyle w:val="FootnoteReference"/>
        </w:rPr>
        <w:footnoteReference w:id="14"/>
      </w:r>
      <w:r w:rsidR="009C1935" w:rsidRPr="00B71AF8">
        <w:rPr>
          <w:rStyle w:val="FootnoteReference"/>
        </w:rPr>
        <w:t xml:space="preserve"> </w:t>
      </w:r>
    </w:p>
    <w:p w14:paraId="72D1A8AF" w14:textId="77777777" w:rsidR="00A354D9" w:rsidRPr="00B71AF8" w:rsidRDefault="00F866B6" w:rsidP="00AC7978">
      <w:pPr>
        <w:pStyle w:val="ListParagraph"/>
        <w:numPr>
          <w:ilvl w:val="2"/>
          <w:numId w:val="25"/>
        </w:numPr>
        <w:spacing w:after="240"/>
        <w:ind w:left="1080" w:hanging="357"/>
      </w:pPr>
      <w:r w:rsidRPr="00B71AF8">
        <w:t>G</w:t>
      </w:r>
      <w:r w:rsidR="00B219CD" w:rsidRPr="00B71AF8">
        <w:t xml:space="preserve">rowing pressure on prison populations </w:t>
      </w:r>
      <w:r w:rsidR="003167F6" w:rsidRPr="00B71AF8">
        <w:t>and limited access to treatment facilities</w:t>
      </w:r>
      <w:r w:rsidRPr="00B71AF8">
        <w:t xml:space="preserve"> </w:t>
      </w:r>
      <w:r w:rsidR="001C0C06" w:rsidRPr="00B71AF8">
        <w:t>contributing to</w:t>
      </w:r>
      <w:r w:rsidRPr="00B71AF8">
        <w:t xml:space="preserve"> </w:t>
      </w:r>
      <w:r w:rsidR="00B219CD" w:rsidRPr="00B71AF8">
        <w:t xml:space="preserve">increased use of custodial management techniques that may </w:t>
      </w:r>
      <w:r w:rsidR="004756E4" w:rsidRPr="00B71AF8">
        <w:t xml:space="preserve">negatively </w:t>
      </w:r>
      <w:r w:rsidR="00B219CD" w:rsidRPr="00B71AF8">
        <w:t>affect a person’s mental wellbeing while in custody.</w:t>
      </w:r>
      <w:r w:rsidR="003167F6" w:rsidRPr="00B71AF8">
        <w:t xml:space="preserve"> </w:t>
      </w:r>
    </w:p>
    <w:p w14:paraId="70412873" w14:textId="77777777" w:rsidR="006E3B81" w:rsidRPr="00B71AF8" w:rsidRDefault="003167F6" w:rsidP="00AC7978">
      <w:pPr>
        <w:pStyle w:val="ListParagraph"/>
        <w:numPr>
          <w:ilvl w:val="2"/>
          <w:numId w:val="25"/>
        </w:numPr>
        <w:spacing w:after="240"/>
        <w:ind w:left="1080" w:hanging="357"/>
      </w:pPr>
      <w:r w:rsidRPr="00B71AF8">
        <w:t xml:space="preserve">The </w:t>
      </w:r>
      <w:r w:rsidR="002C0165" w:rsidRPr="00B71AF8">
        <w:t>failure of</w:t>
      </w:r>
      <w:r w:rsidRPr="00B71AF8">
        <w:t xml:space="preserve"> treatment options and resources for prisoners </w:t>
      </w:r>
      <w:r w:rsidR="002C0165" w:rsidRPr="00B71AF8">
        <w:t>to keep</w:t>
      </w:r>
      <w:r w:rsidRPr="00B71AF8">
        <w:t xml:space="preserve"> pace with the increase in the prison population</w:t>
      </w:r>
      <w:r w:rsidR="002C0165" w:rsidRPr="00B71AF8">
        <w:t xml:space="preserve">, one of the effects of which is for those found not guilty by reason of mental impairment to remain in prison for longer periods before being transferred for treatment. </w:t>
      </w:r>
    </w:p>
    <w:p w14:paraId="0EB9ACC1" w14:textId="77777777" w:rsidR="006E3B81" w:rsidRPr="00B71AF8" w:rsidRDefault="006E3B81" w:rsidP="00AC7978">
      <w:pPr>
        <w:pStyle w:val="ListParagraph"/>
        <w:numPr>
          <w:ilvl w:val="1"/>
          <w:numId w:val="25"/>
        </w:numPr>
        <w:spacing w:after="240"/>
        <w:ind w:left="360" w:hanging="357"/>
      </w:pPr>
      <w:bookmarkStart w:id="45" w:name="_Hlk536620805"/>
      <w:r w:rsidRPr="00B71AF8">
        <w:rPr>
          <w:b/>
        </w:rPr>
        <w:t>Transition back into the community</w:t>
      </w:r>
      <w:bookmarkEnd w:id="45"/>
      <w:r w:rsidR="00881521" w:rsidRPr="00B71AF8">
        <w:t>.</w:t>
      </w:r>
      <w:r w:rsidRPr="00B71AF8">
        <w:t xml:space="preserve"> </w:t>
      </w:r>
      <w:r w:rsidR="00881521" w:rsidRPr="00B71AF8">
        <w:t>T</w:t>
      </w:r>
      <w:r w:rsidRPr="00B71AF8">
        <w:t xml:space="preserve">he </w:t>
      </w:r>
      <w:r w:rsidR="00B219CD" w:rsidRPr="00B71AF8">
        <w:t xml:space="preserve">planning, </w:t>
      </w:r>
      <w:r w:rsidRPr="00B71AF8">
        <w:t>services and supports that are available to people when they are bailed, paroled or complete their sentence.</w:t>
      </w:r>
      <w:r w:rsidR="009C1935" w:rsidRPr="00B71AF8">
        <w:t xml:space="preserve"> </w:t>
      </w:r>
      <w:r w:rsidRPr="00B71AF8">
        <w:t xml:space="preserve">For example, access to housing, NDIS, case management or holistic support in the community and the impact this has on wellbeing, re-integration into the community and risk of reoffending. </w:t>
      </w:r>
    </w:p>
    <w:p w14:paraId="04252E06" w14:textId="77777777" w:rsidR="006E3B81" w:rsidRPr="00B71AF8" w:rsidRDefault="006E3B81" w:rsidP="00E25D8F">
      <w:pPr>
        <w:pStyle w:val="ListParagraph"/>
        <w:numPr>
          <w:ilvl w:val="1"/>
          <w:numId w:val="25"/>
        </w:numPr>
        <w:spacing w:after="0"/>
        <w:ind w:left="360"/>
      </w:pPr>
      <w:bookmarkStart w:id="46" w:name="_Hlk536620812"/>
      <w:r w:rsidRPr="00B71AF8">
        <w:rPr>
          <w:b/>
        </w:rPr>
        <w:t>The needs and experiences of young people</w:t>
      </w:r>
      <w:bookmarkEnd w:id="46"/>
      <w:r w:rsidR="00881521" w:rsidRPr="00B71AF8">
        <w:t>. T</w:t>
      </w:r>
      <w:r w:rsidRPr="00B71AF8">
        <w:t>he availability of forensic mental health services for young people experiencing mental health issues, recognising that the Youth Parole Board Annual Report 2017/18 records that 53% of people detained present with mental health issues, and 30% have a history of self-harm or suicidal ideation.</w:t>
      </w:r>
      <w:r w:rsidRPr="00B71AF8">
        <w:rPr>
          <w:rStyle w:val="FootnoteReference"/>
        </w:rPr>
        <w:footnoteReference w:id="15"/>
      </w:r>
      <w:r w:rsidR="009C1935" w:rsidRPr="00B71AF8">
        <w:t xml:space="preserve"> </w:t>
      </w:r>
      <w:r w:rsidRPr="00B71AF8">
        <w:t>Also, issues with the timely completion of assessment, planning and service delivery for young people entering detention, as set out in the 2018 VAGO Report.</w:t>
      </w:r>
      <w:r w:rsidRPr="00B71AF8">
        <w:rPr>
          <w:rStyle w:val="FootnoteReference"/>
        </w:rPr>
        <w:footnoteReference w:id="16"/>
      </w:r>
      <w:r w:rsidRPr="00B71AF8">
        <w:t xml:space="preserve"> </w:t>
      </w:r>
    </w:p>
    <w:p w14:paraId="216361B7" w14:textId="77777777" w:rsidR="00727DE2" w:rsidRPr="00B71AF8" w:rsidRDefault="00727DE2" w:rsidP="00E25D8F">
      <w:pPr>
        <w:pStyle w:val="ListParagraph"/>
        <w:numPr>
          <w:ilvl w:val="1"/>
          <w:numId w:val="25"/>
        </w:numPr>
        <w:spacing w:after="0"/>
        <w:ind w:left="360"/>
      </w:pPr>
      <w:r w:rsidRPr="00B71AF8">
        <w:rPr>
          <w:b/>
        </w:rPr>
        <w:t>Disproportionate impact</w:t>
      </w:r>
      <w:r w:rsidR="00881521" w:rsidRPr="00B71AF8">
        <w:t>.</w:t>
      </w:r>
      <w:r w:rsidRPr="00B71AF8">
        <w:t xml:space="preserve"> </w:t>
      </w:r>
      <w:bookmarkStart w:id="47" w:name="_Hlk536620883"/>
      <w:r w:rsidR="00881521" w:rsidRPr="00B71AF8">
        <w:t>T</w:t>
      </w:r>
      <w:r w:rsidR="00495F6F" w:rsidRPr="00B71AF8">
        <w:t xml:space="preserve">he impact of </w:t>
      </w:r>
      <w:r w:rsidRPr="00B71AF8">
        <w:t>changes to the justice system on people experiencing mental health issues</w:t>
      </w:r>
      <w:r w:rsidR="001C0C06" w:rsidRPr="00B71AF8">
        <w:t>.</w:t>
      </w:r>
      <w:bookmarkEnd w:id="47"/>
      <w:r w:rsidR="009C1935" w:rsidRPr="00B71AF8">
        <w:t xml:space="preserve"> </w:t>
      </w:r>
      <w:r w:rsidR="001C0C06" w:rsidRPr="00B71AF8">
        <w:t>For</w:t>
      </w:r>
      <w:r w:rsidRPr="00B71AF8">
        <w:t xml:space="preserve"> example, </w:t>
      </w:r>
      <w:r w:rsidR="00B219CD" w:rsidRPr="00B71AF8">
        <w:t xml:space="preserve">people experiencing mental </w:t>
      </w:r>
      <w:r w:rsidR="001C0C06" w:rsidRPr="00B71AF8">
        <w:t xml:space="preserve">health issues </w:t>
      </w:r>
      <w:r w:rsidR="00B219CD" w:rsidRPr="00B71AF8">
        <w:t xml:space="preserve">may find it difficult to comply with bail conditions and recent </w:t>
      </w:r>
      <w:r w:rsidRPr="00B71AF8">
        <w:t>changes to bail laws</w:t>
      </w:r>
      <w:r w:rsidR="00B219CD" w:rsidRPr="00B71AF8">
        <w:t xml:space="preserve"> have introduced more serious consequences for breach of bail conditions</w:t>
      </w:r>
      <w:r w:rsidRPr="00B71AF8">
        <w:t xml:space="preserve">. </w:t>
      </w:r>
    </w:p>
    <w:p w14:paraId="7CA87288" w14:textId="77777777" w:rsidR="00CD6EDC" w:rsidRPr="00B71AF8" w:rsidRDefault="00CD6EDC" w:rsidP="00E25D8F">
      <w:pPr>
        <w:pStyle w:val="ListParagraph"/>
        <w:numPr>
          <w:ilvl w:val="1"/>
          <w:numId w:val="25"/>
        </w:numPr>
        <w:spacing w:after="0"/>
        <w:ind w:left="360"/>
      </w:pPr>
      <w:bookmarkStart w:id="48" w:name="_Hlk536620904"/>
      <w:r w:rsidRPr="00B71AF8">
        <w:rPr>
          <w:b/>
        </w:rPr>
        <w:t>Training and practice changes</w:t>
      </w:r>
      <w:bookmarkEnd w:id="48"/>
      <w:r w:rsidR="00881521" w:rsidRPr="00B71AF8">
        <w:t>.</w:t>
      </w:r>
      <w:r w:rsidRPr="00B71AF8">
        <w:t xml:space="preserve"> </w:t>
      </w:r>
      <w:r w:rsidR="00881521" w:rsidRPr="00B71AF8">
        <w:t>T</w:t>
      </w:r>
      <w:r w:rsidRPr="00B71AF8">
        <w:t xml:space="preserve">he availability of, and need for, training </w:t>
      </w:r>
      <w:bookmarkStart w:id="49" w:name="_Hlk536620916"/>
      <w:r w:rsidRPr="00B71AF8">
        <w:t>for justice agencies – including Victoria Police, Corrections</w:t>
      </w:r>
      <w:r w:rsidR="004F22B7" w:rsidRPr="00B71AF8">
        <w:t>,</w:t>
      </w:r>
      <w:r w:rsidRPr="00B71AF8">
        <w:t xml:space="preserve"> Courts</w:t>
      </w:r>
      <w:r w:rsidR="00303DC1" w:rsidRPr="00B71AF8">
        <w:t xml:space="preserve"> and</w:t>
      </w:r>
      <w:r w:rsidR="004F22B7" w:rsidRPr="00B71AF8">
        <w:t xml:space="preserve"> Tribunals </w:t>
      </w:r>
      <w:r w:rsidRPr="00B71AF8">
        <w:t>– to better understand</w:t>
      </w:r>
      <w:r w:rsidR="00495F6F" w:rsidRPr="00B71AF8">
        <w:t xml:space="preserve"> </w:t>
      </w:r>
      <w:r w:rsidRPr="00B71AF8">
        <w:t xml:space="preserve">and more effectively engage with people experiencing mental health issues. </w:t>
      </w:r>
      <w:bookmarkEnd w:id="49"/>
    </w:p>
    <w:p w14:paraId="653ECF6E" w14:textId="77777777" w:rsidR="006E3B81" w:rsidRPr="00B71AF8" w:rsidRDefault="006E3B81" w:rsidP="00E25D8F"/>
    <w:p w14:paraId="35A88AE6" w14:textId="77777777" w:rsidR="00B63C4A" w:rsidRPr="00B71AF8" w:rsidRDefault="00B63C4A" w:rsidP="00E25D8F">
      <w:r w:rsidRPr="00B71AF8">
        <w:t xml:space="preserve">We </w:t>
      </w:r>
      <w:r w:rsidR="00C864E1" w:rsidRPr="00B71AF8">
        <w:t>emphasise</w:t>
      </w:r>
      <w:r w:rsidRPr="00B71AF8">
        <w:t xml:space="preserve"> that any consideration of additional forensic beds</w:t>
      </w:r>
      <w:r w:rsidR="00C864E1" w:rsidRPr="00B71AF8">
        <w:t xml:space="preserve"> </w:t>
      </w:r>
      <w:r w:rsidRPr="00B71AF8">
        <w:t xml:space="preserve">needs to be </w:t>
      </w:r>
      <w:r w:rsidR="005B6741" w:rsidRPr="00B71AF8">
        <w:t xml:space="preserve">carefully </w:t>
      </w:r>
      <w:r w:rsidRPr="00B71AF8">
        <w:t>balanced with</w:t>
      </w:r>
      <w:r w:rsidR="00303DC1" w:rsidRPr="00B71AF8">
        <w:t xml:space="preserve"> the RCMH’s consideration of the need </w:t>
      </w:r>
      <w:r w:rsidR="005B6741" w:rsidRPr="00B71AF8">
        <w:t xml:space="preserve">for </w:t>
      </w:r>
      <w:r w:rsidRPr="00B71AF8">
        <w:t>less restrictive alternatives and access to adequate services in the community.</w:t>
      </w:r>
      <w:r w:rsidR="009C1935" w:rsidRPr="00B71AF8">
        <w:t xml:space="preserve"> </w:t>
      </w:r>
    </w:p>
    <w:p w14:paraId="1DE56E87" w14:textId="77777777" w:rsidR="005961C4" w:rsidRPr="00B71AF8" w:rsidRDefault="006E3B81" w:rsidP="00E25D8F">
      <w:r w:rsidRPr="00B71AF8">
        <w:t xml:space="preserve">We encourage the Government to see the RCMH as an opportunity to understand and address the </w:t>
      </w:r>
      <w:r w:rsidR="00B219CD" w:rsidRPr="00B71AF8">
        <w:t xml:space="preserve">additional </w:t>
      </w:r>
      <w:r w:rsidRPr="00B71AF8">
        <w:t>pressure</w:t>
      </w:r>
      <w:r w:rsidR="002C0165" w:rsidRPr="00B71AF8">
        <w:t xml:space="preserve"> that</w:t>
      </w:r>
      <w:r w:rsidRPr="00B71AF8">
        <w:t xml:space="preserve"> </w:t>
      </w:r>
      <w:r w:rsidR="00B219CD" w:rsidRPr="00B71AF8">
        <w:t>defects in the operation of the ment</w:t>
      </w:r>
      <w:r w:rsidR="00234EDE" w:rsidRPr="00B71AF8">
        <w:t>al health system</w:t>
      </w:r>
      <w:r w:rsidR="00320A78" w:rsidRPr="00B71AF8">
        <w:t xml:space="preserve"> (including a lack of housing and services in the community for people experiencing mental health issues)</w:t>
      </w:r>
      <w:r w:rsidR="00234EDE" w:rsidRPr="00B71AF8">
        <w:t xml:space="preserve"> can transfer to </w:t>
      </w:r>
      <w:r w:rsidRPr="00B71AF8">
        <w:t>the justice system, including</w:t>
      </w:r>
      <w:r w:rsidR="0080487C" w:rsidRPr="00B71AF8">
        <w:t xml:space="preserve"> Victoria Police,</w:t>
      </w:r>
      <w:r w:rsidRPr="00B71AF8">
        <w:t xml:space="preserve"> Corrections</w:t>
      </w:r>
      <w:r w:rsidR="00303DC1" w:rsidRPr="00B71AF8">
        <w:t>,</w:t>
      </w:r>
      <w:r w:rsidRPr="00B71AF8">
        <w:t xml:space="preserve"> the Courts</w:t>
      </w:r>
      <w:r w:rsidR="00303DC1" w:rsidRPr="00B71AF8">
        <w:t xml:space="preserve"> and the legal assistance sector</w:t>
      </w:r>
      <w:r w:rsidRPr="00B71AF8">
        <w:t xml:space="preserve">. </w:t>
      </w:r>
    </w:p>
    <w:p w14:paraId="05CDE3C6" w14:textId="77777777" w:rsidR="00D53156" w:rsidRPr="00B71AF8" w:rsidRDefault="00245951" w:rsidP="00AC7978">
      <w:pPr>
        <w:spacing w:after="0" w:line="240" w:lineRule="auto"/>
        <w:rPr>
          <w:lang w:eastAsia="en-AU"/>
        </w:rPr>
      </w:pPr>
      <w:r w:rsidRPr="00B71AF8">
        <w:rPr>
          <w:lang w:eastAsia="en-AU"/>
        </w:rPr>
        <w:br w:type="page"/>
      </w:r>
    </w:p>
    <w:p w14:paraId="46A7D548" w14:textId="77777777" w:rsidR="003E4BC8" w:rsidRPr="00B71AF8" w:rsidRDefault="000E7965" w:rsidP="00AC7978">
      <w:pPr>
        <w:pStyle w:val="Heading1"/>
        <w:numPr>
          <w:ilvl w:val="0"/>
          <w:numId w:val="16"/>
        </w:numPr>
        <w:ind w:hanging="720"/>
      </w:pPr>
      <w:bookmarkStart w:id="50" w:name="_Toc536642553"/>
      <w:r w:rsidRPr="00B71AF8">
        <w:lastRenderedPageBreak/>
        <w:t>Overlapping</w:t>
      </w:r>
      <w:r w:rsidR="00B710F6" w:rsidRPr="00B71AF8">
        <w:t xml:space="preserve"> life and legal issues</w:t>
      </w:r>
      <w:bookmarkEnd w:id="50"/>
    </w:p>
    <w:p w14:paraId="2FAE0765" w14:textId="77777777" w:rsidR="00B710F6" w:rsidRPr="00B71AF8" w:rsidRDefault="00B710F6" w:rsidP="005961C4">
      <w:r w:rsidRPr="00B71AF8">
        <w:t>The intersection of the mental health system with the legal system is not limited to criminal justice or the mental health jurisdiction.</w:t>
      </w:r>
      <w:r w:rsidR="009C1935" w:rsidRPr="00B71AF8">
        <w:t xml:space="preserve"> </w:t>
      </w:r>
      <w:r w:rsidRPr="00B71AF8">
        <w:t xml:space="preserve">There are other important examples of interactions between people’s mental health and the legal system which </w:t>
      </w:r>
      <w:r w:rsidR="00FF0775" w:rsidRPr="00B71AF8">
        <w:t>should</w:t>
      </w:r>
      <w:r w:rsidR="000429AB" w:rsidRPr="00B71AF8">
        <w:t xml:space="preserve"> be considered</w:t>
      </w:r>
      <w:r w:rsidRPr="00B71AF8">
        <w:t xml:space="preserve"> by the RCMH.</w:t>
      </w:r>
      <w:r w:rsidR="009C1935" w:rsidRPr="00B71AF8">
        <w:t xml:space="preserve"> </w:t>
      </w:r>
      <w:r w:rsidR="000011BC" w:rsidRPr="00B71AF8">
        <w:t>The RCMH should examine</w:t>
      </w:r>
      <w:r w:rsidRPr="00B71AF8">
        <w:t xml:space="preserve">: </w:t>
      </w:r>
    </w:p>
    <w:p w14:paraId="425E782C" w14:textId="77777777" w:rsidR="00B710F6" w:rsidRPr="00B71AF8" w:rsidRDefault="00B710F6" w:rsidP="00CA1E53">
      <w:pPr>
        <w:pStyle w:val="ListParagraph"/>
        <w:numPr>
          <w:ilvl w:val="1"/>
          <w:numId w:val="25"/>
        </w:numPr>
        <w:spacing w:after="0"/>
        <w:ind w:left="360"/>
      </w:pPr>
      <w:r w:rsidRPr="00B71AF8">
        <w:rPr>
          <w:b/>
        </w:rPr>
        <w:t>Family violence</w:t>
      </w:r>
      <w:r w:rsidR="00CE6F9C" w:rsidRPr="00B71AF8">
        <w:t>.</w:t>
      </w:r>
      <w:r w:rsidRPr="00B71AF8">
        <w:t xml:space="preserve"> </w:t>
      </w:r>
      <w:r w:rsidR="00CE54B8" w:rsidRPr="00B71AF8">
        <w:t>The way mental health is treated in the family violence intervention order system, including how a consistent therapeutic approach can be adopted to ensure best outcomes for all parties. While family violence is ultimately driven by dynamics of power and control between family members, a lack of adequate access to appropriate mental health supports and services in the community for both victim survivors and perpetrators of family violence contributes to increased risk</w:t>
      </w:r>
      <w:r w:rsidRPr="00B71AF8">
        <w:t>.</w:t>
      </w:r>
    </w:p>
    <w:p w14:paraId="3D34F897" w14:textId="77777777" w:rsidR="00CE54B8" w:rsidRPr="00B71AF8" w:rsidRDefault="00B710F6" w:rsidP="00E36EE1">
      <w:pPr>
        <w:pStyle w:val="ListParagraph"/>
        <w:numPr>
          <w:ilvl w:val="1"/>
          <w:numId w:val="25"/>
        </w:numPr>
        <w:spacing w:after="0"/>
        <w:ind w:left="360"/>
      </w:pPr>
      <w:r w:rsidRPr="00B71AF8">
        <w:rPr>
          <w:b/>
        </w:rPr>
        <w:t>Child protection and family law</w:t>
      </w:r>
      <w:r w:rsidR="00CE6F9C" w:rsidRPr="00B71AF8">
        <w:t>.</w:t>
      </w:r>
      <w:r w:rsidRPr="00B71AF8">
        <w:t xml:space="preserve"> </w:t>
      </w:r>
      <w:r w:rsidR="00CE6F9C" w:rsidRPr="00B71AF8">
        <w:t>T</w:t>
      </w:r>
      <w:r w:rsidRPr="00B71AF8">
        <w:t>he way mental health is treated in the child protection and family law systems</w:t>
      </w:r>
      <w:r w:rsidR="00CE54B8" w:rsidRPr="00B71AF8">
        <w:t>, including:</w:t>
      </w:r>
      <w:r w:rsidRPr="00B71AF8">
        <w:t xml:space="preserve"> </w:t>
      </w:r>
    </w:p>
    <w:p w14:paraId="34319312" w14:textId="77777777" w:rsidR="00CE54B8" w:rsidRPr="00B71AF8" w:rsidRDefault="00CE54B8" w:rsidP="00AC7978">
      <w:pPr>
        <w:pStyle w:val="ListParagraph"/>
        <w:numPr>
          <w:ilvl w:val="2"/>
          <w:numId w:val="25"/>
        </w:numPr>
        <w:spacing w:after="240"/>
        <w:ind w:left="1080" w:hanging="357"/>
      </w:pPr>
      <w:r w:rsidRPr="00B71AF8">
        <w:t>Limited understanding of mental health issues in the child protection system, including people and their parenting capacity being pre-judged or assumed to be low</w:t>
      </w:r>
      <w:r w:rsidR="00DE6EDA" w:rsidRPr="00B71AF8">
        <w:t>.</w:t>
      </w:r>
      <w:r w:rsidRPr="00B71AF8">
        <w:t xml:space="preserve"> </w:t>
      </w:r>
    </w:p>
    <w:p w14:paraId="6CE3E7B0" w14:textId="77777777" w:rsidR="00CE54B8" w:rsidRPr="00B71AF8" w:rsidRDefault="00CE54B8" w:rsidP="00AC7978">
      <w:pPr>
        <w:pStyle w:val="ListParagraph"/>
        <w:numPr>
          <w:ilvl w:val="2"/>
          <w:numId w:val="25"/>
        </w:numPr>
        <w:spacing w:after="240"/>
        <w:ind w:left="1080" w:hanging="357"/>
      </w:pPr>
      <w:r w:rsidRPr="00B71AF8">
        <w:t xml:space="preserve">Removal </w:t>
      </w:r>
      <w:r w:rsidR="00B710F6" w:rsidRPr="00B71AF8">
        <w:t>of children or reduction of care</w:t>
      </w:r>
      <w:r w:rsidRPr="00B71AF8">
        <w:t xml:space="preserve"> </w:t>
      </w:r>
      <w:r w:rsidR="00B710F6" w:rsidRPr="00B71AF8">
        <w:t>because parents – predominantly women – cannot get access to the mental health supports they need</w:t>
      </w:r>
      <w:r w:rsidR="00DE6EDA" w:rsidRPr="00B71AF8">
        <w:t>.</w:t>
      </w:r>
      <w:r w:rsidR="009C1935" w:rsidRPr="00B71AF8">
        <w:t xml:space="preserve"> </w:t>
      </w:r>
    </w:p>
    <w:p w14:paraId="7E3C3615" w14:textId="77777777" w:rsidR="000011BC" w:rsidRPr="00B71AF8" w:rsidRDefault="00CE54B8" w:rsidP="00AC7978">
      <w:pPr>
        <w:pStyle w:val="ListParagraph"/>
        <w:numPr>
          <w:ilvl w:val="2"/>
          <w:numId w:val="25"/>
        </w:numPr>
        <w:spacing w:after="240"/>
        <w:ind w:left="1080" w:hanging="357"/>
      </w:pPr>
      <w:r w:rsidRPr="00B71AF8">
        <w:t xml:space="preserve">Lack of access to child protection proceedings for people in acute mental health services. </w:t>
      </w:r>
    </w:p>
    <w:p w14:paraId="66F3BA3D" w14:textId="77777777" w:rsidR="00ED6192" w:rsidRPr="00B71AF8" w:rsidRDefault="00ED6192" w:rsidP="00AC7978">
      <w:pPr>
        <w:pStyle w:val="ListParagraph"/>
        <w:numPr>
          <w:ilvl w:val="2"/>
          <w:numId w:val="25"/>
        </w:numPr>
        <w:spacing w:after="240"/>
        <w:ind w:left="1080" w:hanging="357"/>
      </w:pPr>
      <w:r w:rsidRPr="00B71AF8">
        <w:t xml:space="preserve">The lessons from the Office of the Public Advocate’s report </w:t>
      </w:r>
      <w:r w:rsidR="00315E11" w:rsidRPr="00B71AF8">
        <w:t>regarding</w:t>
      </w:r>
      <w:r w:rsidRPr="00B71AF8">
        <w:t xml:space="preserve"> </w:t>
      </w:r>
      <w:r w:rsidR="00315E11" w:rsidRPr="00B71AF8">
        <w:t>disproportionate</w:t>
      </w:r>
      <w:r w:rsidRPr="00B71AF8">
        <w:t xml:space="preserve"> rates of child protection removals for parents with disability</w:t>
      </w:r>
      <w:r w:rsidR="00315E11" w:rsidRPr="00B71AF8">
        <w:t>, including mental health issues</w:t>
      </w:r>
      <w:r w:rsidRPr="00B71AF8">
        <w:t>.</w:t>
      </w:r>
      <w:r w:rsidRPr="00B71AF8">
        <w:rPr>
          <w:rStyle w:val="FootnoteReference"/>
        </w:rPr>
        <w:footnoteReference w:id="17"/>
      </w:r>
      <w:r w:rsidRPr="00B71AF8">
        <w:t xml:space="preserve"> </w:t>
      </w:r>
    </w:p>
    <w:p w14:paraId="2F3CA4AE" w14:textId="77777777" w:rsidR="00B710F6" w:rsidRPr="00B71AF8" w:rsidRDefault="00B710F6" w:rsidP="00AC7978">
      <w:pPr>
        <w:pStyle w:val="ListParagraph"/>
        <w:numPr>
          <w:ilvl w:val="1"/>
          <w:numId w:val="25"/>
        </w:numPr>
        <w:spacing w:after="0"/>
        <w:ind w:left="360" w:hanging="357"/>
      </w:pPr>
      <w:r w:rsidRPr="00B71AF8">
        <w:rPr>
          <w:b/>
        </w:rPr>
        <w:t>Discrimination</w:t>
      </w:r>
      <w:r w:rsidR="00CE6F9C" w:rsidRPr="00B71AF8">
        <w:t>.</w:t>
      </w:r>
      <w:r w:rsidRPr="00B71AF8">
        <w:t xml:space="preserve"> </w:t>
      </w:r>
      <w:r w:rsidR="006E0636" w:rsidRPr="00B71AF8">
        <w:t>The discrimination faced by people</w:t>
      </w:r>
      <w:r w:rsidR="001F4ED6" w:rsidRPr="00B71AF8">
        <w:t xml:space="preserve"> experiencing mental health issues</w:t>
      </w:r>
      <w:r w:rsidR="006E0636" w:rsidRPr="00B71AF8">
        <w:t xml:space="preserve">, </w:t>
      </w:r>
      <w:r w:rsidR="004A6D07" w:rsidRPr="00B71AF8">
        <w:t>including in employment, service provision and education</w:t>
      </w:r>
      <w:r w:rsidR="00F613D8" w:rsidRPr="00B71AF8">
        <w:t>.</w:t>
      </w:r>
      <w:r w:rsidR="004A6D07" w:rsidRPr="00B71AF8">
        <w:rPr>
          <w:rStyle w:val="FootnoteReference"/>
        </w:rPr>
        <w:footnoteReference w:id="18"/>
      </w:r>
    </w:p>
    <w:p w14:paraId="44867DFA" w14:textId="77777777" w:rsidR="00B710F6" w:rsidRPr="00B71AF8" w:rsidRDefault="00B710F6" w:rsidP="005961C4">
      <w:pPr>
        <w:pStyle w:val="ListParagraph"/>
        <w:numPr>
          <w:ilvl w:val="1"/>
          <w:numId w:val="25"/>
        </w:numPr>
        <w:spacing w:after="0"/>
        <w:ind w:left="360"/>
      </w:pPr>
      <w:r w:rsidRPr="00B71AF8">
        <w:rPr>
          <w:b/>
        </w:rPr>
        <w:t>Fines</w:t>
      </w:r>
      <w:r w:rsidR="00CE6F9C" w:rsidRPr="00B71AF8">
        <w:t>.</w:t>
      </w:r>
      <w:r w:rsidRPr="00B71AF8">
        <w:t xml:space="preserve"> </w:t>
      </w:r>
      <w:r w:rsidR="006E0636" w:rsidRPr="00B71AF8">
        <w:t xml:space="preserve">The </w:t>
      </w:r>
      <w:r w:rsidR="00977DA4" w:rsidRPr="00B71AF8">
        <w:t>disproportionate</w:t>
      </w:r>
      <w:r w:rsidR="006E0636" w:rsidRPr="00B71AF8">
        <w:t xml:space="preserve"> impact of </w:t>
      </w:r>
      <w:r w:rsidR="00977DA4" w:rsidRPr="00B71AF8">
        <w:t>Victoria’s fines system</w:t>
      </w:r>
      <w:r w:rsidR="006E0636" w:rsidRPr="00B71AF8">
        <w:t xml:space="preserve"> on people experiencing mental health issues, including where the person’s mental health issue contributed to the </w:t>
      </w:r>
      <w:r w:rsidR="00056F22" w:rsidRPr="00B71AF8">
        <w:t xml:space="preserve">relevant </w:t>
      </w:r>
      <w:r w:rsidR="006E0636" w:rsidRPr="00B71AF8">
        <w:t>conduct (for example, not having a ticket on public transport or parking longer than allowed)</w:t>
      </w:r>
      <w:r w:rsidR="00977DA4" w:rsidRPr="00B71AF8">
        <w:t>.</w:t>
      </w:r>
      <w:r w:rsidR="006E0636" w:rsidRPr="00B71AF8">
        <w:rPr>
          <w:rStyle w:val="FootnoteReference"/>
        </w:rPr>
        <w:footnoteReference w:id="19"/>
      </w:r>
      <w:r w:rsidR="009C1935" w:rsidRPr="00B71AF8">
        <w:t xml:space="preserve"> </w:t>
      </w:r>
    </w:p>
    <w:p w14:paraId="769BC6B2" w14:textId="77777777" w:rsidR="00B710F6" w:rsidRPr="00B71AF8" w:rsidRDefault="00B710F6" w:rsidP="005961C4">
      <w:pPr>
        <w:pStyle w:val="ListParagraph"/>
        <w:numPr>
          <w:ilvl w:val="1"/>
          <w:numId w:val="25"/>
        </w:numPr>
        <w:spacing w:after="0"/>
        <w:ind w:left="360"/>
      </w:pPr>
      <w:r w:rsidRPr="00B71AF8">
        <w:rPr>
          <w:b/>
        </w:rPr>
        <w:t>Housing and tenancy</w:t>
      </w:r>
      <w:r w:rsidR="00CE6F9C" w:rsidRPr="00B71AF8">
        <w:t>.</w:t>
      </w:r>
      <w:r w:rsidRPr="00B71AF8">
        <w:t xml:space="preserve"> </w:t>
      </w:r>
      <w:r w:rsidR="006C6DD1" w:rsidRPr="00B71AF8">
        <w:t>The eviction into homelessness of public and community housing tenants due to</w:t>
      </w:r>
      <w:r w:rsidR="006C6DD1" w:rsidRPr="00B71AF8" w:rsidDel="006C6DD1">
        <w:t xml:space="preserve"> </w:t>
      </w:r>
      <w:r w:rsidRPr="00B71AF8">
        <w:t>conduct directly related to a person’s mental health.</w:t>
      </w:r>
      <w:r w:rsidR="009C1935" w:rsidRPr="00B71AF8">
        <w:t xml:space="preserve">  </w:t>
      </w:r>
    </w:p>
    <w:p w14:paraId="51228390" w14:textId="77777777" w:rsidR="004F22B7" w:rsidRPr="00B71AF8" w:rsidRDefault="004F22B7" w:rsidP="004F22B7">
      <w:pPr>
        <w:pStyle w:val="ListParagraph"/>
        <w:numPr>
          <w:ilvl w:val="1"/>
          <w:numId w:val="25"/>
        </w:numPr>
        <w:spacing w:after="0"/>
        <w:ind w:left="360"/>
      </w:pPr>
      <w:r w:rsidRPr="00B71AF8">
        <w:rPr>
          <w:b/>
        </w:rPr>
        <w:t>Social security</w:t>
      </w:r>
      <w:r w:rsidRPr="00B71AF8">
        <w:t>. The high rate of refusal of disability support pension claims due to difficulties with access to mental health services, particularly in regional Victoria.</w:t>
      </w:r>
    </w:p>
    <w:p w14:paraId="341E108B" w14:textId="77777777" w:rsidR="00F734B1" w:rsidRPr="00B71AF8" w:rsidRDefault="00F734B1" w:rsidP="004F22B7">
      <w:pPr>
        <w:pStyle w:val="ListParagraph"/>
        <w:numPr>
          <w:ilvl w:val="1"/>
          <w:numId w:val="25"/>
        </w:numPr>
        <w:spacing w:after="0"/>
        <w:ind w:left="360"/>
      </w:pPr>
      <w:r w:rsidRPr="00B71AF8">
        <w:rPr>
          <w:b/>
        </w:rPr>
        <w:t>Asylum seekers</w:t>
      </w:r>
      <w:r w:rsidRPr="00B71AF8">
        <w:t>. The risks presented by the lack of adequate access to appropriate mental health services and how this impacts on the ability of asylum seekers to present their claims through the refugee status determination process.</w:t>
      </w:r>
    </w:p>
    <w:p w14:paraId="006D6730" w14:textId="77777777" w:rsidR="009958F1" w:rsidRPr="00B71AF8" w:rsidRDefault="009958F1" w:rsidP="004F22B7">
      <w:pPr>
        <w:pStyle w:val="ListParagraph"/>
        <w:numPr>
          <w:ilvl w:val="1"/>
          <w:numId w:val="25"/>
        </w:numPr>
        <w:spacing w:after="0"/>
        <w:ind w:left="360"/>
      </w:pPr>
      <w:r w:rsidRPr="00B71AF8">
        <w:rPr>
          <w:b/>
        </w:rPr>
        <w:t>Guardianship and administration</w:t>
      </w:r>
      <w:r w:rsidRPr="00B71AF8">
        <w:t xml:space="preserve">. </w:t>
      </w:r>
      <w:r w:rsidR="00461432" w:rsidRPr="00B71AF8">
        <w:t xml:space="preserve">The </w:t>
      </w:r>
      <w:r w:rsidR="00E75C64" w:rsidRPr="00B71AF8">
        <w:t>impact of the guardianship and administration regime on the rights, autonomy and recovery of people experiencing mental health issues.</w:t>
      </w:r>
      <w:r w:rsidR="00595392" w:rsidRPr="00B71AF8">
        <w:rPr>
          <w:rStyle w:val="FootnoteReference"/>
        </w:rPr>
        <w:footnoteReference w:id="20"/>
      </w:r>
    </w:p>
    <w:p w14:paraId="001C42E1" w14:textId="77777777" w:rsidR="00B710F6" w:rsidRPr="00B71AF8" w:rsidRDefault="00B710F6" w:rsidP="005961C4">
      <w:pPr>
        <w:pStyle w:val="ListParagraph"/>
        <w:ind w:left="360"/>
        <w:rPr>
          <w:i/>
        </w:rPr>
      </w:pPr>
    </w:p>
    <w:p w14:paraId="573E6C2F" w14:textId="77777777" w:rsidR="00B710F6" w:rsidRPr="00B71AF8" w:rsidRDefault="00FB3F67" w:rsidP="005961C4">
      <w:r w:rsidRPr="00B71AF8">
        <w:t xml:space="preserve">The experience of mental health issues can contribute to these legal issues arising. In addition, the existence of these legal issues – and the stress they bring with them – can contribute to </w:t>
      </w:r>
      <w:r w:rsidR="00B710F6" w:rsidRPr="00B71AF8">
        <w:t>or exacerbate mental health issues</w:t>
      </w:r>
      <w:r w:rsidRPr="00B71AF8">
        <w:t xml:space="preserve"> for people</w:t>
      </w:r>
      <w:r w:rsidR="00B710F6" w:rsidRPr="00B71AF8">
        <w:t>.</w:t>
      </w:r>
      <w:r w:rsidR="009C1935" w:rsidRPr="00B71AF8">
        <w:t xml:space="preserve"> </w:t>
      </w:r>
      <w:r w:rsidR="00B710F6" w:rsidRPr="00B71AF8">
        <w:t>Each of these issues leads to hardship for individuals and costs for the community</w:t>
      </w:r>
      <w:r w:rsidR="00AA1C16" w:rsidRPr="00B71AF8">
        <w:t>,</w:t>
      </w:r>
      <w:r w:rsidR="00B710F6" w:rsidRPr="00B71AF8">
        <w:t xml:space="preserve"> and the RCMH should contemplate whether these issues could be prevented, minimised or more effectively responded to through access to appropriate, holistic mental health services</w:t>
      </w:r>
      <w:r w:rsidRPr="00B71AF8">
        <w:t xml:space="preserve"> in the community</w:t>
      </w:r>
      <w:r w:rsidR="00B710F6" w:rsidRPr="00B71AF8">
        <w:t>.</w:t>
      </w:r>
    </w:p>
    <w:p w14:paraId="10C92021" w14:textId="77777777" w:rsidR="00DC5321" w:rsidRPr="00B71AF8" w:rsidRDefault="00B710F6" w:rsidP="005961C4">
      <w:r w:rsidRPr="00B71AF8">
        <w:t>The RCMH should also consider the role for early access to legal assistance in preventing these legal issues from escalating, for example, through integrated models of service provision and Health Justice Partnerships.</w:t>
      </w:r>
      <w:r w:rsidR="00F96494" w:rsidRPr="00B71AF8">
        <w:rPr>
          <w:rStyle w:val="FootnoteReference"/>
        </w:rPr>
        <w:footnoteReference w:id="21"/>
      </w:r>
      <w:r w:rsidRPr="00B71AF8">
        <w:t xml:space="preserve"> </w:t>
      </w:r>
    </w:p>
    <w:p w14:paraId="0EE23FEC" w14:textId="77777777" w:rsidR="00DC5321" w:rsidRPr="00B71AF8" w:rsidRDefault="00DC5321">
      <w:pPr>
        <w:spacing w:after="0" w:line="240" w:lineRule="auto"/>
      </w:pPr>
      <w:r w:rsidRPr="00B71AF8">
        <w:br w:type="page"/>
      </w:r>
    </w:p>
    <w:p w14:paraId="18BB017A" w14:textId="77777777" w:rsidR="003E4BC8" w:rsidRPr="00B71AF8" w:rsidRDefault="00B710F6" w:rsidP="00AC7978">
      <w:pPr>
        <w:pStyle w:val="Heading1"/>
        <w:numPr>
          <w:ilvl w:val="0"/>
          <w:numId w:val="16"/>
        </w:numPr>
        <w:ind w:hanging="720"/>
      </w:pPr>
      <w:bookmarkStart w:id="51" w:name="_Toc536642554"/>
      <w:r w:rsidRPr="00B71AF8">
        <w:lastRenderedPageBreak/>
        <w:t>Inpatient services</w:t>
      </w:r>
      <w:r w:rsidR="00384C9B" w:rsidRPr="00B71AF8">
        <w:t xml:space="preserve">: </w:t>
      </w:r>
      <w:r w:rsidR="00A616F5" w:rsidRPr="00B71AF8">
        <w:t>Physical e</w:t>
      </w:r>
      <w:r w:rsidR="00384C9B" w:rsidRPr="00B71AF8">
        <w:t>nvironment, safety and recovery-focus</w:t>
      </w:r>
      <w:bookmarkEnd w:id="51"/>
      <w:r w:rsidR="00384C9B" w:rsidRPr="00B71AF8">
        <w:t xml:space="preserve"> </w:t>
      </w:r>
    </w:p>
    <w:p w14:paraId="59345666" w14:textId="77777777" w:rsidR="00B710F6" w:rsidRPr="00B71AF8" w:rsidRDefault="00B710F6" w:rsidP="005961C4">
      <w:pPr>
        <w:keepNext/>
        <w:keepLines/>
        <w:spacing w:after="240"/>
        <w:rPr>
          <w:b/>
          <w:i/>
        </w:rPr>
      </w:pPr>
      <w:r w:rsidRPr="00B71AF8">
        <w:t>The conditions</w:t>
      </w:r>
      <w:r w:rsidR="00384C9B" w:rsidRPr="00B71AF8">
        <w:t xml:space="preserve">, </w:t>
      </w:r>
      <w:r w:rsidR="0071664D" w:rsidRPr="00B71AF8">
        <w:t xml:space="preserve">physical </w:t>
      </w:r>
      <w:r w:rsidR="00384C9B" w:rsidRPr="00B71AF8">
        <w:t xml:space="preserve">environment, </w:t>
      </w:r>
      <w:r w:rsidR="0071664D" w:rsidRPr="00B71AF8">
        <w:t xml:space="preserve">culture, </w:t>
      </w:r>
      <w:r w:rsidR="00384C9B" w:rsidRPr="00B71AF8">
        <w:t>safety</w:t>
      </w:r>
      <w:r w:rsidRPr="00B71AF8">
        <w:t xml:space="preserve"> and treatment of people who are hospitalised for their diagnosis or experience of a mental health issue or mental distress should be expressly identified as a TOR for the RCMH.</w:t>
      </w:r>
      <w:r w:rsidR="009C1935" w:rsidRPr="00B71AF8">
        <w:t xml:space="preserve"> </w:t>
      </w:r>
    </w:p>
    <w:p w14:paraId="47E35FEB" w14:textId="77777777" w:rsidR="00B710F6" w:rsidRPr="00B71AF8" w:rsidRDefault="00B710F6" w:rsidP="005961C4">
      <w:pPr>
        <w:keepNext/>
        <w:keepLines/>
        <w:spacing w:after="240"/>
      </w:pPr>
      <w:r w:rsidRPr="00B71AF8">
        <w:t xml:space="preserve">In addition to our discussion in part </w:t>
      </w:r>
      <w:r w:rsidR="00014328" w:rsidRPr="00B71AF8">
        <w:fldChar w:fldCharType="begin"/>
      </w:r>
      <w:r w:rsidR="00014328" w:rsidRPr="00B71AF8">
        <w:instrText xml:space="preserve"> PAGEREF _Ref536639846 \h </w:instrText>
      </w:r>
      <w:r w:rsidR="00014328" w:rsidRPr="00B71AF8">
        <w:fldChar w:fldCharType="separate"/>
      </w:r>
      <w:r w:rsidR="004B4765">
        <w:rPr>
          <w:noProof/>
        </w:rPr>
        <w:t>3</w:t>
      </w:r>
      <w:r w:rsidR="00014328" w:rsidRPr="00B71AF8">
        <w:fldChar w:fldCharType="end"/>
      </w:r>
      <w:r w:rsidRPr="00B71AF8">
        <w:t xml:space="preserve"> above regarding </w:t>
      </w:r>
      <w:r w:rsidR="00D93E9C" w:rsidRPr="00B71AF8">
        <w:t xml:space="preserve">compulsory treatment and </w:t>
      </w:r>
      <w:r w:rsidRPr="00B71AF8">
        <w:t xml:space="preserve">the extent to which the principles of choice, recovery and self-determination captured in the Act exist in </w:t>
      </w:r>
      <w:r w:rsidR="00F62158" w:rsidRPr="00B71AF8">
        <w:t>practice</w:t>
      </w:r>
      <w:r w:rsidRPr="00B71AF8">
        <w:t xml:space="preserve">, we recommend that </w:t>
      </w:r>
      <w:r w:rsidR="00D93E9C" w:rsidRPr="00B71AF8">
        <w:t>the RCMH examines</w:t>
      </w:r>
      <w:r w:rsidRPr="00B71AF8">
        <w:t xml:space="preserve">: </w:t>
      </w:r>
    </w:p>
    <w:p w14:paraId="78E3A48B" w14:textId="77777777" w:rsidR="00B710F6" w:rsidRPr="00B71AF8" w:rsidRDefault="00B710F6" w:rsidP="005961C4">
      <w:pPr>
        <w:pStyle w:val="ListParagraph"/>
        <w:numPr>
          <w:ilvl w:val="1"/>
          <w:numId w:val="25"/>
        </w:numPr>
        <w:spacing w:after="0"/>
        <w:ind w:left="360"/>
        <w:rPr>
          <w:b/>
          <w:i/>
        </w:rPr>
      </w:pPr>
      <w:r w:rsidRPr="00B71AF8">
        <w:t>Effective discharge planning (including from</w:t>
      </w:r>
      <w:r w:rsidR="00F62158" w:rsidRPr="00B71AF8">
        <w:t xml:space="preserve"> SECUs</w:t>
      </w:r>
      <w:r w:rsidRPr="00B71AF8">
        <w:t>)</w:t>
      </w:r>
      <w:r w:rsidR="004B5B3E" w:rsidRPr="00B71AF8">
        <w:t>.</w:t>
      </w:r>
    </w:p>
    <w:p w14:paraId="502C5118" w14:textId="77777777" w:rsidR="00B710F6" w:rsidRPr="00B71AF8" w:rsidRDefault="00B710F6" w:rsidP="005961C4">
      <w:pPr>
        <w:pStyle w:val="ListParagraph"/>
        <w:numPr>
          <w:ilvl w:val="1"/>
          <w:numId w:val="25"/>
        </w:numPr>
        <w:spacing w:after="0"/>
        <w:ind w:left="360"/>
      </w:pPr>
      <w:r w:rsidRPr="00B71AF8">
        <w:t xml:space="preserve">Physical environment and culture, including thoughtful design, staffing levels and </w:t>
      </w:r>
      <w:r w:rsidR="00100E20" w:rsidRPr="00B71AF8">
        <w:t xml:space="preserve">other </w:t>
      </w:r>
      <w:r w:rsidRPr="00B71AF8">
        <w:t xml:space="preserve">policies </w:t>
      </w:r>
      <w:r w:rsidR="00100E20" w:rsidRPr="00B71AF8">
        <w:t>that impact on consumer experience</w:t>
      </w:r>
      <w:r w:rsidR="004B5B3E" w:rsidRPr="00B71AF8">
        <w:t>.</w:t>
      </w:r>
      <w:r w:rsidRPr="00B71AF8">
        <w:t xml:space="preserve"> </w:t>
      </w:r>
    </w:p>
    <w:p w14:paraId="4F2FF570" w14:textId="77777777" w:rsidR="00B710F6" w:rsidRPr="00B71AF8" w:rsidRDefault="00B710F6" w:rsidP="005961C4">
      <w:pPr>
        <w:pStyle w:val="ListParagraph"/>
        <w:numPr>
          <w:ilvl w:val="1"/>
          <w:numId w:val="25"/>
        </w:numPr>
        <w:spacing w:after="0"/>
        <w:ind w:left="360"/>
      </w:pPr>
      <w:r w:rsidRPr="00B71AF8">
        <w:t>The operation of SECUs, including the length of involuntary treatment</w:t>
      </w:r>
      <w:r w:rsidR="007B1390" w:rsidRPr="00B71AF8">
        <w:t xml:space="preserve"> </w:t>
      </w:r>
      <w:r w:rsidRPr="00B71AF8">
        <w:t>and the long</w:t>
      </w:r>
      <w:r w:rsidR="007B1390" w:rsidRPr="00B71AF8">
        <w:t>-</w:t>
      </w:r>
      <w:r w:rsidRPr="00B71AF8">
        <w:t>term impact this has on people’s recovery</w:t>
      </w:r>
      <w:r w:rsidR="004B5B3E" w:rsidRPr="00B71AF8">
        <w:t>.</w:t>
      </w:r>
      <w:r w:rsidRPr="00B71AF8">
        <w:t xml:space="preserve"> </w:t>
      </w:r>
    </w:p>
    <w:p w14:paraId="7DE79CDB" w14:textId="77777777" w:rsidR="00B710F6" w:rsidRPr="00B71AF8" w:rsidRDefault="00B710F6" w:rsidP="005961C4">
      <w:pPr>
        <w:pStyle w:val="ListParagraph"/>
        <w:numPr>
          <w:ilvl w:val="1"/>
          <w:numId w:val="25"/>
        </w:numPr>
        <w:spacing w:after="0"/>
        <w:ind w:left="360"/>
      </w:pPr>
      <w:r w:rsidRPr="00B71AF8">
        <w:t xml:space="preserve">Use of violence or unnecessary </w:t>
      </w:r>
      <w:r w:rsidR="004B5B3E" w:rsidRPr="00B71AF8">
        <w:t xml:space="preserve">and disproportionate </w:t>
      </w:r>
      <w:r w:rsidRPr="00B71AF8">
        <w:t>force by staff and security in</w:t>
      </w:r>
      <w:r w:rsidR="00100E20" w:rsidRPr="00B71AF8">
        <w:t xml:space="preserve"> inpatient facilities</w:t>
      </w:r>
      <w:r w:rsidR="004B5B3E" w:rsidRPr="00B71AF8">
        <w:t>.</w:t>
      </w:r>
      <w:r w:rsidRPr="00B71AF8">
        <w:t xml:space="preserve"> </w:t>
      </w:r>
    </w:p>
    <w:p w14:paraId="39796F3A" w14:textId="77777777" w:rsidR="00B710F6" w:rsidRPr="00B71AF8" w:rsidRDefault="00B710F6" w:rsidP="005961C4">
      <w:pPr>
        <w:pStyle w:val="ListParagraph"/>
        <w:numPr>
          <w:ilvl w:val="1"/>
          <w:numId w:val="25"/>
        </w:numPr>
        <w:spacing w:after="0"/>
        <w:ind w:left="360"/>
      </w:pPr>
      <w:r w:rsidRPr="00B71AF8">
        <w:t xml:space="preserve">Treatment and rights of voluntary </w:t>
      </w:r>
      <w:r w:rsidR="004B5B3E" w:rsidRPr="00B71AF8">
        <w:t>consumers.</w:t>
      </w:r>
      <w:r w:rsidRPr="00B71AF8">
        <w:t xml:space="preserve"> </w:t>
      </w:r>
    </w:p>
    <w:p w14:paraId="02ACCCAE" w14:textId="77777777" w:rsidR="00A023EC" w:rsidRPr="00B71AF8" w:rsidRDefault="00A023EC" w:rsidP="005961C4">
      <w:pPr>
        <w:pStyle w:val="ListParagraph"/>
        <w:numPr>
          <w:ilvl w:val="1"/>
          <w:numId w:val="25"/>
        </w:numPr>
        <w:spacing w:after="0"/>
        <w:ind w:left="360"/>
      </w:pPr>
      <w:r w:rsidRPr="00B71AF8">
        <w:t xml:space="preserve">The use and impact of coercive practices. </w:t>
      </w:r>
    </w:p>
    <w:p w14:paraId="3A34E310" w14:textId="77777777" w:rsidR="003714EB" w:rsidRPr="00B71AF8" w:rsidRDefault="00B710F6" w:rsidP="003714EB">
      <w:pPr>
        <w:pStyle w:val="ListParagraph"/>
        <w:numPr>
          <w:ilvl w:val="1"/>
          <w:numId w:val="25"/>
        </w:numPr>
        <w:spacing w:after="0"/>
        <w:ind w:left="360"/>
      </w:pPr>
      <w:r w:rsidRPr="00B71AF8">
        <w:t>The availability – and benefits – of holistic services</w:t>
      </w:r>
      <w:r w:rsidR="0048615F" w:rsidRPr="00B71AF8">
        <w:t xml:space="preserve"> that address trauma and other social issues</w:t>
      </w:r>
      <w:r w:rsidRPr="00B71AF8">
        <w:t>, including psychologists, social workers</w:t>
      </w:r>
      <w:r w:rsidR="00A023EC" w:rsidRPr="00B71AF8">
        <w:t>, peer support workers</w:t>
      </w:r>
      <w:r w:rsidRPr="00B71AF8">
        <w:t xml:space="preserve"> and occupational therapists in </w:t>
      </w:r>
      <w:r w:rsidR="00100E20" w:rsidRPr="00B71AF8">
        <w:t>clinical services</w:t>
      </w:r>
      <w:r w:rsidR="004B5B3E" w:rsidRPr="00B71AF8">
        <w:t>.</w:t>
      </w:r>
      <w:r w:rsidR="009C1935" w:rsidRPr="00B71AF8">
        <w:t xml:space="preserve"> </w:t>
      </w:r>
    </w:p>
    <w:p w14:paraId="19F7AAF8" w14:textId="77777777" w:rsidR="00DC5321" w:rsidRPr="00B71AF8" w:rsidRDefault="00DC5321">
      <w:pPr>
        <w:spacing w:after="0" w:line="240" w:lineRule="auto"/>
      </w:pPr>
      <w:r w:rsidRPr="00B71AF8">
        <w:br w:type="page"/>
      </w:r>
    </w:p>
    <w:p w14:paraId="4D66A184" w14:textId="77777777" w:rsidR="00560212" w:rsidRPr="00B71AF8" w:rsidRDefault="00560212" w:rsidP="00AC7978">
      <w:pPr>
        <w:pStyle w:val="Heading1"/>
        <w:numPr>
          <w:ilvl w:val="0"/>
          <w:numId w:val="16"/>
        </w:numPr>
        <w:ind w:hanging="720"/>
      </w:pPr>
      <w:bookmarkStart w:id="52" w:name="_Toc536642555"/>
      <w:bookmarkStart w:id="53" w:name="_Hlk536618443"/>
      <w:r w:rsidRPr="00B71AF8">
        <w:lastRenderedPageBreak/>
        <w:t>Tailored, appropriate, culturally safe services</w:t>
      </w:r>
      <w:bookmarkEnd w:id="52"/>
    </w:p>
    <w:p w14:paraId="754F3258" w14:textId="77777777" w:rsidR="00560212" w:rsidRPr="00B71AF8" w:rsidRDefault="00560212" w:rsidP="005961C4">
      <w:pPr>
        <w:keepNext/>
        <w:keepLines/>
        <w:spacing w:after="240"/>
      </w:pPr>
      <w:r w:rsidRPr="00B71AF8">
        <w:t>The RCMH should be required to consider the need for tailored, appropriate and culturally safe services for groups within our community.</w:t>
      </w:r>
      <w:r w:rsidR="009C1935" w:rsidRPr="00B71AF8">
        <w:t xml:space="preserve"> </w:t>
      </w:r>
      <w:r w:rsidR="00AA1C16" w:rsidRPr="00B71AF8">
        <w:t xml:space="preserve">Our </w:t>
      </w:r>
      <w:r w:rsidR="0048615F" w:rsidRPr="00B71AF8">
        <w:t xml:space="preserve">system </w:t>
      </w:r>
      <w:r w:rsidR="003F64EA" w:rsidRPr="00B71AF8">
        <w:t>must</w:t>
      </w:r>
      <w:r w:rsidR="0048615F" w:rsidRPr="00B71AF8">
        <w:t xml:space="preserve"> be accessible and responsive to our diverse communities</w:t>
      </w:r>
      <w:r w:rsidR="00AA1C16" w:rsidRPr="00B71AF8">
        <w:t xml:space="preserve"> to support recovery</w:t>
      </w:r>
      <w:r w:rsidR="0048615F" w:rsidRPr="00B71AF8">
        <w:t>.</w:t>
      </w:r>
      <w:r w:rsidR="009C1935" w:rsidRPr="00B71AF8">
        <w:t xml:space="preserve"> </w:t>
      </w:r>
      <w:r w:rsidR="00926FE4" w:rsidRPr="00B71AF8">
        <w:t xml:space="preserve">The TOR should </w:t>
      </w:r>
      <w:r w:rsidRPr="00B71AF8">
        <w:t>include consideration of</w:t>
      </w:r>
      <w:r w:rsidR="00463B71" w:rsidRPr="00B71AF8">
        <w:t xml:space="preserve"> the needs of</w:t>
      </w:r>
      <w:r w:rsidRPr="00B71AF8">
        <w:t>:</w:t>
      </w:r>
      <w:r w:rsidR="009C1935" w:rsidRPr="00B71AF8">
        <w:t xml:space="preserve"> </w:t>
      </w:r>
    </w:p>
    <w:p w14:paraId="7A4B61A9" w14:textId="77777777" w:rsidR="00483CCD" w:rsidRPr="00B71AF8" w:rsidRDefault="00560212" w:rsidP="005961C4">
      <w:pPr>
        <w:pStyle w:val="ListParagraph"/>
        <w:keepNext/>
        <w:keepLines/>
        <w:numPr>
          <w:ilvl w:val="1"/>
          <w:numId w:val="25"/>
        </w:numPr>
        <w:spacing w:after="240"/>
        <w:ind w:left="360"/>
      </w:pPr>
      <w:r w:rsidRPr="00B71AF8">
        <w:rPr>
          <w:b/>
        </w:rPr>
        <w:t>Aboriginal and Torres Strait Islander people</w:t>
      </w:r>
      <w:r w:rsidR="009420DE" w:rsidRPr="00B71AF8">
        <w:t>.</w:t>
      </w:r>
      <w:r w:rsidRPr="00B71AF8">
        <w:t xml:space="preserve"> </w:t>
      </w:r>
    </w:p>
    <w:p w14:paraId="38EE8ECD" w14:textId="77777777" w:rsidR="00483CCD" w:rsidRPr="00B71AF8" w:rsidRDefault="0006627E" w:rsidP="00483CCD">
      <w:pPr>
        <w:pStyle w:val="ListParagraph"/>
        <w:keepNext/>
        <w:keepLines/>
        <w:numPr>
          <w:ilvl w:val="2"/>
          <w:numId w:val="25"/>
        </w:numPr>
        <w:spacing w:after="240"/>
        <w:ind w:left="1080"/>
      </w:pPr>
      <w:r w:rsidRPr="00B71AF8">
        <w:t>The importance of cultural competency to ensure cultural safety, responsiveness and inclusive services</w:t>
      </w:r>
      <w:r w:rsidR="00785F74" w:rsidRPr="00B71AF8">
        <w:t>.</w:t>
      </w:r>
      <w:r w:rsidRPr="00B71AF8">
        <w:t xml:space="preserve"> </w:t>
      </w:r>
    </w:p>
    <w:p w14:paraId="32E9126F" w14:textId="77777777" w:rsidR="00483CCD" w:rsidRPr="00B71AF8" w:rsidRDefault="009420DE" w:rsidP="00AC7978">
      <w:pPr>
        <w:pStyle w:val="ListParagraph"/>
        <w:numPr>
          <w:ilvl w:val="2"/>
          <w:numId w:val="25"/>
        </w:numPr>
        <w:spacing w:after="240"/>
        <w:ind w:left="1080"/>
      </w:pPr>
      <w:r w:rsidRPr="00B71AF8">
        <w:t>An</w:t>
      </w:r>
      <w:r w:rsidR="0006627E" w:rsidRPr="00B71AF8">
        <w:t xml:space="preserve"> understanding of government polic</w:t>
      </w:r>
      <w:r w:rsidR="00483CCD" w:rsidRPr="00B71AF8">
        <w:t>ies</w:t>
      </w:r>
      <w:r w:rsidR="0006627E" w:rsidRPr="00B71AF8">
        <w:t xml:space="preserve"> that have contributed to trauma, such as the over representation of Aboriginal and Torres Strait Islander </w:t>
      </w:r>
      <w:r w:rsidR="00483CCD" w:rsidRPr="00B71AF8">
        <w:t>c</w:t>
      </w:r>
      <w:r w:rsidR="0006627E" w:rsidRPr="00B71AF8">
        <w:t xml:space="preserve">hildren in out of </w:t>
      </w:r>
      <w:r w:rsidR="00483CCD" w:rsidRPr="00B71AF8">
        <w:t xml:space="preserve">home </w:t>
      </w:r>
      <w:r w:rsidR="0006627E" w:rsidRPr="00B71AF8">
        <w:t>care</w:t>
      </w:r>
      <w:r w:rsidR="00785F74" w:rsidRPr="00B71AF8">
        <w:t>.</w:t>
      </w:r>
      <w:r w:rsidR="009C1935" w:rsidRPr="00B71AF8">
        <w:t xml:space="preserve"> </w:t>
      </w:r>
    </w:p>
    <w:p w14:paraId="3274FC80" w14:textId="77777777" w:rsidR="00483CCD" w:rsidRPr="00B71AF8" w:rsidRDefault="0006627E" w:rsidP="00AC7978">
      <w:pPr>
        <w:pStyle w:val="ListParagraph"/>
        <w:numPr>
          <w:ilvl w:val="2"/>
          <w:numId w:val="25"/>
        </w:numPr>
        <w:spacing w:after="240"/>
        <w:ind w:left="1080"/>
      </w:pPr>
      <w:r w:rsidRPr="00B71AF8">
        <w:t xml:space="preserve">The importance </w:t>
      </w:r>
      <w:r w:rsidR="00785F74" w:rsidRPr="00B71AF8">
        <w:t xml:space="preserve">of </w:t>
      </w:r>
      <w:r w:rsidRPr="00B71AF8">
        <w:t>being trauma</w:t>
      </w:r>
      <w:r w:rsidR="00A9190F" w:rsidRPr="00B71AF8">
        <w:t>-</w:t>
      </w:r>
      <w:r w:rsidRPr="00B71AF8">
        <w:t>informed and the value of cultural strengthening for healing</w:t>
      </w:r>
      <w:r w:rsidR="00785F74" w:rsidRPr="00B71AF8">
        <w:t>.</w:t>
      </w:r>
      <w:r w:rsidRPr="00B71AF8">
        <w:t xml:space="preserve"> </w:t>
      </w:r>
    </w:p>
    <w:p w14:paraId="4D077B9D" w14:textId="77777777" w:rsidR="00560212" w:rsidRPr="00B71AF8" w:rsidRDefault="00483CCD" w:rsidP="00AC7978">
      <w:pPr>
        <w:pStyle w:val="ListParagraph"/>
        <w:numPr>
          <w:ilvl w:val="2"/>
          <w:numId w:val="25"/>
        </w:numPr>
        <w:spacing w:after="240"/>
        <w:ind w:left="1080"/>
      </w:pPr>
      <w:r w:rsidRPr="00B71AF8">
        <w:t xml:space="preserve">The importance of </w:t>
      </w:r>
      <w:r w:rsidR="0006627E" w:rsidRPr="00B71AF8">
        <w:t xml:space="preserve">Aboriginal self-determination and </w:t>
      </w:r>
      <w:r w:rsidR="00AA1C16" w:rsidRPr="00B71AF8">
        <w:t xml:space="preserve">of </w:t>
      </w:r>
      <w:r w:rsidR="0006627E" w:rsidRPr="00B71AF8">
        <w:t>hav</w:t>
      </w:r>
      <w:r w:rsidRPr="00B71AF8">
        <w:t>ing</w:t>
      </w:r>
      <w:r w:rsidR="0006627E" w:rsidRPr="00B71AF8">
        <w:t xml:space="preserve"> community inform the </w:t>
      </w:r>
      <w:r w:rsidR="009420DE" w:rsidRPr="00B71AF8">
        <w:t>RCMH</w:t>
      </w:r>
      <w:r w:rsidR="0006627E" w:rsidRPr="00B71AF8">
        <w:t xml:space="preserve"> </w:t>
      </w:r>
      <w:r w:rsidR="009420DE" w:rsidRPr="00B71AF8">
        <w:t>of their</w:t>
      </w:r>
      <w:r w:rsidR="0006627E" w:rsidRPr="00B71AF8">
        <w:t xml:space="preserve"> needs.</w:t>
      </w:r>
      <w:r w:rsidRPr="00B71AF8">
        <w:t xml:space="preserve"> </w:t>
      </w:r>
    </w:p>
    <w:p w14:paraId="331E09F5" w14:textId="77777777" w:rsidR="00560212" w:rsidRPr="00B71AF8" w:rsidRDefault="00560212" w:rsidP="00AC7978">
      <w:pPr>
        <w:pStyle w:val="ListParagraph"/>
        <w:numPr>
          <w:ilvl w:val="1"/>
          <w:numId w:val="25"/>
        </w:numPr>
        <w:spacing w:after="240"/>
        <w:ind w:left="360"/>
      </w:pPr>
      <w:r w:rsidRPr="00B71AF8">
        <w:rPr>
          <w:b/>
        </w:rPr>
        <w:t>CALD communities</w:t>
      </w:r>
      <w:r w:rsidR="00463B71" w:rsidRPr="00B71AF8">
        <w:t>.</w:t>
      </w:r>
      <w:r w:rsidRPr="00B71AF8">
        <w:t xml:space="preserve"> </w:t>
      </w:r>
      <w:r w:rsidR="00463B71" w:rsidRPr="00B71AF8">
        <w:t>T</w:t>
      </w:r>
      <w:r w:rsidRPr="00B71AF8">
        <w:t xml:space="preserve">he availability of, and need for, culturally appropriate services, including interpreters, bicultural workers and approaches that engage with community. </w:t>
      </w:r>
    </w:p>
    <w:p w14:paraId="2270C044" w14:textId="77777777" w:rsidR="00463B71" w:rsidRPr="00B71AF8" w:rsidRDefault="00463B71" w:rsidP="00AC7978">
      <w:pPr>
        <w:pStyle w:val="ListParagraph"/>
        <w:numPr>
          <w:ilvl w:val="1"/>
          <w:numId w:val="25"/>
        </w:numPr>
        <w:spacing w:after="240"/>
        <w:ind w:left="360"/>
      </w:pPr>
      <w:r w:rsidRPr="00B71AF8">
        <w:rPr>
          <w:b/>
        </w:rPr>
        <w:t>LGBTIQ people</w:t>
      </w:r>
      <w:r w:rsidRPr="00B71AF8">
        <w:t xml:space="preserve">. </w:t>
      </w:r>
      <w:r w:rsidR="00100398" w:rsidRPr="00B71AF8">
        <w:t>The availability of</w:t>
      </w:r>
      <w:r w:rsidR="002016A2" w:rsidRPr="00B71AF8">
        <w:t xml:space="preserve"> inclusive and appropriate services for lesbian, gay, bisexual, transgender</w:t>
      </w:r>
      <w:r w:rsidR="00B06205" w:rsidRPr="00B71AF8">
        <w:t>, gender diverse</w:t>
      </w:r>
      <w:r w:rsidR="002016A2" w:rsidRPr="00B71AF8">
        <w:t xml:space="preserve"> and interse</w:t>
      </w:r>
      <w:r w:rsidR="000D4F43" w:rsidRPr="00B71AF8">
        <w:t>x</w:t>
      </w:r>
      <w:r w:rsidR="002016A2" w:rsidRPr="00B71AF8">
        <w:t xml:space="preserve"> members of the community, and the impact of discriminatory service provision on </w:t>
      </w:r>
      <w:r w:rsidR="00B06205" w:rsidRPr="00B71AF8">
        <w:t xml:space="preserve">these </w:t>
      </w:r>
      <w:r w:rsidR="002016A2" w:rsidRPr="00B71AF8">
        <w:t>group</w:t>
      </w:r>
      <w:r w:rsidR="00B06205" w:rsidRPr="00B71AF8">
        <w:t>s</w:t>
      </w:r>
      <w:r w:rsidR="002016A2" w:rsidRPr="00B71AF8">
        <w:t xml:space="preserve">. </w:t>
      </w:r>
    </w:p>
    <w:p w14:paraId="5A8CB663" w14:textId="77777777" w:rsidR="00463B71" w:rsidRPr="00B71AF8" w:rsidRDefault="00463B71" w:rsidP="00AC7978">
      <w:pPr>
        <w:pStyle w:val="ListParagraph"/>
        <w:numPr>
          <w:ilvl w:val="1"/>
          <w:numId w:val="25"/>
        </w:numPr>
        <w:spacing w:after="240"/>
        <w:ind w:left="360"/>
      </w:pPr>
      <w:r w:rsidRPr="00B71AF8">
        <w:rPr>
          <w:b/>
        </w:rPr>
        <w:t>Older Victorians</w:t>
      </w:r>
      <w:r w:rsidRPr="00B71AF8">
        <w:t>.</w:t>
      </w:r>
      <w:r w:rsidRPr="00B71AF8">
        <w:rPr>
          <w:i/>
        </w:rPr>
        <w:t xml:space="preserve"> </w:t>
      </w:r>
      <w:r w:rsidRPr="00B71AF8">
        <w:t xml:space="preserve">The current availability of, and projected need for, mental health services for older Victorians </w:t>
      </w:r>
      <w:r w:rsidR="00F46A4A" w:rsidRPr="00B71AF8">
        <w:t>who experience mental health issues and neurological diseases. Also, c</w:t>
      </w:r>
      <w:r w:rsidRPr="00B71AF8">
        <w:t>onditions in aged care psychiatric services (including capacity</w:t>
      </w:r>
      <w:r w:rsidR="00F46A4A" w:rsidRPr="00B71AF8">
        <w:t>, use of coercion and rights-based frameworks</w:t>
      </w:r>
      <w:r w:rsidRPr="00B71AF8">
        <w:t>), particularly in light of Victoria’s ageing population.</w:t>
      </w:r>
      <w:r w:rsidR="00926FE4" w:rsidRPr="00B71AF8">
        <w:rPr>
          <w:rStyle w:val="FootnoteReference"/>
        </w:rPr>
        <w:footnoteReference w:id="22"/>
      </w:r>
      <w:r w:rsidRPr="00B71AF8">
        <w:t xml:space="preserve"> </w:t>
      </w:r>
    </w:p>
    <w:p w14:paraId="633DCAF4" w14:textId="77777777" w:rsidR="00A9190F" w:rsidRPr="00B71AF8" w:rsidRDefault="00A9190F" w:rsidP="00A9190F">
      <w:pPr>
        <w:pStyle w:val="ListParagraph"/>
        <w:numPr>
          <w:ilvl w:val="1"/>
          <w:numId w:val="25"/>
        </w:numPr>
        <w:spacing w:after="240"/>
        <w:ind w:left="360"/>
      </w:pPr>
      <w:r w:rsidRPr="00B71AF8">
        <w:rPr>
          <w:b/>
        </w:rPr>
        <w:t>Women</w:t>
      </w:r>
      <w:r w:rsidRPr="00B71AF8">
        <w:t>.</w:t>
      </w:r>
      <w:r w:rsidRPr="00B71AF8">
        <w:rPr>
          <w:i/>
        </w:rPr>
        <w:t xml:space="preserve"> </w:t>
      </w:r>
      <w:r w:rsidRPr="00B71AF8">
        <w:t>The need for female-only treatment spaces, consistent with trauma</w:t>
      </w:r>
      <w:r w:rsidR="008214D6" w:rsidRPr="00B71AF8">
        <w:t>-</w:t>
      </w:r>
      <w:r w:rsidRPr="00B71AF8">
        <w:t>informed practice (noting the Mental Health Complaints Commissioner’s recommendation of gender-specific wards).</w:t>
      </w:r>
      <w:r w:rsidRPr="00B71AF8">
        <w:rPr>
          <w:rStyle w:val="FootnoteReference"/>
        </w:rPr>
        <w:footnoteReference w:id="23"/>
      </w:r>
    </w:p>
    <w:p w14:paraId="549FEE6C" w14:textId="77777777" w:rsidR="00926FE4" w:rsidRPr="00B71AF8" w:rsidRDefault="00463B71" w:rsidP="00AC7978">
      <w:pPr>
        <w:pStyle w:val="ListParagraph"/>
        <w:numPr>
          <w:ilvl w:val="1"/>
          <w:numId w:val="25"/>
        </w:numPr>
        <w:spacing w:after="240"/>
        <w:ind w:left="360"/>
      </w:pPr>
      <w:r w:rsidRPr="00B71AF8">
        <w:rPr>
          <w:b/>
        </w:rPr>
        <w:t>Young people</w:t>
      </w:r>
      <w:r w:rsidRPr="00B71AF8">
        <w:t>.</w:t>
      </w:r>
      <w:r w:rsidRPr="00B71AF8">
        <w:rPr>
          <w:i/>
        </w:rPr>
        <w:t xml:space="preserve"> </w:t>
      </w:r>
      <w:r w:rsidRPr="00B71AF8">
        <w:t xml:space="preserve">In addition to access to forensic mental health services discussed above in part </w:t>
      </w:r>
      <w:r w:rsidR="0071664D" w:rsidRPr="00B71AF8">
        <w:fldChar w:fldCharType="begin"/>
      </w:r>
      <w:r w:rsidR="0071664D" w:rsidRPr="00B71AF8">
        <w:instrText xml:space="preserve"> REF _Ref536635524 \r \h </w:instrText>
      </w:r>
      <w:r w:rsidR="00B71AF8">
        <w:instrText xml:space="preserve"> \* MERGEFORMAT </w:instrText>
      </w:r>
      <w:r w:rsidR="0071664D" w:rsidRPr="00B71AF8">
        <w:fldChar w:fldCharType="separate"/>
      </w:r>
      <w:r w:rsidR="004B4765">
        <w:t>4</w:t>
      </w:r>
      <w:r w:rsidR="0071664D" w:rsidRPr="00B71AF8">
        <w:fldChar w:fldCharType="end"/>
      </w:r>
      <w:r w:rsidR="00926FE4" w:rsidRPr="00B71AF8">
        <w:t>:</w:t>
      </w:r>
      <w:r w:rsidRPr="00B71AF8">
        <w:t xml:space="preserve"> </w:t>
      </w:r>
    </w:p>
    <w:p w14:paraId="168A81C6" w14:textId="77777777" w:rsidR="00C81007" w:rsidRPr="00B71AF8" w:rsidRDefault="00926FE4" w:rsidP="00AC7978">
      <w:pPr>
        <w:pStyle w:val="ListParagraph"/>
        <w:numPr>
          <w:ilvl w:val="2"/>
          <w:numId w:val="25"/>
        </w:numPr>
        <w:spacing w:after="240"/>
        <w:ind w:left="1080"/>
      </w:pPr>
      <w:r w:rsidRPr="00B71AF8">
        <w:t>C</w:t>
      </w:r>
      <w:r w:rsidR="00463B71" w:rsidRPr="00B71AF8">
        <w:t xml:space="preserve">ontinuity of access </w:t>
      </w:r>
      <w:r w:rsidR="00454F91" w:rsidRPr="00B71AF8">
        <w:t xml:space="preserve">to services </w:t>
      </w:r>
      <w:r w:rsidR="00463B71" w:rsidRPr="00B71AF8">
        <w:t>for young people who turn 21</w:t>
      </w:r>
      <w:r w:rsidR="00C81007" w:rsidRPr="00B71AF8">
        <w:t>,</w:t>
      </w:r>
      <w:r w:rsidR="00463B71" w:rsidRPr="00B71AF8">
        <w:t xml:space="preserve"> the impact of being cut off from youth services without adult services or case management planned</w:t>
      </w:r>
      <w:r w:rsidR="00C81007" w:rsidRPr="00B71AF8">
        <w:t xml:space="preserve">, and the need for more flexible transition processes (recognising the differential funding levels for adult </w:t>
      </w:r>
      <w:r w:rsidR="00B72815" w:rsidRPr="00B71AF8">
        <w:t>and</w:t>
      </w:r>
      <w:r w:rsidR="00C81007" w:rsidRPr="00B71AF8">
        <w:t xml:space="preserve"> youth services, and the experience of service drop-off when adulthood comes)</w:t>
      </w:r>
      <w:r w:rsidR="00B72815" w:rsidRPr="00B71AF8">
        <w:t>.</w:t>
      </w:r>
    </w:p>
    <w:p w14:paraId="5AA148EB" w14:textId="77777777" w:rsidR="00463B71" w:rsidRPr="00B71AF8" w:rsidRDefault="00C81007" w:rsidP="00AC7978">
      <w:pPr>
        <w:pStyle w:val="ListParagraph"/>
        <w:numPr>
          <w:ilvl w:val="2"/>
          <w:numId w:val="25"/>
        </w:numPr>
        <w:spacing w:after="240"/>
        <w:ind w:left="1080"/>
      </w:pPr>
      <w:r w:rsidRPr="00B71AF8">
        <w:t xml:space="preserve">Access to </w:t>
      </w:r>
      <w:r w:rsidR="00926FE4" w:rsidRPr="00B71AF8">
        <w:t>mental health services</w:t>
      </w:r>
      <w:r w:rsidRPr="00B71AF8">
        <w:t xml:space="preserve"> for young people in state care</w:t>
      </w:r>
      <w:r w:rsidR="00926FE4" w:rsidRPr="00B71AF8">
        <w:t xml:space="preserve"> to prevent homelessness and engagement with the youth justice</w:t>
      </w:r>
      <w:r w:rsidR="00CF311E" w:rsidRPr="00B71AF8">
        <w:t>,</w:t>
      </w:r>
      <w:r w:rsidR="00B72815" w:rsidRPr="00B71AF8">
        <w:t xml:space="preserve"> </w:t>
      </w:r>
      <w:r w:rsidR="00926FE4" w:rsidRPr="00B71AF8">
        <w:t>and later adult criminal</w:t>
      </w:r>
      <w:r w:rsidRPr="00B71AF8">
        <w:t xml:space="preserve"> justice,</w:t>
      </w:r>
      <w:r w:rsidR="00926FE4" w:rsidRPr="00B71AF8">
        <w:t xml:space="preserve"> system</w:t>
      </w:r>
      <w:r w:rsidRPr="00B71AF8">
        <w:t>s.</w:t>
      </w:r>
    </w:p>
    <w:p w14:paraId="78773DDA" w14:textId="77777777" w:rsidR="001B5491" w:rsidRPr="00B71AF8" w:rsidRDefault="001B5491" w:rsidP="00AC7978">
      <w:pPr>
        <w:spacing w:after="240"/>
      </w:pPr>
      <w:r w:rsidRPr="00B71AF8">
        <w:t xml:space="preserve">The RCMH’s </w:t>
      </w:r>
      <w:r w:rsidR="006C19D6" w:rsidRPr="00B71AF8">
        <w:t>consideration of the service needs of these priority groups should be informed by</w:t>
      </w:r>
      <w:r w:rsidRPr="00B71AF8">
        <w:t xml:space="preserve"> </w:t>
      </w:r>
      <w:r w:rsidR="00CF311E" w:rsidRPr="00B71AF8">
        <w:t>engagement</w:t>
      </w:r>
      <w:r w:rsidRPr="00B71AF8">
        <w:t xml:space="preserve"> with </w:t>
      </w:r>
      <w:r w:rsidR="006C19D6" w:rsidRPr="00B71AF8">
        <w:t xml:space="preserve">consumers who are members of these communities. </w:t>
      </w:r>
    </w:p>
    <w:bookmarkEnd w:id="53"/>
    <w:p w14:paraId="118CD646" w14:textId="77777777" w:rsidR="00DC5321" w:rsidRPr="00B71AF8" w:rsidRDefault="00DC5321">
      <w:pPr>
        <w:spacing w:after="0" w:line="240" w:lineRule="auto"/>
      </w:pPr>
      <w:r w:rsidRPr="00B71AF8">
        <w:br w:type="page"/>
      </w:r>
    </w:p>
    <w:p w14:paraId="6304FB7E" w14:textId="77777777" w:rsidR="00680887" w:rsidRPr="00B71AF8" w:rsidRDefault="00680887" w:rsidP="00AC7978">
      <w:pPr>
        <w:pStyle w:val="Heading1"/>
        <w:numPr>
          <w:ilvl w:val="0"/>
          <w:numId w:val="16"/>
        </w:numPr>
        <w:ind w:hanging="720"/>
      </w:pPr>
      <w:bookmarkStart w:id="54" w:name="_Toc536642556"/>
      <w:r w:rsidRPr="00B71AF8">
        <w:t>Regional issues and inconsistencies across settings</w:t>
      </w:r>
      <w:bookmarkEnd w:id="54"/>
    </w:p>
    <w:p w14:paraId="5130F63A" w14:textId="77777777" w:rsidR="00680887" w:rsidRPr="00B71AF8" w:rsidRDefault="00680887" w:rsidP="00AC7978">
      <w:pPr>
        <w:pStyle w:val="ListParagraph"/>
        <w:spacing w:after="240"/>
        <w:ind w:left="0"/>
      </w:pPr>
      <w:r w:rsidRPr="00B71AF8">
        <w:t xml:space="preserve">The RCMH should consider the way in which a person’s postcode affects the treatment and services available to them. This should include: </w:t>
      </w:r>
    </w:p>
    <w:p w14:paraId="5E62E6A9" w14:textId="77777777" w:rsidR="00680887" w:rsidRPr="00B71AF8" w:rsidRDefault="00680887" w:rsidP="00AC7978">
      <w:pPr>
        <w:pStyle w:val="ListParagraph"/>
        <w:spacing w:after="240"/>
        <w:ind w:left="0"/>
      </w:pPr>
    </w:p>
    <w:p w14:paraId="1337C833" w14:textId="77777777" w:rsidR="00680887" w:rsidRPr="00B71AF8" w:rsidRDefault="00680887" w:rsidP="00AC7978">
      <w:pPr>
        <w:pStyle w:val="ListParagraph"/>
        <w:numPr>
          <w:ilvl w:val="1"/>
          <w:numId w:val="25"/>
        </w:numPr>
        <w:spacing w:after="240"/>
        <w:ind w:left="360"/>
      </w:pPr>
      <w:r w:rsidRPr="00B71AF8">
        <w:t>Limited access to mental health services in regional areas and the impact this can have, including escalation of mental health issues and associated conduct (</w:t>
      </w:r>
      <w:r w:rsidR="00D61EF3" w:rsidRPr="00B71AF8">
        <w:t>for example,</w:t>
      </w:r>
      <w:r w:rsidRPr="00B71AF8">
        <w:t xml:space="preserve"> offending and family violence), and the impact on people’s recovery (</w:t>
      </w:r>
      <w:r w:rsidR="00D61EF3" w:rsidRPr="00B71AF8">
        <w:t>for example,</w:t>
      </w:r>
      <w:r w:rsidRPr="00B71AF8">
        <w:t xml:space="preserve"> for people in SECUs, this can mean isolation from family and supports and inability to get leave as a result)</w:t>
      </w:r>
      <w:r w:rsidR="00D61EF3" w:rsidRPr="00B71AF8">
        <w:t>.</w:t>
      </w:r>
      <w:r w:rsidR="009C1935" w:rsidRPr="00B71AF8">
        <w:t xml:space="preserve"> </w:t>
      </w:r>
    </w:p>
    <w:p w14:paraId="5E080818" w14:textId="77777777" w:rsidR="00C76198" w:rsidRPr="00B71AF8" w:rsidRDefault="00C76198" w:rsidP="00AC7978">
      <w:pPr>
        <w:pStyle w:val="ListParagraph"/>
        <w:numPr>
          <w:ilvl w:val="1"/>
          <w:numId w:val="25"/>
        </w:numPr>
        <w:spacing w:after="240"/>
        <w:ind w:left="360"/>
      </w:pPr>
      <w:r w:rsidRPr="00B71AF8">
        <w:t xml:space="preserve">Limited access to therapeutic courts and differential access to court support services across the State (see also part </w:t>
      </w:r>
      <w:r w:rsidR="0071664D" w:rsidRPr="00B71AF8">
        <w:fldChar w:fldCharType="begin"/>
      </w:r>
      <w:r w:rsidR="0071664D" w:rsidRPr="00B71AF8">
        <w:instrText xml:space="preserve"> REF _Ref536635524 \r \h </w:instrText>
      </w:r>
      <w:r w:rsidR="00B71AF8">
        <w:instrText xml:space="preserve"> \* MERGEFORMAT </w:instrText>
      </w:r>
      <w:r w:rsidR="0071664D" w:rsidRPr="00B71AF8">
        <w:fldChar w:fldCharType="separate"/>
      </w:r>
      <w:r w:rsidR="004B4765">
        <w:t>4</w:t>
      </w:r>
      <w:r w:rsidR="0071664D" w:rsidRPr="00B71AF8">
        <w:fldChar w:fldCharType="end"/>
      </w:r>
      <w:r w:rsidRPr="00B71AF8">
        <w:t xml:space="preserve"> above).</w:t>
      </w:r>
      <w:r w:rsidR="009C1935" w:rsidRPr="00B71AF8">
        <w:t xml:space="preserve"> </w:t>
      </w:r>
    </w:p>
    <w:p w14:paraId="752B6A11" w14:textId="77777777" w:rsidR="00680887" w:rsidRPr="00B71AF8" w:rsidRDefault="00680887" w:rsidP="00AC7978">
      <w:pPr>
        <w:pStyle w:val="ListParagraph"/>
        <w:numPr>
          <w:ilvl w:val="1"/>
          <w:numId w:val="25"/>
        </w:numPr>
        <w:spacing w:after="240"/>
        <w:ind w:left="360" w:hanging="357"/>
      </w:pPr>
      <w:r w:rsidRPr="00B71AF8">
        <w:t>Differences across sites, including the practice of health professionals and the physical environment</w:t>
      </w:r>
      <w:r w:rsidR="00D61EF3" w:rsidRPr="00B71AF8">
        <w:t xml:space="preserve">. </w:t>
      </w:r>
    </w:p>
    <w:p w14:paraId="1D90F6DA" w14:textId="77777777" w:rsidR="00680887" w:rsidRPr="00B71AF8" w:rsidRDefault="00680887" w:rsidP="00AC7978">
      <w:pPr>
        <w:pStyle w:val="ListParagraph"/>
        <w:numPr>
          <w:ilvl w:val="1"/>
          <w:numId w:val="25"/>
        </w:numPr>
        <w:spacing w:after="240"/>
        <w:ind w:left="360" w:hanging="357"/>
      </w:pPr>
      <w:r w:rsidRPr="00B71AF8">
        <w:t xml:space="preserve">The governance structure </w:t>
      </w:r>
      <w:r w:rsidR="00773088" w:rsidRPr="00B71AF8">
        <w:t xml:space="preserve">needed </w:t>
      </w:r>
      <w:r w:rsidR="00811359" w:rsidRPr="00B71AF8">
        <w:t xml:space="preserve">to ensure </w:t>
      </w:r>
      <w:r w:rsidRPr="00B71AF8">
        <w:t>consistency of practice</w:t>
      </w:r>
      <w:r w:rsidR="00A819C6" w:rsidRPr="00B71AF8">
        <w:t xml:space="preserve"> and consumer experience</w:t>
      </w:r>
      <w:r w:rsidRPr="00B71AF8">
        <w:t xml:space="preserve"> across regions</w:t>
      </w:r>
      <w:r w:rsidR="00811359" w:rsidRPr="00B71AF8">
        <w:t xml:space="preserve"> and services</w:t>
      </w:r>
      <w:r w:rsidR="00D61EF3" w:rsidRPr="00B71AF8">
        <w:t>.</w:t>
      </w:r>
      <w:r w:rsidRPr="00B71AF8">
        <w:t xml:space="preserve"> </w:t>
      </w:r>
    </w:p>
    <w:p w14:paraId="5D5AD998" w14:textId="77777777" w:rsidR="00A023EC" w:rsidRPr="00B71AF8" w:rsidRDefault="00A023EC" w:rsidP="00AC7978">
      <w:pPr>
        <w:pStyle w:val="ListParagraph"/>
        <w:numPr>
          <w:ilvl w:val="1"/>
          <w:numId w:val="25"/>
        </w:numPr>
        <w:spacing w:after="240"/>
        <w:ind w:left="360" w:hanging="357"/>
      </w:pPr>
      <w:r w:rsidRPr="00B71AF8">
        <w:t>Zoning</w:t>
      </w:r>
      <w:r w:rsidR="00377A41" w:rsidRPr="00B71AF8">
        <w:t xml:space="preserve"> of public mental health services</w:t>
      </w:r>
      <w:r w:rsidRPr="00B71AF8">
        <w:t xml:space="preserve">, including </w:t>
      </w:r>
      <w:r w:rsidR="00377A41" w:rsidRPr="00B71AF8">
        <w:t>lack of service choice</w:t>
      </w:r>
      <w:r w:rsidRPr="00B71AF8">
        <w:t xml:space="preserve">. </w:t>
      </w:r>
    </w:p>
    <w:p w14:paraId="015A723E" w14:textId="77777777" w:rsidR="00680887" w:rsidRPr="00B71AF8" w:rsidRDefault="00680887" w:rsidP="00AC7978">
      <w:pPr>
        <w:pStyle w:val="ListParagraph"/>
        <w:numPr>
          <w:ilvl w:val="1"/>
          <w:numId w:val="25"/>
        </w:numPr>
        <w:spacing w:after="240"/>
        <w:ind w:left="360" w:hanging="357"/>
      </w:pPr>
      <w:r w:rsidRPr="00B71AF8">
        <w:t>Challenges of mental health assessments and decisions by the Mental Health Tribunal made remotely via video-link</w:t>
      </w:r>
      <w:r w:rsidR="00D61EF3" w:rsidRPr="00B71AF8">
        <w:t>.</w:t>
      </w:r>
    </w:p>
    <w:p w14:paraId="05DD55B8" w14:textId="77777777" w:rsidR="00680887" w:rsidRPr="00B71AF8" w:rsidRDefault="00680887" w:rsidP="00AC7978">
      <w:pPr>
        <w:pStyle w:val="ListParagraph"/>
        <w:numPr>
          <w:ilvl w:val="1"/>
          <w:numId w:val="25"/>
        </w:numPr>
        <w:spacing w:after="240"/>
        <w:ind w:left="360" w:hanging="357"/>
      </w:pPr>
      <w:r w:rsidRPr="00B71AF8">
        <w:t>Access to specialists to address physical health needs of consumers experiencing mental health issues who are in inpatient units</w:t>
      </w:r>
      <w:r w:rsidR="0048615F" w:rsidRPr="00B71AF8">
        <w:t xml:space="preserve"> and the community, given the higher morbidity and mortality rates for people with mental health issues who are being treated with medications</w:t>
      </w:r>
      <w:r w:rsidRPr="00B71AF8">
        <w:t xml:space="preserve">. </w:t>
      </w:r>
    </w:p>
    <w:p w14:paraId="172E393B" w14:textId="77777777" w:rsidR="00DC5321" w:rsidRPr="00B71AF8" w:rsidRDefault="00DC5321">
      <w:pPr>
        <w:spacing w:after="0" w:line="240" w:lineRule="auto"/>
        <w:rPr>
          <w:rFonts w:cs="Arial"/>
          <w:b/>
          <w:bCs/>
          <w:color w:val="971A4B"/>
          <w:kern w:val="32"/>
          <w:sz w:val="32"/>
          <w:szCs w:val="32"/>
          <w:lang w:eastAsia="en-AU"/>
        </w:rPr>
      </w:pPr>
      <w:bookmarkStart w:id="55" w:name="_Ref536185920"/>
      <w:r w:rsidRPr="00B71AF8">
        <w:br w:type="page"/>
      </w:r>
    </w:p>
    <w:p w14:paraId="6356530C" w14:textId="77777777" w:rsidR="00680887" w:rsidRPr="00B71AF8" w:rsidRDefault="00A819C6" w:rsidP="00AC7978">
      <w:pPr>
        <w:pStyle w:val="Heading1"/>
        <w:numPr>
          <w:ilvl w:val="0"/>
          <w:numId w:val="16"/>
        </w:numPr>
        <w:ind w:hanging="720"/>
      </w:pPr>
      <w:bookmarkStart w:id="56" w:name="_Toc536642557"/>
      <w:r w:rsidRPr="00B71AF8">
        <w:t>Governance, accountability</w:t>
      </w:r>
      <w:r w:rsidR="00EB1922" w:rsidRPr="00B71AF8">
        <w:t>, data</w:t>
      </w:r>
      <w:r w:rsidRPr="00B71AF8">
        <w:t xml:space="preserve"> and </w:t>
      </w:r>
      <w:r w:rsidR="00680887" w:rsidRPr="00B71AF8">
        <w:t>transparency</w:t>
      </w:r>
      <w:bookmarkEnd w:id="56"/>
      <w:r w:rsidR="00680887" w:rsidRPr="00B71AF8">
        <w:t xml:space="preserve"> </w:t>
      </w:r>
      <w:bookmarkEnd w:id="55"/>
    </w:p>
    <w:p w14:paraId="01BCE04A" w14:textId="77777777" w:rsidR="008D54D7" w:rsidRPr="00B71AF8" w:rsidRDefault="008D54D7" w:rsidP="00AC7978">
      <w:r w:rsidRPr="00B71AF8">
        <w:t xml:space="preserve">The RCMH should consider the effectiveness of the current governance, oversight and accountability mechanisms in the mental health system. It should also consider the lack of publicly available data regarding the mental health system, including data on how many people are subject to compulsory treatment, geographical location, age, gender, cultural background, type and length of order, and complaints. </w:t>
      </w:r>
    </w:p>
    <w:p w14:paraId="45F53646" w14:textId="77777777" w:rsidR="008D54D7" w:rsidRPr="00B71AF8" w:rsidRDefault="008D54D7" w:rsidP="00AC7978">
      <w:r w:rsidRPr="00B71AF8">
        <w:t>Data is critical to service design, evaluation and consumer choice, and essential to ensure accountability.</w:t>
      </w:r>
    </w:p>
    <w:p w14:paraId="6B2FE888" w14:textId="77777777" w:rsidR="00680887" w:rsidRPr="00B71AF8" w:rsidRDefault="00680887" w:rsidP="00AC7978">
      <w:r w:rsidRPr="00B71AF8">
        <w:t xml:space="preserve">In particular, the RCMH should consider: </w:t>
      </w:r>
    </w:p>
    <w:p w14:paraId="27F896BA" w14:textId="77777777" w:rsidR="00046B46" w:rsidRPr="00B71AF8" w:rsidRDefault="00680887" w:rsidP="00CA1E53">
      <w:pPr>
        <w:pStyle w:val="ListParagraph"/>
        <w:keepNext/>
        <w:keepLines/>
        <w:numPr>
          <w:ilvl w:val="1"/>
          <w:numId w:val="25"/>
        </w:numPr>
        <w:spacing w:after="240"/>
        <w:ind w:left="360"/>
      </w:pPr>
      <w:r w:rsidRPr="00B71AF8">
        <w:t>The role for publicly available data in helping improve quality and consistency of service provision, as well as informing consumer choice</w:t>
      </w:r>
      <w:r w:rsidR="00AA1E15" w:rsidRPr="00B71AF8">
        <w:t>.</w:t>
      </w:r>
      <w:r w:rsidR="00AA1E15" w:rsidRPr="00B71AF8">
        <w:rPr>
          <w:rStyle w:val="FootnoteReference"/>
        </w:rPr>
        <w:footnoteReference w:id="24"/>
      </w:r>
    </w:p>
    <w:p w14:paraId="06BB3803" w14:textId="77777777" w:rsidR="00680887" w:rsidRPr="00B71AF8" w:rsidRDefault="00680887" w:rsidP="00AC7978">
      <w:pPr>
        <w:pStyle w:val="ListParagraph"/>
        <w:numPr>
          <w:ilvl w:val="1"/>
          <w:numId w:val="25"/>
        </w:numPr>
        <w:spacing w:after="240"/>
        <w:ind w:left="357" w:hanging="357"/>
      </w:pPr>
      <w:r w:rsidRPr="00B71AF8">
        <w:t>The role of Victoria’s 10 Year Mental Health Plan in shaping decisions regarding service design and funding</w:t>
      </w:r>
      <w:r w:rsidR="00A023EC" w:rsidRPr="00B71AF8">
        <w:t>.</w:t>
      </w:r>
      <w:r w:rsidRPr="00B71AF8">
        <w:t xml:space="preserve"> </w:t>
      </w:r>
    </w:p>
    <w:p w14:paraId="576087C8" w14:textId="77777777" w:rsidR="00680887" w:rsidRPr="00B71AF8" w:rsidRDefault="00680887" w:rsidP="00AC7978">
      <w:pPr>
        <w:pStyle w:val="ListParagraph"/>
        <w:numPr>
          <w:ilvl w:val="1"/>
          <w:numId w:val="25"/>
        </w:numPr>
        <w:spacing w:after="240"/>
        <w:ind w:left="357" w:hanging="357"/>
      </w:pPr>
      <w:r w:rsidRPr="00B71AF8">
        <w:t>The extent to which consumer feedback</w:t>
      </w:r>
      <w:r w:rsidR="00A023EC" w:rsidRPr="00B71AF8">
        <w:t>,</w:t>
      </w:r>
      <w:r w:rsidRPr="00B71AF8">
        <w:t xml:space="preserve"> an assessment of rights protection</w:t>
      </w:r>
      <w:r w:rsidR="00A65E23" w:rsidRPr="00B71AF8">
        <w:t>,</w:t>
      </w:r>
      <w:r w:rsidRPr="00B71AF8">
        <w:t xml:space="preserve"> and </w:t>
      </w:r>
      <w:r w:rsidR="00A65E23" w:rsidRPr="00B71AF8">
        <w:t xml:space="preserve">a focus on </w:t>
      </w:r>
      <w:r w:rsidRPr="00B71AF8">
        <w:t>recovery are included in evaluations of service effectiveness</w:t>
      </w:r>
      <w:r w:rsidR="00A023EC" w:rsidRPr="00B71AF8">
        <w:t>.</w:t>
      </w:r>
      <w:r w:rsidRPr="00B71AF8">
        <w:t xml:space="preserve"> </w:t>
      </w:r>
    </w:p>
    <w:p w14:paraId="2D45E271" w14:textId="77777777" w:rsidR="00680887" w:rsidRPr="00B71AF8" w:rsidRDefault="00811359" w:rsidP="00AC7978">
      <w:pPr>
        <w:pStyle w:val="ListParagraph"/>
        <w:numPr>
          <w:ilvl w:val="1"/>
          <w:numId w:val="25"/>
        </w:numPr>
        <w:spacing w:after="240"/>
        <w:ind w:left="357" w:hanging="357"/>
      </w:pPr>
      <w:r w:rsidRPr="00B71AF8">
        <w:t xml:space="preserve">The role and effectiveness of the </w:t>
      </w:r>
      <w:r w:rsidR="002021D8" w:rsidRPr="00B71AF8">
        <w:t>Mental Health Tribunal</w:t>
      </w:r>
      <w:r w:rsidRPr="00B71AF8">
        <w:t xml:space="preserve"> in providing oversight and accountability of the system and supporting self</w:t>
      </w:r>
      <w:r w:rsidR="00EB1922" w:rsidRPr="00B71AF8">
        <w:t>-</w:t>
      </w:r>
      <w:r w:rsidRPr="00B71AF8">
        <w:t>determination</w:t>
      </w:r>
      <w:r w:rsidR="007011D9" w:rsidRPr="00B71AF8">
        <w:t>.</w:t>
      </w:r>
      <w:r w:rsidRPr="00B71AF8">
        <w:t xml:space="preserve"> </w:t>
      </w:r>
    </w:p>
    <w:p w14:paraId="6D0CDA45" w14:textId="77777777" w:rsidR="00680887" w:rsidRPr="00B71AF8" w:rsidRDefault="00680887" w:rsidP="00AC7978">
      <w:pPr>
        <w:pStyle w:val="ListParagraph"/>
        <w:numPr>
          <w:ilvl w:val="1"/>
          <w:numId w:val="25"/>
        </w:numPr>
        <w:spacing w:after="240"/>
        <w:ind w:left="357" w:hanging="357"/>
      </w:pPr>
      <w:r w:rsidRPr="00B71AF8">
        <w:t xml:space="preserve">The effectiveness of the current </w:t>
      </w:r>
      <w:r w:rsidR="00A819C6" w:rsidRPr="00B71AF8">
        <w:t>governance and oversight</w:t>
      </w:r>
      <w:r w:rsidRPr="00B71AF8">
        <w:t xml:space="preserve"> mechanisms, including via the Department of Health and Human Services, the Mental Health Complaints Commissioner</w:t>
      </w:r>
      <w:r w:rsidR="00153D35" w:rsidRPr="00B71AF8">
        <w:t>,</w:t>
      </w:r>
      <w:r w:rsidRPr="00B71AF8">
        <w:t xml:space="preserve"> the Office of the Chief Psychiatrist</w:t>
      </w:r>
      <w:r w:rsidR="004B1D81" w:rsidRPr="00B71AF8">
        <w:t xml:space="preserve">, </w:t>
      </w:r>
      <w:r w:rsidR="00153D35" w:rsidRPr="00B71AF8">
        <w:t xml:space="preserve">and Office of the Public Advocate Community Visitors. </w:t>
      </w:r>
    </w:p>
    <w:p w14:paraId="211E8560" w14:textId="77777777" w:rsidR="00A819C6" w:rsidRPr="00B71AF8" w:rsidRDefault="00A819C6" w:rsidP="00621E7E">
      <w:pPr>
        <w:pStyle w:val="ListParagraph"/>
        <w:keepNext/>
        <w:keepLines/>
        <w:spacing w:after="240"/>
        <w:ind w:left="360"/>
      </w:pPr>
    </w:p>
    <w:p w14:paraId="2AEF748A" w14:textId="77777777" w:rsidR="00DC5321" w:rsidRPr="00B71AF8" w:rsidRDefault="00DC5321">
      <w:pPr>
        <w:spacing w:after="0" w:line="240" w:lineRule="auto"/>
        <w:rPr>
          <w:rFonts w:cs="Arial"/>
          <w:bCs/>
          <w:color w:val="971A4B"/>
          <w:kern w:val="32"/>
          <w:sz w:val="32"/>
          <w:szCs w:val="32"/>
          <w:lang w:eastAsia="en-AU"/>
        </w:rPr>
      </w:pPr>
      <w:r w:rsidRPr="00B71AF8">
        <w:rPr>
          <w:b/>
        </w:rPr>
        <w:br w:type="page"/>
      </w:r>
    </w:p>
    <w:p w14:paraId="3F56A29B" w14:textId="77777777" w:rsidR="005961C4" w:rsidRPr="00B71AF8" w:rsidRDefault="005961C4" w:rsidP="00AC7978">
      <w:pPr>
        <w:pStyle w:val="Heading1"/>
        <w:numPr>
          <w:ilvl w:val="0"/>
          <w:numId w:val="16"/>
        </w:numPr>
        <w:ind w:hanging="720"/>
      </w:pPr>
      <w:bookmarkStart w:id="57" w:name="_Toc536642558"/>
      <w:r w:rsidRPr="00B71AF8">
        <w:t>Time for a fundamental shift in our approach to mental health in Victoria</w:t>
      </w:r>
      <w:r w:rsidR="00504E04" w:rsidRPr="00B71AF8">
        <w:t xml:space="preserve"> – models that work</w:t>
      </w:r>
      <w:bookmarkEnd w:id="57"/>
      <w:r w:rsidR="00504E04" w:rsidRPr="00B71AF8">
        <w:t xml:space="preserve"> </w:t>
      </w:r>
    </w:p>
    <w:p w14:paraId="79A8F14B" w14:textId="77777777" w:rsidR="00645729" w:rsidRPr="00B71AF8" w:rsidRDefault="005961C4" w:rsidP="005961C4">
      <w:r w:rsidRPr="00B71AF8">
        <w:t xml:space="preserve">We </w:t>
      </w:r>
      <w:r w:rsidR="0084608D" w:rsidRPr="00B71AF8">
        <w:t>recommend that the TOR are</w:t>
      </w:r>
      <w:r w:rsidRPr="00B71AF8">
        <w:t xml:space="preserve"> frame</w:t>
      </w:r>
      <w:r w:rsidR="0084608D" w:rsidRPr="00B71AF8">
        <w:t>d</w:t>
      </w:r>
      <w:r w:rsidRPr="00B71AF8">
        <w:t xml:space="preserve"> to encourage evidence and ideas about models that work, including prioritising the expertise of people who have directly experienced the mental health system</w:t>
      </w:r>
      <w:r w:rsidR="00BC1334" w:rsidRPr="00B71AF8">
        <w:t>,</w:t>
      </w:r>
      <w:r w:rsidR="00585808" w:rsidRPr="00B71AF8">
        <w:rPr>
          <w:rStyle w:val="FootnoteReference"/>
        </w:rPr>
        <w:footnoteReference w:id="25"/>
      </w:r>
      <w:r w:rsidR="00BC1334" w:rsidRPr="00B71AF8">
        <w:t xml:space="preserve"> and contemplating international best practice. </w:t>
      </w:r>
      <w:r w:rsidR="00B60C4C" w:rsidRPr="00B71AF8">
        <w:t xml:space="preserve">The RCMH should not be limited to considering the effectiveness of what is currently in place. </w:t>
      </w:r>
    </w:p>
    <w:p w14:paraId="613DB40B" w14:textId="77777777" w:rsidR="005961C4" w:rsidRDefault="004B1D81" w:rsidP="005961C4">
      <w:r w:rsidRPr="00B71AF8">
        <w:t xml:space="preserve">This is a unique opportunity to </w:t>
      </w:r>
      <w:r w:rsidR="00B60C4C" w:rsidRPr="00B71AF8">
        <w:t>reimagine</w:t>
      </w:r>
      <w:r w:rsidR="008F13D0" w:rsidRPr="00B71AF8">
        <w:t xml:space="preserve"> a system developed 30 years ago</w:t>
      </w:r>
      <w:r w:rsidR="00B60C4C" w:rsidRPr="00B71AF8">
        <w:t>.</w:t>
      </w:r>
      <w:r w:rsidR="008F13D0" w:rsidRPr="00B71AF8">
        <w:t xml:space="preserve"> A social determinants </w:t>
      </w:r>
      <w:r w:rsidR="00DC5321" w:rsidRPr="00B71AF8">
        <w:t xml:space="preserve">of health </w:t>
      </w:r>
      <w:r w:rsidR="00B60C4C" w:rsidRPr="00B71AF8">
        <w:t>approach</w:t>
      </w:r>
      <w:r w:rsidR="00A65E23" w:rsidRPr="00B71AF8">
        <w:t xml:space="preserve">, rather than </w:t>
      </w:r>
      <w:r w:rsidR="006E6197" w:rsidRPr="00B71AF8">
        <w:t>a purely medical</w:t>
      </w:r>
      <w:r w:rsidR="00A65E23" w:rsidRPr="00B71AF8">
        <w:t xml:space="preserve"> approach,</w:t>
      </w:r>
      <w:r w:rsidR="00B60C4C" w:rsidRPr="00B71AF8">
        <w:t xml:space="preserve"> </w:t>
      </w:r>
      <w:r w:rsidR="00D579C1" w:rsidRPr="00B71AF8">
        <w:t xml:space="preserve">should be the lens for the RCMH.  This will </w:t>
      </w:r>
      <w:r w:rsidR="008F13D0" w:rsidRPr="00B71AF8">
        <w:t xml:space="preserve">allow </w:t>
      </w:r>
      <w:r w:rsidR="00B60C4C" w:rsidRPr="00B71AF8">
        <w:t xml:space="preserve">consideration of what is needed in the various systems people with mental health issues are navigating to make these systems effective and sustainable. This </w:t>
      </w:r>
      <w:r w:rsidR="00415E70" w:rsidRPr="00B71AF8">
        <w:t>sh</w:t>
      </w:r>
      <w:r w:rsidR="00B60C4C" w:rsidRPr="00B71AF8">
        <w:t>ould include consideration of the resourcing necessary to implement recommendations</w:t>
      </w:r>
      <w:r w:rsidR="00D579C1" w:rsidRPr="00B71AF8">
        <w:t xml:space="preserve"> and embed the reform they seek to bring about</w:t>
      </w:r>
      <w:r w:rsidR="00B60C4C" w:rsidRPr="00B71AF8">
        <w:t>.</w:t>
      </w:r>
      <w:r w:rsidR="009C1935">
        <w:t xml:space="preserve"> </w:t>
      </w:r>
    </w:p>
    <w:p w14:paraId="1730F61F" w14:textId="77777777" w:rsidR="00680887" w:rsidRPr="00A2066D" w:rsidRDefault="00680887" w:rsidP="005D06AD">
      <w:pPr>
        <w:spacing w:after="160" w:line="259" w:lineRule="auto"/>
        <w:rPr>
          <w:b/>
          <w:lang w:eastAsia="en-AU"/>
        </w:rPr>
      </w:pPr>
    </w:p>
    <w:sectPr w:rsidR="00680887" w:rsidRPr="00A2066D" w:rsidSect="00DA29C4">
      <w:headerReference w:type="even" r:id="rId16"/>
      <w:headerReference w:type="first" r:id="rId17"/>
      <w:footerReference w:type="first" r:id="rId18"/>
      <w:pgSz w:w="11906" w:h="16838" w:code="9"/>
      <w:pgMar w:top="1418" w:right="992" w:bottom="1134" w:left="1134" w:header="851" w:footer="284" w:gutter="0"/>
      <w:paperSrc w:first="7" w:other="7"/>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DB289" w14:textId="77777777" w:rsidR="009B333F" w:rsidRDefault="009B333F">
      <w:r>
        <w:separator/>
      </w:r>
    </w:p>
    <w:p w14:paraId="20371CEB" w14:textId="77777777" w:rsidR="009B333F" w:rsidRDefault="009B333F"/>
    <w:p w14:paraId="7D5D339E" w14:textId="77777777" w:rsidR="009B333F" w:rsidRDefault="009B333F"/>
  </w:endnote>
  <w:endnote w:type="continuationSeparator" w:id="0">
    <w:p w14:paraId="304F886B" w14:textId="77777777" w:rsidR="009B333F" w:rsidRDefault="009B333F">
      <w:r>
        <w:continuationSeparator/>
      </w:r>
    </w:p>
    <w:p w14:paraId="76314384" w14:textId="77777777" w:rsidR="009B333F" w:rsidRDefault="009B333F"/>
    <w:p w14:paraId="5AF80634" w14:textId="77777777" w:rsidR="009B333F" w:rsidRDefault="009B33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7AED2" w14:textId="77777777" w:rsidR="00AC7978" w:rsidRDefault="00AC7978" w:rsidP="004E0688">
    <w:pPr>
      <w:pBdr>
        <w:top w:val="single" w:sz="12"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9477372"/>
      <w:docPartObj>
        <w:docPartGallery w:val="Page Numbers (Bottom of Page)"/>
        <w:docPartUnique/>
      </w:docPartObj>
    </w:sdtPr>
    <w:sdtEndPr>
      <w:rPr>
        <w:noProof/>
      </w:rPr>
    </w:sdtEndPr>
    <w:sdtContent>
      <w:p w14:paraId="61005DF6" w14:textId="77777777" w:rsidR="00D66975" w:rsidRDefault="00D66975">
        <w:pPr>
          <w:pStyle w:val="Footer"/>
        </w:pPr>
        <w:r>
          <w:fldChar w:fldCharType="begin"/>
        </w:r>
        <w:r>
          <w:instrText xml:space="preserve"> PAGE   \* MERGEFORMAT </w:instrText>
        </w:r>
        <w:r>
          <w:fldChar w:fldCharType="separate"/>
        </w:r>
        <w:r>
          <w:rPr>
            <w:noProof/>
          </w:rPr>
          <w:t>2</w:t>
        </w:r>
        <w:r>
          <w:rPr>
            <w:noProof/>
          </w:rPr>
          <w:fldChar w:fldCharType="end"/>
        </w:r>
      </w:p>
    </w:sdtContent>
  </w:sdt>
  <w:p w14:paraId="66218FB7" w14:textId="77777777" w:rsidR="00AC7978" w:rsidRPr="00C97428" w:rsidRDefault="00AC7978" w:rsidP="005375A4">
    <w:pPr>
      <w:rPr>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17259" w14:textId="77777777" w:rsidR="00AC7978" w:rsidRDefault="00AC7978" w:rsidP="00696BA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0FF37" w14:textId="77777777" w:rsidR="00AC7978" w:rsidRDefault="00AC7978" w:rsidP="00161EEF">
    <w:pPr>
      <w:pStyle w:val="Filename"/>
      <w:tabs>
        <w:tab w:val="clear" w:pos="9240"/>
      </w:tabs>
    </w:pPr>
    <w:r>
      <w:t>Victoria Legal Aid – Royal Commission into Mental Health – January 2019</w:t>
    </w:r>
  </w:p>
  <w:p w14:paraId="493BBD97" w14:textId="77777777" w:rsidR="00AC7978" w:rsidRPr="002B4970" w:rsidRDefault="00AC7978" w:rsidP="00161EEF">
    <w:pPr>
      <w:pStyle w:val="Filename"/>
      <w:pBdr>
        <w:top w:val="none" w:sz="0" w:space="0" w:color="auto"/>
      </w:pBdr>
      <w:tabs>
        <w:tab w:val="clear" w:pos="9240"/>
      </w:tabs>
      <w:jc w:val="center"/>
      <w:rPr>
        <w:szCs w:val="18"/>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20C86" w14:textId="77777777" w:rsidR="009B333F" w:rsidRPr="00E9228F" w:rsidRDefault="009B333F" w:rsidP="00E9228F">
      <w:pPr>
        <w:rPr>
          <w:sz w:val="18"/>
          <w:szCs w:val="18"/>
        </w:rPr>
      </w:pPr>
      <w:r w:rsidRPr="006831FC">
        <w:rPr>
          <w:sz w:val="18"/>
        </w:rPr>
        <w:separator/>
      </w:r>
    </w:p>
  </w:footnote>
  <w:footnote w:type="continuationSeparator" w:id="0">
    <w:p w14:paraId="5DD783ED" w14:textId="77777777" w:rsidR="009B333F" w:rsidRDefault="009B333F">
      <w:r>
        <w:continuationSeparator/>
      </w:r>
    </w:p>
    <w:p w14:paraId="2FED0BF1" w14:textId="77777777" w:rsidR="009B333F" w:rsidRDefault="009B333F"/>
    <w:p w14:paraId="33EFE528" w14:textId="77777777" w:rsidR="009B333F" w:rsidRDefault="009B333F"/>
  </w:footnote>
  <w:footnote w:id="1">
    <w:p w14:paraId="7C7FCACD" w14:textId="77777777" w:rsidR="00AC7978" w:rsidRPr="00EA1406" w:rsidRDefault="00AC7978" w:rsidP="00EA1406">
      <w:pPr>
        <w:pStyle w:val="FootnoteText"/>
        <w:spacing w:after="0" w:line="240" w:lineRule="auto"/>
        <w:ind w:left="0" w:hanging="170"/>
        <w:rPr>
          <w:sz w:val="16"/>
          <w:szCs w:val="16"/>
        </w:rPr>
      </w:pPr>
      <w:r w:rsidRPr="00EA1406">
        <w:rPr>
          <w:rStyle w:val="FootnoteReference"/>
          <w:sz w:val="16"/>
          <w:szCs w:val="16"/>
        </w:rPr>
        <w:footnoteRef/>
      </w:r>
      <w:r w:rsidRPr="00EA1406">
        <w:rPr>
          <w:sz w:val="16"/>
          <w:szCs w:val="16"/>
        </w:rPr>
        <w:t xml:space="preserve"> State Government of Victoria, </w:t>
      </w:r>
      <w:r w:rsidRPr="00EA1406">
        <w:rPr>
          <w:i/>
          <w:sz w:val="16"/>
          <w:szCs w:val="16"/>
        </w:rPr>
        <w:t>Royal Commission into Mental Health Terms of Reference Consultation</w:t>
      </w:r>
      <w:r w:rsidRPr="00EA1406">
        <w:rPr>
          <w:sz w:val="16"/>
          <w:szCs w:val="16"/>
        </w:rPr>
        <w:t xml:space="preserve"> (available at: </w:t>
      </w:r>
      <w:hyperlink r:id="rId1" w:history="1">
        <w:r w:rsidRPr="00EA1406">
          <w:rPr>
            <w:rStyle w:val="Hyperlink"/>
            <w:sz w:val="16"/>
            <w:szCs w:val="16"/>
          </w:rPr>
          <w:t>https://engage.vic.gov.au/royal-commission-mental-health-terms-of-reference</w:t>
        </w:r>
      </w:hyperlink>
      <w:r w:rsidRPr="00EA1406">
        <w:rPr>
          <w:sz w:val="16"/>
          <w:szCs w:val="16"/>
        </w:rPr>
        <w:t xml:space="preserve">). </w:t>
      </w:r>
    </w:p>
  </w:footnote>
  <w:footnote w:id="2">
    <w:p w14:paraId="4D941E32" w14:textId="77777777" w:rsidR="00AC7978" w:rsidRPr="00EA1406" w:rsidRDefault="00AC7978" w:rsidP="00EA1406">
      <w:pPr>
        <w:pStyle w:val="FootnoteText"/>
        <w:spacing w:after="0" w:line="240" w:lineRule="auto"/>
        <w:ind w:left="0" w:hanging="170"/>
        <w:rPr>
          <w:sz w:val="16"/>
          <w:szCs w:val="16"/>
        </w:rPr>
      </w:pPr>
      <w:r w:rsidRPr="00EA1406">
        <w:rPr>
          <w:rStyle w:val="FootnoteReference"/>
          <w:sz w:val="16"/>
          <w:szCs w:val="16"/>
        </w:rPr>
        <w:footnoteRef/>
      </w:r>
      <w:r w:rsidRPr="00EA1406">
        <w:rPr>
          <w:sz w:val="16"/>
          <w:szCs w:val="16"/>
        </w:rPr>
        <w:t xml:space="preserve"> See Victoria Legal Aid, </w:t>
      </w:r>
      <w:r w:rsidRPr="00EA1406">
        <w:rPr>
          <w:i/>
          <w:sz w:val="16"/>
          <w:szCs w:val="16"/>
        </w:rPr>
        <w:t>Annual Report 2017–18</w:t>
      </w:r>
      <w:r w:rsidRPr="00EA1406">
        <w:rPr>
          <w:sz w:val="16"/>
          <w:szCs w:val="16"/>
        </w:rPr>
        <w:t xml:space="preserve"> (available at: </w:t>
      </w:r>
      <w:hyperlink r:id="rId2" w:history="1">
        <w:r w:rsidRPr="00EA1406">
          <w:rPr>
            <w:rStyle w:val="Hyperlink"/>
            <w:sz w:val="16"/>
            <w:szCs w:val="16"/>
          </w:rPr>
          <w:t>https://www.legalaid.vic.gov.au/about-us/our-organisation/annual-report-2017-18</w:t>
        </w:r>
      </w:hyperlink>
      <w:r w:rsidRPr="00EA1406">
        <w:rPr>
          <w:sz w:val="16"/>
          <w:szCs w:val="16"/>
        </w:rPr>
        <w:t>) (</w:t>
      </w:r>
      <w:r w:rsidRPr="00EA1406">
        <w:rPr>
          <w:b/>
          <w:sz w:val="16"/>
          <w:szCs w:val="16"/>
        </w:rPr>
        <w:t>VLA Annual Report</w:t>
      </w:r>
      <w:r w:rsidRPr="00EA1406">
        <w:rPr>
          <w:sz w:val="16"/>
          <w:szCs w:val="16"/>
        </w:rPr>
        <w:t xml:space="preserve">). </w:t>
      </w:r>
    </w:p>
  </w:footnote>
  <w:footnote w:id="3">
    <w:p w14:paraId="46574A97" w14:textId="77777777" w:rsidR="00AC7978" w:rsidRPr="00EA1406" w:rsidRDefault="00AC7978" w:rsidP="00EA1406">
      <w:pPr>
        <w:pStyle w:val="FootnoteText"/>
        <w:spacing w:after="0" w:line="240" w:lineRule="auto"/>
        <w:ind w:left="0" w:hanging="170"/>
        <w:rPr>
          <w:rFonts w:cs="Arial"/>
          <w:b/>
          <w:sz w:val="16"/>
          <w:szCs w:val="16"/>
        </w:rPr>
      </w:pPr>
      <w:r w:rsidRPr="00EA1406">
        <w:rPr>
          <w:rStyle w:val="FootnoteReference"/>
          <w:rFonts w:cs="Arial"/>
          <w:sz w:val="16"/>
          <w:szCs w:val="16"/>
        </w:rPr>
        <w:footnoteRef/>
      </w:r>
      <w:r w:rsidRPr="00EA1406">
        <w:rPr>
          <w:rFonts w:cs="Arial"/>
          <w:sz w:val="16"/>
          <w:szCs w:val="16"/>
        </w:rPr>
        <w:t xml:space="preserve"> Ibid. </w:t>
      </w:r>
      <w:r w:rsidR="00651241">
        <w:rPr>
          <w:rFonts w:cs="Arial"/>
          <w:sz w:val="16"/>
          <w:szCs w:val="16"/>
        </w:rPr>
        <w:t xml:space="preserve">This includes </w:t>
      </w:r>
      <w:r w:rsidR="00651241" w:rsidRPr="00651241">
        <w:rPr>
          <w:rFonts w:cs="Arial"/>
          <w:sz w:val="16"/>
          <w:szCs w:val="16"/>
        </w:rPr>
        <w:t>clients seen by</w:t>
      </w:r>
      <w:r w:rsidR="00651241">
        <w:rPr>
          <w:rFonts w:cs="Arial"/>
          <w:sz w:val="16"/>
          <w:szCs w:val="16"/>
        </w:rPr>
        <w:t xml:space="preserve"> a</w:t>
      </w:r>
      <w:r w:rsidR="00651241" w:rsidRPr="00651241">
        <w:rPr>
          <w:rFonts w:cs="Arial"/>
          <w:sz w:val="16"/>
          <w:szCs w:val="16"/>
        </w:rPr>
        <w:t xml:space="preserve"> private practitioner duty lawyer</w:t>
      </w:r>
      <w:r w:rsidR="00651241">
        <w:rPr>
          <w:rFonts w:cs="Arial"/>
          <w:sz w:val="16"/>
          <w:szCs w:val="16"/>
        </w:rPr>
        <w:t>.</w:t>
      </w:r>
      <w:r w:rsidR="00651241" w:rsidRPr="00651241">
        <w:rPr>
          <w:rFonts w:cs="Arial"/>
          <w:sz w:val="16"/>
          <w:szCs w:val="16"/>
        </w:rPr>
        <w:t xml:space="preserve"> </w:t>
      </w:r>
      <w:r w:rsidRPr="00EA1406">
        <w:rPr>
          <w:rFonts w:cs="Arial"/>
          <w:sz w:val="16"/>
          <w:szCs w:val="16"/>
        </w:rPr>
        <w:t xml:space="preserve">Unique clients are individual clients who accessed one or more of Victoria Legal Aid’s legal services. This does not include people for whom a client-lawyer relationship was not formed, who received telephone, website or in-person information at court or at public counters, or participated in community legal education—we do not create an individual client record for these people. Neither does this client count include people assisted by our Independent Mental Health Advocacy service. </w:t>
      </w:r>
      <w:bookmarkStart w:id="11" w:name="_Hlk536612297"/>
      <w:r w:rsidRPr="00EA1406">
        <w:rPr>
          <w:rFonts w:cs="Arial"/>
          <w:sz w:val="16"/>
          <w:szCs w:val="16"/>
        </w:rPr>
        <w:t xml:space="preserve">We note that, because this figure relies on clients disclosing their disability or mental health issue at the time of receiving legal assistance, the actual number of clients experiencing mental health issues is likely to be significantly higher. </w:t>
      </w:r>
      <w:bookmarkEnd w:id="11"/>
    </w:p>
  </w:footnote>
  <w:footnote w:id="4">
    <w:p w14:paraId="1DD56850" w14:textId="77777777" w:rsidR="00AC7978" w:rsidRPr="00EA1406" w:rsidRDefault="00AC7978" w:rsidP="00EA1406">
      <w:pPr>
        <w:pStyle w:val="FootnoteText"/>
        <w:spacing w:after="0" w:line="240" w:lineRule="auto"/>
        <w:ind w:left="0" w:hanging="170"/>
        <w:rPr>
          <w:sz w:val="16"/>
          <w:szCs w:val="16"/>
        </w:rPr>
      </w:pPr>
      <w:r w:rsidRPr="00EA1406">
        <w:rPr>
          <w:rStyle w:val="FootnoteReference"/>
          <w:sz w:val="16"/>
          <w:szCs w:val="16"/>
        </w:rPr>
        <w:footnoteRef/>
      </w:r>
      <w:r w:rsidRPr="00EA1406">
        <w:rPr>
          <w:sz w:val="16"/>
          <w:szCs w:val="16"/>
        </w:rPr>
        <w:t xml:space="preserve"> Dr Chris Maylea, Susan Alvarez-Vasquez, Matthew Dale, Dr Nicholas Hill, Brendan Johnson, Professor Jennifer Martin, Professor Stuart Thomas, Professor Penelope Weller, Social and Global Studies Centre, RMIT University, </w:t>
      </w:r>
      <w:r w:rsidRPr="00EA1406">
        <w:rPr>
          <w:i/>
          <w:sz w:val="16"/>
          <w:szCs w:val="16"/>
        </w:rPr>
        <w:t>Evaluation of the Independent Mental Health Advocacy Service (IMHA): Final Report</w:t>
      </w:r>
      <w:r w:rsidRPr="00EA1406">
        <w:rPr>
          <w:sz w:val="16"/>
          <w:szCs w:val="16"/>
        </w:rPr>
        <w:t xml:space="preserve"> (November 2018) (</w:t>
      </w:r>
      <w:r w:rsidRPr="00EA1406">
        <w:rPr>
          <w:b/>
          <w:sz w:val="16"/>
          <w:szCs w:val="16"/>
        </w:rPr>
        <w:t>IMHA Evaluation Report</w:t>
      </w:r>
      <w:r w:rsidRPr="00EA1406">
        <w:rPr>
          <w:sz w:val="16"/>
          <w:szCs w:val="16"/>
        </w:rPr>
        <w:t xml:space="preserve">). </w:t>
      </w:r>
    </w:p>
  </w:footnote>
  <w:footnote w:id="5">
    <w:p w14:paraId="1F0F764B" w14:textId="77777777" w:rsidR="00AC7978" w:rsidRPr="00EA1406" w:rsidRDefault="00AC7978" w:rsidP="00EA1406">
      <w:pPr>
        <w:pStyle w:val="FootnoteText"/>
        <w:spacing w:after="0" w:line="240" w:lineRule="auto"/>
        <w:ind w:left="0" w:hanging="170"/>
        <w:rPr>
          <w:sz w:val="16"/>
          <w:szCs w:val="16"/>
        </w:rPr>
      </w:pPr>
      <w:r w:rsidRPr="00EA1406">
        <w:rPr>
          <w:rStyle w:val="FootnoteReference"/>
          <w:sz w:val="16"/>
          <w:szCs w:val="16"/>
        </w:rPr>
        <w:footnoteRef/>
      </w:r>
      <w:r w:rsidRPr="00EA1406">
        <w:rPr>
          <w:sz w:val="16"/>
          <w:szCs w:val="16"/>
        </w:rPr>
        <w:t xml:space="preserve"> See also Law and Justice Foundation of New South Wales, </w:t>
      </w:r>
      <w:r w:rsidRPr="00EA1406">
        <w:rPr>
          <w:i/>
          <w:sz w:val="16"/>
          <w:szCs w:val="16"/>
        </w:rPr>
        <w:t xml:space="preserve">In Summary: Evaluation of the appropriateness and sustainability of Victoria Legal Aid’s Summary Crime Program </w:t>
      </w:r>
      <w:r w:rsidRPr="00EA1406">
        <w:rPr>
          <w:sz w:val="16"/>
          <w:szCs w:val="16"/>
        </w:rPr>
        <w:t xml:space="preserve">(June 2017) (available at: </w:t>
      </w:r>
      <w:hyperlink r:id="rId3" w:history="1">
        <w:r w:rsidRPr="00EA1406">
          <w:rPr>
            <w:rStyle w:val="Hyperlink"/>
            <w:sz w:val="16"/>
            <w:szCs w:val="16"/>
          </w:rPr>
          <w:t>http://www.legalaid.vic.gov.au/about-us/research-and-analysis/summary-crime-evaluation-report</w:t>
        </w:r>
      </w:hyperlink>
      <w:r w:rsidRPr="00EA1406">
        <w:rPr>
          <w:sz w:val="16"/>
          <w:szCs w:val="16"/>
        </w:rPr>
        <w:t>), which identified that</w:t>
      </w:r>
      <w:r w:rsidR="0087126E">
        <w:rPr>
          <w:sz w:val="16"/>
          <w:szCs w:val="16"/>
        </w:rPr>
        <w:t>,</w:t>
      </w:r>
      <w:r w:rsidRPr="00EA1406">
        <w:rPr>
          <w:sz w:val="16"/>
          <w:szCs w:val="16"/>
        </w:rPr>
        <w:t xml:space="preserve"> </w:t>
      </w:r>
      <w:r w:rsidR="0087126E">
        <w:rPr>
          <w:sz w:val="16"/>
          <w:szCs w:val="16"/>
        </w:rPr>
        <w:t xml:space="preserve">of </w:t>
      </w:r>
      <w:r w:rsidRPr="00EA1406">
        <w:rPr>
          <w:sz w:val="16"/>
          <w:szCs w:val="16"/>
        </w:rPr>
        <w:t xml:space="preserve">14,591 grants of legal assistance made </w:t>
      </w:r>
      <w:r w:rsidR="0087126E">
        <w:rPr>
          <w:sz w:val="16"/>
          <w:szCs w:val="16"/>
        </w:rPr>
        <w:t xml:space="preserve">in the review period, </w:t>
      </w:r>
      <w:r w:rsidRPr="00EA1406">
        <w:rPr>
          <w:sz w:val="16"/>
          <w:szCs w:val="16"/>
        </w:rPr>
        <w:t>64% related to family violence, mental ill-health and offending-driven by drug addiction.</w:t>
      </w:r>
    </w:p>
  </w:footnote>
  <w:footnote w:id="6">
    <w:p w14:paraId="2F39DBB0" w14:textId="77777777" w:rsidR="00AC7978" w:rsidRPr="00EA1406" w:rsidRDefault="00AC7978" w:rsidP="00EA1406">
      <w:pPr>
        <w:pStyle w:val="FootnoteText"/>
        <w:spacing w:after="0" w:line="240" w:lineRule="auto"/>
        <w:ind w:left="0" w:hanging="170"/>
        <w:rPr>
          <w:sz w:val="16"/>
          <w:szCs w:val="16"/>
        </w:rPr>
      </w:pPr>
      <w:r w:rsidRPr="00EA1406">
        <w:rPr>
          <w:rStyle w:val="FootnoteReference"/>
          <w:sz w:val="16"/>
          <w:szCs w:val="16"/>
        </w:rPr>
        <w:footnoteRef/>
      </w:r>
      <w:r w:rsidRPr="00EA1406">
        <w:rPr>
          <w:sz w:val="16"/>
          <w:szCs w:val="16"/>
        </w:rPr>
        <w:t xml:space="preserve"> We also note the need for the RCMH to consider appropriate whistle-blower protections to encourage those with system experience (including staff, families and carers) to share their experiences of the mental health system without fear of repercussions.</w:t>
      </w:r>
    </w:p>
  </w:footnote>
  <w:footnote w:id="7">
    <w:p w14:paraId="59ADAA81" w14:textId="77777777" w:rsidR="00AC7978" w:rsidRPr="00EA1406" w:rsidRDefault="00AC7978" w:rsidP="00EA1406">
      <w:pPr>
        <w:pStyle w:val="FootnoteText"/>
        <w:spacing w:after="0" w:line="240" w:lineRule="auto"/>
        <w:ind w:left="0" w:hanging="170"/>
        <w:rPr>
          <w:sz w:val="16"/>
          <w:szCs w:val="16"/>
        </w:rPr>
      </w:pPr>
      <w:r w:rsidRPr="00EA1406">
        <w:rPr>
          <w:rStyle w:val="FootnoteReference"/>
          <w:sz w:val="16"/>
          <w:szCs w:val="16"/>
        </w:rPr>
        <w:footnoteRef/>
      </w:r>
      <w:r w:rsidRPr="00EA1406">
        <w:rPr>
          <w:sz w:val="16"/>
          <w:szCs w:val="16"/>
        </w:rPr>
        <w:t xml:space="preserve"> </w:t>
      </w:r>
      <w:bookmarkStart w:id="30" w:name="_Hlk536525521"/>
      <w:r w:rsidRPr="00EA1406">
        <w:rPr>
          <w:sz w:val="16"/>
          <w:szCs w:val="16"/>
        </w:rPr>
        <w:t xml:space="preserve">See, eg, Department of Health and Human Services, </w:t>
      </w:r>
      <w:r w:rsidRPr="00EA1406">
        <w:rPr>
          <w:i/>
          <w:sz w:val="16"/>
          <w:szCs w:val="16"/>
        </w:rPr>
        <w:t>Recovery Library</w:t>
      </w:r>
      <w:r w:rsidRPr="00EA1406">
        <w:rPr>
          <w:sz w:val="16"/>
          <w:szCs w:val="16"/>
        </w:rPr>
        <w:t xml:space="preserve"> (available at: https://recoverylibrary.unimelb.edu.au/)</w:t>
      </w:r>
      <w:bookmarkEnd w:id="30"/>
      <w:r w:rsidRPr="00EA1406">
        <w:rPr>
          <w:sz w:val="16"/>
          <w:szCs w:val="16"/>
        </w:rPr>
        <w:t xml:space="preserve">. </w:t>
      </w:r>
    </w:p>
  </w:footnote>
  <w:footnote w:id="8">
    <w:p w14:paraId="76730036" w14:textId="77777777" w:rsidR="00AC7978" w:rsidRPr="00EA1406" w:rsidRDefault="00AC7978" w:rsidP="00EA1406">
      <w:pPr>
        <w:pStyle w:val="FootnoteText"/>
        <w:spacing w:after="0" w:line="240" w:lineRule="auto"/>
        <w:ind w:left="0" w:hanging="170"/>
        <w:rPr>
          <w:sz w:val="16"/>
          <w:szCs w:val="16"/>
        </w:rPr>
      </w:pPr>
      <w:r w:rsidRPr="00EA1406">
        <w:rPr>
          <w:rStyle w:val="FootnoteReference"/>
          <w:sz w:val="16"/>
          <w:szCs w:val="16"/>
        </w:rPr>
        <w:footnoteRef/>
      </w:r>
      <w:r w:rsidRPr="00EA1406">
        <w:rPr>
          <w:sz w:val="16"/>
          <w:szCs w:val="16"/>
        </w:rPr>
        <w:t xml:space="preserve"> See Edwina Light et al, ‘Community Treatment Orders in Australia: Rates and Patterns of Use’ (2012) 20(6) </w:t>
      </w:r>
      <w:r w:rsidRPr="00EA1406">
        <w:rPr>
          <w:i/>
          <w:sz w:val="16"/>
          <w:szCs w:val="16"/>
        </w:rPr>
        <w:t xml:space="preserve">Australasian Psychiatry </w:t>
      </w:r>
      <w:r w:rsidRPr="00EA1406">
        <w:rPr>
          <w:sz w:val="16"/>
          <w:szCs w:val="16"/>
        </w:rPr>
        <w:t>478, 480. Victoria has the highest rate of people subject to CTOs (98.8 per 100,000). This is compared with 61.3 per 100,000 in QLD, 48.6 per 100,000 in WA, 46.4 per 100,000 in NSW, and 30.2 per 100,000 in Tasmania. There was no data available for SA or NT.  See also Piers Gooding and Yvette Maker, University of Melbourne,</w:t>
      </w:r>
      <w:r w:rsidR="0026268F">
        <w:rPr>
          <w:sz w:val="16"/>
          <w:szCs w:val="16"/>
        </w:rPr>
        <w:t xml:space="preserve"> </w:t>
      </w:r>
      <w:r w:rsidRPr="00EA1406">
        <w:rPr>
          <w:sz w:val="16"/>
          <w:szCs w:val="16"/>
        </w:rPr>
        <w:t xml:space="preserve">’Why are the rates of restrictive practices in Victoria’s mental health services so high?’ </w:t>
      </w:r>
      <w:r w:rsidRPr="00EA1406">
        <w:rPr>
          <w:i/>
          <w:sz w:val="16"/>
          <w:szCs w:val="16"/>
        </w:rPr>
        <w:t>Pursuit</w:t>
      </w:r>
      <w:r w:rsidRPr="00EA1406">
        <w:rPr>
          <w:sz w:val="16"/>
          <w:szCs w:val="16"/>
        </w:rPr>
        <w:t xml:space="preserve"> (January 2019). </w:t>
      </w:r>
    </w:p>
  </w:footnote>
  <w:footnote w:id="9">
    <w:p w14:paraId="34DC004B" w14:textId="77777777" w:rsidR="00AC7978" w:rsidRPr="00EA1406" w:rsidRDefault="00AC7978" w:rsidP="00EA1406">
      <w:pPr>
        <w:pStyle w:val="FootnoteText"/>
        <w:spacing w:after="0" w:line="240" w:lineRule="auto"/>
        <w:ind w:left="0" w:hanging="170"/>
        <w:rPr>
          <w:rFonts w:cs="Arial"/>
          <w:sz w:val="16"/>
          <w:szCs w:val="16"/>
        </w:rPr>
      </w:pPr>
      <w:r w:rsidRPr="00EA1406">
        <w:rPr>
          <w:rStyle w:val="FootnoteReference"/>
          <w:sz w:val="16"/>
          <w:szCs w:val="16"/>
        </w:rPr>
        <w:footnoteRef/>
      </w:r>
      <w:r w:rsidRPr="00EA1406">
        <w:rPr>
          <w:sz w:val="16"/>
          <w:szCs w:val="16"/>
        </w:rPr>
        <w:t xml:space="preserve"> Including specialist accommodation. See, eg, the new legislative and regulatory regime for specialist residential services and specialist disability accommodation providers.</w:t>
      </w:r>
    </w:p>
  </w:footnote>
  <w:footnote w:id="10">
    <w:p w14:paraId="77040DA4" w14:textId="77777777" w:rsidR="00AC7978" w:rsidRPr="00EA1406" w:rsidRDefault="00AC7978" w:rsidP="00EA1406">
      <w:pPr>
        <w:pStyle w:val="FootnoteText"/>
        <w:spacing w:after="0" w:line="240" w:lineRule="auto"/>
        <w:ind w:left="0" w:hanging="170"/>
        <w:rPr>
          <w:sz w:val="16"/>
          <w:szCs w:val="16"/>
        </w:rPr>
      </w:pPr>
      <w:r w:rsidRPr="00EA1406">
        <w:rPr>
          <w:rStyle w:val="FootnoteReference"/>
          <w:sz w:val="16"/>
          <w:szCs w:val="16"/>
        </w:rPr>
        <w:footnoteRef/>
      </w:r>
      <w:r w:rsidRPr="00EA1406">
        <w:rPr>
          <w:sz w:val="16"/>
          <w:szCs w:val="16"/>
        </w:rPr>
        <w:t xml:space="preserve"> See, eg, Victorian Ombudsman, </w:t>
      </w:r>
      <w:r w:rsidRPr="00EA1406">
        <w:rPr>
          <w:i/>
          <w:sz w:val="16"/>
          <w:szCs w:val="16"/>
        </w:rPr>
        <w:t>Investigation into the imprisonment of a woman found unfit to stand trial</w:t>
      </w:r>
      <w:r w:rsidRPr="00EA1406">
        <w:rPr>
          <w:sz w:val="16"/>
          <w:szCs w:val="16"/>
        </w:rPr>
        <w:t xml:space="preserve"> (October 2018) (available at: </w:t>
      </w:r>
      <w:hyperlink r:id="rId4" w:history="1">
        <w:r w:rsidRPr="00EA1406">
          <w:rPr>
            <w:rStyle w:val="Hyperlink"/>
            <w:sz w:val="16"/>
            <w:szCs w:val="16"/>
          </w:rPr>
          <w:t>https://www.ombudsman.vic.gov.au/News/Media-Releases/imprisonment-of-woman-found-unfit-to-stand-trial</w:t>
        </w:r>
      </w:hyperlink>
      <w:r w:rsidRPr="00EA1406">
        <w:rPr>
          <w:sz w:val="16"/>
          <w:szCs w:val="16"/>
        </w:rPr>
        <w:t>) (</w:t>
      </w:r>
      <w:r w:rsidRPr="00EA1406">
        <w:rPr>
          <w:b/>
          <w:sz w:val="16"/>
          <w:szCs w:val="16"/>
        </w:rPr>
        <w:t>Ombudsman’s Report on Imprisonment of a Woman Found Unfit to Stand Trial</w:t>
      </w:r>
      <w:r w:rsidRPr="00EA1406">
        <w:rPr>
          <w:sz w:val="16"/>
          <w:szCs w:val="16"/>
        </w:rPr>
        <w:t xml:space="preserve">). </w:t>
      </w:r>
    </w:p>
  </w:footnote>
  <w:footnote w:id="11">
    <w:p w14:paraId="718C48F5" w14:textId="77777777" w:rsidR="00AC7978" w:rsidRPr="00684F7E" w:rsidRDefault="00AC7978" w:rsidP="00EA1406">
      <w:pPr>
        <w:pStyle w:val="FootnoteText"/>
        <w:spacing w:after="0" w:line="240" w:lineRule="auto"/>
        <w:ind w:left="0" w:hanging="170"/>
        <w:rPr>
          <w:rFonts w:cs="Arial"/>
          <w:sz w:val="16"/>
          <w:szCs w:val="16"/>
        </w:rPr>
      </w:pPr>
      <w:r w:rsidRPr="00EA1406">
        <w:rPr>
          <w:rStyle w:val="FootnoteReference"/>
          <w:sz w:val="16"/>
          <w:szCs w:val="16"/>
        </w:rPr>
        <w:footnoteRef/>
      </w:r>
      <w:r w:rsidRPr="00EA1406">
        <w:rPr>
          <w:sz w:val="16"/>
          <w:szCs w:val="16"/>
        </w:rPr>
        <w:t xml:space="preserve"> See, eg, Victorian Ombudsman, </w:t>
      </w:r>
      <w:r w:rsidRPr="00EA1406">
        <w:rPr>
          <w:rFonts w:cs="Arial"/>
          <w:i/>
          <w:sz w:val="16"/>
          <w:szCs w:val="16"/>
        </w:rPr>
        <w:t>Investigation into the rehabilitation and reintegration of prisoners in Victoria</w:t>
      </w:r>
      <w:r w:rsidRPr="00EA1406">
        <w:rPr>
          <w:rFonts w:cs="Arial"/>
          <w:sz w:val="16"/>
          <w:szCs w:val="16"/>
        </w:rPr>
        <w:t xml:space="preserve"> (September 2015) 6 </w:t>
      </w:r>
      <w:r w:rsidRPr="00684F7E">
        <w:rPr>
          <w:rFonts w:cs="Arial"/>
          <w:sz w:val="16"/>
          <w:szCs w:val="16"/>
        </w:rPr>
        <w:t>(</w:t>
      </w:r>
      <w:r w:rsidRPr="00684F7E">
        <w:rPr>
          <w:rFonts w:cs="Arial"/>
          <w:b/>
          <w:sz w:val="16"/>
          <w:szCs w:val="16"/>
        </w:rPr>
        <w:t xml:space="preserve">Ombudsman’s </w:t>
      </w:r>
      <w:r w:rsidR="00CD127E">
        <w:rPr>
          <w:rFonts w:cs="Arial"/>
          <w:b/>
          <w:sz w:val="16"/>
          <w:szCs w:val="16"/>
        </w:rPr>
        <w:t xml:space="preserve">Prison </w:t>
      </w:r>
      <w:r w:rsidRPr="00684F7E">
        <w:rPr>
          <w:rFonts w:cs="Arial"/>
          <w:b/>
          <w:sz w:val="16"/>
          <w:szCs w:val="16"/>
        </w:rPr>
        <w:t>Report</w:t>
      </w:r>
      <w:r w:rsidRPr="00684F7E">
        <w:rPr>
          <w:rFonts w:cs="Arial"/>
          <w:sz w:val="16"/>
          <w:szCs w:val="16"/>
        </w:rPr>
        <w:t>).</w:t>
      </w:r>
    </w:p>
  </w:footnote>
  <w:footnote w:id="12">
    <w:p w14:paraId="2DD7CCED" w14:textId="77777777" w:rsidR="00AC7978" w:rsidRPr="00684F7E" w:rsidRDefault="00AC7978" w:rsidP="00EA1406">
      <w:pPr>
        <w:pStyle w:val="FootnoteText"/>
        <w:spacing w:after="0" w:line="240" w:lineRule="auto"/>
        <w:ind w:left="0" w:hanging="170"/>
        <w:rPr>
          <w:rFonts w:cs="Arial"/>
          <w:b/>
          <w:sz w:val="16"/>
          <w:szCs w:val="16"/>
        </w:rPr>
      </w:pPr>
      <w:r w:rsidRPr="00684F7E">
        <w:rPr>
          <w:rStyle w:val="FootnoteReference"/>
          <w:rFonts w:cs="Arial"/>
          <w:sz w:val="16"/>
          <w:szCs w:val="16"/>
        </w:rPr>
        <w:footnoteRef/>
      </w:r>
      <w:r w:rsidRPr="00684F7E">
        <w:rPr>
          <w:rFonts w:cs="Arial"/>
          <w:sz w:val="16"/>
          <w:szCs w:val="16"/>
        </w:rPr>
        <w:t xml:space="preserve"> See VLA Annual Report, above n </w:t>
      </w:r>
      <w:r w:rsidR="00684F7E" w:rsidRPr="00684F7E">
        <w:rPr>
          <w:rFonts w:cs="Arial"/>
          <w:sz w:val="16"/>
          <w:szCs w:val="16"/>
        </w:rPr>
        <w:fldChar w:fldCharType="begin"/>
      </w:r>
      <w:r w:rsidR="00684F7E" w:rsidRPr="00684F7E">
        <w:rPr>
          <w:rFonts w:cs="Arial"/>
          <w:sz w:val="16"/>
          <w:szCs w:val="16"/>
        </w:rPr>
        <w:instrText xml:space="preserve"> NOTEREF _Ref536638712 \h </w:instrText>
      </w:r>
      <w:r w:rsidR="00684F7E">
        <w:rPr>
          <w:rFonts w:cs="Arial"/>
          <w:sz w:val="16"/>
          <w:szCs w:val="16"/>
        </w:rPr>
        <w:instrText xml:space="preserve"> \* MERGEFORMAT </w:instrText>
      </w:r>
      <w:r w:rsidR="00684F7E" w:rsidRPr="00684F7E">
        <w:rPr>
          <w:rFonts w:cs="Arial"/>
          <w:sz w:val="16"/>
          <w:szCs w:val="16"/>
        </w:rPr>
      </w:r>
      <w:r w:rsidR="00684F7E" w:rsidRPr="00684F7E">
        <w:rPr>
          <w:rFonts w:cs="Arial"/>
          <w:sz w:val="16"/>
          <w:szCs w:val="16"/>
        </w:rPr>
        <w:fldChar w:fldCharType="separate"/>
      </w:r>
      <w:r w:rsidR="004B4765">
        <w:rPr>
          <w:rFonts w:cs="Arial"/>
          <w:sz w:val="16"/>
          <w:szCs w:val="16"/>
        </w:rPr>
        <w:t>2</w:t>
      </w:r>
      <w:r w:rsidR="00684F7E" w:rsidRPr="00684F7E">
        <w:rPr>
          <w:rFonts w:cs="Arial"/>
          <w:sz w:val="16"/>
          <w:szCs w:val="16"/>
        </w:rPr>
        <w:fldChar w:fldCharType="end"/>
      </w:r>
      <w:r w:rsidRPr="00684F7E">
        <w:rPr>
          <w:rFonts w:cs="Arial"/>
          <w:sz w:val="16"/>
          <w:szCs w:val="16"/>
        </w:rPr>
        <w:t>.</w:t>
      </w:r>
    </w:p>
  </w:footnote>
  <w:footnote w:id="13">
    <w:p w14:paraId="4ADD658E" w14:textId="77777777" w:rsidR="00AC7978" w:rsidRPr="00EA1406" w:rsidRDefault="00AC7978" w:rsidP="00EA1406">
      <w:pPr>
        <w:pStyle w:val="FootnoteText"/>
        <w:spacing w:after="0" w:line="240" w:lineRule="auto"/>
        <w:ind w:left="0" w:hanging="170"/>
        <w:rPr>
          <w:sz w:val="16"/>
          <w:szCs w:val="16"/>
        </w:rPr>
      </w:pPr>
      <w:r w:rsidRPr="00684F7E">
        <w:rPr>
          <w:rStyle w:val="FootnoteReference"/>
          <w:sz w:val="16"/>
          <w:szCs w:val="16"/>
        </w:rPr>
        <w:footnoteRef/>
      </w:r>
      <w:r w:rsidRPr="00684F7E">
        <w:rPr>
          <w:sz w:val="16"/>
          <w:szCs w:val="16"/>
        </w:rPr>
        <w:t xml:space="preserve"> See, eg, Ombudsman’s Report on Imprisonment of a Woman Found Unfit to Stand Trial, above n </w:t>
      </w:r>
      <w:r w:rsidR="00684F7E" w:rsidRPr="00684F7E">
        <w:rPr>
          <w:sz w:val="16"/>
          <w:szCs w:val="16"/>
        </w:rPr>
        <w:fldChar w:fldCharType="begin"/>
      </w:r>
      <w:r w:rsidR="00684F7E" w:rsidRPr="00684F7E">
        <w:rPr>
          <w:sz w:val="16"/>
          <w:szCs w:val="16"/>
        </w:rPr>
        <w:instrText xml:space="preserve"> NOTEREF _Ref536638726 \h </w:instrText>
      </w:r>
      <w:r w:rsidR="00684F7E">
        <w:rPr>
          <w:sz w:val="16"/>
          <w:szCs w:val="16"/>
        </w:rPr>
        <w:instrText xml:space="preserve"> \* MERGEFORMAT </w:instrText>
      </w:r>
      <w:r w:rsidR="00684F7E" w:rsidRPr="00684F7E">
        <w:rPr>
          <w:sz w:val="16"/>
          <w:szCs w:val="16"/>
        </w:rPr>
      </w:r>
      <w:r w:rsidR="00684F7E" w:rsidRPr="00684F7E">
        <w:rPr>
          <w:sz w:val="16"/>
          <w:szCs w:val="16"/>
        </w:rPr>
        <w:fldChar w:fldCharType="separate"/>
      </w:r>
      <w:r w:rsidR="004B4765">
        <w:rPr>
          <w:sz w:val="16"/>
          <w:szCs w:val="16"/>
        </w:rPr>
        <w:t>10</w:t>
      </w:r>
      <w:r w:rsidR="00684F7E" w:rsidRPr="00684F7E">
        <w:rPr>
          <w:sz w:val="16"/>
          <w:szCs w:val="16"/>
        </w:rPr>
        <w:fldChar w:fldCharType="end"/>
      </w:r>
      <w:r w:rsidRPr="00684F7E">
        <w:rPr>
          <w:sz w:val="16"/>
          <w:szCs w:val="16"/>
        </w:rPr>
        <w:t>.</w:t>
      </w:r>
      <w:r w:rsidRPr="00EA1406">
        <w:rPr>
          <w:sz w:val="16"/>
          <w:szCs w:val="16"/>
        </w:rPr>
        <w:t xml:space="preserve"> </w:t>
      </w:r>
    </w:p>
  </w:footnote>
  <w:footnote w:id="14">
    <w:p w14:paraId="2A8DE10A" w14:textId="77777777" w:rsidR="00AC7978" w:rsidRPr="00EA1406" w:rsidRDefault="00AC7978" w:rsidP="00EA1406">
      <w:pPr>
        <w:pStyle w:val="FootnoteText"/>
        <w:spacing w:after="0" w:line="240" w:lineRule="auto"/>
        <w:ind w:left="0" w:hanging="170"/>
        <w:rPr>
          <w:rFonts w:cs="Arial"/>
          <w:sz w:val="16"/>
          <w:szCs w:val="16"/>
        </w:rPr>
      </w:pPr>
      <w:r w:rsidRPr="00EA1406">
        <w:rPr>
          <w:rStyle w:val="FootnoteReference"/>
          <w:sz w:val="16"/>
          <w:szCs w:val="16"/>
        </w:rPr>
        <w:footnoteRef/>
      </w:r>
      <w:r w:rsidRPr="00EA1406">
        <w:rPr>
          <w:sz w:val="16"/>
          <w:szCs w:val="16"/>
        </w:rPr>
        <w:t xml:space="preserve"> See</w:t>
      </w:r>
      <w:r w:rsidRPr="00CD127E">
        <w:rPr>
          <w:sz w:val="16"/>
          <w:szCs w:val="16"/>
        </w:rPr>
        <w:t xml:space="preserve">, eg, Ombudsman’s </w:t>
      </w:r>
      <w:r w:rsidR="00CD127E" w:rsidRPr="00CD127E">
        <w:rPr>
          <w:sz w:val="16"/>
          <w:szCs w:val="16"/>
        </w:rPr>
        <w:t xml:space="preserve">Prison </w:t>
      </w:r>
      <w:r w:rsidRPr="00CD127E">
        <w:rPr>
          <w:sz w:val="16"/>
          <w:szCs w:val="16"/>
        </w:rPr>
        <w:t xml:space="preserve">Report, above n </w:t>
      </w:r>
      <w:r w:rsidR="00CD127E" w:rsidRPr="00CD127E">
        <w:rPr>
          <w:sz w:val="16"/>
          <w:szCs w:val="16"/>
        </w:rPr>
        <w:fldChar w:fldCharType="begin"/>
      </w:r>
      <w:r w:rsidR="00CD127E" w:rsidRPr="00CD127E">
        <w:rPr>
          <w:sz w:val="16"/>
          <w:szCs w:val="16"/>
        </w:rPr>
        <w:instrText xml:space="preserve"> NOTEREF _Ref536638940 \h </w:instrText>
      </w:r>
      <w:r w:rsidR="00CD127E">
        <w:rPr>
          <w:sz w:val="16"/>
          <w:szCs w:val="16"/>
        </w:rPr>
        <w:instrText xml:space="preserve"> \* MERGEFORMAT </w:instrText>
      </w:r>
      <w:r w:rsidR="00CD127E" w:rsidRPr="00CD127E">
        <w:rPr>
          <w:sz w:val="16"/>
          <w:szCs w:val="16"/>
        </w:rPr>
      </w:r>
      <w:r w:rsidR="00CD127E" w:rsidRPr="00CD127E">
        <w:rPr>
          <w:sz w:val="16"/>
          <w:szCs w:val="16"/>
        </w:rPr>
        <w:fldChar w:fldCharType="separate"/>
      </w:r>
      <w:r w:rsidR="004B4765">
        <w:rPr>
          <w:sz w:val="16"/>
          <w:szCs w:val="16"/>
        </w:rPr>
        <w:t>11</w:t>
      </w:r>
      <w:r w:rsidR="00CD127E" w:rsidRPr="00CD127E">
        <w:rPr>
          <w:sz w:val="16"/>
          <w:szCs w:val="16"/>
        </w:rPr>
        <w:fldChar w:fldCharType="end"/>
      </w:r>
      <w:r w:rsidRPr="00CD127E">
        <w:rPr>
          <w:sz w:val="16"/>
          <w:szCs w:val="16"/>
        </w:rPr>
        <w:t xml:space="preserve">, 6. </w:t>
      </w:r>
    </w:p>
  </w:footnote>
  <w:footnote w:id="15">
    <w:p w14:paraId="1FFEF80E" w14:textId="77777777" w:rsidR="00AC7978" w:rsidRPr="00EA1406" w:rsidRDefault="00AC7978" w:rsidP="00EA1406">
      <w:pPr>
        <w:pStyle w:val="FootnoteText"/>
        <w:spacing w:after="0" w:line="240" w:lineRule="auto"/>
        <w:ind w:left="0" w:hanging="170"/>
        <w:rPr>
          <w:sz w:val="16"/>
          <w:szCs w:val="16"/>
        </w:rPr>
      </w:pPr>
      <w:r w:rsidRPr="00EA1406">
        <w:rPr>
          <w:rStyle w:val="FootnoteReference"/>
          <w:sz w:val="16"/>
          <w:szCs w:val="16"/>
        </w:rPr>
        <w:footnoteRef/>
      </w:r>
      <w:r w:rsidRPr="00EA1406">
        <w:rPr>
          <w:sz w:val="16"/>
          <w:szCs w:val="16"/>
        </w:rPr>
        <w:t xml:space="preserve"> Department of Justice and Regulation (VIC), </w:t>
      </w:r>
      <w:r w:rsidRPr="00EA1406">
        <w:rPr>
          <w:i/>
          <w:sz w:val="16"/>
          <w:szCs w:val="16"/>
        </w:rPr>
        <w:t>Youth Parole Board Annual Report</w:t>
      </w:r>
      <w:r w:rsidRPr="00EA1406">
        <w:rPr>
          <w:sz w:val="16"/>
          <w:szCs w:val="16"/>
        </w:rPr>
        <w:t xml:space="preserve"> (2018) x</w:t>
      </w:r>
      <w:r w:rsidR="00CD127E">
        <w:rPr>
          <w:sz w:val="16"/>
          <w:szCs w:val="16"/>
        </w:rPr>
        <w:t xml:space="preserve"> and 15</w:t>
      </w:r>
      <w:r w:rsidRPr="00EA1406">
        <w:rPr>
          <w:sz w:val="16"/>
          <w:szCs w:val="16"/>
        </w:rPr>
        <w:t xml:space="preserve">. </w:t>
      </w:r>
    </w:p>
  </w:footnote>
  <w:footnote w:id="16">
    <w:p w14:paraId="137EE623" w14:textId="77777777" w:rsidR="00AC7978" w:rsidRPr="00EA1406" w:rsidRDefault="00AC7978" w:rsidP="00EA1406">
      <w:pPr>
        <w:pStyle w:val="FootnoteText"/>
        <w:spacing w:after="0" w:line="240" w:lineRule="auto"/>
        <w:ind w:left="0" w:hanging="170"/>
        <w:rPr>
          <w:sz w:val="16"/>
          <w:szCs w:val="16"/>
        </w:rPr>
      </w:pPr>
      <w:r w:rsidRPr="00EA1406">
        <w:rPr>
          <w:rStyle w:val="FootnoteReference"/>
          <w:sz w:val="16"/>
          <w:szCs w:val="16"/>
        </w:rPr>
        <w:footnoteRef/>
      </w:r>
      <w:r w:rsidRPr="00EA1406">
        <w:rPr>
          <w:sz w:val="16"/>
          <w:szCs w:val="16"/>
        </w:rPr>
        <w:t xml:space="preserve"> Victorian Auditor-General’s Office, </w:t>
      </w:r>
      <w:r w:rsidRPr="00EA1406">
        <w:rPr>
          <w:i/>
          <w:sz w:val="16"/>
          <w:szCs w:val="16"/>
        </w:rPr>
        <w:t xml:space="preserve">Managing Rehabilitation Services in Youth Detention </w:t>
      </w:r>
      <w:r w:rsidRPr="00EA1406">
        <w:rPr>
          <w:sz w:val="16"/>
          <w:szCs w:val="16"/>
        </w:rPr>
        <w:t xml:space="preserve">(August 2018). </w:t>
      </w:r>
    </w:p>
  </w:footnote>
  <w:footnote w:id="17">
    <w:p w14:paraId="064F9746" w14:textId="77777777" w:rsidR="00AC7978" w:rsidRPr="00EA1406" w:rsidRDefault="00AC7978" w:rsidP="00EA1406">
      <w:pPr>
        <w:pStyle w:val="FootnoteText"/>
        <w:spacing w:after="0" w:line="240" w:lineRule="auto"/>
        <w:ind w:left="0" w:hanging="170"/>
        <w:rPr>
          <w:sz w:val="16"/>
          <w:szCs w:val="16"/>
        </w:rPr>
      </w:pPr>
      <w:r w:rsidRPr="00EA1406">
        <w:rPr>
          <w:rStyle w:val="FootnoteReference"/>
          <w:sz w:val="16"/>
          <w:szCs w:val="16"/>
        </w:rPr>
        <w:footnoteRef/>
      </w:r>
      <w:r w:rsidRPr="00EA1406">
        <w:rPr>
          <w:sz w:val="16"/>
          <w:szCs w:val="16"/>
        </w:rPr>
        <w:t xml:space="preserve"> Office of the Public Advocate, </w:t>
      </w:r>
      <w:r w:rsidRPr="00EA1406">
        <w:rPr>
          <w:i/>
          <w:sz w:val="16"/>
          <w:szCs w:val="16"/>
        </w:rPr>
        <w:t>Rebuilding the village: Supporting families where a parent has a disability</w:t>
      </w:r>
      <w:r w:rsidRPr="00EA1406">
        <w:rPr>
          <w:sz w:val="16"/>
          <w:szCs w:val="16"/>
        </w:rPr>
        <w:t xml:space="preserve">, Report 2: Child Protection (2015). </w:t>
      </w:r>
    </w:p>
  </w:footnote>
  <w:footnote w:id="18">
    <w:p w14:paraId="366B01A4" w14:textId="77777777" w:rsidR="00AC7978" w:rsidRPr="00EA1406" w:rsidRDefault="00AC7978" w:rsidP="00EA1406">
      <w:pPr>
        <w:pStyle w:val="FootnoteText"/>
        <w:spacing w:after="0" w:line="240" w:lineRule="auto"/>
        <w:ind w:left="0" w:hanging="170"/>
        <w:rPr>
          <w:sz w:val="16"/>
          <w:szCs w:val="16"/>
        </w:rPr>
      </w:pPr>
      <w:r w:rsidRPr="00EA1406">
        <w:rPr>
          <w:rStyle w:val="FootnoteReference"/>
          <w:sz w:val="16"/>
          <w:szCs w:val="16"/>
        </w:rPr>
        <w:footnoteRef/>
      </w:r>
      <w:r w:rsidRPr="00EA1406">
        <w:rPr>
          <w:sz w:val="16"/>
          <w:szCs w:val="16"/>
        </w:rPr>
        <w:t xml:space="preserve"> See, eg, VLA’s cases </w:t>
      </w:r>
      <w:r w:rsidRPr="00EA1406">
        <w:rPr>
          <w:i/>
          <w:sz w:val="16"/>
          <w:szCs w:val="16"/>
        </w:rPr>
        <w:t>Ella Ingram v QBE Insurance (Australia) Ltd</w:t>
      </w:r>
      <w:r w:rsidRPr="00EA1406">
        <w:rPr>
          <w:sz w:val="16"/>
          <w:szCs w:val="16"/>
        </w:rPr>
        <w:t xml:space="preserve"> [2015] VCAT No H107/2014 (18 December 2015) regarding discrimination by insurance companies in relation to mental health issues; </w:t>
      </w:r>
      <w:r w:rsidRPr="00EA1406">
        <w:rPr>
          <w:i/>
          <w:sz w:val="16"/>
          <w:szCs w:val="16"/>
        </w:rPr>
        <w:t>Slattery v Manningham CC</w:t>
      </w:r>
      <w:r w:rsidRPr="00EA1406">
        <w:rPr>
          <w:sz w:val="16"/>
          <w:szCs w:val="16"/>
        </w:rPr>
        <w:t xml:space="preserve"> (Human Rights) [2013] VCAT 1869 regarding mental health discrimination by a council</w:t>
      </w:r>
      <w:r w:rsidR="00C12055">
        <w:rPr>
          <w:sz w:val="16"/>
          <w:szCs w:val="16"/>
        </w:rPr>
        <w:t>.  See also</w:t>
      </w:r>
      <w:r w:rsidRPr="00EA1406">
        <w:rPr>
          <w:sz w:val="16"/>
          <w:szCs w:val="16"/>
        </w:rPr>
        <w:t xml:space="preserve"> Victoria Legal Aid, </w:t>
      </w:r>
      <w:r w:rsidRPr="00EA1406">
        <w:rPr>
          <w:i/>
          <w:sz w:val="16"/>
          <w:szCs w:val="16"/>
        </w:rPr>
        <w:t>Submission to the Australian Human Rights Commission, Willing to Work: National Inquiry into Employment Discrimination against Older Australians and Australians with Disability</w:t>
      </w:r>
      <w:r w:rsidRPr="00EA1406">
        <w:rPr>
          <w:sz w:val="16"/>
          <w:szCs w:val="16"/>
        </w:rPr>
        <w:t xml:space="preserve"> (December 2015) (available at: </w:t>
      </w:r>
      <w:hyperlink r:id="rId5" w:anchor="Willing_to_Work_Inquiry" w:history="1">
        <w:r w:rsidR="00C12055" w:rsidRPr="004E0ED7">
          <w:rPr>
            <w:rStyle w:val="Hyperlink"/>
            <w:sz w:val="16"/>
            <w:szCs w:val="16"/>
          </w:rPr>
          <w:t>https://www.legalaid.vic.gov.au/about-us/strategic-advocacy-and-law-reform/other-activities#Willing_to_Work_Inquiry</w:t>
        </w:r>
      </w:hyperlink>
      <w:r w:rsidR="00C12055">
        <w:rPr>
          <w:sz w:val="16"/>
          <w:szCs w:val="16"/>
        </w:rPr>
        <w:t>)</w:t>
      </w:r>
      <w:r w:rsidRPr="00EA1406">
        <w:rPr>
          <w:sz w:val="16"/>
          <w:szCs w:val="16"/>
        </w:rPr>
        <w:t xml:space="preserve">. </w:t>
      </w:r>
    </w:p>
  </w:footnote>
  <w:footnote w:id="19">
    <w:p w14:paraId="422AC6AC" w14:textId="77777777" w:rsidR="00AC7978" w:rsidRPr="00EA1406" w:rsidRDefault="00AC7978" w:rsidP="00EA1406">
      <w:pPr>
        <w:pStyle w:val="FootnoteText"/>
        <w:spacing w:after="0" w:line="240" w:lineRule="auto"/>
        <w:ind w:left="0" w:hanging="170"/>
        <w:rPr>
          <w:sz w:val="16"/>
          <w:szCs w:val="16"/>
        </w:rPr>
      </w:pPr>
      <w:r w:rsidRPr="00EA1406">
        <w:rPr>
          <w:rStyle w:val="FootnoteReference"/>
          <w:sz w:val="16"/>
          <w:szCs w:val="16"/>
        </w:rPr>
        <w:footnoteRef/>
      </w:r>
      <w:r w:rsidRPr="00EA1406">
        <w:rPr>
          <w:sz w:val="16"/>
          <w:szCs w:val="16"/>
        </w:rPr>
        <w:t xml:space="preserve"> In 2017–18, VLA provided over 2000 advices on infringements matters, and representation at the Magistrates’ Court Special Circumstances List in over 3000 cases for over 2000 clients. </w:t>
      </w:r>
    </w:p>
  </w:footnote>
  <w:footnote w:id="20">
    <w:p w14:paraId="7E148301" w14:textId="77777777" w:rsidR="00AC7978" w:rsidRPr="00EA1406" w:rsidRDefault="00AC7978" w:rsidP="00EA1406">
      <w:pPr>
        <w:pStyle w:val="FootnoteText"/>
        <w:spacing w:after="0" w:line="240" w:lineRule="auto"/>
        <w:ind w:left="0" w:hanging="170"/>
        <w:rPr>
          <w:sz w:val="16"/>
          <w:szCs w:val="16"/>
        </w:rPr>
      </w:pPr>
      <w:r w:rsidRPr="00EA1406">
        <w:rPr>
          <w:rStyle w:val="FootnoteReference"/>
          <w:sz w:val="16"/>
          <w:szCs w:val="16"/>
        </w:rPr>
        <w:footnoteRef/>
      </w:r>
      <w:r w:rsidRPr="00EA1406">
        <w:rPr>
          <w:sz w:val="16"/>
          <w:szCs w:val="16"/>
        </w:rPr>
        <w:t xml:space="preserve"> See, eg, Victoria Legal Aid, </w:t>
      </w:r>
      <w:r w:rsidRPr="00EA1406">
        <w:rPr>
          <w:i/>
          <w:sz w:val="16"/>
          <w:szCs w:val="16"/>
        </w:rPr>
        <w:t>State of Trust: Making sure State Trustees protects and promotes the rights of Victorians with disability</w:t>
      </w:r>
      <w:r w:rsidRPr="00EA1406">
        <w:rPr>
          <w:sz w:val="16"/>
          <w:szCs w:val="16"/>
        </w:rPr>
        <w:t xml:space="preserve"> (September 2018) (available at: </w:t>
      </w:r>
      <w:hyperlink r:id="rId6" w:history="1">
        <w:r w:rsidRPr="00EA1406">
          <w:rPr>
            <w:rStyle w:val="Hyperlink"/>
            <w:sz w:val="16"/>
            <w:szCs w:val="16"/>
          </w:rPr>
          <w:t>http://www.legalaid.vic.gov.au/about-us/news/our-report-for-victorian-ombudsmans-investigation-into-state-trustees</w:t>
        </w:r>
      </w:hyperlink>
      <w:r w:rsidRPr="00EA1406">
        <w:rPr>
          <w:sz w:val="16"/>
          <w:szCs w:val="16"/>
        </w:rPr>
        <w:t>). In the 2017–18 financial year, for example, we provided nearly 500 advices to over 250 people about administration orders; and legal information about administration orders in over 300 cases.</w:t>
      </w:r>
    </w:p>
  </w:footnote>
  <w:footnote w:id="21">
    <w:p w14:paraId="73F2CB59" w14:textId="77777777" w:rsidR="00F96494" w:rsidRPr="00EA1406" w:rsidRDefault="00F96494" w:rsidP="00F96494">
      <w:pPr>
        <w:pStyle w:val="FootnoteText"/>
        <w:spacing w:after="0" w:line="240" w:lineRule="auto"/>
        <w:ind w:left="0" w:hanging="170"/>
        <w:rPr>
          <w:sz w:val="16"/>
          <w:szCs w:val="16"/>
        </w:rPr>
      </w:pPr>
      <w:r w:rsidRPr="00EA1406">
        <w:rPr>
          <w:rStyle w:val="FootnoteReference"/>
          <w:sz w:val="16"/>
          <w:szCs w:val="16"/>
        </w:rPr>
        <w:footnoteRef/>
      </w:r>
      <w:r w:rsidRPr="00EA1406">
        <w:rPr>
          <w:sz w:val="16"/>
          <w:szCs w:val="16"/>
        </w:rPr>
        <w:t xml:space="preserve"> </w:t>
      </w:r>
      <w:r>
        <w:rPr>
          <w:sz w:val="16"/>
          <w:szCs w:val="16"/>
        </w:rPr>
        <w:t xml:space="preserve">See, eg, </w:t>
      </w:r>
      <w:r w:rsidR="00E51DFA" w:rsidRPr="00E51DFA">
        <w:rPr>
          <w:sz w:val="16"/>
          <w:szCs w:val="16"/>
        </w:rPr>
        <w:t xml:space="preserve">Health Justice Australia, ‘Mapping a New Path: The Health Justice Landscape’ (2018) </w:t>
      </w:r>
      <w:r w:rsidR="00E51DFA">
        <w:rPr>
          <w:sz w:val="16"/>
          <w:szCs w:val="16"/>
        </w:rPr>
        <w:t xml:space="preserve">(available at: </w:t>
      </w:r>
      <w:hyperlink r:id="rId7" w:history="1">
        <w:r w:rsidR="006E3DAA" w:rsidRPr="004E0ED7">
          <w:rPr>
            <w:rStyle w:val="Hyperlink"/>
            <w:sz w:val="16"/>
            <w:szCs w:val="16"/>
          </w:rPr>
          <w:t>https://www.healthjustice.org.au/wp-content/uploads/2018/08/Health-Justice-Australia-Mapping-a-new-path.pdf</w:t>
        </w:r>
      </w:hyperlink>
      <w:r w:rsidR="00E51DFA">
        <w:rPr>
          <w:sz w:val="16"/>
          <w:szCs w:val="16"/>
        </w:rPr>
        <w:t>);</w:t>
      </w:r>
      <w:r w:rsidR="00E51DFA" w:rsidRPr="00E51DFA">
        <w:rPr>
          <w:sz w:val="16"/>
          <w:szCs w:val="16"/>
        </w:rPr>
        <w:t xml:space="preserve"> </w:t>
      </w:r>
      <w:r w:rsidR="006E3DAA">
        <w:rPr>
          <w:sz w:val="16"/>
          <w:szCs w:val="16"/>
        </w:rPr>
        <w:t xml:space="preserve">State Government of Victoria, Access to Justice Review Report and Recommendations (August 2016) (available at: </w:t>
      </w:r>
      <w:hyperlink r:id="rId8" w:history="1">
        <w:r w:rsidR="006E3DAA" w:rsidRPr="004E0ED7">
          <w:rPr>
            <w:rStyle w:val="Hyperlink"/>
            <w:sz w:val="16"/>
            <w:szCs w:val="16"/>
          </w:rPr>
          <w:t>https://engage.vic.gov.au/accesstojustice</w:t>
        </w:r>
      </w:hyperlink>
      <w:r w:rsidR="006E3DAA">
        <w:rPr>
          <w:sz w:val="16"/>
          <w:szCs w:val="16"/>
        </w:rPr>
        <w:t xml:space="preserve">); Victoria Legal Aid, ‘Mallee region to benefit from health justice partnership’ (December 2016) (available at: </w:t>
      </w:r>
      <w:hyperlink r:id="rId9" w:history="1">
        <w:r w:rsidR="006E3DAA" w:rsidRPr="004E0ED7">
          <w:rPr>
            <w:rStyle w:val="Hyperlink"/>
            <w:sz w:val="16"/>
            <w:szCs w:val="16"/>
          </w:rPr>
          <w:t>https://www.legalaid.vic.gov.au/about-us/news/mallee-region-to-benefit-from-health-justice-partnership</w:t>
        </w:r>
      </w:hyperlink>
      <w:r w:rsidR="006E3DAA">
        <w:rPr>
          <w:sz w:val="16"/>
          <w:szCs w:val="16"/>
        </w:rPr>
        <w:t xml:space="preserve">). </w:t>
      </w:r>
    </w:p>
  </w:footnote>
  <w:footnote w:id="22">
    <w:p w14:paraId="44701DA0" w14:textId="77777777" w:rsidR="00AC7978" w:rsidRPr="00EA1406" w:rsidRDefault="00AC7978" w:rsidP="00EA1406">
      <w:pPr>
        <w:pStyle w:val="FootnoteText"/>
        <w:spacing w:after="0" w:line="240" w:lineRule="auto"/>
        <w:ind w:left="0" w:hanging="170"/>
        <w:rPr>
          <w:sz w:val="16"/>
          <w:szCs w:val="16"/>
        </w:rPr>
      </w:pPr>
      <w:r w:rsidRPr="00EA1406">
        <w:rPr>
          <w:rStyle w:val="FootnoteReference"/>
          <w:sz w:val="16"/>
          <w:szCs w:val="16"/>
        </w:rPr>
        <w:footnoteRef/>
      </w:r>
      <w:r w:rsidRPr="00EA1406">
        <w:rPr>
          <w:sz w:val="16"/>
          <w:szCs w:val="16"/>
        </w:rPr>
        <w:t xml:space="preserve"> See also Terms of Reference in the Royal Commission into Aged Care Quality and Safety (available at: </w:t>
      </w:r>
      <w:hyperlink r:id="rId10" w:history="1">
        <w:r w:rsidR="008214D6" w:rsidRPr="004E0ED7">
          <w:rPr>
            <w:rStyle w:val="Hyperlink"/>
            <w:sz w:val="16"/>
            <w:szCs w:val="16"/>
          </w:rPr>
          <w:t>https://agedcare.royalcommission.gov.au/Pages/default.aspx</w:t>
        </w:r>
      </w:hyperlink>
      <w:r w:rsidRPr="00EA1406">
        <w:rPr>
          <w:sz w:val="16"/>
          <w:szCs w:val="16"/>
        </w:rPr>
        <w:t>).</w:t>
      </w:r>
    </w:p>
  </w:footnote>
  <w:footnote w:id="23">
    <w:p w14:paraId="1C2D6C8D" w14:textId="77777777" w:rsidR="00A9190F" w:rsidRPr="00EA1406" w:rsidRDefault="00A9190F" w:rsidP="00A9190F">
      <w:pPr>
        <w:keepNext/>
        <w:keepLines/>
        <w:spacing w:after="0" w:line="240" w:lineRule="auto"/>
        <w:ind w:hanging="170"/>
        <w:rPr>
          <w:sz w:val="16"/>
          <w:szCs w:val="16"/>
        </w:rPr>
      </w:pPr>
      <w:r w:rsidRPr="00EA1406">
        <w:rPr>
          <w:rStyle w:val="FootnoteReference"/>
          <w:sz w:val="16"/>
          <w:szCs w:val="16"/>
        </w:rPr>
        <w:footnoteRef/>
      </w:r>
      <w:r w:rsidRPr="00EA1406">
        <w:rPr>
          <w:sz w:val="16"/>
          <w:szCs w:val="16"/>
        </w:rPr>
        <w:t xml:space="preserve"> Mental Health Complaints Commissioner, </w:t>
      </w:r>
      <w:r w:rsidRPr="00EA1406">
        <w:rPr>
          <w:i/>
          <w:sz w:val="16"/>
          <w:szCs w:val="16"/>
        </w:rPr>
        <w:t>Annual Report</w:t>
      </w:r>
      <w:r w:rsidRPr="00EA1406">
        <w:rPr>
          <w:sz w:val="16"/>
          <w:szCs w:val="16"/>
        </w:rPr>
        <w:t xml:space="preserve"> (2018) 45, 49 and 51. The Mental Health Complaints Commissioner’s 2017-18 Annual Report recommends: Gender-sensitive and trauma-informed practice; piloting and evaluating single-gender units, prioritising the piloting of women-only units; and support services to implement trauma-informed care and supported decision making as primary prevention strategies to prevent sexual safety breaches. </w:t>
      </w:r>
    </w:p>
  </w:footnote>
  <w:footnote w:id="24">
    <w:p w14:paraId="15AA2681" w14:textId="77777777" w:rsidR="00AC7978" w:rsidRPr="00EA1406" w:rsidRDefault="00AC7978" w:rsidP="00EA1406">
      <w:pPr>
        <w:pStyle w:val="FootnoteText"/>
        <w:spacing w:after="0" w:line="240" w:lineRule="auto"/>
        <w:ind w:left="0" w:hanging="170"/>
        <w:rPr>
          <w:sz w:val="16"/>
          <w:szCs w:val="16"/>
        </w:rPr>
      </w:pPr>
      <w:r w:rsidRPr="00EA1406">
        <w:rPr>
          <w:rStyle w:val="FootnoteReference"/>
          <w:sz w:val="16"/>
          <w:szCs w:val="16"/>
        </w:rPr>
        <w:footnoteRef/>
      </w:r>
      <w:r w:rsidRPr="00EA1406">
        <w:rPr>
          <w:sz w:val="16"/>
          <w:szCs w:val="16"/>
        </w:rPr>
        <w:t xml:space="preserve"> See </w:t>
      </w:r>
      <w:r w:rsidRPr="00EA1406">
        <w:rPr>
          <w:i/>
          <w:sz w:val="16"/>
          <w:szCs w:val="16"/>
        </w:rPr>
        <w:t>Targeting Zero: Supporting the Victorian hospital system to eliminate avoidable harm and strengthen quality of care</w:t>
      </w:r>
      <w:r w:rsidRPr="00EA1406">
        <w:rPr>
          <w:sz w:val="16"/>
          <w:szCs w:val="16"/>
        </w:rPr>
        <w:t xml:space="preserve">, Report of the Review of Hospital Safety and Quality Assurance in Victoria (2016) (available at: </w:t>
      </w:r>
      <w:hyperlink r:id="rId11" w:history="1">
        <w:r w:rsidRPr="00EA1406">
          <w:rPr>
            <w:rStyle w:val="Hyperlink"/>
            <w:sz w:val="16"/>
            <w:szCs w:val="16"/>
          </w:rPr>
          <w:t>https://grattan.edu.au/wp-content/uploads/2016/10/Hospital-Safety-and-Quality-Assurance-in-Victoria.pdf</w:t>
        </w:r>
      </w:hyperlink>
      <w:r w:rsidRPr="00EA1406">
        <w:rPr>
          <w:sz w:val="16"/>
          <w:szCs w:val="16"/>
        </w:rPr>
        <w:t xml:space="preserve">); Victoria State Government, </w:t>
      </w:r>
      <w:r w:rsidRPr="00EA1406">
        <w:rPr>
          <w:i/>
          <w:sz w:val="16"/>
          <w:szCs w:val="16"/>
        </w:rPr>
        <w:t>Better, Safer Care: Delivering a world-leading healthcare system</w:t>
      </w:r>
      <w:r w:rsidRPr="00EA1406">
        <w:rPr>
          <w:sz w:val="16"/>
          <w:szCs w:val="16"/>
        </w:rPr>
        <w:t xml:space="preserve"> (October 2016) (available at: </w:t>
      </w:r>
      <w:hyperlink r:id="rId12" w:history="1">
        <w:r w:rsidR="00FA3A66" w:rsidRPr="004E0ED7">
          <w:rPr>
            <w:rStyle w:val="Hyperlink"/>
            <w:sz w:val="16"/>
            <w:szCs w:val="16"/>
          </w:rPr>
          <w:t>https://www2.health.vic.gov.au/hospitals-and-health-services/quality-safety-service/hospital-safety-and-quality-review</w:t>
        </w:r>
      </w:hyperlink>
      <w:r w:rsidRPr="00EA1406">
        <w:rPr>
          <w:sz w:val="16"/>
          <w:szCs w:val="16"/>
        </w:rPr>
        <w:t xml:space="preserve">). </w:t>
      </w:r>
    </w:p>
  </w:footnote>
  <w:footnote w:id="25">
    <w:p w14:paraId="3B93EF11" w14:textId="77777777" w:rsidR="00AC7978" w:rsidRPr="00EA1406" w:rsidRDefault="00AC7978" w:rsidP="00EA1406">
      <w:pPr>
        <w:pStyle w:val="FootnoteText"/>
        <w:spacing w:after="0" w:line="240" w:lineRule="auto"/>
        <w:ind w:left="0" w:hanging="170"/>
        <w:rPr>
          <w:sz w:val="16"/>
          <w:szCs w:val="16"/>
        </w:rPr>
      </w:pPr>
      <w:r w:rsidRPr="00EA1406">
        <w:rPr>
          <w:rStyle w:val="FootnoteReference"/>
          <w:sz w:val="16"/>
          <w:szCs w:val="16"/>
        </w:rPr>
        <w:footnoteRef/>
      </w:r>
      <w:r w:rsidRPr="00EA1406">
        <w:rPr>
          <w:sz w:val="16"/>
          <w:szCs w:val="16"/>
        </w:rPr>
        <w:t xml:space="preserve"> See, eg, IMHA Evaluation Report, above n </w:t>
      </w:r>
      <w:r w:rsidRPr="00EA1406">
        <w:rPr>
          <w:sz w:val="16"/>
          <w:szCs w:val="16"/>
        </w:rPr>
        <w:fldChar w:fldCharType="begin"/>
      </w:r>
      <w:r w:rsidRPr="00EA1406">
        <w:rPr>
          <w:sz w:val="16"/>
          <w:szCs w:val="16"/>
        </w:rPr>
        <w:instrText xml:space="preserve"> NOTEREF _Ref536524275 \h  \* MERGEFORMAT </w:instrText>
      </w:r>
      <w:r w:rsidRPr="00EA1406">
        <w:rPr>
          <w:sz w:val="16"/>
          <w:szCs w:val="16"/>
        </w:rPr>
      </w:r>
      <w:r w:rsidRPr="00EA1406">
        <w:rPr>
          <w:sz w:val="16"/>
          <w:szCs w:val="16"/>
        </w:rPr>
        <w:fldChar w:fldCharType="separate"/>
      </w:r>
      <w:r w:rsidR="004B4765">
        <w:rPr>
          <w:sz w:val="16"/>
          <w:szCs w:val="16"/>
        </w:rPr>
        <w:t>4</w:t>
      </w:r>
      <w:r w:rsidRPr="00EA1406">
        <w:rPr>
          <w:sz w:val="16"/>
          <w:szCs w:val="16"/>
        </w:rPr>
        <w:fldChar w:fldCharType="end"/>
      </w:r>
      <w:r w:rsidRPr="00EA1406">
        <w:rPr>
          <w:sz w:val="16"/>
          <w:szCs w:val="16"/>
        </w:rPr>
        <w:t>, which is both a source of evidence for the RCMH and an example of work that was co-produced and privileges consumer voices.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26FF3" w14:textId="77777777" w:rsidR="00AC7978" w:rsidRDefault="00AC7978">
    <w:pPr>
      <w:pStyle w:val="Header"/>
    </w:pPr>
    <w:r>
      <w:rPr>
        <w:noProof/>
      </w:rPr>
      <mc:AlternateContent>
        <mc:Choice Requires="wps">
          <w:drawing>
            <wp:anchor distT="0" distB="0" distL="114300" distR="114300" simplePos="0" relativeHeight="251657216" behindDoc="1" locked="0" layoutInCell="0" allowOverlap="1" wp14:anchorId="3B698934" wp14:editId="5AC172CB">
              <wp:simplePos x="0" y="0"/>
              <wp:positionH relativeFrom="margin">
                <wp:align>center</wp:align>
              </wp:positionH>
              <wp:positionV relativeFrom="margin">
                <wp:align>center</wp:align>
              </wp:positionV>
              <wp:extent cx="1085850" cy="714375"/>
              <wp:effectExtent l="38100" t="200025" r="0" b="152400"/>
              <wp:wrapNone/>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1085850" cy="714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6D3921B" w14:textId="77777777" w:rsidR="00AC7978" w:rsidRDefault="00AC7978" w:rsidP="00D834E4">
                          <w:pPr>
                            <w:pStyle w:val="NormalWeb"/>
                            <w:spacing w:before="0" w:beforeAutospacing="0" w:after="0" w:afterAutospacing="0"/>
                            <w:jc w:val="center"/>
                          </w:pPr>
                          <w:r>
                            <w:rPr>
                              <w:rFonts w:ascii="Arial Narrow" w:hAnsi="Arial Narrow"/>
                              <w:color w:val="C0C0C0"/>
                              <w:sz w:val="96"/>
                              <w:szCs w:val="96"/>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B698934" id="_x0000_t202" coordsize="21600,21600" o:spt="202" path="m,l,21600r21600,l21600,xe">
              <v:stroke joinstyle="miter"/>
              <v:path gradientshapeok="t" o:connecttype="rect"/>
            </v:shapetype>
            <v:shape id="WordArt 3" o:spid="_x0000_s1026" type="#_x0000_t202" style="position:absolute;margin-left:0;margin-top:0;width:85.5pt;height:56.2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" o:allowincell="f" filled="f" stroked="f">
              <v:stroke joinstyle="round"/>
              <o:lock v:ext="edit" shapetype="t"/>
              <v:textbox style="mso-fit-shape-to-text:t">
                <w:txbxContent>
                  <w:p w14:paraId="06D3921B" w14:textId="77777777" w:rsidR="00AC7978" w:rsidRDefault="00AC7978" w:rsidP="00D834E4">
                    <w:pPr>
                      <w:pStyle w:val="NormalWeb"/>
                      <w:spacing w:before="0" w:beforeAutospacing="0" w:after="0" w:afterAutospacing="0"/>
                      <w:jc w:val="center"/>
                    </w:pPr>
                    <w:r>
                      <w:rPr>
                        <w:rFonts w:ascii="Arial Narrow" w:hAnsi="Arial Narrow"/>
                        <w:color w:val="C0C0C0"/>
                        <w:sz w:val="96"/>
                        <w:szCs w:val="96"/>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22023" w14:textId="77777777" w:rsidR="00AC7978" w:rsidRPr="009F7B2D" w:rsidRDefault="00AC7978" w:rsidP="004E0688">
    <w:pPr>
      <w:pStyle w:val="Header"/>
      <w:jc w:val="right"/>
    </w:pPr>
    <w:r>
      <w:rPr>
        <w:noProof/>
        <w:lang w:val="en-US"/>
      </w:rPr>
      <w:drawing>
        <wp:inline distT="0" distB="0" distL="0" distR="0" wp14:anchorId="4A5DCCF5" wp14:editId="0B8CAC79">
          <wp:extent cx="1806575" cy="1445260"/>
          <wp:effectExtent l="0" t="0" r="3175" b="2540"/>
          <wp:docPr id="4" name="Picture 4" descr="vl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6575" cy="14452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7A5DC" w14:textId="77777777" w:rsidR="00AC7978" w:rsidRDefault="00AC7978" w:rsidP="006E2882">
    <w:pPr>
      <w:spacing w:before="400"/>
      <w:jc w:val="right"/>
    </w:pPr>
    <w:r>
      <w:rPr>
        <w:noProof/>
        <w:lang w:val="en-US"/>
      </w:rPr>
      <w:drawing>
        <wp:inline distT="0" distB="0" distL="0" distR="0" wp14:anchorId="2EC14CCA" wp14:editId="48ABA904">
          <wp:extent cx="2706370" cy="434975"/>
          <wp:effectExtent l="0" t="0" r="0" b="3175"/>
          <wp:docPr id="5" name="Picture 5" descr="vla_logo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la_logo_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6370" cy="43497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9B0FF" w14:textId="77777777" w:rsidR="00AC7978" w:rsidRPr="009F7B2D" w:rsidRDefault="00AC7978" w:rsidP="005375A4"/>
  <w:p w14:paraId="7F782496" w14:textId="77777777" w:rsidR="00AC7978" w:rsidRDefault="00AC797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3F6DB" w14:textId="77777777" w:rsidR="00AC7978" w:rsidRPr="009F7B2D" w:rsidRDefault="00AC7978" w:rsidP="007538C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3FD78" w14:textId="77777777" w:rsidR="00AC7978" w:rsidRDefault="00AC7978"/>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A57CD" w14:textId="77777777" w:rsidR="00AC7978" w:rsidRPr="00665568" w:rsidRDefault="00AC7978" w:rsidP="00161EEF">
    <w:pPr>
      <w:pStyle w:val="Header"/>
      <w:tabs>
        <w:tab w:val="clear" w:pos="4604"/>
        <w:tab w:val="clear" w:pos="921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07BF2"/>
    <w:multiLevelType w:val="hybridMultilevel"/>
    <w:tmpl w:val="68FAD50C"/>
    <w:lvl w:ilvl="0" w:tplc="0C090001">
      <w:start w:val="1"/>
      <w:numFmt w:val="bullet"/>
      <w:lvlText w:val=""/>
      <w:lvlJc w:val="left"/>
      <w:pPr>
        <w:ind w:left="720" w:hanging="360"/>
      </w:pPr>
      <w:rPr>
        <w:rFonts w:ascii="Symbol" w:hAnsi="Symbol" w:hint="default"/>
      </w:rPr>
    </w:lvl>
    <w:lvl w:ilvl="1" w:tplc="CEC864C0">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8706E1"/>
    <w:multiLevelType w:val="multilevel"/>
    <w:tmpl w:val="0B38D6A2"/>
    <w:name w:val="VLA Bullet Lis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2" w15:restartNumberingAfterBreak="0">
    <w:nsid w:val="16EA4709"/>
    <w:multiLevelType w:val="hybridMultilevel"/>
    <w:tmpl w:val="E69CA864"/>
    <w:lvl w:ilvl="0" w:tplc="CEC864C0">
      <w:start w:val="1"/>
      <w:numFmt w:val="bullet"/>
      <w:lvlText w:val="-"/>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C952AA9"/>
    <w:multiLevelType w:val="hybridMultilevel"/>
    <w:tmpl w:val="ADECDCF4"/>
    <w:lvl w:ilvl="0" w:tplc="F9DADCE0">
      <w:start w:val="1"/>
      <w:numFmt w:val="bullet"/>
      <w:lvlText w:val=""/>
      <w:lvlJc w:val="left"/>
      <w:pPr>
        <w:ind w:left="720" w:hanging="720"/>
      </w:pPr>
      <w:rPr>
        <w:rFonts w:ascii="Symbol" w:hAnsi="Symbol" w:hint="default"/>
        <w: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510163D"/>
    <w:multiLevelType w:val="multilevel"/>
    <w:tmpl w:val="0B38D6A2"/>
    <w:name w:val="VLA List Bulle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5" w15:restartNumberingAfterBreak="0">
    <w:nsid w:val="2F7F62F3"/>
    <w:multiLevelType w:val="hybridMultilevel"/>
    <w:tmpl w:val="C82267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0E3F59"/>
    <w:multiLevelType w:val="hybridMultilevel"/>
    <w:tmpl w:val="C4C0AA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8" w15:restartNumberingAfterBreak="0">
    <w:nsid w:val="310A7824"/>
    <w:multiLevelType w:val="hybridMultilevel"/>
    <w:tmpl w:val="FBA8F60A"/>
    <w:lvl w:ilvl="0" w:tplc="8040759E">
      <w:start w:val="1"/>
      <w:numFmt w:val="decimal"/>
      <w:lvlText w:val="%1."/>
      <w:lvlJc w:val="left"/>
      <w:pPr>
        <w:ind w:left="360" w:hanging="360"/>
      </w:pPr>
      <w:rPr>
        <w:rFonts w:hint="default"/>
        <w:b/>
      </w:rPr>
    </w:lvl>
    <w:lvl w:ilvl="1" w:tplc="CEC864C0">
      <w:start w:val="1"/>
      <w:numFmt w:val="bullet"/>
      <w:lvlText w:val="-"/>
      <w:lvlJc w:val="left"/>
      <w:pPr>
        <w:ind w:left="1080" w:hanging="360"/>
      </w:pPr>
      <w:rPr>
        <w:rFonts w:ascii="Courier New" w:hAnsi="Courier New" w:hint="default"/>
      </w:rPr>
    </w:lvl>
    <w:lvl w:ilvl="2" w:tplc="CEC864C0">
      <w:start w:val="1"/>
      <w:numFmt w:val="bullet"/>
      <w:lvlText w:val="-"/>
      <w:lvlJc w:val="left"/>
      <w:pPr>
        <w:ind w:left="1800" w:hanging="360"/>
      </w:pPr>
      <w:rPr>
        <w:rFonts w:ascii="Courier New" w:hAnsi="Courier New"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33C3E4D"/>
    <w:multiLevelType w:val="hybridMultilevel"/>
    <w:tmpl w:val="A8FEBC28"/>
    <w:lvl w:ilvl="0" w:tplc="CEC864C0">
      <w:start w:val="1"/>
      <w:numFmt w:val="bullet"/>
      <w:lvlText w:val="-"/>
      <w:lvlJc w:val="left"/>
      <w:pPr>
        <w:ind w:left="360" w:hanging="360"/>
      </w:pPr>
      <w:rPr>
        <w:rFonts w:ascii="Courier New" w:hAnsi="Courier New"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60B71E8"/>
    <w:multiLevelType w:val="hybridMultilevel"/>
    <w:tmpl w:val="CEBEF0A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7D646B"/>
    <w:multiLevelType w:val="multilevel"/>
    <w:tmpl w:val="AE5458BA"/>
    <w:name w:val="VLA_numbering"/>
    <w:lvl w:ilvl="0">
      <w:start w:val="1"/>
      <w:numFmt w:val="decimal"/>
      <w:lvlText w:val="%1."/>
      <w:lvlJc w:val="left"/>
      <w:pPr>
        <w:tabs>
          <w:tab w:val="num" w:pos="357"/>
        </w:tabs>
        <w:ind w:left="357" w:hanging="357"/>
      </w:pPr>
      <w:rPr>
        <w:rFonts w:ascii="Arial" w:hAnsi="Arial" w:hint="default"/>
        <w:sz w:val="21"/>
      </w:rPr>
    </w:lvl>
    <w:lvl w:ilvl="1">
      <w:start w:val="1"/>
      <w:numFmt w:val="lowerLetter"/>
      <w:lvlText w:val="%2."/>
      <w:lvlJc w:val="left"/>
      <w:pPr>
        <w:tabs>
          <w:tab w:val="num" w:pos="714"/>
        </w:tabs>
        <w:ind w:left="714" w:hanging="357"/>
      </w:pPr>
      <w:rPr>
        <w:rFonts w:hint="default"/>
      </w:rPr>
    </w:lvl>
    <w:lvl w:ilvl="2">
      <w:start w:val="1"/>
      <w:numFmt w:val="lowerRoman"/>
      <w:lvlText w:val="%3."/>
      <w:lvlJc w:val="right"/>
      <w:pPr>
        <w:tabs>
          <w:tab w:val="num" w:pos="1072"/>
        </w:tabs>
        <w:ind w:left="1072" w:hanging="358"/>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40F52961"/>
    <w:multiLevelType w:val="hybridMultilevel"/>
    <w:tmpl w:val="1964617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436108E"/>
    <w:multiLevelType w:val="hybridMultilevel"/>
    <w:tmpl w:val="AF0A9D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17248C"/>
    <w:multiLevelType w:val="hybridMultilevel"/>
    <w:tmpl w:val="D05CE37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892488B"/>
    <w:multiLevelType w:val="hybridMultilevel"/>
    <w:tmpl w:val="72C2D7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a"/>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8" w15:restartNumberingAfterBreak="0">
    <w:nsid w:val="4F3D19C6"/>
    <w:multiLevelType w:val="hybridMultilevel"/>
    <w:tmpl w:val="4352EC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0" w15:restartNumberingAfterBreak="0">
    <w:nsid w:val="5F1C6CC5"/>
    <w:multiLevelType w:val="multilevel"/>
    <w:tmpl w:val="FAA40654"/>
    <w:name w:val="VLA Bullet List3"/>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21" w15:restartNumberingAfterBreak="0">
    <w:nsid w:val="6438121D"/>
    <w:multiLevelType w:val="multilevel"/>
    <w:tmpl w:val="5616E46E"/>
    <w:name w:val="VLA Bullet List2"/>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22" w15:restartNumberingAfterBreak="0">
    <w:nsid w:val="6674423D"/>
    <w:multiLevelType w:val="hybridMultilevel"/>
    <w:tmpl w:val="54363004"/>
    <w:lvl w:ilvl="0" w:tplc="3BC44994">
      <w:numFmt w:val="bullet"/>
      <w:lvlText w:val="-"/>
      <w:lvlJc w:val="left"/>
      <w:pPr>
        <w:ind w:left="360" w:hanging="360"/>
      </w:pPr>
      <w:rPr>
        <w:rFonts w:ascii="Arial" w:eastAsia="Times New Roman" w:hAnsi="Arial" w:cs="Arial" w:hint="default"/>
      </w:rPr>
    </w:lvl>
    <w:lvl w:ilvl="1" w:tplc="285CBA2C">
      <w:numFmt w:val="bullet"/>
      <w:lvlText w:val="-"/>
      <w:lvlJc w:val="left"/>
      <w:pPr>
        <w:ind w:left="720" w:hanging="360"/>
      </w:pPr>
      <w:rPr>
        <w:rFonts w:ascii="Arial" w:eastAsia="Times New Roman" w:hAnsi="Arial" w:cs="Arial" w:hint="default"/>
      </w:rPr>
    </w:lvl>
    <w:lvl w:ilvl="2" w:tplc="0C090005">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23" w15:restartNumberingAfterBreak="0">
    <w:nsid w:val="6BE320CD"/>
    <w:multiLevelType w:val="hybridMultilevel"/>
    <w:tmpl w:val="02502B94"/>
    <w:lvl w:ilvl="0" w:tplc="0C090001">
      <w:start w:val="1"/>
      <w:numFmt w:val="bullet"/>
      <w:lvlText w:val=""/>
      <w:lvlJc w:val="left"/>
      <w:pPr>
        <w:ind w:left="720" w:hanging="360"/>
      </w:pPr>
      <w:rPr>
        <w:rFonts w:ascii="Symbol" w:hAnsi="Symbol" w:hint="default"/>
      </w:rPr>
    </w:lvl>
    <w:lvl w:ilvl="1" w:tplc="CEC864C0">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17F6697"/>
    <w:multiLevelType w:val="hybridMultilevel"/>
    <w:tmpl w:val="F3D83322"/>
    <w:lvl w:ilvl="0" w:tplc="0C090001">
      <w:start w:val="1"/>
      <w:numFmt w:val="bullet"/>
      <w:lvlText w:val=""/>
      <w:lvlJc w:val="left"/>
      <w:pPr>
        <w:ind w:left="720" w:hanging="360"/>
      </w:pPr>
      <w:rPr>
        <w:rFonts w:ascii="Symbol" w:hAnsi="Symbol" w:hint="default"/>
      </w:rPr>
    </w:lvl>
    <w:lvl w:ilvl="1" w:tplc="CEC864C0">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2980638"/>
    <w:multiLevelType w:val="hybridMultilevel"/>
    <w:tmpl w:val="E92031BC"/>
    <w:lvl w:ilvl="0" w:tplc="CFB4CA6A">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465803"/>
    <w:multiLevelType w:val="multilevel"/>
    <w:tmpl w:val="590EFE08"/>
    <w:name w:val="VLA Bullet List22"/>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27" w15:restartNumberingAfterBreak="0">
    <w:nsid w:val="7B110FA2"/>
    <w:multiLevelType w:val="hybridMultilevel"/>
    <w:tmpl w:val="D2102782"/>
    <w:lvl w:ilvl="0" w:tplc="0C090001">
      <w:start w:val="1"/>
      <w:numFmt w:val="bullet"/>
      <w:lvlText w:val=""/>
      <w:lvlJc w:val="left"/>
      <w:pPr>
        <w:ind w:left="720" w:hanging="360"/>
      </w:pPr>
      <w:rPr>
        <w:rFonts w:ascii="Symbol" w:hAnsi="Symbol" w:hint="default"/>
      </w:rPr>
    </w:lvl>
    <w:lvl w:ilvl="1" w:tplc="CEC864C0">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19"/>
  </w:num>
  <w:num w:numId="4">
    <w:abstractNumId w:val="17"/>
  </w:num>
  <w:num w:numId="5">
    <w:abstractNumId w:val="22"/>
  </w:num>
  <w:num w:numId="6">
    <w:abstractNumId w:val="10"/>
  </w:num>
  <w:num w:numId="7">
    <w:abstractNumId w:val="5"/>
  </w:num>
  <w:num w:numId="8">
    <w:abstractNumId w:val="13"/>
  </w:num>
  <w:num w:numId="9">
    <w:abstractNumId w:val="16"/>
  </w:num>
  <w:num w:numId="10">
    <w:abstractNumId w:val="18"/>
  </w:num>
  <w:num w:numId="11">
    <w:abstractNumId w:val="12"/>
  </w:num>
  <w:num w:numId="12">
    <w:abstractNumId w:val="24"/>
  </w:num>
  <w:num w:numId="13">
    <w:abstractNumId w:val="23"/>
  </w:num>
  <w:num w:numId="14">
    <w:abstractNumId w:val="0"/>
  </w:num>
  <w:num w:numId="15">
    <w:abstractNumId w:val="27"/>
  </w:num>
  <w:num w:numId="16">
    <w:abstractNumId w:val="14"/>
  </w:num>
  <w:num w:numId="17">
    <w:abstractNumId w:val="13"/>
  </w:num>
  <w:num w:numId="18">
    <w:abstractNumId w:val="24"/>
  </w:num>
  <w:num w:numId="19">
    <w:abstractNumId w:val="5"/>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8"/>
  </w:num>
  <w:num w:numId="23">
    <w:abstractNumId w:val="27"/>
  </w:num>
  <w:num w:numId="24">
    <w:abstractNumId w:val="25"/>
  </w:num>
  <w:num w:numId="25">
    <w:abstractNumId w:val="8"/>
  </w:num>
  <w:num w:numId="26">
    <w:abstractNumId w:val="2"/>
  </w:num>
  <w:num w:numId="27">
    <w:abstractNumId w:val="3"/>
  </w:num>
  <w:num w:numId="28">
    <w:abstractNumId w:val="8"/>
    <w:lvlOverride w:ilvl="0">
      <w:startOverride w:val="1"/>
    </w:lvlOverride>
    <w:lvlOverride w:ilvl="1"/>
    <w:lvlOverride w:ilvl="2"/>
    <w:lvlOverride w:ilvl="3"/>
    <w:lvlOverride w:ilvl="4"/>
    <w:lvlOverride w:ilvl="5"/>
    <w:lvlOverride w:ilvl="6"/>
    <w:lvlOverride w:ilvl="7"/>
    <w:lvlOverride w:ilvl="8"/>
  </w:num>
  <w:num w:numId="29">
    <w:abstractNumId w:val="9"/>
  </w:num>
  <w:num w:numId="30">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activeWritingStyle w:appName="MSWord" w:lang="en-AU" w:vendorID="64" w:dllVersion="0" w:nlCheck="1" w:checkStyle="1"/>
  <w:activeWritingStyle w:appName="MSWord" w:lang="en-US" w:vendorID="64" w:dllVersion="0" w:nlCheck="1" w:checkStyle="1"/>
  <w:activeWritingStyle w:appName="MSWord" w:lang="en-AU" w:vendorID="64" w:dllVersion="6" w:nlCheck="1" w:checkStyle="1"/>
  <w:activeWritingStyle w:appName="MSWord" w:lang="en-US" w:vendorID="64" w:dllVersion="6" w:nlCheck="1" w:checkStyle="1"/>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903"/>
    <w:rsid w:val="000011BC"/>
    <w:rsid w:val="0000173A"/>
    <w:rsid w:val="000030FD"/>
    <w:rsid w:val="00003513"/>
    <w:rsid w:val="0000389D"/>
    <w:rsid w:val="00003926"/>
    <w:rsid w:val="00007914"/>
    <w:rsid w:val="00012090"/>
    <w:rsid w:val="00014328"/>
    <w:rsid w:val="000155A6"/>
    <w:rsid w:val="00022C70"/>
    <w:rsid w:val="00022C83"/>
    <w:rsid w:val="00022F0E"/>
    <w:rsid w:val="00022F62"/>
    <w:rsid w:val="000236CE"/>
    <w:rsid w:val="00023D71"/>
    <w:rsid w:val="000240FD"/>
    <w:rsid w:val="00024701"/>
    <w:rsid w:val="000254A1"/>
    <w:rsid w:val="00025532"/>
    <w:rsid w:val="00030002"/>
    <w:rsid w:val="00031DEE"/>
    <w:rsid w:val="00031F65"/>
    <w:rsid w:val="00032AF3"/>
    <w:rsid w:val="00036C3D"/>
    <w:rsid w:val="000429AB"/>
    <w:rsid w:val="000449B1"/>
    <w:rsid w:val="00046220"/>
    <w:rsid w:val="00046B46"/>
    <w:rsid w:val="00051C90"/>
    <w:rsid w:val="0005492F"/>
    <w:rsid w:val="0005536B"/>
    <w:rsid w:val="00055B69"/>
    <w:rsid w:val="00055F34"/>
    <w:rsid w:val="000569B6"/>
    <w:rsid w:val="00056B7A"/>
    <w:rsid w:val="00056D16"/>
    <w:rsid w:val="00056F22"/>
    <w:rsid w:val="000579AC"/>
    <w:rsid w:val="00060D92"/>
    <w:rsid w:val="000610FC"/>
    <w:rsid w:val="00061235"/>
    <w:rsid w:val="00062699"/>
    <w:rsid w:val="00064B2A"/>
    <w:rsid w:val="0006627E"/>
    <w:rsid w:val="00067C6E"/>
    <w:rsid w:val="00081CD3"/>
    <w:rsid w:val="0008410D"/>
    <w:rsid w:val="00084C6C"/>
    <w:rsid w:val="00090B20"/>
    <w:rsid w:val="00091B0D"/>
    <w:rsid w:val="000929BF"/>
    <w:rsid w:val="00097D27"/>
    <w:rsid w:val="000A711A"/>
    <w:rsid w:val="000A7B63"/>
    <w:rsid w:val="000B02D8"/>
    <w:rsid w:val="000B0AB6"/>
    <w:rsid w:val="000B2326"/>
    <w:rsid w:val="000B25D6"/>
    <w:rsid w:val="000B278C"/>
    <w:rsid w:val="000B34E7"/>
    <w:rsid w:val="000B3C2F"/>
    <w:rsid w:val="000C0B84"/>
    <w:rsid w:val="000C2FCD"/>
    <w:rsid w:val="000D41D7"/>
    <w:rsid w:val="000D4F43"/>
    <w:rsid w:val="000D4F97"/>
    <w:rsid w:val="000E0695"/>
    <w:rsid w:val="000E1C82"/>
    <w:rsid w:val="000E4B9B"/>
    <w:rsid w:val="000E542A"/>
    <w:rsid w:val="000E7142"/>
    <w:rsid w:val="000E7965"/>
    <w:rsid w:val="000F4E0C"/>
    <w:rsid w:val="00100398"/>
    <w:rsid w:val="00100E20"/>
    <w:rsid w:val="00101CBD"/>
    <w:rsid w:val="00103407"/>
    <w:rsid w:val="0010552A"/>
    <w:rsid w:val="00110455"/>
    <w:rsid w:val="00113672"/>
    <w:rsid w:val="00114C38"/>
    <w:rsid w:val="00114EE2"/>
    <w:rsid w:val="00115028"/>
    <w:rsid w:val="0011572E"/>
    <w:rsid w:val="00124D25"/>
    <w:rsid w:val="001258CF"/>
    <w:rsid w:val="0012621F"/>
    <w:rsid w:val="00130286"/>
    <w:rsid w:val="00130F7A"/>
    <w:rsid w:val="00130FAB"/>
    <w:rsid w:val="00141AE5"/>
    <w:rsid w:val="0014270F"/>
    <w:rsid w:val="0014315A"/>
    <w:rsid w:val="00145722"/>
    <w:rsid w:val="001479F2"/>
    <w:rsid w:val="00153D35"/>
    <w:rsid w:val="00161EEF"/>
    <w:rsid w:val="00163A4F"/>
    <w:rsid w:val="001678C5"/>
    <w:rsid w:val="00167A58"/>
    <w:rsid w:val="00170C55"/>
    <w:rsid w:val="00175D56"/>
    <w:rsid w:val="001764C1"/>
    <w:rsid w:val="0017710F"/>
    <w:rsid w:val="00177903"/>
    <w:rsid w:val="00182641"/>
    <w:rsid w:val="00186825"/>
    <w:rsid w:val="001901F8"/>
    <w:rsid w:val="001910F3"/>
    <w:rsid w:val="00191F04"/>
    <w:rsid w:val="00197A64"/>
    <w:rsid w:val="001A17AA"/>
    <w:rsid w:val="001A42C7"/>
    <w:rsid w:val="001A4E1B"/>
    <w:rsid w:val="001A5DE0"/>
    <w:rsid w:val="001A75A3"/>
    <w:rsid w:val="001B1FCB"/>
    <w:rsid w:val="001B270D"/>
    <w:rsid w:val="001B3804"/>
    <w:rsid w:val="001B5491"/>
    <w:rsid w:val="001B56D3"/>
    <w:rsid w:val="001C0C06"/>
    <w:rsid w:val="001C0C4F"/>
    <w:rsid w:val="001C4BC6"/>
    <w:rsid w:val="001D0599"/>
    <w:rsid w:val="001D6608"/>
    <w:rsid w:val="001D7EBF"/>
    <w:rsid w:val="001E0A52"/>
    <w:rsid w:val="001E162E"/>
    <w:rsid w:val="001E5143"/>
    <w:rsid w:val="001E730B"/>
    <w:rsid w:val="001F1303"/>
    <w:rsid w:val="001F3754"/>
    <w:rsid w:val="001F3831"/>
    <w:rsid w:val="001F43F7"/>
    <w:rsid w:val="001F4ED6"/>
    <w:rsid w:val="001F5717"/>
    <w:rsid w:val="001F6FFA"/>
    <w:rsid w:val="001F7353"/>
    <w:rsid w:val="002003C1"/>
    <w:rsid w:val="002016A2"/>
    <w:rsid w:val="002021D8"/>
    <w:rsid w:val="0020428C"/>
    <w:rsid w:val="00204E6A"/>
    <w:rsid w:val="002052B4"/>
    <w:rsid w:val="002057FF"/>
    <w:rsid w:val="002076EC"/>
    <w:rsid w:val="00207B54"/>
    <w:rsid w:val="0021585A"/>
    <w:rsid w:val="002212F3"/>
    <w:rsid w:val="002228E1"/>
    <w:rsid w:val="00227B0D"/>
    <w:rsid w:val="00234133"/>
    <w:rsid w:val="00234EDE"/>
    <w:rsid w:val="002350B3"/>
    <w:rsid w:val="00240538"/>
    <w:rsid w:val="00241904"/>
    <w:rsid w:val="002435C9"/>
    <w:rsid w:val="002445AF"/>
    <w:rsid w:val="00245951"/>
    <w:rsid w:val="0024678E"/>
    <w:rsid w:val="00251AB3"/>
    <w:rsid w:val="00254AA7"/>
    <w:rsid w:val="002574E0"/>
    <w:rsid w:val="002578F3"/>
    <w:rsid w:val="0026268F"/>
    <w:rsid w:val="00262D02"/>
    <w:rsid w:val="002650FF"/>
    <w:rsid w:val="0026649B"/>
    <w:rsid w:val="002721F2"/>
    <w:rsid w:val="00275F83"/>
    <w:rsid w:val="00276590"/>
    <w:rsid w:val="002769FB"/>
    <w:rsid w:val="00277CFE"/>
    <w:rsid w:val="002859BB"/>
    <w:rsid w:val="00285AD4"/>
    <w:rsid w:val="002879EA"/>
    <w:rsid w:val="002879F8"/>
    <w:rsid w:val="00290DD3"/>
    <w:rsid w:val="0029198A"/>
    <w:rsid w:val="00292045"/>
    <w:rsid w:val="00292C04"/>
    <w:rsid w:val="0029348C"/>
    <w:rsid w:val="00294136"/>
    <w:rsid w:val="00295AB4"/>
    <w:rsid w:val="0029639E"/>
    <w:rsid w:val="0029727E"/>
    <w:rsid w:val="002A1B18"/>
    <w:rsid w:val="002A3D1D"/>
    <w:rsid w:val="002A5823"/>
    <w:rsid w:val="002A7402"/>
    <w:rsid w:val="002B074B"/>
    <w:rsid w:val="002B4970"/>
    <w:rsid w:val="002B7F8F"/>
    <w:rsid w:val="002C0165"/>
    <w:rsid w:val="002C0FF6"/>
    <w:rsid w:val="002C1FAA"/>
    <w:rsid w:val="002C4E46"/>
    <w:rsid w:val="002C5738"/>
    <w:rsid w:val="002D01A1"/>
    <w:rsid w:val="002D2D89"/>
    <w:rsid w:val="002D32AE"/>
    <w:rsid w:val="002E64B6"/>
    <w:rsid w:val="002F068B"/>
    <w:rsid w:val="002F4FE4"/>
    <w:rsid w:val="0030138A"/>
    <w:rsid w:val="00301CCE"/>
    <w:rsid w:val="00303DC1"/>
    <w:rsid w:val="0030591D"/>
    <w:rsid w:val="00305D85"/>
    <w:rsid w:val="00307C02"/>
    <w:rsid w:val="00310AB6"/>
    <w:rsid w:val="00311AAA"/>
    <w:rsid w:val="0031444C"/>
    <w:rsid w:val="00315E11"/>
    <w:rsid w:val="003167F6"/>
    <w:rsid w:val="00320589"/>
    <w:rsid w:val="00320A78"/>
    <w:rsid w:val="00320DA0"/>
    <w:rsid w:val="00322A80"/>
    <w:rsid w:val="00322F69"/>
    <w:rsid w:val="00324963"/>
    <w:rsid w:val="00327233"/>
    <w:rsid w:val="00327BE3"/>
    <w:rsid w:val="00337628"/>
    <w:rsid w:val="0034073F"/>
    <w:rsid w:val="0034293A"/>
    <w:rsid w:val="00343DAA"/>
    <w:rsid w:val="00346915"/>
    <w:rsid w:val="00347ED3"/>
    <w:rsid w:val="0035016C"/>
    <w:rsid w:val="00355847"/>
    <w:rsid w:val="00362BBB"/>
    <w:rsid w:val="0036319F"/>
    <w:rsid w:val="0036504A"/>
    <w:rsid w:val="0036511B"/>
    <w:rsid w:val="003703AA"/>
    <w:rsid w:val="00371282"/>
    <w:rsid w:val="003714EB"/>
    <w:rsid w:val="00372172"/>
    <w:rsid w:val="00372327"/>
    <w:rsid w:val="003732B7"/>
    <w:rsid w:val="00373316"/>
    <w:rsid w:val="003758D4"/>
    <w:rsid w:val="00375B03"/>
    <w:rsid w:val="00376112"/>
    <w:rsid w:val="003766AF"/>
    <w:rsid w:val="003770CE"/>
    <w:rsid w:val="003775EB"/>
    <w:rsid w:val="00377A41"/>
    <w:rsid w:val="00383710"/>
    <w:rsid w:val="00384660"/>
    <w:rsid w:val="00384C9B"/>
    <w:rsid w:val="003974CC"/>
    <w:rsid w:val="00397DDF"/>
    <w:rsid w:val="003A13F2"/>
    <w:rsid w:val="003A2302"/>
    <w:rsid w:val="003A39BB"/>
    <w:rsid w:val="003A5726"/>
    <w:rsid w:val="003B4B13"/>
    <w:rsid w:val="003B6366"/>
    <w:rsid w:val="003C19BF"/>
    <w:rsid w:val="003C2F49"/>
    <w:rsid w:val="003C4A7F"/>
    <w:rsid w:val="003C6465"/>
    <w:rsid w:val="003C7A7F"/>
    <w:rsid w:val="003D29C2"/>
    <w:rsid w:val="003E17D1"/>
    <w:rsid w:val="003E34D9"/>
    <w:rsid w:val="003E409C"/>
    <w:rsid w:val="003E4BC8"/>
    <w:rsid w:val="003E5D82"/>
    <w:rsid w:val="003E5E10"/>
    <w:rsid w:val="003E7012"/>
    <w:rsid w:val="003E7384"/>
    <w:rsid w:val="003E7F87"/>
    <w:rsid w:val="003F1C1E"/>
    <w:rsid w:val="003F21C1"/>
    <w:rsid w:val="003F3D9F"/>
    <w:rsid w:val="003F48A9"/>
    <w:rsid w:val="003F55A5"/>
    <w:rsid w:val="003F5E34"/>
    <w:rsid w:val="003F6005"/>
    <w:rsid w:val="003F64EA"/>
    <w:rsid w:val="003F6CC3"/>
    <w:rsid w:val="003F78E6"/>
    <w:rsid w:val="00400120"/>
    <w:rsid w:val="00410704"/>
    <w:rsid w:val="0041181E"/>
    <w:rsid w:val="0041185C"/>
    <w:rsid w:val="004137D9"/>
    <w:rsid w:val="00415E70"/>
    <w:rsid w:val="00423920"/>
    <w:rsid w:val="00423CC7"/>
    <w:rsid w:val="00423DE6"/>
    <w:rsid w:val="00423EFD"/>
    <w:rsid w:val="00425858"/>
    <w:rsid w:val="0043511E"/>
    <w:rsid w:val="00435E21"/>
    <w:rsid w:val="004365C6"/>
    <w:rsid w:val="00436896"/>
    <w:rsid w:val="004373C5"/>
    <w:rsid w:val="00442077"/>
    <w:rsid w:val="00442DBC"/>
    <w:rsid w:val="00443040"/>
    <w:rsid w:val="0044403D"/>
    <w:rsid w:val="0045435F"/>
    <w:rsid w:val="004546E2"/>
    <w:rsid w:val="00454F91"/>
    <w:rsid w:val="0045798A"/>
    <w:rsid w:val="00461432"/>
    <w:rsid w:val="00461AE2"/>
    <w:rsid w:val="00462B09"/>
    <w:rsid w:val="00462BA5"/>
    <w:rsid w:val="00462C13"/>
    <w:rsid w:val="004637BC"/>
    <w:rsid w:val="00463B71"/>
    <w:rsid w:val="00463D9A"/>
    <w:rsid w:val="0046548B"/>
    <w:rsid w:val="0047021E"/>
    <w:rsid w:val="004713D8"/>
    <w:rsid w:val="0047400F"/>
    <w:rsid w:val="0047462C"/>
    <w:rsid w:val="0047535D"/>
    <w:rsid w:val="004756E4"/>
    <w:rsid w:val="0048037C"/>
    <w:rsid w:val="004810CA"/>
    <w:rsid w:val="00481371"/>
    <w:rsid w:val="00483CCD"/>
    <w:rsid w:val="00484A36"/>
    <w:rsid w:val="00485C08"/>
    <w:rsid w:val="0048615F"/>
    <w:rsid w:val="00491396"/>
    <w:rsid w:val="00493B23"/>
    <w:rsid w:val="00495490"/>
    <w:rsid w:val="00495ED9"/>
    <w:rsid w:val="00495F6F"/>
    <w:rsid w:val="00496242"/>
    <w:rsid w:val="00497582"/>
    <w:rsid w:val="00497E4C"/>
    <w:rsid w:val="004A081A"/>
    <w:rsid w:val="004A0855"/>
    <w:rsid w:val="004A6BEA"/>
    <w:rsid w:val="004A6D07"/>
    <w:rsid w:val="004A70B3"/>
    <w:rsid w:val="004B12B4"/>
    <w:rsid w:val="004B1D81"/>
    <w:rsid w:val="004B2245"/>
    <w:rsid w:val="004B4765"/>
    <w:rsid w:val="004B5B3E"/>
    <w:rsid w:val="004C3532"/>
    <w:rsid w:val="004C5E44"/>
    <w:rsid w:val="004C7217"/>
    <w:rsid w:val="004D1E20"/>
    <w:rsid w:val="004D23E9"/>
    <w:rsid w:val="004D2B75"/>
    <w:rsid w:val="004D3B12"/>
    <w:rsid w:val="004E0688"/>
    <w:rsid w:val="004E2C5B"/>
    <w:rsid w:val="004E511B"/>
    <w:rsid w:val="004E59A8"/>
    <w:rsid w:val="004F16E2"/>
    <w:rsid w:val="004F1880"/>
    <w:rsid w:val="004F1F6E"/>
    <w:rsid w:val="004F22B7"/>
    <w:rsid w:val="004F2CD9"/>
    <w:rsid w:val="004F2F48"/>
    <w:rsid w:val="00500E4E"/>
    <w:rsid w:val="00504E04"/>
    <w:rsid w:val="00506259"/>
    <w:rsid w:val="00510DA4"/>
    <w:rsid w:val="005132B7"/>
    <w:rsid w:val="005138A3"/>
    <w:rsid w:val="00520FB3"/>
    <w:rsid w:val="00521801"/>
    <w:rsid w:val="00526711"/>
    <w:rsid w:val="005272D5"/>
    <w:rsid w:val="005314CA"/>
    <w:rsid w:val="00532082"/>
    <w:rsid w:val="005322F1"/>
    <w:rsid w:val="005323B8"/>
    <w:rsid w:val="00535232"/>
    <w:rsid w:val="005375A4"/>
    <w:rsid w:val="0054213E"/>
    <w:rsid w:val="00544A36"/>
    <w:rsid w:val="0054738D"/>
    <w:rsid w:val="00550A30"/>
    <w:rsid w:val="00555ECE"/>
    <w:rsid w:val="00560212"/>
    <w:rsid w:val="0056055F"/>
    <w:rsid w:val="0056148F"/>
    <w:rsid w:val="005620DC"/>
    <w:rsid w:val="00562933"/>
    <w:rsid w:val="00562C2D"/>
    <w:rsid w:val="005637DB"/>
    <w:rsid w:val="0056464E"/>
    <w:rsid w:val="00566B78"/>
    <w:rsid w:val="00567614"/>
    <w:rsid w:val="005731B6"/>
    <w:rsid w:val="00574ED2"/>
    <w:rsid w:val="00582104"/>
    <w:rsid w:val="0058283E"/>
    <w:rsid w:val="00585173"/>
    <w:rsid w:val="00585808"/>
    <w:rsid w:val="00590E28"/>
    <w:rsid w:val="00591197"/>
    <w:rsid w:val="00591764"/>
    <w:rsid w:val="00591D2D"/>
    <w:rsid w:val="00595392"/>
    <w:rsid w:val="005961C4"/>
    <w:rsid w:val="005A01BE"/>
    <w:rsid w:val="005A27FB"/>
    <w:rsid w:val="005A6183"/>
    <w:rsid w:val="005A7F72"/>
    <w:rsid w:val="005B2676"/>
    <w:rsid w:val="005B38D3"/>
    <w:rsid w:val="005B4BAD"/>
    <w:rsid w:val="005B6741"/>
    <w:rsid w:val="005B78B7"/>
    <w:rsid w:val="005B7A3E"/>
    <w:rsid w:val="005C0714"/>
    <w:rsid w:val="005C0CD5"/>
    <w:rsid w:val="005C2F4E"/>
    <w:rsid w:val="005C419D"/>
    <w:rsid w:val="005C4580"/>
    <w:rsid w:val="005D06AD"/>
    <w:rsid w:val="005D103A"/>
    <w:rsid w:val="005D1354"/>
    <w:rsid w:val="005D55A9"/>
    <w:rsid w:val="005D5637"/>
    <w:rsid w:val="005D586B"/>
    <w:rsid w:val="005D7763"/>
    <w:rsid w:val="005E0E81"/>
    <w:rsid w:val="005E248A"/>
    <w:rsid w:val="005E3CA0"/>
    <w:rsid w:val="005E64ED"/>
    <w:rsid w:val="005F193F"/>
    <w:rsid w:val="005F1FCB"/>
    <w:rsid w:val="005F3BFF"/>
    <w:rsid w:val="005F6BC4"/>
    <w:rsid w:val="005F7D8E"/>
    <w:rsid w:val="00602231"/>
    <w:rsid w:val="006038BC"/>
    <w:rsid w:val="006039E6"/>
    <w:rsid w:val="0060449D"/>
    <w:rsid w:val="00604558"/>
    <w:rsid w:val="00605C95"/>
    <w:rsid w:val="0061083A"/>
    <w:rsid w:val="0061107C"/>
    <w:rsid w:val="006151E7"/>
    <w:rsid w:val="00617182"/>
    <w:rsid w:val="006207E4"/>
    <w:rsid w:val="00621E7E"/>
    <w:rsid w:val="0062300D"/>
    <w:rsid w:val="00623F27"/>
    <w:rsid w:val="00624862"/>
    <w:rsid w:val="006260BB"/>
    <w:rsid w:val="006335C8"/>
    <w:rsid w:val="00640060"/>
    <w:rsid w:val="00640994"/>
    <w:rsid w:val="0064167A"/>
    <w:rsid w:val="00643CFD"/>
    <w:rsid w:val="00644E41"/>
    <w:rsid w:val="00645729"/>
    <w:rsid w:val="00651241"/>
    <w:rsid w:val="0065276C"/>
    <w:rsid w:val="00653753"/>
    <w:rsid w:val="00653D29"/>
    <w:rsid w:val="00653DD4"/>
    <w:rsid w:val="00657BC3"/>
    <w:rsid w:val="0066005A"/>
    <w:rsid w:val="0066180F"/>
    <w:rsid w:val="00662725"/>
    <w:rsid w:val="00665568"/>
    <w:rsid w:val="006673F6"/>
    <w:rsid w:val="00670FA5"/>
    <w:rsid w:val="00672AC0"/>
    <w:rsid w:val="00675BF8"/>
    <w:rsid w:val="00680887"/>
    <w:rsid w:val="006819A3"/>
    <w:rsid w:val="006831FC"/>
    <w:rsid w:val="00683F81"/>
    <w:rsid w:val="00684F7E"/>
    <w:rsid w:val="00686FC5"/>
    <w:rsid w:val="00687605"/>
    <w:rsid w:val="00696BAC"/>
    <w:rsid w:val="006A0F13"/>
    <w:rsid w:val="006A12CB"/>
    <w:rsid w:val="006A1551"/>
    <w:rsid w:val="006A3357"/>
    <w:rsid w:val="006A33CD"/>
    <w:rsid w:val="006A4139"/>
    <w:rsid w:val="006A549B"/>
    <w:rsid w:val="006A5F7D"/>
    <w:rsid w:val="006A6A7D"/>
    <w:rsid w:val="006B2384"/>
    <w:rsid w:val="006B27D0"/>
    <w:rsid w:val="006B7DD2"/>
    <w:rsid w:val="006B7FA3"/>
    <w:rsid w:val="006C0F2A"/>
    <w:rsid w:val="006C19D6"/>
    <w:rsid w:val="006C3D4C"/>
    <w:rsid w:val="006C4CA7"/>
    <w:rsid w:val="006C5A6E"/>
    <w:rsid w:val="006C6C96"/>
    <w:rsid w:val="006C6DD1"/>
    <w:rsid w:val="006D1465"/>
    <w:rsid w:val="006E0636"/>
    <w:rsid w:val="006E2882"/>
    <w:rsid w:val="006E2AD6"/>
    <w:rsid w:val="006E2FA2"/>
    <w:rsid w:val="006E3195"/>
    <w:rsid w:val="006E3B81"/>
    <w:rsid w:val="006E3DAA"/>
    <w:rsid w:val="006E4A6F"/>
    <w:rsid w:val="006E539C"/>
    <w:rsid w:val="006E554B"/>
    <w:rsid w:val="006E6197"/>
    <w:rsid w:val="006E763F"/>
    <w:rsid w:val="006F0FBE"/>
    <w:rsid w:val="006F1A75"/>
    <w:rsid w:val="006F4193"/>
    <w:rsid w:val="006F7955"/>
    <w:rsid w:val="007001EF"/>
    <w:rsid w:val="007011D9"/>
    <w:rsid w:val="007012CD"/>
    <w:rsid w:val="007054D6"/>
    <w:rsid w:val="00706E73"/>
    <w:rsid w:val="00707B1D"/>
    <w:rsid w:val="0071324F"/>
    <w:rsid w:val="00713943"/>
    <w:rsid w:val="00714771"/>
    <w:rsid w:val="00716188"/>
    <w:rsid w:val="0071664D"/>
    <w:rsid w:val="00723C63"/>
    <w:rsid w:val="00724B6B"/>
    <w:rsid w:val="0072564F"/>
    <w:rsid w:val="00725A2B"/>
    <w:rsid w:val="00727DE2"/>
    <w:rsid w:val="0073122D"/>
    <w:rsid w:val="00733602"/>
    <w:rsid w:val="00735ED1"/>
    <w:rsid w:val="0073610C"/>
    <w:rsid w:val="00736267"/>
    <w:rsid w:val="00740163"/>
    <w:rsid w:val="00745ECC"/>
    <w:rsid w:val="00750E7F"/>
    <w:rsid w:val="0075285A"/>
    <w:rsid w:val="007538CC"/>
    <w:rsid w:val="00753C87"/>
    <w:rsid w:val="007550FB"/>
    <w:rsid w:val="00756788"/>
    <w:rsid w:val="00756AD7"/>
    <w:rsid w:val="00756C1B"/>
    <w:rsid w:val="0075726B"/>
    <w:rsid w:val="007600C3"/>
    <w:rsid w:val="007646A6"/>
    <w:rsid w:val="00765E31"/>
    <w:rsid w:val="0077180A"/>
    <w:rsid w:val="00773088"/>
    <w:rsid w:val="00774F94"/>
    <w:rsid w:val="007767BD"/>
    <w:rsid w:val="007768F4"/>
    <w:rsid w:val="00777C7D"/>
    <w:rsid w:val="0078022B"/>
    <w:rsid w:val="007825F3"/>
    <w:rsid w:val="00782CA5"/>
    <w:rsid w:val="00783185"/>
    <w:rsid w:val="00785AAE"/>
    <w:rsid w:val="00785F74"/>
    <w:rsid w:val="007933F4"/>
    <w:rsid w:val="0079400E"/>
    <w:rsid w:val="007966A5"/>
    <w:rsid w:val="007A01BB"/>
    <w:rsid w:val="007A109B"/>
    <w:rsid w:val="007A3FC5"/>
    <w:rsid w:val="007A4373"/>
    <w:rsid w:val="007A6E60"/>
    <w:rsid w:val="007B1390"/>
    <w:rsid w:val="007B21A2"/>
    <w:rsid w:val="007B2E17"/>
    <w:rsid w:val="007B36C7"/>
    <w:rsid w:val="007B6D12"/>
    <w:rsid w:val="007C092C"/>
    <w:rsid w:val="007C2E54"/>
    <w:rsid w:val="007C4076"/>
    <w:rsid w:val="007D08B2"/>
    <w:rsid w:val="007D5C46"/>
    <w:rsid w:val="007D7535"/>
    <w:rsid w:val="007E2B73"/>
    <w:rsid w:val="007E34EB"/>
    <w:rsid w:val="007E4CB8"/>
    <w:rsid w:val="007E52D8"/>
    <w:rsid w:val="007E54F6"/>
    <w:rsid w:val="007E76DB"/>
    <w:rsid w:val="007F1866"/>
    <w:rsid w:val="007F41FD"/>
    <w:rsid w:val="007F425F"/>
    <w:rsid w:val="007F52A9"/>
    <w:rsid w:val="007F68EB"/>
    <w:rsid w:val="007F759C"/>
    <w:rsid w:val="00800301"/>
    <w:rsid w:val="00804816"/>
    <w:rsid w:val="0080487C"/>
    <w:rsid w:val="00805A12"/>
    <w:rsid w:val="00806557"/>
    <w:rsid w:val="00806B5F"/>
    <w:rsid w:val="008075F5"/>
    <w:rsid w:val="00811359"/>
    <w:rsid w:val="00811FE7"/>
    <w:rsid w:val="008126E3"/>
    <w:rsid w:val="0081438D"/>
    <w:rsid w:val="008150DE"/>
    <w:rsid w:val="00820EBE"/>
    <w:rsid w:val="008214D6"/>
    <w:rsid w:val="00822598"/>
    <w:rsid w:val="00824201"/>
    <w:rsid w:val="008259CA"/>
    <w:rsid w:val="00826996"/>
    <w:rsid w:val="0083009F"/>
    <w:rsid w:val="008306BA"/>
    <w:rsid w:val="0083257D"/>
    <w:rsid w:val="00835625"/>
    <w:rsid w:val="00835928"/>
    <w:rsid w:val="00835DCC"/>
    <w:rsid w:val="008377A1"/>
    <w:rsid w:val="008425B2"/>
    <w:rsid w:val="008440FC"/>
    <w:rsid w:val="008450E7"/>
    <w:rsid w:val="00845354"/>
    <w:rsid w:val="008457EA"/>
    <w:rsid w:val="0084608D"/>
    <w:rsid w:val="00850401"/>
    <w:rsid w:val="00851212"/>
    <w:rsid w:val="00853BDA"/>
    <w:rsid w:val="00855D9B"/>
    <w:rsid w:val="0085710F"/>
    <w:rsid w:val="008606D9"/>
    <w:rsid w:val="008636CA"/>
    <w:rsid w:val="00866280"/>
    <w:rsid w:val="00867A1D"/>
    <w:rsid w:val="0087126E"/>
    <w:rsid w:val="008730E7"/>
    <w:rsid w:val="008736CF"/>
    <w:rsid w:val="00874323"/>
    <w:rsid w:val="0087755E"/>
    <w:rsid w:val="00881521"/>
    <w:rsid w:val="00885238"/>
    <w:rsid w:val="00886411"/>
    <w:rsid w:val="00894042"/>
    <w:rsid w:val="008960D6"/>
    <w:rsid w:val="008A067C"/>
    <w:rsid w:val="008A4425"/>
    <w:rsid w:val="008A500A"/>
    <w:rsid w:val="008B4469"/>
    <w:rsid w:val="008B6507"/>
    <w:rsid w:val="008B6823"/>
    <w:rsid w:val="008B6EEB"/>
    <w:rsid w:val="008C072E"/>
    <w:rsid w:val="008C4E01"/>
    <w:rsid w:val="008C50FD"/>
    <w:rsid w:val="008D54D7"/>
    <w:rsid w:val="008E2907"/>
    <w:rsid w:val="008F0579"/>
    <w:rsid w:val="008F057C"/>
    <w:rsid w:val="008F13D0"/>
    <w:rsid w:val="008F1F0B"/>
    <w:rsid w:val="008F36EC"/>
    <w:rsid w:val="008F375D"/>
    <w:rsid w:val="008F4FE8"/>
    <w:rsid w:val="008F6E16"/>
    <w:rsid w:val="008F726E"/>
    <w:rsid w:val="009048CA"/>
    <w:rsid w:val="00911151"/>
    <w:rsid w:val="00917BC7"/>
    <w:rsid w:val="00917DE9"/>
    <w:rsid w:val="00922B38"/>
    <w:rsid w:val="00924235"/>
    <w:rsid w:val="009248DE"/>
    <w:rsid w:val="00925672"/>
    <w:rsid w:val="00926FE4"/>
    <w:rsid w:val="0093361D"/>
    <w:rsid w:val="009339F1"/>
    <w:rsid w:val="00933D6E"/>
    <w:rsid w:val="009375B8"/>
    <w:rsid w:val="009402D2"/>
    <w:rsid w:val="009420DE"/>
    <w:rsid w:val="0094252E"/>
    <w:rsid w:val="00942D96"/>
    <w:rsid w:val="00945E43"/>
    <w:rsid w:val="00946548"/>
    <w:rsid w:val="00947018"/>
    <w:rsid w:val="009509B9"/>
    <w:rsid w:val="00953ADC"/>
    <w:rsid w:val="00954B4F"/>
    <w:rsid w:val="00955D99"/>
    <w:rsid w:val="0095636C"/>
    <w:rsid w:val="0095692A"/>
    <w:rsid w:val="00957221"/>
    <w:rsid w:val="0096051D"/>
    <w:rsid w:val="00962EA7"/>
    <w:rsid w:val="009642AF"/>
    <w:rsid w:val="00964B68"/>
    <w:rsid w:val="00964C73"/>
    <w:rsid w:val="0097346B"/>
    <w:rsid w:val="00974954"/>
    <w:rsid w:val="00977DA4"/>
    <w:rsid w:val="0098306C"/>
    <w:rsid w:val="009830B4"/>
    <w:rsid w:val="00983C9A"/>
    <w:rsid w:val="00987639"/>
    <w:rsid w:val="00987A98"/>
    <w:rsid w:val="00990626"/>
    <w:rsid w:val="009922E5"/>
    <w:rsid w:val="00993C47"/>
    <w:rsid w:val="00994588"/>
    <w:rsid w:val="00994800"/>
    <w:rsid w:val="009958F1"/>
    <w:rsid w:val="009960DC"/>
    <w:rsid w:val="009A227B"/>
    <w:rsid w:val="009A23DB"/>
    <w:rsid w:val="009A2930"/>
    <w:rsid w:val="009A69E9"/>
    <w:rsid w:val="009B1EA2"/>
    <w:rsid w:val="009B333F"/>
    <w:rsid w:val="009B4409"/>
    <w:rsid w:val="009B5A33"/>
    <w:rsid w:val="009B7A94"/>
    <w:rsid w:val="009C1230"/>
    <w:rsid w:val="009C12DD"/>
    <w:rsid w:val="009C1935"/>
    <w:rsid w:val="009C29B5"/>
    <w:rsid w:val="009C3FEE"/>
    <w:rsid w:val="009D0F76"/>
    <w:rsid w:val="009D1C70"/>
    <w:rsid w:val="009D3968"/>
    <w:rsid w:val="009D5053"/>
    <w:rsid w:val="009E1180"/>
    <w:rsid w:val="009E33BE"/>
    <w:rsid w:val="009F0A28"/>
    <w:rsid w:val="009F2795"/>
    <w:rsid w:val="009F2F9E"/>
    <w:rsid w:val="009F7A4E"/>
    <w:rsid w:val="009F7A60"/>
    <w:rsid w:val="00A023EC"/>
    <w:rsid w:val="00A108CB"/>
    <w:rsid w:val="00A134FD"/>
    <w:rsid w:val="00A171DA"/>
    <w:rsid w:val="00A2066D"/>
    <w:rsid w:val="00A229A4"/>
    <w:rsid w:val="00A245BE"/>
    <w:rsid w:val="00A246C8"/>
    <w:rsid w:val="00A25235"/>
    <w:rsid w:val="00A26F55"/>
    <w:rsid w:val="00A27BD7"/>
    <w:rsid w:val="00A30C8A"/>
    <w:rsid w:val="00A32974"/>
    <w:rsid w:val="00A32F08"/>
    <w:rsid w:val="00A33B38"/>
    <w:rsid w:val="00A354D9"/>
    <w:rsid w:val="00A377CE"/>
    <w:rsid w:val="00A42A34"/>
    <w:rsid w:val="00A448DA"/>
    <w:rsid w:val="00A467D1"/>
    <w:rsid w:val="00A52CF3"/>
    <w:rsid w:val="00A53946"/>
    <w:rsid w:val="00A551BE"/>
    <w:rsid w:val="00A616F5"/>
    <w:rsid w:val="00A63371"/>
    <w:rsid w:val="00A65E23"/>
    <w:rsid w:val="00A67062"/>
    <w:rsid w:val="00A712DE"/>
    <w:rsid w:val="00A75EF6"/>
    <w:rsid w:val="00A80FFC"/>
    <w:rsid w:val="00A819C6"/>
    <w:rsid w:val="00A82893"/>
    <w:rsid w:val="00A86724"/>
    <w:rsid w:val="00A9190F"/>
    <w:rsid w:val="00A91A60"/>
    <w:rsid w:val="00A940C0"/>
    <w:rsid w:val="00A94752"/>
    <w:rsid w:val="00AA0785"/>
    <w:rsid w:val="00AA1C16"/>
    <w:rsid w:val="00AA1E15"/>
    <w:rsid w:val="00AA2CCE"/>
    <w:rsid w:val="00AA5335"/>
    <w:rsid w:val="00AA6F9E"/>
    <w:rsid w:val="00AB5432"/>
    <w:rsid w:val="00AB6BFF"/>
    <w:rsid w:val="00AC1D04"/>
    <w:rsid w:val="00AC2B72"/>
    <w:rsid w:val="00AC464A"/>
    <w:rsid w:val="00AC7978"/>
    <w:rsid w:val="00AD692E"/>
    <w:rsid w:val="00AE024A"/>
    <w:rsid w:val="00AE11E4"/>
    <w:rsid w:val="00AE146B"/>
    <w:rsid w:val="00AE1D8D"/>
    <w:rsid w:val="00AE4FC3"/>
    <w:rsid w:val="00AE6FC9"/>
    <w:rsid w:val="00AF3251"/>
    <w:rsid w:val="00AF56AB"/>
    <w:rsid w:val="00AF5871"/>
    <w:rsid w:val="00AF5D4C"/>
    <w:rsid w:val="00AF7DF7"/>
    <w:rsid w:val="00B0000B"/>
    <w:rsid w:val="00B01519"/>
    <w:rsid w:val="00B06205"/>
    <w:rsid w:val="00B07747"/>
    <w:rsid w:val="00B10A7F"/>
    <w:rsid w:val="00B1619F"/>
    <w:rsid w:val="00B16B9E"/>
    <w:rsid w:val="00B17CAB"/>
    <w:rsid w:val="00B219CD"/>
    <w:rsid w:val="00B21D75"/>
    <w:rsid w:val="00B222A1"/>
    <w:rsid w:val="00B22672"/>
    <w:rsid w:val="00B23F19"/>
    <w:rsid w:val="00B302D1"/>
    <w:rsid w:val="00B3034B"/>
    <w:rsid w:val="00B30D9D"/>
    <w:rsid w:val="00B3125C"/>
    <w:rsid w:val="00B35429"/>
    <w:rsid w:val="00B35C5F"/>
    <w:rsid w:val="00B37955"/>
    <w:rsid w:val="00B37AA4"/>
    <w:rsid w:val="00B41378"/>
    <w:rsid w:val="00B44D5F"/>
    <w:rsid w:val="00B471B2"/>
    <w:rsid w:val="00B556D7"/>
    <w:rsid w:val="00B56F07"/>
    <w:rsid w:val="00B6035C"/>
    <w:rsid w:val="00B60804"/>
    <w:rsid w:val="00B60A4B"/>
    <w:rsid w:val="00B60C4C"/>
    <w:rsid w:val="00B63C4A"/>
    <w:rsid w:val="00B647BB"/>
    <w:rsid w:val="00B64F33"/>
    <w:rsid w:val="00B70E99"/>
    <w:rsid w:val="00B710F6"/>
    <w:rsid w:val="00B7191C"/>
    <w:rsid w:val="00B71AF8"/>
    <w:rsid w:val="00B72815"/>
    <w:rsid w:val="00B728AE"/>
    <w:rsid w:val="00B72A09"/>
    <w:rsid w:val="00B74923"/>
    <w:rsid w:val="00B74D6A"/>
    <w:rsid w:val="00B80A07"/>
    <w:rsid w:val="00B80AA3"/>
    <w:rsid w:val="00B82FB9"/>
    <w:rsid w:val="00B8316F"/>
    <w:rsid w:val="00B85D10"/>
    <w:rsid w:val="00B86771"/>
    <w:rsid w:val="00B921BF"/>
    <w:rsid w:val="00B9248C"/>
    <w:rsid w:val="00B92602"/>
    <w:rsid w:val="00B92D94"/>
    <w:rsid w:val="00B93DDD"/>
    <w:rsid w:val="00B97EFB"/>
    <w:rsid w:val="00B97EFF"/>
    <w:rsid w:val="00BA03EA"/>
    <w:rsid w:val="00BA222F"/>
    <w:rsid w:val="00BA3E21"/>
    <w:rsid w:val="00BA482E"/>
    <w:rsid w:val="00BA6D49"/>
    <w:rsid w:val="00BA72EA"/>
    <w:rsid w:val="00BB1F72"/>
    <w:rsid w:val="00BB2656"/>
    <w:rsid w:val="00BB2E00"/>
    <w:rsid w:val="00BB352E"/>
    <w:rsid w:val="00BB38D9"/>
    <w:rsid w:val="00BB3993"/>
    <w:rsid w:val="00BB40C1"/>
    <w:rsid w:val="00BB4754"/>
    <w:rsid w:val="00BB6086"/>
    <w:rsid w:val="00BB76FB"/>
    <w:rsid w:val="00BC0F20"/>
    <w:rsid w:val="00BC1334"/>
    <w:rsid w:val="00BC4D4B"/>
    <w:rsid w:val="00BC70AF"/>
    <w:rsid w:val="00BD1123"/>
    <w:rsid w:val="00BD47C4"/>
    <w:rsid w:val="00BD7CCA"/>
    <w:rsid w:val="00BE0E09"/>
    <w:rsid w:val="00BE0E40"/>
    <w:rsid w:val="00BE1B95"/>
    <w:rsid w:val="00BE25A1"/>
    <w:rsid w:val="00BE3498"/>
    <w:rsid w:val="00BE569F"/>
    <w:rsid w:val="00BE63A6"/>
    <w:rsid w:val="00BE7FD7"/>
    <w:rsid w:val="00BF017B"/>
    <w:rsid w:val="00BF073A"/>
    <w:rsid w:val="00BF1BDA"/>
    <w:rsid w:val="00BF219A"/>
    <w:rsid w:val="00BF45C6"/>
    <w:rsid w:val="00BF4FBE"/>
    <w:rsid w:val="00C01D35"/>
    <w:rsid w:val="00C02A06"/>
    <w:rsid w:val="00C073B8"/>
    <w:rsid w:val="00C10C6A"/>
    <w:rsid w:val="00C12055"/>
    <w:rsid w:val="00C148F9"/>
    <w:rsid w:val="00C16A13"/>
    <w:rsid w:val="00C16A43"/>
    <w:rsid w:val="00C171FB"/>
    <w:rsid w:val="00C20338"/>
    <w:rsid w:val="00C22FC4"/>
    <w:rsid w:val="00C235FC"/>
    <w:rsid w:val="00C23FB6"/>
    <w:rsid w:val="00C2431B"/>
    <w:rsid w:val="00C24532"/>
    <w:rsid w:val="00C27D47"/>
    <w:rsid w:val="00C32F79"/>
    <w:rsid w:val="00C33C8D"/>
    <w:rsid w:val="00C342E8"/>
    <w:rsid w:val="00C349DD"/>
    <w:rsid w:val="00C37EB9"/>
    <w:rsid w:val="00C40A29"/>
    <w:rsid w:val="00C4614D"/>
    <w:rsid w:val="00C46CA9"/>
    <w:rsid w:val="00C53FFA"/>
    <w:rsid w:val="00C5490E"/>
    <w:rsid w:val="00C564C2"/>
    <w:rsid w:val="00C568E5"/>
    <w:rsid w:val="00C578A3"/>
    <w:rsid w:val="00C6245E"/>
    <w:rsid w:val="00C627F5"/>
    <w:rsid w:val="00C63D51"/>
    <w:rsid w:val="00C70818"/>
    <w:rsid w:val="00C74608"/>
    <w:rsid w:val="00C74806"/>
    <w:rsid w:val="00C76198"/>
    <w:rsid w:val="00C76860"/>
    <w:rsid w:val="00C76ACB"/>
    <w:rsid w:val="00C76E5E"/>
    <w:rsid w:val="00C81007"/>
    <w:rsid w:val="00C85211"/>
    <w:rsid w:val="00C85A53"/>
    <w:rsid w:val="00C864E1"/>
    <w:rsid w:val="00C915FE"/>
    <w:rsid w:val="00C9285F"/>
    <w:rsid w:val="00C94502"/>
    <w:rsid w:val="00C96789"/>
    <w:rsid w:val="00CA01FF"/>
    <w:rsid w:val="00CA0434"/>
    <w:rsid w:val="00CA1E53"/>
    <w:rsid w:val="00CA228A"/>
    <w:rsid w:val="00CA4F9B"/>
    <w:rsid w:val="00CA5BC6"/>
    <w:rsid w:val="00CA7422"/>
    <w:rsid w:val="00CB31B8"/>
    <w:rsid w:val="00CB5042"/>
    <w:rsid w:val="00CB5C09"/>
    <w:rsid w:val="00CB6506"/>
    <w:rsid w:val="00CB7770"/>
    <w:rsid w:val="00CC0C03"/>
    <w:rsid w:val="00CC19FA"/>
    <w:rsid w:val="00CC77B0"/>
    <w:rsid w:val="00CC7D4D"/>
    <w:rsid w:val="00CD0DD7"/>
    <w:rsid w:val="00CD127E"/>
    <w:rsid w:val="00CD18FA"/>
    <w:rsid w:val="00CD3696"/>
    <w:rsid w:val="00CD45A3"/>
    <w:rsid w:val="00CD679F"/>
    <w:rsid w:val="00CD6EDC"/>
    <w:rsid w:val="00CE29C1"/>
    <w:rsid w:val="00CE347C"/>
    <w:rsid w:val="00CE4C2F"/>
    <w:rsid w:val="00CE4D84"/>
    <w:rsid w:val="00CE52ED"/>
    <w:rsid w:val="00CE54B8"/>
    <w:rsid w:val="00CE650A"/>
    <w:rsid w:val="00CE6E7F"/>
    <w:rsid w:val="00CE6F9C"/>
    <w:rsid w:val="00CF0919"/>
    <w:rsid w:val="00CF1809"/>
    <w:rsid w:val="00CF311E"/>
    <w:rsid w:val="00CF51F1"/>
    <w:rsid w:val="00CF7865"/>
    <w:rsid w:val="00D00DDE"/>
    <w:rsid w:val="00D017B1"/>
    <w:rsid w:val="00D05AAF"/>
    <w:rsid w:val="00D06F53"/>
    <w:rsid w:val="00D10452"/>
    <w:rsid w:val="00D10B6B"/>
    <w:rsid w:val="00D152DD"/>
    <w:rsid w:val="00D2112B"/>
    <w:rsid w:val="00D2178F"/>
    <w:rsid w:val="00D348D3"/>
    <w:rsid w:val="00D3512F"/>
    <w:rsid w:val="00D4110F"/>
    <w:rsid w:val="00D43333"/>
    <w:rsid w:val="00D43920"/>
    <w:rsid w:val="00D47B4C"/>
    <w:rsid w:val="00D51B10"/>
    <w:rsid w:val="00D53156"/>
    <w:rsid w:val="00D540C1"/>
    <w:rsid w:val="00D579C1"/>
    <w:rsid w:val="00D60A46"/>
    <w:rsid w:val="00D610EC"/>
    <w:rsid w:val="00D61EF3"/>
    <w:rsid w:val="00D622EF"/>
    <w:rsid w:val="00D64351"/>
    <w:rsid w:val="00D66975"/>
    <w:rsid w:val="00D70861"/>
    <w:rsid w:val="00D7143E"/>
    <w:rsid w:val="00D71D47"/>
    <w:rsid w:val="00D77FC5"/>
    <w:rsid w:val="00D816E1"/>
    <w:rsid w:val="00D81ED8"/>
    <w:rsid w:val="00D828A2"/>
    <w:rsid w:val="00D834E4"/>
    <w:rsid w:val="00D861BA"/>
    <w:rsid w:val="00D86532"/>
    <w:rsid w:val="00D86BA1"/>
    <w:rsid w:val="00D86C2C"/>
    <w:rsid w:val="00D87556"/>
    <w:rsid w:val="00D917C3"/>
    <w:rsid w:val="00D93E9C"/>
    <w:rsid w:val="00DA244E"/>
    <w:rsid w:val="00DA29C4"/>
    <w:rsid w:val="00DA7AB8"/>
    <w:rsid w:val="00DA7C63"/>
    <w:rsid w:val="00DB03E2"/>
    <w:rsid w:val="00DB3599"/>
    <w:rsid w:val="00DB51EF"/>
    <w:rsid w:val="00DB7701"/>
    <w:rsid w:val="00DC2052"/>
    <w:rsid w:val="00DC3C22"/>
    <w:rsid w:val="00DC5321"/>
    <w:rsid w:val="00DD2606"/>
    <w:rsid w:val="00DD5979"/>
    <w:rsid w:val="00DD6C7D"/>
    <w:rsid w:val="00DD721D"/>
    <w:rsid w:val="00DE0BF4"/>
    <w:rsid w:val="00DE558C"/>
    <w:rsid w:val="00DE6EDA"/>
    <w:rsid w:val="00DE732F"/>
    <w:rsid w:val="00DF072F"/>
    <w:rsid w:val="00DF4036"/>
    <w:rsid w:val="00DF6B46"/>
    <w:rsid w:val="00E004C5"/>
    <w:rsid w:val="00E00F5B"/>
    <w:rsid w:val="00E00F9A"/>
    <w:rsid w:val="00E0158D"/>
    <w:rsid w:val="00E02F74"/>
    <w:rsid w:val="00E0643B"/>
    <w:rsid w:val="00E14151"/>
    <w:rsid w:val="00E1488D"/>
    <w:rsid w:val="00E15C73"/>
    <w:rsid w:val="00E15F96"/>
    <w:rsid w:val="00E2235A"/>
    <w:rsid w:val="00E24A08"/>
    <w:rsid w:val="00E25D8F"/>
    <w:rsid w:val="00E27BA6"/>
    <w:rsid w:val="00E30140"/>
    <w:rsid w:val="00E33F93"/>
    <w:rsid w:val="00E36631"/>
    <w:rsid w:val="00E36CAF"/>
    <w:rsid w:val="00E36EE1"/>
    <w:rsid w:val="00E371C8"/>
    <w:rsid w:val="00E42BB4"/>
    <w:rsid w:val="00E437A9"/>
    <w:rsid w:val="00E44AF2"/>
    <w:rsid w:val="00E460E4"/>
    <w:rsid w:val="00E508EB"/>
    <w:rsid w:val="00E51753"/>
    <w:rsid w:val="00E51DFA"/>
    <w:rsid w:val="00E52D83"/>
    <w:rsid w:val="00E559A4"/>
    <w:rsid w:val="00E55D79"/>
    <w:rsid w:val="00E5652F"/>
    <w:rsid w:val="00E61A54"/>
    <w:rsid w:val="00E61B58"/>
    <w:rsid w:val="00E63FA5"/>
    <w:rsid w:val="00E63FF1"/>
    <w:rsid w:val="00E6688C"/>
    <w:rsid w:val="00E70BAF"/>
    <w:rsid w:val="00E72E37"/>
    <w:rsid w:val="00E74B26"/>
    <w:rsid w:val="00E75C64"/>
    <w:rsid w:val="00E76FFD"/>
    <w:rsid w:val="00E77B54"/>
    <w:rsid w:val="00E8483F"/>
    <w:rsid w:val="00E874A1"/>
    <w:rsid w:val="00E9228F"/>
    <w:rsid w:val="00E96F7C"/>
    <w:rsid w:val="00E96F91"/>
    <w:rsid w:val="00EA1406"/>
    <w:rsid w:val="00EA1560"/>
    <w:rsid w:val="00EA55AC"/>
    <w:rsid w:val="00EB0C5C"/>
    <w:rsid w:val="00EB1375"/>
    <w:rsid w:val="00EB1922"/>
    <w:rsid w:val="00EB1B22"/>
    <w:rsid w:val="00EB3521"/>
    <w:rsid w:val="00EC1B4A"/>
    <w:rsid w:val="00EC1FF1"/>
    <w:rsid w:val="00EC3306"/>
    <w:rsid w:val="00EC6B29"/>
    <w:rsid w:val="00ED0E39"/>
    <w:rsid w:val="00ED3898"/>
    <w:rsid w:val="00ED5FF7"/>
    <w:rsid w:val="00ED6192"/>
    <w:rsid w:val="00ED74C5"/>
    <w:rsid w:val="00ED7636"/>
    <w:rsid w:val="00EE0158"/>
    <w:rsid w:val="00EE1259"/>
    <w:rsid w:val="00EE187D"/>
    <w:rsid w:val="00EE351D"/>
    <w:rsid w:val="00EE5DC2"/>
    <w:rsid w:val="00EE685D"/>
    <w:rsid w:val="00EF0EE1"/>
    <w:rsid w:val="00EF250A"/>
    <w:rsid w:val="00EF7DDD"/>
    <w:rsid w:val="00F03063"/>
    <w:rsid w:val="00F07783"/>
    <w:rsid w:val="00F07AC7"/>
    <w:rsid w:val="00F07C5A"/>
    <w:rsid w:val="00F116E5"/>
    <w:rsid w:val="00F125E0"/>
    <w:rsid w:val="00F1279D"/>
    <w:rsid w:val="00F173FB"/>
    <w:rsid w:val="00F204C4"/>
    <w:rsid w:val="00F21CD0"/>
    <w:rsid w:val="00F244BF"/>
    <w:rsid w:val="00F24FB1"/>
    <w:rsid w:val="00F2554F"/>
    <w:rsid w:val="00F25B9E"/>
    <w:rsid w:val="00F26FA1"/>
    <w:rsid w:val="00F27CE9"/>
    <w:rsid w:val="00F30FB8"/>
    <w:rsid w:val="00F31F4C"/>
    <w:rsid w:val="00F320FD"/>
    <w:rsid w:val="00F34EC1"/>
    <w:rsid w:val="00F3505A"/>
    <w:rsid w:val="00F37093"/>
    <w:rsid w:val="00F43A1D"/>
    <w:rsid w:val="00F46A4A"/>
    <w:rsid w:val="00F470AF"/>
    <w:rsid w:val="00F51B64"/>
    <w:rsid w:val="00F526FE"/>
    <w:rsid w:val="00F55564"/>
    <w:rsid w:val="00F555AA"/>
    <w:rsid w:val="00F613D8"/>
    <w:rsid w:val="00F62158"/>
    <w:rsid w:val="00F66622"/>
    <w:rsid w:val="00F667C0"/>
    <w:rsid w:val="00F66F09"/>
    <w:rsid w:val="00F734B1"/>
    <w:rsid w:val="00F747F0"/>
    <w:rsid w:val="00F773E8"/>
    <w:rsid w:val="00F77A12"/>
    <w:rsid w:val="00F77B6C"/>
    <w:rsid w:val="00F82AB6"/>
    <w:rsid w:val="00F8381F"/>
    <w:rsid w:val="00F83B35"/>
    <w:rsid w:val="00F83EC1"/>
    <w:rsid w:val="00F84688"/>
    <w:rsid w:val="00F86420"/>
    <w:rsid w:val="00F866B6"/>
    <w:rsid w:val="00F87830"/>
    <w:rsid w:val="00F90843"/>
    <w:rsid w:val="00F90B9C"/>
    <w:rsid w:val="00F91E13"/>
    <w:rsid w:val="00F92EA5"/>
    <w:rsid w:val="00F9503E"/>
    <w:rsid w:val="00F96061"/>
    <w:rsid w:val="00F96494"/>
    <w:rsid w:val="00F96C67"/>
    <w:rsid w:val="00F96EB0"/>
    <w:rsid w:val="00FA07AC"/>
    <w:rsid w:val="00FA3A66"/>
    <w:rsid w:val="00FB0045"/>
    <w:rsid w:val="00FB3F67"/>
    <w:rsid w:val="00FB7C15"/>
    <w:rsid w:val="00FC2237"/>
    <w:rsid w:val="00FC6321"/>
    <w:rsid w:val="00FC7073"/>
    <w:rsid w:val="00FD12A0"/>
    <w:rsid w:val="00FD21D8"/>
    <w:rsid w:val="00FD338C"/>
    <w:rsid w:val="00FE08D4"/>
    <w:rsid w:val="00FE1029"/>
    <w:rsid w:val="00FE1489"/>
    <w:rsid w:val="00FE24F9"/>
    <w:rsid w:val="00FE3DA9"/>
    <w:rsid w:val="00FF0775"/>
    <w:rsid w:val="00FF643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5F3995"/>
  <w15:docId w15:val="{8FAD0784-7BFD-4087-AE00-F48059ACC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6183"/>
    <w:pPr>
      <w:spacing w:after="120" w:line="300" w:lineRule="atLeast"/>
    </w:pPr>
    <w:rPr>
      <w:rFonts w:ascii="Arial" w:hAnsi="Arial"/>
      <w:sz w:val="22"/>
      <w:szCs w:val="24"/>
      <w:lang w:eastAsia="en-US"/>
    </w:rPr>
  </w:style>
  <w:style w:type="paragraph" w:styleId="Heading1">
    <w:name w:val="heading 1"/>
    <w:next w:val="Normal"/>
    <w:link w:val="Heading1Char"/>
    <w:qFormat/>
    <w:rsid w:val="0094252E"/>
    <w:pPr>
      <w:keepNext/>
      <w:spacing w:before="240" w:after="120" w:line="300" w:lineRule="atLeast"/>
      <w:outlineLvl w:val="0"/>
    </w:pPr>
    <w:rPr>
      <w:rFonts w:ascii="Arial" w:hAnsi="Arial" w:cs="Arial"/>
      <w:b/>
      <w:bCs/>
      <w:color w:val="971A4B"/>
      <w:kern w:val="32"/>
      <w:sz w:val="32"/>
      <w:szCs w:val="32"/>
    </w:rPr>
  </w:style>
  <w:style w:type="paragraph" w:styleId="Heading2">
    <w:name w:val="heading 2"/>
    <w:next w:val="Normal"/>
    <w:qFormat/>
    <w:rsid w:val="0094252E"/>
    <w:pPr>
      <w:keepNext/>
      <w:spacing w:before="240" w:after="120" w:line="300" w:lineRule="atLeast"/>
      <w:outlineLvl w:val="1"/>
    </w:pPr>
    <w:rPr>
      <w:rFonts w:ascii="Arial" w:hAnsi="Arial" w:cs="Arial"/>
      <w:b/>
      <w:bCs/>
      <w:iCs/>
      <w:color w:val="971A4B"/>
      <w:sz w:val="28"/>
      <w:szCs w:val="28"/>
    </w:rPr>
  </w:style>
  <w:style w:type="paragraph" w:styleId="Heading3">
    <w:name w:val="heading 3"/>
    <w:next w:val="Normal"/>
    <w:qFormat/>
    <w:rsid w:val="007E76DB"/>
    <w:pPr>
      <w:keepNext/>
      <w:spacing w:before="240" w:after="120" w:line="300" w:lineRule="atLeast"/>
      <w:outlineLvl w:val="2"/>
    </w:pPr>
    <w:rPr>
      <w:rFonts w:ascii="Arial" w:hAnsi="Arial" w:cs="Arial"/>
      <w:b/>
      <w:bCs/>
      <w:sz w:val="26"/>
      <w:szCs w:val="26"/>
    </w:rPr>
  </w:style>
  <w:style w:type="paragraph" w:styleId="Heading4">
    <w:name w:val="heading 4"/>
    <w:basedOn w:val="Heading3"/>
    <w:qFormat/>
    <w:rsid w:val="007E76DB"/>
    <w:pPr>
      <w:outlineLvl w:val="3"/>
    </w:pPr>
    <w:rPr>
      <w:sz w:val="24"/>
      <w:szCs w:val="24"/>
    </w:rPr>
  </w:style>
  <w:style w:type="paragraph" w:styleId="Heading5">
    <w:name w:val="heading 5"/>
    <w:basedOn w:val="Normal"/>
    <w:qFormat/>
    <w:rsid w:val="007E76DB"/>
    <w:pPr>
      <w:spacing w:before="240"/>
      <w:outlineLvl w:val="4"/>
    </w:pPr>
    <w:rPr>
      <w:b/>
    </w:rPr>
  </w:style>
  <w:style w:type="paragraph" w:styleId="Heading6">
    <w:name w:val="heading 6"/>
    <w:basedOn w:val="Heading5"/>
    <w:next w:val="Normal"/>
    <w:qFormat/>
    <w:rsid w:val="007E76DB"/>
    <w:pPr>
      <w:outlineLvl w:val="5"/>
    </w:pPr>
  </w:style>
  <w:style w:type="paragraph" w:styleId="Heading7">
    <w:name w:val="heading 7"/>
    <w:basedOn w:val="Heading6"/>
    <w:next w:val="Normal"/>
    <w:qFormat/>
    <w:rsid w:val="007E76DB"/>
    <w:pPr>
      <w:outlineLvl w:val="6"/>
    </w:pPr>
  </w:style>
  <w:style w:type="paragraph" w:styleId="Heading8">
    <w:name w:val="heading 8"/>
    <w:basedOn w:val="Heading7"/>
    <w:next w:val="Normal"/>
    <w:qFormat/>
    <w:rsid w:val="007E76DB"/>
    <w:pPr>
      <w:outlineLvl w:val="7"/>
    </w:pPr>
  </w:style>
  <w:style w:type="paragraph" w:styleId="Heading9">
    <w:name w:val="heading 9"/>
    <w:basedOn w:val="Heading8"/>
    <w:next w:val="Normal"/>
    <w:qFormat/>
    <w:rsid w:val="007E7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LApicture">
    <w:name w:val="VLA picture"/>
    <w:next w:val="Normal"/>
    <w:rsid w:val="007E76DB"/>
    <w:pPr>
      <w:spacing w:after="120" w:line="300" w:lineRule="atLeast"/>
    </w:pPr>
    <w:rPr>
      <w:rFonts w:ascii="Arial" w:hAnsi="Arial"/>
      <w:sz w:val="22"/>
      <w:szCs w:val="24"/>
      <w:lang w:eastAsia="en-US"/>
    </w:rPr>
  </w:style>
  <w:style w:type="paragraph" w:styleId="ListBullet">
    <w:name w:val="List Bullet"/>
    <w:rsid w:val="007E76DB"/>
    <w:pPr>
      <w:numPr>
        <w:numId w:val="2"/>
      </w:numPr>
      <w:spacing w:after="120" w:line="300" w:lineRule="atLeast"/>
    </w:pPr>
    <w:rPr>
      <w:rFonts w:ascii="Arial" w:hAnsi="Arial"/>
      <w:sz w:val="22"/>
      <w:szCs w:val="24"/>
      <w:lang w:eastAsia="en-US"/>
    </w:rPr>
  </w:style>
  <w:style w:type="paragraph" w:styleId="ListBullet2">
    <w:name w:val="List Bullet 2"/>
    <w:rsid w:val="007E76DB"/>
    <w:pPr>
      <w:numPr>
        <w:ilvl w:val="1"/>
        <w:numId w:val="3"/>
      </w:numPr>
      <w:spacing w:after="120" w:line="300" w:lineRule="atLeast"/>
    </w:pPr>
    <w:rPr>
      <w:rFonts w:ascii="Arial" w:hAnsi="Arial"/>
      <w:sz w:val="22"/>
      <w:szCs w:val="24"/>
      <w:lang w:eastAsia="en-US"/>
    </w:rPr>
  </w:style>
  <w:style w:type="paragraph" w:styleId="ListBullet3">
    <w:name w:val="List Bullet 3"/>
    <w:rsid w:val="007E76DB"/>
    <w:pPr>
      <w:numPr>
        <w:ilvl w:val="2"/>
        <w:numId w:val="3"/>
      </w:numPr>
      <w:spacing w:after="120" w:line="300" w:lineRule="atLeast"/>
    </w:pPr>
    <w:rPr>
      <w:rFonts w:ascii="Arial" w:hAnsi="Arial"/>
      <w:sz w:val="22"/>
      <w:szCs w:val="24"/>
      <w:lang w:eastAsia="en-US"/>
    </w:rPr>
  </w:style>
  <w:style w:type="paragraph" w:customStyle="1" w:styleId="VLA1">
    <w:name w:val="VLA 1."/>
    <w:aliases w:val="2.,3."/>
    <w:rsid w:val="007E76DB"/>
    <w:pPr>
      <w:numPr>
        <w:numId w:val="4"/>
      </w:numPr>
      <w:spacing w:after="120" w:line="300" w:lineRule="atLeast"/>
    </w:pPr>
    <w:rPr>
      <w:rFonts w:ascii="Arial" w:hAnsi="Arial"/>
      <w:sz w:val="22"/>
      <w:szCs w:val="24"/>
      <w:lang w:eastAsia="en-US"/>
    </w:rPr>
  </w:style>
  <w:style w:type="paragraph" w:customStyle="1" w:styleId="VLAa">
    <w:name w:val="VLA a."/>
    <w:aliases w:val="b.,c."/>
    <w:rsid w:val="007E76DB"/>
    <w:pPr>
      <w:numPr>
        <w:ilvl w:val="1"/>
        <w:numId w:val="4"/>
      </w:numPr>
      <w:spacing w:after="120" w:line="300" w:lineRule="atLeast"/>
    </w:pPr>
    <w:rPr>
      <w:rFonts w:ascii="Arial" w:hAnsi="Arial"/>
      <w:sz w:val="22"/>
      <w:szCs w:val="24"/>
      <w:lang w:eastAsia="en-US"/>
    </w:rPr>
  </w:style>
  <w:style w:type="paragraph" w:customStyle="1" w:styleId="VLAi">
    <w:name w:val="VLA i."/>
    <w:aliases w:val="ii.,iii."/>
    <w:rsid w:val="007E76DB"/>
    <w:pPr>
      <w:numPr>
        <w:ilvl w:val="2"/>
        <w:numId w:val="4"/>
      </w:numPr>
      <w:spacing w:after="120" w:line="300" w:lineRule="atLeast"/>
    </w:pPr>
    <w:rPr>
      <w:rFonts w:ascii="Arial" w:hAnsi="Arial"/>
      <w:sz w:val="22"/>
      <w:szCs w:val="24"/>
      <w:lang w:eastAsia="en-US"/>
    </w:rPr>
  </w:style>
  <w:style w:type="paragraph" w:customStyle="1" w:styleId="VLAdate">
    <w:name w:val="VLA date"/>
    <w:basedOn w:val="VLAsubtitle"/>
    <w:qFormat/>
    <w:rsid w:val="007E76DB"/>
    <w:rPr>
      <w:b w:val="0"/>
      <w:sz w:val="24"/>
    </w:rPr>
  </w:style>
  <w:style w:type="paragraph" w:styleId="FootnoteText">
    <w:name w:val="footnote text"/>
    <w:aliases w:val="Footnote text 1 Char Char,Footnote text 1,Footnote Text Char Char,Kneebone1,Footnote,Text Char Char Char,Text Char,Footnote Text Char Char Char Char Char,Text Char Char Char Char,Footnote text 1 Char,5_G,Char,Cha"/>
    <w:basedOn w:val="Normal"/>
    <w:link w:val="FootnoteTextChar"/>
    <w:qFormat/>
    <w:rsid w:val="007E76DB"/>
    <w:pPr>
      <w:ind w:left="284" w:hanging="284"/>
    </w:pPr>
    <w:rPr>
      <w:sz w:val="18"/>
      <w:szCs w:val="20"/>
    </w:rPr>
  </w:style>
  <w:style w:type="paragraph" w:styleId="Header">
    <w:name w:val="header"/>
    <w:rsid w:val="0094252E"/>
    <w:pPr>
      <w:pBdr>
        <w:bottom w:val="single" w:sz="4" w:space="1" w:color="971A4B"/>
      </w:pBdr>
      <w:tabs>
        <w:tab w:val="center" w:pos="4604"/>
        <w:tab w:val="right" w:pos="9214"/>
      </w:tabs>
      <w:spacing w:line="240" w:lineRule="atLeast"/>
    </w:pPr>
    <w:rPr>
      <w:rFonts w:ascii="Arial" w:hAnsi="Arial"/>
      <w:sz w:val="22"/>
      <w:szCs w:val="24"/>
      <w:lang w:eastAsia="en-US"/>
    </w:rPr>
  </w:style>
  <w:style w:type="paragraph" w:customStyle="1" w:styleId="Contents">
    <w:name w:val="Contents"/>
    <w:basedOn w:val="VLAdivision"/>
    <w:next w:val="Normal"/>
    <w:rsid w:val="0094252E"/>
  </w:style>
  <w:style w:type="character" w:styleId="Hyperlink">
    <w:name w:val="Hyperlink"/>
    <w:uiPriority w:val="99"/>
    <w:rsid w:val="007E76DB"/>
    <w:rPr>
      <w:rFonts w:ascii="Arial" w:hAnsi="Arial"/>
      <w:color w:val="0000FF"/>
      <w:u w:val="single"/>
      <w:lang w:val="en-AU"/>
    </w:rPr>
  </w:style>
  <w:style w:type="paragraph" w:styleId="Title">
    <w:name w:val="Title"/>
    <w:qFormat/>
    <w:rsid w:val="0094252E"/>
    <w:pPr>
      <w:spacing w:before="2000" w:after="240" w:line="400" w:lineRule="exact"/>
      <w:outlineLvl w:val="0"/>
    </w:pPr>
    <w:rPr>
      <w:rFonts w:ascii="Arial Bold" w:hAnsi="Arial Bold" w:cs="Arial"/>
      <w:b/>
      <w:bCs/>
      <w:color w:val="971A4B"/>
      <w:kern w:val="28"/>
      <w:sz w:val="36"/>
      <w:szCs w:val="32"/>
      <w:lang w:eastAsia="en-US"/>
    </w:rPr>
  </w:style>
  <w:style w:type="table" w:styleId="TableGrid">
    <w:name w:val="Table Grid"/>
    <w:basedOn w:val="TableNormal"/>
    <w:rsid w:val="007E76DB"/>
    <w:pPr>
      <w:spacing w:before="60" w:after="60"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39"/>
    <w:rsid w:val="007E76DB"/>
    <w:pPr>
      <w:tabs>
        <w:tab w:val="right" w:leader="dot" w:pos="9790"/>
      </w:tabs>
      <w:spacing w:before="60" w:after="60"/>
      <w:ind w:left="567" w:right="760" w:hanging="567"/>
    </w:pPr>
    <w:rPr>
      <w:rFonts w:ascii="Arial" w:hAnsi="Arial"/>
      <w:b/>
      <w:szCs w:val="24"/>
      <w:lang w:eastAsia="en-US"/>
    </w:rPr>
  </w:style>
  <w:style w:type="paragraph" w:styleId="ListBullet4">
    <w:name w:val="List Bullet 4"/>
    <w:basedOn w:val="Normal"/>
    <w:semiHidden/>
    <w:rsid w:val="007E76DB"/>
    <w:pPr>
      <w:spacing w:after="80"/>
    </w:pPr>
  </w:style>
  <w:style w:type="character" w:styleId="PageNumber">
    <w:name w:val="page number"/>
    <w:semiHidden/>
    <w:rsid w:val="007E76DB"/>
    <w:rPr>
      <w:rFonts w:ascii="Arial" w:hAnsi="Arial"/>
      <w:sz w:val="18"/>
    </w:rPr>
  </w:style>
  <w:style w:type="paragraph" w:customStyle="1" w:styleId="Appendix">
    <w:name w:val="Appendix"/>
    <w:next w:val="Normal"/>
    <w:rsid w:val="0094252E"/>
    <w:pPr>
      <w:numPr>
        <w:numId w:val="1"/>
      </w:numPr>
      <w:spacing w:before="240" w:after="240" w:line="280" w:lineRule="exact"/>
    </w:pPr>
    <w:rPr>
      <w:rFonts w:ascii="Arial" w:hAnsi="Arial" w:cs="Arial"/>
      <w:b/>
      <w:bCs/>
      <w:color w:val="971A4B"/>
      <w:kern w:val="32"/>
      <w:sz w:val="28"/>
      <w:szCs w:val="32"/>
    </w:rPr>
  </w:style>
  <w:style w:type="paragraph" w:customStyle="1" w:styleId="VLAtitle">
    <w:name w:val="VLA title"/>
    <w:basedOn w:val="Title"/>
    <w:rsid w:val="0094252E"/>
    <w:rPr>
      <w:rFonts w:ascii="Arial" w:hAnsi="Arial"/>
    </w:rPr>
  </w:style>
  <w:style w:type="paragraph" w:customStyle="1" w:styleId="VLAsubtitle">
    <w:name w:val="VLA subtitle"/>
    <w:basedOn w:val="Normal"/>
    <w:rsid w:val="007E76DB"/>
    <w:pPr>
      <w:spacing w:before="240" w:after="240" w:line="240" w:lineRule="atLeast"/>
    </w:pPr>
    <w:rPr>
      <w:b/>
      <w:bCs/>
      <w:sz w:val="28"/>
      <w:szCs w:val="28"/>
    </w:rPr>
  </w:style>
  <w:style w:type="paragraph" w:customStyle="1" w:styleId="VLAauthor">
    <w:name w:val="VLA author"/>
    <w:basedOn w:val="Normal"/>
    <w:next w:val="VLAdivision"/>
    <w:rsid w:val="0094252E"/>
    <w:pPr>
      <w:spacing w:before="240" w:after="60"/>
    </w:pPr>
    <w:rPr>
      <w:b/>
      <w:color w:val="971A4B"/>
      <w:sz w:val="28"/>
      <w:szCs w:val="28"/>
      <w:lang w:eastAsia="en-AU"/>
    </w:rPr>
  </w:style>
  <w:style w:type="paragraph" w:customStyle="1" w:styleId="VLAdivision">
    <w:name w:val="VLA division"/>
    <w:basedOn w:val="Normal"/>
    <w:next w:val="VLAauthor"/>
    <w:rsid w:val="0094252E"/>
    <w:pPr>
      <w:spacing w:before="60" w:after="240"/>
    </w:pPr>
    <w:rPr>
      <w:b/>
      <w:color w:val="971A4B"/>
      <w:sz w:val="28"/>
      <w:szCs w:val="28"/>
      <w:lang w:eastAsia="en-AU"/>
    </w:rPr>
  </w:style>
  <w:style w:type="paragraph" w:customStyle="1" w:styleId="VLApublicationdate">
    <w:name w:val="VLA publication date"/>
    <w:basedOn w:val="Normal"/>
    <w:rsid w:val="007E76DB"/>
    <w:pPr>
      <w:spacing w:before="1000"/>
    </w:pPr>
    <w:rPr>
      <w:b/>
      <w:sz w:val="28"/>
      <w:szCs w:val="20"/>
      <w:lang w:eastAsia="en-AU"/>
    </w:rPr>
  </w:style>
  <w:style w:type="paragraph" w:customStyle="1" w:styleId="VLAcaption">
    <w:name w:val="VLA caption"/>
    <w:basedOn w:val="Normal"/>
    <w:next w:val="Normal"/>
    <w:rsid w:val="007E76DB"/>
    <w:rPr>
      <w:i/>
      <w:sz w:val="20"/>
    </w:rPr>
  </w:style>
  <w:style w:type="paragraph" w:customStyle="1" w:styleId="Confidentialityclause">
    <w:name w:val="Confidentiality clause"/>
    <w:rsid w:val="007E76DB"/>
    <w:pPr>
      <w:spacing w:after="120"/>
    </w:pPr>
    <w:rPr>
      <w:rFonts w:ascii="Arial" w:hAnsi="Arial"/>
      <w:bCs/>
      <w:kern w:val="28"/>
      <w:sz w:val="18"/>
      <w:lang w:eastAsia="en-US"/>
    </w:rPr>
  </w:style>
  <w:style w:type="character" w:styleId="FootnoteReference">
    <w:name w:val="footnote reference"/>
    <w:aliases w:val="Footnotes refss,Footnote number,4_G,4_G Char,Footnotes refss Char,ftref Char,BVI fnr Char,BVI fnr Car Car Char,BVI fnr Car Char,BVI fnr Car Car Car Car Char,BVI fnr Char Car Car Car Char,BVI fnr Char Car Car Car Char Char,callout,Ref"/>
    <w:link w:val="ftref"/>
    <w:qFormat/>
    <w:rsid w:val="007E76DB"/>
    <w:rPr>
      <w:rFonts w:ascii="Arial" w:hAnsi="Arial"/>
      <w:sz w:val="18"/>
      <w:vertAlign w:val="superscript"/>
    </w:rPr>
  </w:style>
  <w:style w:type="paragraph" w:customStyle="1" w:styleId="Filename">
    <w:name w:val="Filename"/>
    <w:basedOn w:val="Normal"/>
    <w:rsid w:val="0094252E"/>
    <w:pPr>
      <w:pBdr>
        <w:top w:val="single" w:sz="4" w:space="1" w:color="971A4B"/>
      </w:pBdr>
      <w:tabs>
        <w:tab w:val="right" w:pos="9240"/>
      </w:tabs>
    </w:pPr>
    <w:rPr>
      <w:sz w:val="18"/>
    </w:rPr>
  </w:style>
  <w:style w:type="paragraph" w:styleId="TOC2">
    <w:name w:val="toc 2"/>
    <w:basedOn w:val="Normal"/>
    <w:next w:val="Normal"/>
    <w:uiPriority w:val="39"/>
    <w:rsid w:val="007E76DB"/>
    <w:pPr>
      <w:tabs>
        <w:tab w:val="right" w:leader="dot" w:pos="9790"/>
      </w:tabs>
      <w:spacing w:before="60" w:after="60"/>
      <w:ind w:left="330" w:right="650"/>
    </w:pPr>
    <w:rPr>
      <w:noProof/>
      <w:sz w:val="20"/>
    </w:rPr>
  </w:style>
  <w:style w:type="paragraph" w:styleId="TOC3">
    <w:name w:val="toc 3"/>
    <w:basedOn w:val="Normal"/>
    <w:next w:val="Normal"/>
    <w:uiPriority w:val="39"/>
    <w:rsid w:val="007E76DB"/>
    <w:pPr>
      <w:tabs>
        <w:tab w:val="right" w:leader="dot" w:pos="9790"/>
      </w:tabs>
      <w:spacing w:before="60" w:after="60"/>
      <w:ind w:left="550" w:right="760"/>
    </w:pPr>
    <w:rPr>
      <w:noProof/>
      <w:sz w:val="20"/>
    </w:rPr>
  </w:style>
  <w:style w:type="paragraph" w:styleId="Footer">
    <w:name w:val="footer"/>
    <w:basedOn w:val="Normal"/>
    <w:link w:val="FooterChar"/>
    <w:uiPriority w:val="99"/>
    <w:rsid w:val="007E76DB"/>
    <w:pPr>
      <w:tabs>
        <w:tab w:val="center" w:pos="4153"/>
        <w:tab w:val="right" w:pos="8306"/>
      </w:tabs>
    </w:pPr>
  </w:style>
  <w:style w:type="paragraph" w:customStyle="1" w:styleId="VLAquotation">
    <w:name w:val="VLA quotation"/>
    <w:basedOn w:val="VLApicture"/>
    <w:rsid w:val="007E76DB"/>
    <w:pPr>
      <w:ind w:left="720"/>
    </w:pPr>
    <w:rPr>
      <w:i/>
    </w:rPr>
  </w:style>
  <w:style w:type="paragraph" w:customStyle="1" w:styleId="VLAdefinition">
    <w:name w:val="VLA definition"/>
    <w:basedOn w:val="Normal"/>
    <w:rsid w:val="007E76DB"/>
    <w:pPr>
      <w:tabs>
        <w:tab w:val="left" w:pos="2268"/>
      </w:tabs>
      <w:spacing w:before="60"/>
      <w:ind w:left="2268" w:hanging="2268"/>
    </w:pPr>
    <w:rPr>
      <w:szCs w:val="22"/>
    </w:rPr>
  </w:style>
  <w:style w:type="character" w:styleId="Strong">
    <w:name w:val="Strong"/>
    <w:qFormat/>
    <w:rsid w:val="007E76DB"/>
    <w:rPr>
      <w:b/>
      <w:bCs/>
    </w:rPr>
  </w:style>
  <w:style w:type="paragraph" w:customStyle="1" w:styleId="NormalBold">
    <w:name w:val="Normal Bold"/>
    <w:basedOn w:val="Normal"/>
    <w:next w:val="Normal"/>
    <w:rsid w:val="00957221"/>
    <w:rPr>
      <w:b/>
      <w:lang w:eastAsia="en-AU"/>
    </w:rPr>
  </w:style>
  <w:style w:type="paragraph" w:customStyle="1" w:styleId="Normalbold0">
    <w:name w:val="Normal bold"/>
    <w:basedOn w:val="Normal"/>
    <w:next w:val="Normal"/>
    <w:rsid w:val="007E76DB"/>
    <w:rPr>
      <w:b/>
      <w:lang w:eastAsia="en-AU"/>
    </w:rPr>
  </w:style>
  <w:style w:type="paragraph" w:customStyle="1" w:styleId="Normalwithborder">
    <w:name w:val="Normal with border"/>
    <w:basedOn w:val="Heading5"/>
    <w:qFormat/>
    <w:rsid w:val="007E76DB"/>
  </w:style>
  <w:style w:type="paragraph" w:customStyle="1" w:styleId="AppendixH1">
    <w:name w:val="Appendix H1"/>
    <w:next w:val="Normal"/>
    <w:rsid w:val="0094252E"/>
    <w:pPr>
      <w:spacing w:before="240" w:after="240" w:line="300" w:lineRule="atLeast"/>
    </w:pPr>
    <w:rPr>
      <w:rFonts w:ascii="Arial" w:hAnsi="Arial" w:cs="Arial"/>
      <w:b/>
      <w:bCs/>
      <w:color w:val="971A4B"/>
      <w:kern w:val="32"/>
      <w:sz w:val="28"/>
      <w:szCs w:val="26"/>
    </w:rPr>
  </w:style>
  <w:style w:type="paragraph" w:customStyle="1" w:styleId="AppendixH2">
    <w:name w:val="Appendix H2"/>
    <w:next w:val="Normal"/>
    <w:rsid w:val="0094252E"/>
    <w:pPr>
      <w:spacing w:before="160" w:after="40" w:line="300" w:lineRule="atLeast"/>
    </w:pPr>
    <w:rPr>
      <w:rFonts w:ascii="Arial" w:hAnsi="Arial" w:cs="Arial"/>
      <w:b/>
      <w:bCs/>
      <w:iCs/>
      <w:color w:val="971A4B"/>
      <w:sz w:val="26"/>
      <w:szCs w:val="28"/>
    </w:rPr>
  </w:style>
  <w:style w:type="paragraph" w:customStyle="1" w:styleId="AppendixH3">
    <w:name w:val="Appendix H3"/>
    <w:next w:val="Normal"/>
    <w:rsid w:val="007E76DB"/>
    <w:pPr>
      <w:spacing w:before="120" w:after="40" w:line="300" w:lineRule="atLeast"/>
    </w:pPr>
    <w:rPr>
      <w:rFonts w:ascii="Arial" w:hAnsi="Arial" w:cs="Arial"/>
      <w:b/>
      <w:bCs/>
      <w:sz w:val="24"/>
      <w:szCs w:val="26"/>
    </w:rPr>
  </w:style>
  <w:style w:type="paragraph" w:customStyle="1" w:styleId="Normalwithgreyhighlightbox">
    <w:name w:val="Normal with grey highlight box"/>
    <w:basedOn w:val="Heading4"/>
    <w:qFormat/>
    <w:rsid w:val="007E76DB"/>
  </w:style>
  <w:style w:type="paragraph" w:styleId="ListParagraph">
    <w:name w:val="List Paragraph"/>
    <w:basedOn w:val="Normal"/>
    <w:uiPriority w:val="34"/>
    <w:qFormat/>
    <w:rsid w:val="003E4BC8"/>
    <w:pPr>
      <w:ind w:left="720"/>
      <w:contextualSpacing/>
    </w:pPr>
  </w:style>
  <w:style w:type="character" w:customStyle="1" w:styleId="FootnoteTextChar">
    <w:name w:val="Footnote Text Char"/>
    <w:aliases w:val="Footnote text 1 Char Char Char,Footnote text 1 Char1,Footnote Text Char Char Char,Kneebone1 Char,Footnote Char,Text Char Char Char Char1,Text Char Char,Footnote Text Char Char Char Char Char Char,Text Char Char Char Char Char,5_G Char"/>
    <w:basedOn w:val="DefaultParagraphFont"/>
    <w:link w:val="FootnoteText"/>
    <w:rsid w:val="003E4BC8"/>
    <w:rPr>
      <w:rFonts w:ascii="Arial" w:hAnsi="Arial"/>
      <w:sz w:val="18"/>
      <w:lang w:eastAsia="en-US"/>
    </w:rPr>
  </w:style>
  <w:style w:type="paragraph" w:customStyle="1" w:styleId="Casestudy">
    <w:name w:val="Case study"/>
    <w:basedOn w:val="Normal"/>
    <w:qFormat/>
    <w:rsid w:val="003E4BC8"/>
    <w:pPr>
      <w:shd w:val="clear" w:color="auto" w:fill="D9D9D9" w:themeFill="background1" w:themeFillShade="D9"/>
    </w:pPr>
    <w:rPr>
      <w:lang w:eastAsia="en-AU"/>
    </w:rPr>
  </w:style>
  <w:style w:type="paragraph" w:customStyle="1" w:styleId="VLADocumentText">
    <w:name w:val="VLA Document Text"/>
    <w:rsid w:val="003E4BC8"/>
    <w:pPr>
      <w:spacing w:after="200" w:line="300" w:lineRule="atLeast"/>
    </w:pPr>
    <w:rPr>
      <w:rFonts w:ascii="Arial" w:hAnsi="Arial"/>
      <w:sz w:val="21"/>
      <w:szCs w:val="24"/>
      <w:lang w:eastAsia="en-US"/>
    </w:rPr>
  </w:style>
  <w:style w:type="paragraph" w:customStyle="1" w:styleId="VLALetterText">
    <w:name w:val="VLA Letter Text"/>
    <w:rsid w:val="003E4BC8"/>
    <w:pPr>
      <w:spacing w:after="200" w:line="300" w:lineRule="atLeast"/>
    </w:pPr>
    <w:rPr>
      <w:rFonts w:ascii="Arial" w:hAnsi="Arial"/>
      <w:sz w:val="21"/>
      <w:szCs w:val="24"/>
      <w:lang w:eastAsia="en-US"/>
    </w:rPr>
  </w:style>
  <w:style w:type="character" w:customStyle="1" w:styleId="UnresolvedMention1">
    <w:name w:val="Unresolved Mention1"/>
    <w:basedOn w:val="DefaultParagraphFont"/>
    <w:uiPriority w:val="99"/>
    <w:semiHidden/>
    <w:unhideWhenUsed/>
    <w:rsid w:val="00867A1D"/>
    <w:rPr>
      <w:color w:val="808080"/>
      <w:shd w:val="clear" w:color="auto" w:fill="E6E6E6"/>
    </w:rPr>
  </w:style>
  <w:style w:type="paragraph" w:styleId="BalloonText">
    <w:name w:val="Balloon Text"/>
    <w:basedOn w:val="Normal"/>
    <w:link w:val="BalloonTextChar"/>
    <w:semiHidden/>
    <w:unhideWhenUsed/>
    <w:rsid w:val="00FE3D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E3DA9"/>
    <w:rPr>
      <w:rFonts w:ascii="Segoe UI" w:hAnsi="Segoe UI" w:cs="Segoe UI"/>
      <w:sz w:val="18"/>
      <w:szCs w:val="18"/>
      <w:lang w:eastAsia="en-US"/>
    </w:rPr>
  </w:style>
  <w:style w:type="paragraph" w:customStyle="1" w:styleId="ftref">
    <w:name w:val="ftref"/>
    <w:aliases w:val="BVI fnr,BVI fnr Car Car,BVI fnr Car,BVI fnr Car Car Car Car,BVI fnr Char Car Car Car,BVI fnr Car Car Car Car Char Char,BVI fnr Car Car Car Car Char Char Char Char Char"/>
    <w:basedOn w:val="Normal"/>
    <w:link w:val="FootnoteReference"/>
    <w:rsid w:val="005323B8"/>
    <w:pPr>
      <w:spacing w:after="160" w:line="240" w:lineRule="exact"/>
      <w:ind w:firstLine="360"/>
      <w:jc w:val="both"/>
    </w:pPr>
    <w:rPr>
      <w:sz w:val="18"/>
      <w:szCs w:val="20"/>
      <w:vertAlign w:val="superscript"/>
      <w:lang w:eastAsia="en-AU"/>
    </w:rPr>
  </w:style>
  <w:style w:type="character" w:styleId="FollowedHyperlink">
    <w:name w:val="FollowedHyperlink"/>
    <w:basedOn w:val="DefaultParagraphFont"/>
    <w:rsid w:val="0024678E"/>
    <w:rPr>
      <w:color w:val="954F72" w:themeColor="followedHyperlink"/>
      <w:u w:val="single"/>
    </w:rPr>
  </w:style>
  <w:style w:type="character" w:styleId="Emphasis">
    <w:name w:val="Emphasis"/>
    <w:basedOn w:val="DefaultParagraphFont"/>
    <w:uiPriority w:val="20"/>
    <w:qFormat/>
    <w:rsid w:val="00D3512F"/>
    <w:rPr>
      <w:i/>
      <w:iCs/>
    </w:rPr>
  </w:style>
  <w:style w:type="character" w:customStyle="1" w:styleId="Heading1Char">
    <w:name w:val="Heading 1 Char"/>
    <w:basedOn w:val="DefaultParagraphFont"/>
    <w:link w:val="Heading1"/>
    <w:rsid w:val="006A12CB"/>
    <w:rPr>
      <w:rFonts w:ascii="Arial" w:hAnsi="Arial" w:cs="Arial"/>
      <w:b/>
      <w:bCs/>
      <w:color w:val="971A4B"/>
      <w:kern w:val="32"/>
      <w:sz w:val="32"/>
      <w:szCs w:val="32"/>
    </w:rPr>
  </w:style>
  <w:style w:type="character" w:styleId="CommentReference">
    <w:name w:val="annotation reference"/>
    <w:basedOn w:val="DefaultParagraphFont"/>
    <w:uiPriority w:val="99"/>
    <w:rsid w:val="008126E3"/>
    <w:rPr>
      <w:sz w:val="16"/>
      <w:szCs w:val="16"/>
    </w:rPr>
  </w:style>
  <w:style w:type="paragraph" w:styleId="CommentText">
    <w:name w:val="annotation text"/>
    <w:basedOn w:val="Normal"/>
    <w:link w:val="CommentTextChar"/>
    <w:uiPriority w:val="99"/>
    <w:rsid w:val="008126E3"/>
    <w:pPr>
      <w:spacing w:line="240" w:lineRule="auto"/>
    </w:pPr>
    <w:rPr>
      <w:sz w:val="20"/>
      <w:szCs w:val="20"/>
    </w:rPr>
  </w:style>
  <w:style w:type="character" w:customStyle="1" w:styleId="CommentTextChar">
    <w:name w:val="Comment Text Char"/>
    <w:basedOn w:val="DefaultParagraphFont"/>
    <w:link w:val="CommentText"/>
    <w:uiPriority w:val="99"/>
    <w:rsid w:val="008126E3"/>
    <w:rPr>
      <w:rFonts w:ascii="Arial" w:hAnsi="Arial"/>
      <w:lang w:eastAsia="en-US"/>
    </w:rPr>
  </w:style>
  <w:style w:type="paragraph" w:styleId="CommentSubject">
    <w:name w:val="annotation subject"/>
    <w:basedOn w:val="CommentText"/>
    <w:next w:val="CommentText"/>
    <w:link w:val="CommentSubjectChar"/>
    <w:rsid w:val="008126E3"/>
    <w:rPr>
      <w:b/>
      <w:bCs/>
    </w:rPr>
  </w:style>
  <w:style w:type="character" w:customStyle="1" w:styleId="CommentSubjectChar">
    <w:name w:val="Comment Subject Char"/>
    <w:basedOn w:val="CommentTextChar"/>
    <w:link w:val="CommentSubject"/>
    <w:rsid w:val="008126E3"/>
    <w:rPr>
      <w:rFonts w:ascii="Arial" w:hAnsi="Arial"/>
      <w:b/>
      <w:bCs/>
      <w:lang w:eastAsia="en-US"/>
    </w:rPr>
  </w:style>
  <w:style w:type="paragraph" w:styleId="Revision">
    <w:name w:val="Revision"/>
    <w:hidden/>
    <w:uiPriority w:val="99"/>
    <w:semiHidden/>
    <w:rsid w:val="0054213E"/>
    <w:rPr>
      <w:rFonts w:ascii="Arial" w:hAnsi="Arial"/>
      <w:sz w:val="22"/>
      <w:szCs w:val="24"/>
      <w:lang w:eastAsia="en-US"/>
    </w:rPr>
  </w:style>
  <w:style w:type="paragraph" w:styleId="NormalWeb">
    <w:name w:val="Normal (Web)"/>
    <w:basedOn w:val="Normal"/>
    <w:uiPriority w:val="99"/>
    <w:semiHidden/>
    <w:unhideWhenUsed/>
    <w:rsid w:val="00D834E4"/>
    <w:pPr>
      <w:spacing w:before="100" w:beforeAutospacing="1" w:after="100" w:afterAutospacing="1" w:line="240" w:lineRule="auto"/>
    </w:pPr>
    <w:rPr>
      <w:rFonts w:ascii="Times New Roman" w:eastAsiaTheme="minorEastAsia" w:hAnsi="Times New Roman"/>
      <w:sz w:val="24"/>
      <w:lang w:eastAsia="en-AU"/>
    </w:rPr>
  </w:style>
  <w:style w:type="character" w:styleId="UnresolvedMention">
    <w:name w:val="Unresolved Mention"/>
    <w:basedOn w:val="DefaultParagraphFont"/>
    <w:uiPriority w:val="99"/>
    <w:semiHidden/>
    <w:unhideWhenUsed/>
    <w:rsid w:val="00B16B9E"/>
    <w:rPr>
      <w:color w:val="605E5C"/>
      <w:shd w:val="clear" w:color="auto" w:fill="E1DFDD"/>
    </w:rPr>
  </w:style>
  <w:style w:type="character" w:customStyle="1" w:styleId="FooterChar">
    <w:name w:val="Footer Char"/>
    <w:basedOn w:val="DefaultParagraphFont"/>
    <w:link w:val="Footer"/>
    <w:uiPriority w:val="99"/>
    <w:rsid w:val="00624862"/>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00488">
      <w:bodyDiv w:val="1"/>
      <w:marLeft w:val="0"/>
      <w:marRight w:val="0"/>
      <w:marTop w:val="0"/>
      <w:marBottom w:val="0"/>
      <w:divBdr>
        <w:top w:val="none" w:sz="0" w:space="0" w:color="auto"/>
        <w:left w:val="none" w:sz="0" w:space="0" w:color="auto"/>
        <w:bottom w:val="none" w:sz="0" w:space="0" w:color="auto"/>
        <w:right w:val="none" w:sz="0" w:space="0" w:color="auto"/>
      </w:divBdr>
    </w:div>
    <w:div w:id="595988338">
      <w:bodyDiv w:val="1"/>
      <w:marLeft w:val="0"/>
      <w:marRight w:val="0"/>
      <w:marTop w:val="0"/>
      <w:marBottom w:val="0"/>
      <w:divBdr>
        <w:top w:val="none" w:sz="0" w:space="0" w:color="auto"/>
        <w:left w:val="none" w:sz="0" w:space="0" w:color="auto"/>
        <w:bottom w:val="none" w:sz="0" w:space="0" w:color="auto"/>
        <w:right w:val="none" w:sz="0" w:space="0" w:color="auto"/>
      </w:divBdr>
    </w:div>
    <w:div w:id="620308306">
      <w:bodyDiv w:val="1"/>
      <w:marLeft w:val="0"/>
      <w:marRight w:val="0"/>
      <w:marTop w:val="0"/>
      <w:marBottom w:val="0"/>
      <w:divBdr>
        <w:top w:val="none" w:sz="0" w:space="0" w:color="auto"/>
        <w:left w:val="none" w:sz="0" w:space="0" w:color="auto"/>
        <w:bottom w:val="none" w:sz="0" w:space="0" w:color="auto"/>
        <w:right w:val="none" w:sz="0" w:space="0" w:color="auto"/>
      </w:divBdr>
    </w:div>
    <w:div w:id="795493164">
      <w:bodyDiv w:val="1"/>
      <w:marLeft w:val="0"/>
      <w:marRight w:val="0"/>
      <w:marTop w:val="0"/>
      <w:marBottom w:val="0"/>
      <w:divBdr>
        <w:top w:val="none" w:sz="0" w:space="0" w:color="auto"/>
        <w:left w:val="none" w:sz="0" w:space="0" w:color="auto"/>
        <w:bottom w:val="none" w:sz="0" w:space="0" w:color="auto"/>
        <w:right w:val="none" w:sz="0" w:space="0" w:color="auto"/>
      </w:divBdr>
    </w:div>
    <w:div w:id="928973623">
      <w:bodyDiv w:val="1"/>
      <w:marLeft w:val="0"/>
      <w:marRight w:val="0"/>
      <w:marTop w:val="0"/>
      <w:marBottom w:val="0"/>
      <w:divBdr>
        <w:top w:val="none" w:sz="0" w:space="0" w:color="auto"/>
        <w:left w:val="none" w:sz="0" w:space="0" w:color="auto"/>
        <w:bottom w:val="none" w:sz="0" w:space="0" w:color="auto"/>
        <w:right w:val="none" w:sz="0" w:space="0" w:color="auto"/>
      </w:divBdr>
    </w:div>
    <w:div w:id="954870768">
      <w:bodyDiv w:val="1"/>
      <w:marLeft w:val="0"/>
      <w:marRight w:val="0"/>
      <w:marTop w:val="0"/>
      <w:marBottom w:val="0"/>
      <w:divBdr>
        <w:top w:val="none" w:sz="0" w:space="0" w:color="auto"/>
        <w:left w:val="none" w:sz="0" w:space="0" w:color="auto"/>
        <w:bottom w:val="none" w:sz="0" w:space="0" w:color="auto"/>
        <w:right w:val="none" w:sz="0" w:space="0" w:color="auto"/>
      </w:divBdr>
    </w:div>
    <w:div w:id="1230457029">
      <w:bodyDiv w:val="1"/>
      <w:marLeft w:val="0"/>
      <w:marRight w:val="0"/>
      <w:marTop w:val="0"/>
      <w:marBottom w:val="0"/>
      <w:divBdr>
        <w:top w:val="none" w:sz="0" w:space="0" w:color="auto"/>
        <w:left w:val="none" w:sz="0" w:space="0" w:color="auto"/>
        <w:bottom w:val="none" w:sz="0" w:space="0" w:color="auto"/>
        <w:right w:val="none" w:sz="0" w:space="0" w:color="auto"/>
      </w:divBdr>
    </w:div>
    <w:div w:id="1279989584">
      <w:bodyDiv w:val="1"/>
      <w:marLeft w:val="0"/>
      <w:marRight w:val="0"/>
      <w:marTop w:val="0"/>
      <w:marBottom w:val="0"/>
      <w:divBdr>
        <w:top w:val="none" w:sz="0" w:space="0" w:color="auto"/>
        <w:left w:val="none" w:sz="0" w:space="0" w:color="auto"/>
        <w:bottom w:val="none" w:sz="0" w:space="0" w:color="auto"/>
        <w:right w:val="none" w:sz="0" w:space="0" w:color="auto"/>
      </w:divBdr>
    </w:div>
    <w:div w:id="1461192000">
      <w:bodyDiv w:val="1"/>
      <w:marLeft w:val="0"/>
      <w:marRight w:val="0"/>
      <w:marTop w:val="0"/>
      <w:marBottom w:val="0"/>
      <w:divBdr>
        <w:top w:val="none" w:sz="0" w:space="0" w:color="auto"/>
        <w:left w:val="none" w:sz="0" w:space="0" w:color="auto"/>
        <w:bottom w:val="none" w:sz="0" w:space="0" w:color="auto"/>
        <w:right w:val="none" w:sz="0" w:space="0" w:color="auto"/>
      </w:divBdr>
    </w:div>
    <w:div w:id="1908565348">
      <w:bodyDiv w:val="1"/>
      <w:marLeft w:val="0"/>
      <w:marRight w:val="0"/>
      <w:marTop w:val="0"/>
      <w:marBottom w:val="0"/>
      <w:divBdr>
        <w:top w:val="none" w:sz="0" w:space="0" w:color="auto"/>
        <w:left w:val="none" w:sz="0" w:space="0" w:color="auto"/>
        <w:bottom w:val="none" w:sz="0" w:space="0" w:color="auto"/>
        <w:right w:val="none" w:sz="0" w:space="0" w:color="auto"/>
      </w:divBdr>
    </w:div>
    <w:div w:id="211170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8" Type="http://schemas.openxmlformats.org/officeDocument/2006/relationships/hyperlink" Target="https://engage.vic.gov.au/accesstojustice" TargetMode="External"/><Relationship Id="rId3" Type="http://schemas.openxmlformats.org/officeDocument/2006/relationships/hyperlink" Target="http://www.legalaid.vic.gov.au/about-us/research-and-analysis/summary-crime-evaluation-report" TargetMode="External"/><Relationship Id="rId7" Type="http://schemas.openxmlformats.org/officeDocument/2006/relationships/hyperlink" Target="https://www.healthjustice.org.au/wp-content/uploads/2018/08/Health-Justice-Australia-Mapping-a-new-path.pdf" TargetMode="External"/><Relationship Id="rId12" Type="http://schemas.openxmlformats.org/officeDocument/2006/relationships/hyperlink" Target="https://www2.health.vic.gov.au/hospitals-and-health-services/quality-safety-service/hospital-safety-and-quality-review" TargetMode="External"/><Relationship Id="rId2" Type="http://schemas.openxmlformats.org/officeDocument/2006/relationships/hyperlink" Target="https://www.legalaid.vic.gov.au/about-us/our-organisation/annual-report-2017-18" TargetMode="External"/><Relationship Id="rId1" Type="http://schemas.openxmlformats.org/officeDocument/2006/relationships/hyperlink" Target="https://engage.vic.gov.au/royal-commission-mental-health-terms-of-reference" TargetMode="External"/><Relationship Id="rId6" Type="http://schemas.openxmlformats.org/officeDocument/2006/relationships/hyperlink" Target="http://www.legalaid.vic.gov.au/about-us/news/our-report-for-victorian-ombudsmans-investigation-into-state-trustees" TargetMode="External"/><Relationship Id="rId11" Type="http://schemas.openxmlformats.org/officeDocument/2006/relationships/hyperlink" Target="https://grattan.edu.au/wp-content/uploads/2016/10/Hospital-Safety-and-Quality-Assurance-in-Victoria.pdf" TargetMode="External"/><Relationship Id="rId5" Type="http://schemas.openxmlformats.org/officeDocument/2006/relationships/hyperlink" Target="https://www.legalaid.vic.gov.au/about-us/strategic-advocacy-and-law-reform/other-activities" TargetMode="External"/><Relationship Id="rId10" Type="http://schemas.openxmlformats.org/officeDocument/2006/relationships/hyperlink" Target="https://agedcare.royalcommission.gov.au/Pages/default.aspx" TargetMode="External"/><Relationship Id="rId4" Type="http://schemas.openxmlformats.org/officeDocument/2006/relationships/hyperlink" Target="https://www.ombudsman.vic.gov.au/News/Media-Releases/imprisonment-of-woman-found-unfit-to-stand-trial" TargetMode="External"/><Relationship Id="rId9" Type="http://schemas.openxmlformats.org/officeDocument/2006/relationships/hyperlink" Target="https://www.legalaid.vic.gov.au/about-us/news/mallee-region-to-benefit-from-health-justice-partnershi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B8C55-D2D4-4778-81F0-F57C2D720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5791</Words>
  <Characters>32493</Characters>
  <Application>Microsoft Office Word</Application>
  <DocSecurity>0</DocSecurity>
  <Lines>541</Lines>
  <Paragraphs>226</Paragraphs>
  <ScaleCrop>false</ScaleCrop>
  <HeadingPairs>
    <vt:vector size="2" baseType="variant">
      <vt:variant>
        <vt:lpstr>Title</vt:lpstr>
      </vt:variant>
      <vt:variant>
        <vt:i4>1</vt:i4>
      </vt:variant>
    </vt:vector>
  </HeadingPairs>
  <TitlesOfParts>
    <vt:vector size="1" baseType="lpstr">
      <vt:lpstr>Roads to Recovery: 10 themes that must be considered by Victoria’s Royal Commission into Mental Health</vt:lpstr>
    </vt:vector>
  </TitlesOfParts>
  <Manager/>
  <Company>Victoria Legal Aid</Company>
  <LinksUpToDate>false</LinksUpToDate>
  <CharactersWithSpaces>38058</CharactersWithSpaces>
  <SharedDoc>false</SharedDoc>
  <HyperlinkBase/>
  <HLinks>
    <vt:vector size="30" baseType="variant">
      <vt:variant>
        <vt:i4>1376260</vt:i4>
      </vt:variant>
      <vt:variant>
        <vt:i4>29</vt:i4>
      </vt:variant>
      <vt:variant>
        <vt:i4>0</vt:i4>
      </vt:variant>
      <vt:variant>
        <vt:i4>5</vt:i4>
      </vt:variant>
      <vt:variant>
        <vt:lpwstr/>
      </vt:variant>
      <vt:variant>
        <vt:lpwstr>_Toc354042750</vt:lpwstr>
      </vt:variant>
      <vt:variant>
        <vt:i4>1310733</vt:i4>
      </vt:variant>
      <vt:variant>
        <vt:i4>23</vt:i4>
      </vt:variant>
      <vt:variant>
        <vt:i4>0</vt:i4>
      </vt:variant>
      <vt:variant>
        <vt:i4>5</vt:i4>
      </vt:variant>
      <vt:variant>
        <vt:lpwstr/>
      </vt:variant>
      <vt:variant>
        <vt:lpwstr>_Toc354042749</vt:lpwstr>
      </vt:variant>
      <vt:variant>
        <vt:i4>1310732</vt:i4>
      </vt:variant>
      <vt:variant>
        <vt:i4>17</vt:i4>
      </vt:variant>
      <vt:variant>
        <vt:i4>0</vt:i4>
      </vt:variant>
      <vt:variant>
        <vt:i4>5</vt:i4>
      </vt:variant>
      <vt:variant>
        <vt:lpwstr/>
      </vt:variant>
      <vt:variant>
        <vt:lpwstr>_Toc354042748</vt:lpwstr>
      </vt:variant>
      <vt:variant>
        <vt:i4>3342364</vt:i4>
      </vt:variant>
      <vt:variant>
        <vt:i4>2977</vt:i4>
      </vt:variant>
      <vt:variant>
        <vt:i4>1026</vt:i4>
      </vt:variant>
      <vt:variant>
        <vt:i4>1</vt:i4>
      </vt:variant>
      <vt:variant>
        <vt:lpwstr>vla_logo</vt:lpwstr>
      </vt:variant>
      <vt:variant>
        <vt:lpwstr/>
      </vt:variant>
      <vt:variant>
        <vt:i4>2687020</vt:i4>
      </vt:variant>
      <vt:variant>
        <vt:i4>2984</vt:i4>
      </vt:variant>
      <vt:variant>
        <vt:i4>1025</vt:i4>
      </vt:variant>
      <vt:variant>
        <vt:i4>1</vt:i4>
      </vt:variant>
      <vt:variant>
        <vt:lpwstr>vla_logo_hor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Roads to Recovery: 10 themes that must be considered by Victoria’s Royal Commission into Mental Health</dc:title>
  <dc:subject/>
  <dc:creator>Victoria Legal Aid</dc:creator>
  <cp:keywords/>
  <dc:description/>
  <cp:lastModifiedBy>Gabrielle Mundana</cp:lastModifiedBy>
  <cp:revision>2</cp:revision>
  <dcterms:created xsi:type="dcterms:W3CDTF">2022-02-24T05:46:00Z</dcterms:created>
  <dcterms:modified xsi:type="dcterms:W3CDTF">2022-02-24T05:46:00Z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_MarkAsFinal">
    <vt:bool>true</vt:bool>
  </property>
</Properties>
</file>