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6545C0" w14:textId="77777777" w:rsidR="00D26D1D" w:rsidRPr="00D26D1D" w:rsidRDefault="00D26D1D" w:rsidP="00D26D1D">
      <w:pPr>
        <w:pStyle w:val="Heading1"/>
      </w:pPr>
      <w:r w:rsidRPr="00D26D1D">
        <w:t>Blanket mental health exclusion clause in travel insurance policy amounted to unlawful discrimination</w:t>
      </w:r>
    </w:p>
    <w:p w14:paraId="3531AE0B" w14:textId="3511D57C" w:rsidR="00D26D1D" w:rsidRPr="007F6781" w:rsidRDefault="00D26D1D" w:rsidP="00D26D1D">
      <w:pPr>
        <w:pStyle w:val="Heading3"/>
      </w:pPr>
      <w:r>
        <w:t xml:space="preserve">Case note: </w:t>
      </w:r>
      <w:r w:rsidRPr="00D26D1D">
        <w:rPr>
          <w:i/>
        </w:rPr>
        <w:t xml:space="preserve">Ingram </w:t>
      </w:r>
      <w:r>
        <w:t xml:space="preserve">v </w:t>
      </w:r>
      <w:r w:rsidRPr="00916F54">
        <w:rPr>
          <w:i/>
        </w:rPr>
        <w:t>QBE Insurance (Australia) Limited (Human Rights)</w:t>
      </w:r>
      <w:r>
        <w:t xml:space="preserve"> [2015] VCAT 1936 (18 December 2015)</w:t>
      </w:r>
    </w:p>
    <w:p w14:paraId="4DEEA6ED" w14:textId="77777777" w:rsidR="00D26D1D" w:rsidRDefault="00D26D1D" w:rsidP="00D26D1D">
      <w:pPr>
        <w:pStyle w:val="Heading2"/>
      </w:pPr>
      <w:r>
        <w:t>Summary</w:t>
      </w:r>
    </w:p>
    <w:p w14:paraId="57869E26" w14:textId="4E37C3DA" w:rsidR="00D26D1D" w:rsidRDefault="00D26D1D" w:rsidP="00D26D1D">
      <w:pPr>
        <w:spacing w:after="240"/>
      </w:pPr>
      <w:r>
        <w:t>The Victorian Civil and Administrative Tribunal (</w:t>
      </w:r>
      <w:r w:rsidRPr="007F6781">
        <w:rPr>
          <w:b/>
        </w:rPr>
        <w:t>VCAT</w:t>
      </w:r>
      <w:r>
        <w:t>) found QBE Insurance (Australia) Limited (</w:t>
      </w:r>
      <w:r w:rsidRPr="007F6781">
        <w:rPr>
          <w:b/>
        </w:rPr>
        <w:t>QBE</w:t>
      </w:r>
      <w:r>
        <w:t xml:space="preserve">) unlawfully discriminated against Ella Ingram on the basis of her disability, namely a mental illness, contrary to the </w:t>
      </w:r>
      <w:r>
        <w:rPr>
          <w:i/>
        </w:rPr>
        <w:t xml:space="preserve">Equal Opportunity Act 2010 </w:t>
      </w:r>
      <w:r>
        <w:t>(</w:t>
      </w:r>
      <w:r>
        <w:rPr>
          <w:b/>
        </w:rPr>
        <w:t>EOA</w:t>
      </w:r>
      <w:r>
        <w:t>)</w:t>
      </w:r>
      <w:r w:rsidR="00CA3302">
        <w:t>,</w:t>
      </w:r>
      <w:r>
        <w:t xml:space="preserve"> when it included a blanket mental health exclusion in the travel insurance policy issued to Ms Ingram and when it rejected her claim by relying on that clause.</w:t>
      </w:r>
    </w:p>
    <w:p w14:paraId="626DFFA7" w14:textId="77777777" w:rsidR="00D26D1D" w:rsidRPr="007F6781" w:rsidRDefault="00D26D1D" w:rsidP="00D26D1D">
      <w:pPr>
        <w:pStyle w:val="Heading2"/>
      </w:pPr>
      <w:r>
        <w:t>Background facts</w:t>
      </w:r>
    </w:p>
    <w:p w14:paraId="30F5A06E" w14:textId="5F3D5020" w:rsidR="00D26D1D" w:rsidRDefault="00D26D1D" w:rsidP="00D26D1D">
      <w:pPr>
        <w:spacing w:after="240"/>
      </w:pPr>
      <w:r>
        <w:t>In 2011</w:t>
      </w:r>
      <w:r w:rsidR="00CA3302">
        <w:t>,</w:t>
      </w:r>
      <w:r>
        <w:t xml:space="preserve"> Ms Ingram purchased a travel insurance policy with QBE for an overseas study trip. She had no pre-existing illnesses at that time. In early 2012</w:t>
      </w:r>
      <w:r w:rsidR="00CA3302">
        <w:t>,</w:t>
      </w:r>
      <w:r>
        <w:t xml:space="preserve"> Ms Ingram was diagnosed with a depressive illness and cancelled her trip under medical advice.</w:t>
      </w:r>
    </w:p>
    <w:p w14:paraId="5A1871FA" w14:textId="77777777" w:rsidR="00D26D1D" w:rsidRDefault="00D26D1D" w:rsidP="00D26D1D">
      <w:pPr>
        <w:spacing w:after="240"/>
      </w:pPr>
      <w:r>
        <w:t xml:space="preserve">Ms Ingram made a claim for cancellation costs of her trip. QBE denied the claim, relying on a clause that excluded any claim directly or indirectly caused by a mental illness. QBE claimed the policy was based on detailed statistical modelling and an analysis of claims arising from a range of causes including mental illness which showed that there is a high risk of cancellation by reason of mental illness. As such, QBE claimed that even if it had discriminated against Ms Ingram (which it denied), the discrimination was lawful by reason of statutory exceptions under discrimination laws. </w:t>
      </w:r>
    </w:p>
    <w:p w14:paraId="76D971BD" w14:textId="77777777" w:rsidR="00D26D1D" w:rsidRPr="0051430C" w:rsidRDefault="00D26D1D" w:rsidP="00D26D1D">
      <w:pPr>
        <w:pStyle w:val="Heading2"/>
      </w:pPr>
      <w:r>
        <w:t>Relevant law</w:t>
      </w:r>
    </w:p>
    <w:p w14:paraId="0EED4B69" w14:textId="77777777" w:rsidR="00D26D1D" w:rsidRPr="007F6F30" w:rsidRDefault="00D26D1D" w:rsidP="00D26D1D">
      <w:pPr>
        <w:spacing w:after="240"/>
      </w:pPr>
      <w:r w:rsidRPr="007F6F30">
        <w:t xml:space="preserve">The EOA (as well as the </w:t>
      </w:r>
      <w:r w:rsidRPr="00CA3302">
        <w:rPr>
          <w:i/>
        </w:rPr>
        <w:t>Disability Discrimination Act 1991</w:t>
      </w:r>
      <w:r w:rsidRPr="007F6F30">
        <w:t xml:space="preserve"> (Cth) (</w:t>
      </w:r>
      <w:r w:rsidRPr="00CA3302">
        <w:rPr>
          <w:b/>
        </w:rPr>
        <w:t>DDA</w:t>
      </w:r>
      <w:r w:rsidRPr="007F6F30">
        <w:t xml:space="preserve">)) prohibits discrimination because of a person’s disability when providing goods and services. </w:t>
      </w:r>
    </w:p>
    <w:p w14:paraId="4072B66A" w14:textId="4C614F12" w:rsidR="00D26D1D" w:rsidRPr="007F6F30" w:rsidRDefault="00D26D1D" w:rsidP="007F6F30">
      <w:pPr>
        <w:spacing w:after="240"/>
        <w:rPr>
          <w:rFonts w:cs="Arial"/>
          <w:szCs w:val="22"/>
        </w:rPr>
      </w:pPr>
      <w:r w:rsidRPr="007F6F30">
        <w:t>Under s</w:t>
      </w:r>
      <w:r w:rsidR="00CA3302">
        <w:t>.</w:t>
      </w:r>
      <w:r w:rsidRPr="007F6F30">
        <w:t xml:space="preserve">47 of the EOA an insurer can lawfully discriminate against another person on the basis of a disability (or other attribute) by refusing to provide an insurance policy to the other person, or in the terms on which an insurance policy is provided, if: </w:t>
      </w:r>
    </w:p>
    <w:p w14:paraId="0BCCCDFD" w14:textId="0183F85F" w:rsidR="00D26D1D" w:rsidRPr="007F6F30" w:rsidRDefault="00D26D1D" w:rsidP="007F6F30">
      <w:pPr>
        <w:pStyle w:val="ListParagraph"/>
        <w:numPr>
          <w:ilvl w:val="0"/>
          <w:numId w:val="40"/>
        </w:numPr>
        <w:spacing w:after="240" w:line="300" w:lineRule="atLeast"/>
        <w:rPr>
          <w:rFonts w:ascii="Arial" w:hAnsi="Arial" w:cs="Arial"/>
          <w:sz w:val="22"/>
          <w:szCs w:val="22"/>
        </w:rPr>
      </w:pPr>
      <w:r w:rsidRPr="007F6F30">
        <w:rPr>
          <w:rFonts w:ascii="Arial" w:hAnsi="Arial" w:cs="Arial"/>
          <w:sz w:val="22"/>
          <w:szCs w:val="22"/>
        </w:rPr>
        <w:t>the discrimination is based on reasonable actuarial and statistical data and, taking into account that data and other relevant factors, the discrimination is reasonable or if (and only if) actuarial or statistical data is not available or reasonably obtainable, the discrimination is reasonable taking into account any other relevant factors (</w:t>
      </w:r>
      <w:r w:rsidRPr="00681270">
        <w:rPr>
          <w:rFonts w:ascii="Arial" w:hAnsi="Arial" w:cs="Arial"/>
          <w:b/>
          <w:sz w:val="22"/>
          <w:szCs w:val="22"/>
        </w:rPr>
        <w:t>actuarial and statistical data exception</w:t>
      </w:r>
      <w:r w:rsidRPr="007F6F30">
        <w:rPr>
          <w:rFonts w:ascii="Arial" w:hAnsi="Arial" w:cs="Arial"/>
          <w:sz w:val="22"/>
          <w:szCs w:val="22"/>
        </w:rPr>
        <w:t>) or</w:t>
      </w:r>
    </w:p>
    <w:p w14:paraId="4B070F58" w14:textId="77777777" w:rsidR="00D26D1D" w:rsidRPr="007F6F30" w:rsidRDefault="00D26D1D" w:rsidP="007F6F30">
      <w:pPr>
        <w:pStyle w:val="ListParagraph"/>
        <w:numPr>
          <w:ilvl w:val="0"/>
          <w:numId w:val="40"/>
        </w:numPr>
        <w:spacing w:after="240" w:line="300" w:lineRule="atLeast"/>
        <w:rPr>
          <w:rFonts w:ascii="Arial" w:hAnsi="Arial" w:cs="Arial"/>
          <w:sz w:val="22"/>
          <w:szCs w:val="22"/>
        </w:rPr>
      </w:pPr>
      <w:r w:rsidRPr="007F6F30">
        <w:rPr>
          <w:rFonts w:ascii="Arial" w:hAnsi="Arial" w:cs="Arial"/>
          <w:sz w:val="22"/>
          <w:szCs w:val="22"/>
        </w:rPr>
        <w:t>avoiding the discrimination would cause an unjustifiable hardship on the insurer (</w:t>
      </w:r>
      <w:r w:rsidRPr="00681270">
        <w:rPr>
          <w:rFonts w:ascii="Arial" w:hAnsi="Arial" w:cs="Arial"/>
          <w:b/>
          <w:sz w:val="22"/>
          <w:szCs w:val="22"/>
        </w:rPr>
        <w:t>unjustifiable hardship exception</w:t>
      </w:r>
      <w:r w:rsidRPr="007F6F30">
        <w:rPr>
          <w:rFonts w:ascii="Arial" w:hAnsi="Arial" w:cs="Arial"/>
          <w:sz w:val="22"/>
          <w:szCs w:val="22"/>
        </w:rPr>
        <w:t>).</w:t>
      </w:r>
    </w:p>
    <w:p w14:paraId="68E471CB" w14:textId="77777777" w:rsidR="00D26D1D" w:rsidRPr="007F6F30" w:rsidRDefault="00D26D1D" w:rsidP="007F6F30">
      <w:pPr>
        <w:spacing w:after="240"/>
      </w:pPr>
      <w:r w:rsidRPr="007F6F30">
        <w:t>The insurer bears the onus of proving the above defences once the complainant has proved unlawful discrimination.</w:t>
      </w:r>
    </w:p>
    <w:p w14:paraId="1EEE55E2" w14:textId="77777777" w:rsidR="00D26D1D" w:rsidRPr="0051430C" w:rsidRDefault="00D26D1D" w:rsidP="00D26D1D">
      <w:pPr>
        <w:pStyle w:val="Heading2"/>
      </w:pPr>
      <w:r w:rsidRPr="0051430C">
        <w:lastRenderedPageBreak/>
        <w:t>Findings</w:t>
      </w:r>
    </w:p>
    <w:p w14:paraId="4B3A29BC" w14:textId="77777777" w:rsidR="008158AC" w:rsidRDefault="00D26D1D" w:rsidP="00D26D1D">
      <w:pPr>
        <w:spacing w:after="240"/>
      </w:pPr>
      <w:r>
        <w:t>QBE conceded that Ms Ingram had a ‘disability’ when it denied her claim, but argued that she did not have a disability at the time the insurance policy was issued, as Ms Ingram did not have depression at that stage. However, s</w:t>
      </w:r>
      <w:r w:rsidR="008158AC">
        <w:t>.</w:t>
      </w:r>
      <w:r>
        <w:t xml:space="preserve">4 states that ‘disability’ includes ‘a disability that may exist in the future’. </w:t>
      </w:r>
    </w:p>
    <w:p w14:paraId="38619079" w14:textId="115FEBF7" w:rsidR="00D26D1D" w:rsidRDefault="00D26D1D" w:rsidP="00D26D1D">
      <w:pPr>
        <w:spacing w:after="240"/>
      </w:pPr>
      <w:r>
        <w:t>VCAT found that this definition must be interpreted in a way that is compatible with the right to equality, as required by s</w:t>
      </w:r>
      <w:r w:rsidR="008158AC">
        <w:t>.</w:t>
      </w:r>
      <w:r>
        <w:t xml:space="preserve">32 of the </w:t>
      </w:r>
      <w:r>
        <w:rPr>
          <w:i/>
        </w:rPr>
        <w:t>Charter of Human Rights and Responsibilities Act 2006</w:t>
      </w:r>
      <w:r w:rsidR="008158AC">
        <w:rPr>
          <w:i/>
        </w:rPr>
        <w:t xml:space="preserve"> </w:t>
      </w:r>
      <w:r w:rsidR="008158AC" w:rsidRPr="008158AC">
        <w:t>(Vic)</w:t>
      </w:r>
      <w:r w:rsidR="008158AC">
        <w:t xml:space="preserve"> </w:t>
      </w:r>
      <w:r w:rsidR="008158AC" w:rsidRPr="008158AC">
        <w:t>(</w:t>
      </w:r>
      <w:r w:rsidR="008158AC" w:rsidRPr="008158AC">
        <w:rPr>
          <w:b/>
        </w:rPr>
        <w:t>Charter</w:t>
      </w:r>
      <w:r w:rsidR="008158AC" w:rsidRPr="008158AC">
        <w:t>)</w:t>
      </w:r>
      <w:r>
        <w:t>, and in keeping with the EOA object of eliminating discrimination to the greatest possible extent. Therefore, although neither QBE nor Ms Ingram were aware that she might later develop depression when she was issued the policy, VCAT held that she was nonetheless a person for whom a disability may exist in the future, and therefore had a disability within the meaning of the EOA.</w:t>
      </w:r>
    </w:p>
    <w:p w14:paraId="11F055D7" w14:textId="77777777" w:rsidR="00D26D1D" w:rsidRPr="007F6F30" w:rsidRDefault="00D26D1D" w:rsidP="007F6F30">
      <w:pPr>
        <w:spacing w:after="240"/>
        <w:rPr>
          <w:rFonts w:cs="Arial"/>
          <w:szCs w:val="22"/>
        </w:rPr>
      </w:pPr>
      <w:r w:rsidRPr="007F6F30">
        <w:rPr>
          <w:rFonts w:cs="Arial"/>
          <w:szCs w:val="22"/>
        </w:rPr>
        <w:t>VCAT held that QBE directly discriminated against Ms Ingram by:</w:t>
      </w:r>
    </w:p>
    <w:p w14:paraId="4C19D173" w14:textId="27EC0DF7" w:rsidR="00D26D1D" w:rsidRPr="007F6F30" w:rsidRDefault="00D26D1D" w:rsidP="007F6F30">
      <w:pPr>
        <w:pStyle w:val="ListParagraph"/>
        <w:numPr>
          <w:ilvl w:val="0"/>
          <w:numId w:val="39"/>
        </w:numPr>
        <w:spacing w:after="240" w:line="300" w:lineRule="atLeast"/>
        <w:rPr>
          <w:rFonts w:ascii="Arial" w:hAnsi="Arial" w:cs="Arial"/>
          <w:sz w:val="22"/>
          <w:szCs w:val="22"/>
        </w:rPr>
      </w:pPr>
      <w:r w:rsidRPr="007F6F30">
        <w:rPr>
          <w:rFonts w:ascii="Arial" w:hAnsi="Arial" w:cs="Arial"/>
          <w:sz w:val="22"/>
          <w:szCs w:val="22"/>
        </w:rPr>
        <w:t>including the mental illness exclusion clause, which unfavourably treats any person (including Ms Ingram in this case) who develops a mental illness at some time in the future during the life of the policy and makes a claim on that basis and</w:t>
      </w:r>
    </w:p>
    <w:p w14:paraId="15851966" w14:textId="77777777" w:rsidR="00D26D1D" w:rsidRPr="007F6F30" w:rsidRDefault="00D26D1D" w:rsidP="007F6F30">
      <w:pPr>
        <w:pStyle w:val="ListParagraph"/>
        <w:numPr>
          <w:ilvl w:val="0"/>
          <w:numId w:val="39"/>
        </w:numPr>
        <w:spacing w:after="240" w:line="300" w:lineRule="atLeast"/>
        <w:rPr>
          <w:rFonts w:ascii="Arial" w:hAnsi="Arial" w:cs="Arial"/>
          <w:sz w:val="22"/>
          <w:szCs w:val="22"/>
        </w:rPr>
      </w:pPr>
      <w:r w:rsidRPr="007F6F30">
        <w:rPr>
          <w:rFonts w:ascii="Arial" w:hAnsi="Arial" w:cs="Arial"/>
          <w:sz w:val="22"/>
          <w:szCs w:val="22"/>
        </w:rPr>
        <w:t>denying indemnity to Ms Ingram because of her mental illness. (There was no dispute that this amounted to unfavourable treatment on the basis of her disability.)</w:t>
      </w:r>
    </w:p>
    <w:p w14:paraId="2E2C11C2" w14:textId="585AB9E1" w:rsidR="00D26D1D" w:rsidRPr="007F6F30" w:rsidRDefault="00D26D1D" w:rsidP="007F6F30">
      <w:pPr>
        <w:spacing w:after="240"/>
        <w:rPr>
          <w:rFonts w:cs="Arial"/>
          <w:szCs w:val="22"/>
        </w:rPr>
      </w:pPr>
      <w:r w:rsidRPr="007F6F30">
        <w:rPr>
          <w:rFonts w:cs="Arial"/>
          <w:szCs w:val="22"/>
        </w:rPr>
        <w:t>As VCAT was satisfied that Ms Ingram had been directly discriminated, it then considered QBE’s defences.</w:t>
      </w:r>
    </w:p>
    <w:p w14:paraId="6BB1FFB0" w14:textId="77777777" w:rsidR="00D26D1D" w:rsidRPr="00FB7675" w:rsidRDefault="00D26D1D" w:rsidP="00D26D1D">
      <w:pPr>
        <w:pStyle w:val="Heading3"/>
      </w:pPr>
      <w:r>
        <w:t>‘Actuarial and statistical data’ exception not made out</w:t>
      </w:r>
    </w:p>
    <w:p w14:paraId="2B99D723" w14:textId="77777777" w:rsidR="008158AC" w:rsidRDefault="00D26D1D" w:rsidP="00D26D1D">
      <w:pPr>
        <w:spacing w:after="240"/>
      </w:pPr>
      <w:r>
        <w:t xml:space="preserve">QBE failed to prove that the statistical data it attempted to rely on at the hearing existed when the policy was created, or was known to anyone involved in drafting or approving the policy wording. </w:t>
      </w:r>
    </w:p>
    <w:p w14:paraId="586224EA" w14:textId="77777777" w:rsidR="008158AC" w:rsidRDefault="00D26D1D" w:rsidP="00D26D1D">
      <w:pPr>
        <w:spacing w:after="240"/>
      </w:pPr>
      <w:r>
        <w:t xml:space="preserve">Some of the reports relied on by QBE post-dated the acts of discrimination, so could not have formed the basis for the exclusion clause. QBE did not produce any evidence pertaining to what was actually considered when the policy (or earlier versions of the policy) was prepared. The evidence from QBE’s expert and lay witnesses was also found to be unreliable. </w:t>
      </w:r>
    </w:p>
    <w:p w14:paraId="26AAF654" w14:textId="482EF94D" w:rsidR="00D26D1D" w:rsidRDefault="00D26D1D" w:rsidP="00D26D1D">
      <w:pPr>
        <w:spacing w:after="240"/>
      </w:pPr>
      <w:r>
        <w:t>Accordingly, VCAT found there was insufficient evidence to show that the mental illness exclusion was reasonably based on actuarial or statistical data, so QBE failed to satisfy this exception.</w:t>
      </w:r>
    </w:p>
    <w:p w14:paraId="07B8C3DE" w14:textId="77777777" w:rsidR="00D26D1D" w:rsidRPr="000463C0" w:rsidRDefault="00D26D1D" w:rsidP="00D26D1D">
      <w:pPr>
        <w:pStyle w:val="Heading3"/>
      </w:pPr>
      <w:r>
        <w:t>‘Unjustifiable hardship’ exception not made out</w:t>
      </w:r>
    </w:p>
    <w:p w14:paraId="563EDCD6" w14:textId="77777777" w:rsidR="00D26D1D" w:rsidRPr="007F6F30" w:rsidRDefault="00D26D1D" w:rsidP="007F6F30">
      <w:pPr>
        <w:spacing w:after="240"/>
        <w:rPr>
          <w:rFonts w:cs="Arial"/>
          <w:szCs w:val="22"/>
        </w:rPr>
      </w:pPr>
      <w:r w:rsidRPr="007F6F30">
        <w:rPr>
          <w:rFonts w:cs="Arial"/>
          <w:szCs w:val="22"/>
        </w:rPr>
        <w:t>In assessing the unjustifiable hardship exception, VCAT proceeded on the basis that the exclusion clause would be removed from the policy and the remaining terms would apply unchanged. In weighing up the considerations for the ‘unjustifiable hardship’ exception, VCAT found that:</w:t>
      </w:r>
    </w:p>
    <w:p w14:paraId="44AAD8A1" w14:textId="4D1EE613" w:rsidR="00D26D1D" w:rsidRPr="007F6F30" w:rsidRDefault="00D26D1D" w:rsidP="007F6F30">
      <w:pPr>
        <w:pStyle w:val="ListParagraph"/>
        <w:numPr>
          <w:ilvl w:val="0"/>
          <w:numId w:val="37"/>
        </w:numPr>
        <w:spacing w:after="240" w:line="300" w:lineRule="atLeast"/>
        <w:rPr>
          <w:rFonts w:ascii="Arial" w:hAnsi="Arial" w:cs="Arial"/>
          <w:sz w:val="22"/>
          <w:szCs w:val="22"/>
        </w:rPr>
      </w:pPr>
      <w:r w:rsidRPr="007F6F30">
        <w:rPr>
          <w:rFonts w:ascii="Arial" w:hAnsi="Arial" w:cs="Arial"/>
          <w:sz w:val="22"/>
          <w:szCs w:val="22"/>
        </w:rPr>
        <w:t>the community would benefit from the clause’s removal because this would lessen the stigmatising effect of negative attitudes towards mental illness and</w:t>
      </w:r>
    </w:p>
    <w:p w14:paraId="69457EFD" w14:textId="77777777" w:rsidR="00D26D1D" w:rsidRPr="007F6F30" w:rsidRDefault="00D26D1D" w:rsidP="007F6F30">
      <w:pPr>
        <w:pStyle w:val="ListParagraph"/>
        <w:numPr>
          <w:ilvl w:val="0"/>
          <w:numId w:val="37"/>
        </w:numPr>
        <w:spacing w:after="240" w:line="300" w:lineRule="atLeast"/>
        <w:rPr>
          <w:rFonts w:ascii="Arial" w:hAnsi="Arial" w:cs="Arial"/>
          <w:sz w:val="22"/>
          <w:szCs w:val="22"/>
        </w:rPr>
      </w:pPr>
      <w:r w:rsidRPr="007F6F30">
        <w:rPr>
          <w:rFonts w:ascii="Arial" w:hAnsi="Arial" w:cs="Arial"/>
          <w:sz w:val="22"/>
          <w:szCs w:val="22"/>
        </w:rPr>
        <w:t>there was no proof that insurers would have to increase the price of travel insurance or bear losses for offering insurance at the current premium rates if the clause was removed.</w:t>
      </w:r>
    </w:p>
    <w:p w14:paraId="2A259C55" w14:textId="77777777" w:rsidR="00D26D1D" w:rsidRPr="007F6F30" w:rsidRDefault="00D26D1D" w:rsidP="007F6F30">
      <w:pPr>
        <w:spacing w:after="240"/>
        <w:rPr>
          <w:rFonts w:cs="Arial"/>
          <w:szCs w:val="22"/>
        </w:rPr>
      </w:pPr>
      <w:r w:rsidRPr="007F6F30">
        <w:rPr>
          <w:rFonts w:cs="Arial"/>
          <w:szCs w:val="22"/>
        </w:rPr>
        <w:t>As such, VCAT found that the ‘unjustifiable hardship’ defence did not apply and ‘[t]he scales weigh in favour of people…being able to be properly assessed on their policy claims in the same way people with physical disabilities are assessed.’</w:t>
      </w:r>
    </w:p>
    <w:p w14:paraId="37B49EB6" w14:textId="292CF1B1" w:rsidR="00D26D1D" w:rsidRDefault="00D26D1D" w:rsidP="00D26D1D">
      <w:r>
        <w:lastRenderedPageBreak/>
        <w:t>Member Dea awarded Ms Ingram $4,292.48 for economic loss and $15,000 for non-economic loss, recognising the hurt and humiliation caused by QBE’s stigmatising decision and the fear it caused Ms Ingram about future discrimination. However, Member Dea refused to make a declaration that QBE unlawfully discriminated against Ms Ingram, despite finding that it had done so, to avoid the impression that her decision extends beyond the dispute between the parties or to other insurers.</w:t>
      </w:r>
    </w:p>
    <w:p w14:paraId="273987E8" w14:textId="77777777" w:rsidR="00D26D1D" w:rsidRPr="0051430C" w:rsidRDefault="00D26D1D" w:rsidP="00D26D1D">
      <w:pPr>
        <w:pStyle w:val="Heading2"/>
      </w:pPr>
      <w:r>
        <w:t>Commentary</w:t>
      </w:r>
    </w:p>
    <w:p w14:paraId="651F9650" w14:textId="77777777" w:rsidR="00D26D1D" w:rsidRPr="007F6F30" w:rsidRDefault="00D26D1D" w:rsidP="003A34B1">
      <w:pPr>
        <w:spacing w:after="240"/>
        <w:rPr>
          <w:rFonts w:cs="Arial"/>
          <w:szCs w:val="22"/>
        </w:rPr>
      </w:pPr>
      <w:r w:rsidRPr="007F6F30">
        <w:rPr>
          <w:rFonts w:cs="Arial"/>
          <w:szCs w:val="22"/>
        </w:rPr>
        <w:t>This case is a positive example of how the Charter can encourage a human rights promoting interpretation of legislation. However, the dispute was hard-fought and protracted, taking almost 4 years, demonstrating deficiencies in the current legislation. These could be rectified by amending the EOA to:</w:t>
      </w:r>
    </w:p>
    <w:p w14:paraId="07D65C66" w14:textId="356D3E58" w:rsidR="00D26D1D" w:rsidRPr="007F6F30" w:rsidRDefault="00D26D1D" w:rsidP="003A34B1">
      <w:pPr>
        <w:pStyle w:val="ListParagraph"/>
        <w:numPr>
          <w:ilvl w:val="0"/>
          <w:numId w:val="38"/>
        </w:numPr>
        <w:spacing w:after="240" w:line="300" w:lineRule="atLeast"/>
        <w:rPr>
          <w:rFonts w:ascii="Arial" w:hAnsi="Arial" w:cs="Arial"/>
          <w:sz w:val="22"/>
          <w:szCs w:val="22"/>
        </w:rPr>
      </w:pPr>
      <w:r w:rsidRPr="007F6F30">
        <w:rPr>
          <w:rFonts w:ascii="Arial" w:hAnsi="Arial" w:cs="Arial"/>
          <w:sz w:val="22"/>
          <w:szCs w:val="22"/>
        </w:rPr>
        <w:t>require insurers to be more transparent about the data used to justify discrimination</w:t>
      </w:r>
    </w:p>
    <w:p w14:paraId="45A366A8" w14:textId="3AFD8ED6" w:rsidR="00D26D1D" w:rsidRPr="007F6F30" w:rsidRDefault="00D26D1D" w:rsidP="003A34B1">
      <w:pPr>
        <w:pStyle w:val="ListParagraph"/>
        <w:numPr>
          <w:ilvl w:val="0"/>
          <w:numId w:val="38"/>
        </w:numPr>
        <w:spacing w:after="240" w:line="300" w:lineRule="atLeast"/>
        <w:rPr>
          <w:rFonts w:ascii="Arial" w:hAnsi="Arial" w:cs="Arial"/>
          <w:sz w:val="22"/>
          <w:szCs w:val="22"/>
        </w:rPr>
      </w:pPr>
      <w:r w:rsidRPr="007F6F30">
        <w:rPr>
          <w:rFonts w:ascii="Arial" w:hAnsi="Arial" w:cs="Arial"/>
          <w:sz w:val="22"/>
          <w:szCs w:val="22"/>
        </w:rPr>
        <w:t>specify what constitutes ‘other relevant information’ upon which insurers can rely to decline insurance and</w:t>
      </w:r>
    </w:p>
    <w:p w14:paraId="28A61E50" w14:textId="4C18323C" w:rsidR="00D26D1D" w:rsidRPr="007F6F30" w:rsidRDefault="00D26D1D" w:rsidP="003A34B1">
      <w:pPr>
        <w:pStyle w:val="ListParagraph"/>
        <w:numPr>
          <w:ilvl w:val="0"/>
          <w:numId w:val="38"/>
        </w:numPr>
        <w:spacing w:after="240" w:line="300" w:lineRule="atLeast"/>
        <w:rPr>
          <w:rFonts w:ascii="Arial" w:hAnsi="Arial" w:cs="Arial"/>
          <w:sz w:val="22"/>
          <w:szCs w:val="22"/>
        </w:rPr>
      </w:pPr>
      <w:r w:rsidRPr="007F6F30">
        <w:rPr>
          <w:rFonts w:ascii="Arial" w:hAnsi="Arial" w:cs="Arial"/>
          <w:sz w:val="22"/>
          <w:szCs w:val="22"/>
        </w:rPr>
        <w:t>empower the V</w:t>
      </w:r>
      <w:r w:rsidR="008158AC">
        <w:rPr>
          <w:rFonts w:ascii="Arial" w:hAnsi="Arial" w:cs="Arial"/>
          <w:sz w:val="22"/>
          <w:szCs w:val="22"/>
        </w:rPr>
        <w:t xml:space="preserve">ictorian </w:t>
      </w:r>
      <w:r w:rsidRPr="007F6F30">
        <w:rPr>
          <w:rFonts w:ascii="Arial" w:hAnsi="Arial" w:cs="Arial"/>
          <w:sz w:val="22"/>
          <w:szCs w:val="22"/>
        </w:rPr>
        <w:t>E</w:t>
      </w:r>
      <w:r w:rsidR="008158AC">
        <w:rPr>
          <w:rFonts w:ascii="Arial" w:hAnsi="Arial" w:cs="Arial"/>
          <w:sz w:val="22"/>
          <w:szCs w:val="22"/>
        </w:rPr>
        <w:t xml:space="preserve">qual </w:t>
      </w:r>
      <w:r w:rsidRPr="007F6F30">
        <w:rPr>
          <w:rFonts w:ascii="Arial" w:hAnsi="Arial" w:cs="Arial"/>
          <w:sz w:val="22"/>
          <w:szCs w:val="22"/>
        </w:rPr>
        <w:t>O</w:t>
      </w:r>
      <w:r w:rsidR="008158AC">
        <w:rPr>
          <w:rFonts w:ascii="Arial" w:hAnsi="Arial" w:cs="Arial"/>
          <w:sz w:val="22"/>
          <w:szCs w:val="22"/>
        </w:rPr>
        <w:t xml:space="preserve">pportunity and Human Rights Commission </w:t>
      </w:r>
      <w:r w:rsidRPr="007F6F30">
        <w:rPr>
          <w:rFonts w:ascii="Arial" w:hAnsi="Arial" w:cs="Arial"/>
          <w:sz w:val="22"/>
          <w:szCs w:val="22"/>
        </w:rPr>
        <w:t>to enforce compliance with the EOA, rather than relying on individuals to do so.</w:t>
      </w:r>
    </w:p>
    <w:p w14:paraId="07E5B064" w14:textId="77777777" w:rsidR="00D26D1D" w:rsidRPr="007F6F30" w:rsidRDefault="00D26D1D" w:rsidP="00D26D1D">
      <w:pPr>
        <w:spacing w:after="240"/>
        <w:rPr>
          <w:rFonts w:cs="Arial"/>
          <w:szCs w:val="22"/>
        </w:rPr>
      </w:pPr>
      <w:r w:rsidRPr="007F6F30">
        <w:rPr>
          <w:rFonts w:cs="Arial"/>
          <w:szCs w:val="22"/>
        </w:rPr>
        <w:t xml:space="preserve">Gregory Buchhorn and Melanie Schleiger are lawyers at Victoria Legal Aid, which represented Ms Ingram with the generous assistance of Ms Claire Harris of counsel. </w:t>
      </w:r>
    </w:p>
    <w:p w14:paraId="5F187530" w14:textId="574C1292" w:rsidR="00D26D1D" w:rsidRDefault="00D26D1D" w:rsidP="00D26D1D">
      <w:pPr>
        <w:spacing w:after="240"/>
      </w:pPr>
      <w:r>
        <w:t xml:space="preserve">The </w:t>
      </w:r>
      <w:r w:rsidR="007F6F30">
        <w:t xml:space="preserve">full </w:t>
      </w:r>
      <w:r>
        <w:t>decision is available on</w:t>
      </w:r>
      <w:r w:rsidR="007F6F30">
        <w:t xml:space="preserve">line at: </w:t>
      </w:r>
      <w:hyperlink r:id="rId8" w:history="1">
        <w:r w:rsidRPr="00CE6235">
          <w:rPr>
            <w:rStyle w:val="Hyperlink"/>
          </w:rPr>
          <w:t>http://www.austlii.edu.au/cgi-bin/sinodisp/au/cases/vic/VCAT/2015/1936.html?stem=0&amp;synonyms=0&amp;query=Ingram</w:t>
        </w:r>
      </w:hyperlink>
      <w:r>
        <w:t>.</w:t>
      </w:r>
    </w:p>
    <w:sectPr w:rsidR="00D26D1D" w:rsidSect="00F77E0F">
      <w:headerReference w:type="even" r:id="rId9"/>
      <w:headerReference w:type="default" r:id="rId10"/>
      <w:footerReference w:type="even" r:id="rId11"/>
      <w:footerReference w:type="default" r:id="rId12"/>
      <w:headerReference w:type="first" r:id="rId13"/>
      <w:footerReference w:type="first" r:id="rId14"/>
      <w:pgSz w:w="11900" w:h="16840" w:code="9"/>
      <w:pgMar w:top="1418" w:right="907" w:bottom="964" w:left="907" w:header="284" w:footer="284" w:gutter="0"/>
      <w:paperSrc w:first="7" w:other="7"/>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C7471" w14:textId="77777777" w:rsidR="00503D4A" w:rsidRDefault="00503D4A" w:rsidP="00181303">
      <w:pPr>
        <w:pStyle w:val="Header"/>
        <w:framePr w:wrap="around" w:vAnchor="text" w:hAnchor="margin" w:xAlign="right" w:y="1"/>
        <w:rPr>
          <w:rStyle w:val="PageNumber"/>
        </w:rPr>
      </w:pPr>
      <w:r w:rsidRPr="009F0AA0">
        <w:pgNum/>
      </w:r>
      <w:r w:rsidRPr="009F0AA0">
        <w:pgNum/>
      </w:r>
      <w:r w:rsidRPr="009F0AA0">
        <w:pgNum/>
      </w:r>
    </w:p>
  </w:endnote>
  <w:endnote w:type="continuationSeparator" w:id="0">
    <w:p w14:paraId="71959755" w14:textId="77777777" w:rsidR="00503D4A" w:rsidRDefault="00503D4A" w:rsidP="00181303">
      <w:pPr>
        <w:pStyle w:val="Header"/>
        <w:framePr w:wrap="around" w:vAnchor="text" w:hAnchor="margin" w:xAlign="right" w:y="1"/>
        <w:rPr>
          <w:rStyle w:val="PageNumber"/>
        </w:rPr>
      </w:pPr>
      <w:r w:rsidRPr="009F0AA0">
        <w:pgNum/>
      </w:r>
      <w:r w:rsidRPr="009F0AA0">
        <w:pgNum/>
      </w:r>
      <w:r w:rsidRPr="009F0AA0">
        <w:pgNum/>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ngs">
    <w:altName w:val="Arial Unicode MS"/>
    <w:panose1 w:val="020B0604020202020204"/>
    <w:charset w:val="80"/>
    <w:family w:val="roman"/>
    <w:notTrueType/>
    <w:pitch w:val="fixed"/>
    <w:sig w:usb0="00000001" w:usb1="08070000" w:usb2="00000010" w:usb3="00000000" w:csb0="00020000" w:csb1="00000000"/>
  </w:font>
  <w:font w:name="Arial Bold">
    <w:altName w:val="Arial"/>
    <w:panose1 w:val="020B06040202020202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0C200" w14:textId="77777777" w:rsidR="00BB122F" w:rsidRDefault="00BB122F" w:rsidP="00AC3D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D0F5081" w14:textId="77777777" w:rsidR="00BB122F" w:rsidRDefault="00BB122F" w:rsidP="008074B3">
    <w:pPr>
      <w:pStyle w:val="Footer"/>
      <w:ind w:right="360" w:firstLine="360"/>
    </w:pPr>
  </w:p>
  <w:p w14:paraId="7F904691" w14:textId="77777777" w:rsidR="00BB122F" w:rsidRDefault="00BB122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E1ACD" w14:textId="77777777" w:rsidR="00BB122F" w:rsidRDefault="00BB122F" w:rsidP="00EF7C5C">
    <w:pPr>
      <w:pStyle w:val="Footer"/>
      <w:ind w:right="20"/>
      <w:jc w:val="center"/>
    </w:pPr>
    <w:r>
      <w:rPr>
        <w:rStyle w:val="PageNumber"/>
      </w:rPr>
      <w:fldChar w:fldCharType="begin"/>
    </w:r>
    <w:r>
      <w:rPr>
        <w:rStyle w:val="PageNumber"/>
      </w:rPr>
      <w:instrText xml:space="preserve"> PAGE </w:instrText>
    </w:r>
    <w:r>
      <w:rPr>
        <w:rStyle w:val="PageNumber"/>
      </w:rPr>
      <w:fldChar w:fldCharType="separate"/>
    </w:r>
    <w:r w:rsidR="00916F54">
      <w:rPr>
        <w:rStyle w:val="PageNumber"/>
        <w:noProof/>
      </w:rPr>
      <w:t>3</w:t>
    </w:r>
    <w:r>
      <w:rPr>
        <w:rStyle w:val="PageNumber"/>
      </w:rPr>
      <w:fldChar w:fldCharType="end"/>
    </w:r>
    <w:r>
      <w:rPr>
        <w:noProof/>
        <w:lang w:eastAsia="en-AU"/>
      </w:rPr>
      <mc:AlternateContent>
        <mc:Choice Requires="wps">
          <w:drawing>
            <wp:anchor distT="0" distB="0" distL="114300" distR="114300" simplePos="0" relativeHeight="251658240" behindDoc="0" locked="1" layoutInCell="1" allowOverlap="1" wp14:anchorId="63836255" wp14:editId="42605103">
              <wp:simplePos x="0" y="0"/>
              <wp:positionH relativeFrom="page">
                <wp:posOffset>180340</wp:posOffset>
              </wp:positionH>
              <wp:positionV relativeFrom="page">
                <wp:posOffset>10235565</wp:posOffset>
              </wp:positionV>
              <wp:extent cx="7200265" cy="0"/>
              <wp:effectExtent l="0" t="0" r="13335" b="25400"/>
              <wp:wrapNone/>
              <wp:docPr id="2" name="Line 3" descr=" "/>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265" cy="0"/>
                      </a:xfrm>
                      <a:prstGeom prst="line">
                        <a:avLst/>
                      </a:prstGeom>
                      <a:noFill/>
                      <a:ln w="6350" cap="rnd">
                        <a:solidFill>
                          <a:srgbClr val="E38431"/>
                        </a:solidFill>
                        <a:round/>
                        <a:headEnd/>
                        <a:tailEn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26940" dir="5400000" algn="ctr" rotWithShape="0">
                                <a:srgbClr val="00000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9399BD4" id="Line 3" o:spid="_x0000_s1026" alt=" "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2pt,805.95pt" to="581.15pt,80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" strokecolor="#e38431" strokeweight=".5pt">
              <v:stroke endcap="round"/>
              <w10:wrap anchorx="page" anchory="page"/>
              <w10:anchorlock/>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977E6" w14:textId="77777777" w:rsidR="00BB122F" w:rsidRPr="008636E1" w:rsidRDefault="00BB122F" w:rsidP="008636E1">
    <w:pPr>
      <w:pStyle w:val="Footer"/>
      <w:ind w:right="20"/>
      <w:jc w:val="center"/>
    </w:pPr>
    <w:r>
      <w:rPr>
        <w:rStyle w:val="PageNumber"/>
      </w:rPr>
      <w:fldChar w:fldCharType="begin"/>
    </w:r>
    <w:r>
      <w:rPr>
        <w:rStyle w:val="PageNumber"/>
      </w:rPr>
      <w:instrText xml:space="preserve"> PAGE </w:instrText>
    </w:r>
    <w:r>
      <w:rPr>
        <w:rStyle w:val="PageNumber"/>
      </w:rPr>
      <w:fldChar w:fldCharType="separate"/>
    </w:r>
    <w:r w:rsidR="00916F54">
      <w:rPr>
        <w:rStyle w:val="PageNumber"/>
        <w:noProof/>
      </w:rPr>
      <w:t>1</w:t>
    </w:r>
    <w:r>
      <w:rPr>
        <w:rStyle w:val="PageNumber"/>
      </w:rPr>
      <w:fldChar w:fldCharType="end"/>
    </w:r>
    <w:r>
      <w:rPr>
        <w:noProof/>
        <w:lang w:eastAsia="en-AU"/>
      </w:rPr>
      <mc:AlternateContent>
        <mc:Choice Requires="wps">
          <w:drawing>
            <wp:anchor distT="0" distB="0" distL="114300" distR="114300" simplePos="0" relativeHeight="251662336" behindDoc="0" locked="1" layoutInCell="1" allowOverlap="1" wp14:anchorId="1D40F697" wp14:editId="6040B4F4">
              <wp:simplePos x="0" y="0"/>
              <wp:positionH relativeFrom="page">
                <wp:posOffset>180340</wp:posOffset>
              </wp:positionH>
              <wp:positionV relativeFrom="page">
                <wp:posOffset>10235565</wp:posOffset>
              </wp:positionV>
              <wp:extent cx="7200265" cy="0"/>
              <wp:effectExtent l="0" t="0" r="13335" b="25400"/>
              <wp:wrapNone/>
              <wp:docPr id="10" name="Line 3" descr=" "/>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265" cy="0"/>
                      </a:xfrm>
                      <a:prstGeom prst="line">
                        <a:avLst/>
                      </a:prstGeom>
                      <a:noFill/>
                      <a:ln w="6350" cap="rnd">
                        <a:solidFill>
                          <a:srgbClr val="E38431"/>
                        </a:solidFill>
                        <a:round/>
                        <a:headEnd/>
                        <a:tailEn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blurRad="63500" dist="26940" dir="5400000" algn="ctr" rotWithShape="0">
                                <a:srgbClr val="00000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D92B5F5" id="Line 3" o:spid="_x0000_s1026" alt=" "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2pt,805.95pt" to="581.15pt,80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" strokecolor="#e38431" strokeweight=".5pt">
              <v:stroke endcap="round"/>
              <w10:wrap anchorx="page"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D8B743" w14:textId="77777777" w:rsidR="00503D4A" w:rsidRDefault="00503D4A" w:rsidP="00181303">
      <w:pPr>
        <w:pStyle w:val="Header"/>
        <w:framePr w:wrap="around" w:vAnchor="text" w:hAnchor="margin" w:xAlign="right" w:y="1"/>
        <w:rPr>
          <w:rStyle w:val="PageNumber"/>
        </w:rPr>
      </w:pPr>
      <w:r w:rsidRPr="009F0AA0">
        <w:pgNum/>
      </w:r>
      <w:r w:rsidRPr="009F0AA0">
        <w:pgNum/>
      </w:r>
      <w:r w:rsidRPr="009F0AA0">
        <w:pgNum/>
      </w:r>
    </w:p>
  </w:footnote>
  <w:footnote w:type="continuationSeparator" w:id="0">
    <w:p w14:paraId="44C6BF48" w14:textId="77777777" w:rsidR="00503D4A" w:rsidRDefault="00503D4A" w:rsidP="00181303">
      <w:pPr>
        <w:pStyle w:val="Header"/>
        <w:framePr w:wrap="around" w:vAnchor="text" w:hAnchor="margin" w:xAlign="right" w:y="1"/>
        <w:rPr>
          <w:rStyle w:val="PageNumber"/>
        </w:rPr>
      </w:pPr>
      <w:r w:rsidRPr="009F0AA0">
        <w:pgNum/>
      </w:r>
      <w:r w:rsidRPr="009F0AA0">
        <w:pgNum/>
      </w:r>
      <w:r w:rsidRPr="009F0AA0">
        <w:pgNum/>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CB46F" w14:textId="77777777" w:rsidR="00BB122F" w:rsidRDefault="00BB122F" w:rsidP="0018130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92DB24" w14:textId="77777777" w:rsidR="00BB122F" w:rsidRDefault="00BB122F" w:rsidP="00091AFC">
    <w:pPr>
      <w:pStyle w:val="Header"/>
      <w:ind w:right="360"/>
    </w:pPr>
  </w:p>
  <w:p w14:paraId="36EDE598" w14:textId="77777777" w:rsidR="00BB122F" w:rsidRDefault="00BB122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16ED5" w14:textId="77777777" w:rsidR="00BB122F" w:rsidRPr="0075348F" w:rsidRDefault="00BB122F" w:rsidP="00D82005">
    <w:pPr>
      <w:tabs>
        <w:tab w:val="left" w:pos="6893"/>
      </w:tabs>
      <w:spacing w:after="80" w:line="240" w:lineRule="auto"/>
      <w:ind w:left="-330"/>
      <w:rPr>
        <w:rFonts w:cs="Arial"/>
        <w:color w:val="E38431"/>
        <w:sz w:val="18"/>
        <w:szCs w:val="18"/>
      </w:rPr>
    </w:pPr>
    <w:r w:rsidRPr="0075348F">
      <w:rPr>
        <w:rFonts w:cs="Arial"/>
        <w:color w:val="E38431"/>
        <w:sz w:val="18"/>
        <w:szCs w:val="18"/>
      </w:rPr>
      <w:t>Victoria Legal Aid</w:t>
    </w:r>
    <w:r w:rsidRPr="0075348F">
      <w:rPr>
        <w:rFonts w:cs="Arial"/>
        <w:color w:val="E38431"/>
        <w:sz w:val="18"/>
        <w:szCs w:val="18"/>
      </w:rPr>
      <w:tab/>
    </w:r>
  </w:p>
  <w:p w14:paraId="0095D945" w14:textId="17BA5FB5" w:rsidR="00BB122F" w:rsidRPr="00EF7C5C" w:rsidRDefault="007F6F30" w:rsidP="00EF7C5C">
    <w:pPr>
      <w:spacing w:line="240" w:lineRule="auto"/>
      <w:ind w:left="-330"/>
      <w:rPr>
        <w:rFonts w:ascii="Arial Bold" w:hAnsi="Arial Bold" w:cs="Arial"/>
        <w:color w:val="B1005D"/>
      </w:rPr>
    </w:pPr>
    <w:r>
      <w:rPr>
        <w:rFonts w:ascii="Arial Bold" w:hAnsi="Arial Bold" w:cs="Arial"/>
        <w:b/>
        <w:color w:val="E38431"/>
        <w:sz w:val="18"/>
        <w:szCs w:val="18"/>
      </w:rPr>
      <w:t xml:space="preserve">Case note: Ingram v QBE Insurance (Australia) Limited </w:t>
    </w:r>
    <w:r w:rsidR="00BB122F">
      <w:rPr>
        <w:rFonts w:ascii="Arial Bold" w:hAnsi="Arial Bold" w:cs="Arial"/>
        <w:b/>
        <w:noProof/>
        <w:color w:val="B1005D"/>
        <w:sz w:val="18"/>
        <w:szCs w:val="18"/>
        <w:lang w:eastAsia="en-AU"/>
      </w:rPr>
      <mc:AlternateContent>
        <mc:Choice Requires="wps">
          <w:drawing>
            <wp:anchor distT="0" distB="0" distL="114300" distR="114300" simplePos="0" relativeHeight="251657216" behindDoc="1" locked="1" layoutInCell="1" allowOverlap="1" wp14:anchorId="7604A004" wp14:editId="2A7B9EAF">
              <wp:simplePos x="0" y="0"/>
              <wp:positionH relativeFrom="page">
                <wp:posOffset>180340</wp:posOffset>
              </wp:positionH>
              <wp:positionV relativeFrom="page">
                <wp:posOffset>684530</wp:posOffset>
              </wp:positionV>
              <wp:extent cx="7200265" cy="0"/>
              <wp:effectExtent l="0" t="0" r="13335" b="25400"/>
              <wp:wrapNone/>
              <wp:docPr id="3" name="Straight Connector 3" descr=" "/>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265" cy="0"/>
                      </a:xfrm>
                      <a:prstGeom prst="line">
                        <a:avLst/>
                      </a:prstGeom>
                      <a:noFill/>
                      <a:ln w="6350">
                        <a:solidFill>
                          <a:srgbClr val="E38431"/>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E2236F" id="Straight Connector 3" o:spid="_x0000_s1026" alt=" "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2pt,53.9pt" to="581.15pt,5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" strokecolor="#e38431" strokeweight=".5pt">
              <w10:wrap anchorx="page" anchory="page"/>
              <w10:anchorlock/>
            </v:line>
          </w:pict>
        </mc:Fallback>
      </mc:AlternateContent>
    </w:r>
    <w:r w:rsidR="00CA3302">
      <w:rPr>
        <w:rFonts w:ascii="Arial Bold" w:hAnsi="Arial Bold" w:cs="Arial"/>
        <w:b/>
        <w:color w:val="E38431"/>
        <w:sz w:val="18"/>
        <w:szCs w:val="18"/>
      </w:rPr>
      <w:t>(Human Rights)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0AB4A" w14:textId="77777777" w:rsidR="00BB122F" w:rsidRPr="00833658" w:rsidRDefault="00AD392B" w:rsidP="00833658">
    <w:pPr>
      <w:pStyle w:val="VLAProgram"/>
      <w:pBdr>
        <w:bottom w:val="none" w:sz="0" w:space="0" w:color="auto"/>
      </w:pBdr>
      <w:rPr>
        <w:color w:val="FFFFFF" w:themeColor="background1"/>
      </w:rPr>
    </w:pPr>
    <w:r>
      <w:rPr>
        <w:noProof/>
        <w:lang w:eastAsia="en-AU"/>
      </w:rPr>
      <w:drawing>
        <wp:anchor distT="0" distB="0" distL="114300" distR="114300" simplePos="0" relativeHeight="251664384" behindDoc="1" locked="0" layoutInCell="1" allowOverlap="1" wp14:anchorId="0410BCC8" wp14:editId="1126EC39">
          <wp:simplePos x="0" y="0"/>
          <wp:positionH relativeFrom="column">
            <wp:posOffset>-385445</wp:posOffset>
          </wp:positionH>
          <wp:positionV relativeFrom="paragraph">
            <wp:posOffset>-1905</wp:posOffset>
          </wp:positionV>
          <wp:extent cx="7200000" cy="1258537"/>
          <wp:effectExtent l="0" t="0" r="0" b="1206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vil_header.jpg"/>
                  <pic:cNvPicPr/>
                </pic:nvPicPr>
                <pic:blipFill>
                  <a:blip r:embed="rId1">
                    <a:extLst>
                      <a:ext uri="{28A0092B-C50C-407E-A947-70E740481C1C}">
                        <a14:useLocalDpi xmlns:a14="http://schemas.microsoft.com/office/drawing/2010/main" val="0"/>
                      </a:ext>
                    </a:extLst>
                  </a:blip>
                  <a:stretch>
                    <a:fillRect/>
                  </a:stretch>
                </pic:blipFill>
                <pic:spPr>
                  <a:xfrm>
                    <a:off x="0" y="0"/>
                    <a:ext cx="7200000" cy="1258537"/>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6B87F319" w14:textId="7D9E9176" w:rsidR="00BB122F" w:rsidRPr="00D82005" w:rsidRDefault="00D26D1D" w:rsidP="00D82005">
    <w:pPr>
      <w:pStyle w:val="VLAPublicationdate"/>
      <w:spacing w:before="240" w:after="1200"/>
    </w:pPr>
    <w:r>
      <w:t>January 2016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6EF2BB1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46BAE1EE"/>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E4E4B7D8"/>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17E2918E"/>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C2F01078"/>
    <w:lvl w:ilvl="0">
      <w:start w:val="1"/>
      <w:numFmt w:val="decimal"/>
      <w:pStyle w:val="ListNumber2"/>
      <w:lvlText w:val="%1."/>
      <w:lvlJc w:val="left"/>
      <w:pPr>
        <w:tabs>
          <w:tab w:val="num" w:pos="643"/>
        </w:tabs>
        <w:ind w:left="643" w:hanging="360"/>
      </w:pPr>
    </w:lvl>
  </w:abstractNum>
  <w:abstractNum w:abstractNumId="5" w15:restartNumberingAfterBreak="0">
    <w:nsid w:val="FFFFFF80"/>
    <w:multiLevelType w:val="singleLevel"/>
    <w:tmpl w:val="032E7D0E"/>
    <w:lvl w:ilvl="0">
      <w:start w:val="1"/>
      <w:numFmt w:val="bullet"/>
      <w:pStyle w:val="ListBullet5"/>
      <w:lvlText w:val=""/>
      <w:lvlJc w:val="left"/>
      <w:pPr>
        <w:tabs>
          <w:tab w:val="num" w:pos="1492"/>
        </w:tabs>
        <w:ind w:left="1492" w:hanging="360"/>
      </w:pPr>
      <w:rPr>
        <w:rFonts w:ascii="Symbol" w:hAnsi="Symbol" w:hint="default"/>
      </w:rPr>
    </w:lvl>
  </w:abstractNum>
  <w:abstractNum w:abstractNumId="6" w15:restartNumberingAfterBreak="0">
    <w:nsid w:val="FFFFFF88"/>
    <w:multiLevelType w:val="singleLevel"/>
    <w:tmpl w:val="C3A653EC"/>
    <w:lvl w:ilvl="0">
      <w:start w:val="1"/>
      <w:numFmt w:val="decimal"/>
      <w:pStyle w:val="ListNumber"/>
      <w:lvlText w:val="%1."/>
      <w:lvlJc w:val="left"/>
      <w:pPr>
        <w:tabs>
          <w:tab w:val="num" w:pos="360"/>
        </w:tabs>
        <w:ind w:left="360" w:hanging="360"/>
      </w:pPr>
    </w:lvl>
  </w:abstractNum>
  <w:abstractNum w:abstractNumId="7" w15:restartNumberingAfterBreak="0">
    <w:nsid w:val="170B428C"/>
    <w:multiLevelType w:val="hybridMultilevel"/>
    <w:tmpl w:val="C3B68F8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8B64597"/>
    <w:multiLevelType w:val="multilevel"/>
    <w:tmpl w:val="58F06332"/>
    <w:lvl w:ilvl="0">
      <w:start w:val="1"/>
      <w:numFmt w:val="decimal"/>
      <w:lvlText w:val="%1"/>
      <w:lvlJc w:val="left"/>
      <w:pPr>
        <w:tabs>
          <w:tab w:val="num" w:pos="432"/>
        </w:tabs>
        <w:ind w:left="720" w:hanging="720"/>
      </w:pPr>
      <w:rPr>
        <w:rFonts w:hint="default"/>
      </w:rPr>
    </w:lvl>
    <w:lvl w:ilvl="1">
      <w:start w:val="1"/>
      <w:numFmt w:val="decimal"/>
      <w:lvlText w:val="%1.%2"/>
      <w:lvlJc w:val="left"/>
      <w:pPr>
        <w:tabs>
          <w:tab w:val="num" w:pos="576"/>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1F054AB7"/>
    <w:multiLevelType w:val="hybridMultilevel"/>
    <w:tmpl w:val="3BB02A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0BE342A"/>
    <w:multiLevelType w:val="multilevel"/>
    <w:tmpl w:val="6EAC2E86"/>
    <w:lvl w:ilvl="0">
      <w:start w:val="1"/>
      <w:numFmt w:val="bullet"/>
      <w:pStyle w:val="ListBullet"/>
      <w:lvlText w:val=""/>
      <w:lvlJc w:val="left"/>
      <w:pPr>
        <w:tabs>
          <w:tab w:val="num" w:pos="510"/>
        </w:tabs>
        <w:ind w:left="510" w:hanging="170"/>
      </w:pPr>
      <w:rPr>
        <w:rFonts w:ascii="Symbol" w:hAnsi="Symbol" w:hint="default"/>
        <w:sz w:val="21"/>
      </w:rPr>
    </w:lvl>
    <w:lvl w:ilvl="1">
      <w:start w:val="1"/>
      <w:numFmt w:val="bullet"/>
      <w:lvlText w:val="o"/>
      <w:lvlJc w:val="left"/>
      <w:pPr>
        <w:tabs>
          <w:tab w:val="num" w:pos="680"/>
        </w:tabs>
        <w:ind w:left="680" w:hanging="170"/>
      </w:pPr>
      <w:rPr>
        <w:rFonts w:ascii="Courier New" w:hAnsi="Courier New" w:hint="default"/>
      </w:rPr>
    </w:lvl>
    <w:lvl w:ilvl="2">
      <w:start w:val="1"/>
      <w:numFmt w:val="bullet"/>
      <w:lvlText w:val=""/>
      <w:lvlJc w:val="left"/>
      <w:pPr>
        <w:tabs>
          <w:tab w:val="num" w:pos="851"/>
        </w:tabs>
        <w:ind w:left="851" w:hanging="171"/>
      </w:pPr>
      <w:rPr>
        <w:rFonts w:ascii="Wingdings" w:hAnsi="Wingdings" w:hint="default"/>
      </w:rPr>
    </w:lvl>
    <w:lvl w:ilvl="3">
      <w:start w:val="1"/>
      <w:numFmt w:val="none"/>
      <w:lvlText w:val=""/>
      <w:lvlJc w:val="left"/>
      <w:pPr>
        <w:tabs>
          <w:tab w:val="num" w:pos="1769"/>
        </w:tabs>
        <w:ind w:left="1769" w:hanging="357"/>
      </w:pPr>
      <w:rPr>
        <w:rFonts w:hint="default"/>
      </w:rPr>
    </w:lvl>
    <w:lvl w:ilvl="4">
      <w:start w:val="1"/>
      <w:numFmt w:val="none"/>
      <w:lvlText w:val=""/>
      <w:lvlJc w:val="left"/>
      <w:pPr>
        <w:tabs>
          <w:tab w:val="num" w:pos="2126"/>
        </w:tabs>
        <w:ind w:left="2126" w:hanging="357"/>
      </w:pPr>
      <w:rPr>
        <w:rFonts w:hint="default"/>
      </w:rPr>
    </w:lvl>
    <w:lvl w:ilvl="5">
      <w:start w:val="1"/>
      <w:numFmt w:val="none"/>
      <w:lvlText w:val=""/>
      <w:lvlJc w:val="left"/>
      <w:pPr>
        <w:tabs>
          <w:tab w:val="num" w:pos="2483"/>
        </w:tabs>
        <w:ind w:left="2483" w:hanging="357"/>
      </w:pPr>
      <w:rPr>
        <w:rFonts w:hint="default"/>
      </w:rPr>
    </w:lvl>
    <w:lvl w:ilvl="6">
      <w:start w:val="1"/>
      <w:numFmt w:val="none"/>
      <w:lvlText w:val=""/>
      <w:lvlJc w:val="left"/>
      <w:pPr>
        <w:tabs>
          <w:tab w:val="num" w:pos="2840"/>
        </w:tabs>
        <w:ind w:left="2840" w:hanging="357"/>
      </w:pPr>
      <w:rPr>
        <w:rFonts w:hint="default"/>
      </w:rPr>
    </w:lvl>
    <w:lvl w:ilvl="7">
      <w:start w:val="1"/>
      <w:numFmt w:val="none"/>
      <w:lvlText w:val=""/>
      <w:lvlJc w:val="left"/>
      <w:pPr>
        <w:tabs>
          <w:tab w:val="num" w:pos="3198"/>
        </w:tabs>
        <w:ind w:left="3198" w:hanging="358"/>
      </w:pPr>
      <w:rPr>
        <w:rFonts w:hint="default"/>
      </w:rPr>
    </w:lvl>
    <w:lvl w:ilvl="8">
      <w:start w:val="1"/>
      <w:numFmt w:val="none"/>
      <w:lvlText w:val=""/>
      <w:lvlJc w:val="left"/>
      <w:pPr>
        <w:tabs>
          <w:tab w:val="num" w:pos="3555"/>
        </w:tabs>
        <w:ind w:left="3555" w:hanging="357"/>
      </w:pPr>
      <w:rPr>
        <w:rFonts w:hint="default"/>
      </w:rPr>
    </w:lvl>
  </w:abstractNum>
  <w:abstractNum w:abstractNumId="11" w15:restartNumberingAfterBreak="0">
    <w:nsid w:val="349F6A12"/>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387C261D"/>
    <w:multiLevelType w:val="hybridMultilevel"/>
    <w:tmpl w:val="A202C60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8134211"/>
    <w:multiLevelType w:val="multilevel"/>
    <w:tmpl w:val="F2728C18"/>
    <w:lvl w:ilvl="0">
      <w:start w:val="1"/>
      <w:numFmt w:val="decimal"/>
      <w:pStyle w:val="Appendix"/>
      <w:suff w:val="nothing"/>
      <w:lvlText w:val="Appendix %1 - "/>
      <w:lvlJc w:val="left"/>
      <w:pPr>
        <w:ind w:left="720" w:hanging="720"/>
      </w:pPr>
      <w:rPr>
        <w:rFonts w:ascii="Arial" w:hAnsi="Arial" w:hint="default"/>
        <w:b/>
        <w:i w:val="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4AD06338"/>
    <w:multiLevelType w:val="multilevel"/>
    <w:tmpl w:val="08CCF84C"/>
    <w:lvl w:ilvl="0">
      <w:start w:val="1"/>
      <w:numFmt w:val="decimal"/>
      <w:lvlRestart w:val="0"/>
      <w:pStyle w:val="VLA1"/>
      <w:lvlText w:val="%1."/>
      <w:lvlJc w:val="left"/>
      <w:pPr>
        <w:tabs>
          <w:tab w:val="num" w:pos="357"/>
        </w:tabs>
        <w:ind w:left="357" w:hanging="357"/>
      </w:pPr>
      <w:rPr>
        <w:rFonts w:ascii="Arial" w:hAnsi="Arial" w:cs="Arial" w:hint="default"/>
        <w:b w:val="0"/>
        <w:i w:val="0"/>
        <w:caps/>
        <w:smallCaps w:val="0"/>
        <w:sz w:val="21"/>
        <w:u w:val="none"/>
      </w:rPr>
    </w:lvl>
    <w:lvl w:ilvl="1">
      <w:start w:val="1"/>
      <w:numFmt w:val="lowerLetter"/>
      <w:pStyle w:val="VLA1"/>
      <w:lvlText w:val="%2."/>
      <w:lvlJc w:val="left"/>
      <w:pPr>
        <w:tabs>
          <w:tab w:val="num" w:pos="714"/>
        </w:tabs>
        <w:ind w:left="714" w:hanging="357"/>
      </w:pPr>
      <w:rPr>
        <w:rFonts w:ascii="Arial" w:hAnsi="Arial" w:cs="Arial" w:hint="default"/>
        <w:b w:val="0"/>
        <w:i w:val="0"/>
        <w:sz w:val="21"/>
        <w:u w:val="none"/>
      </w:rPr>
    </w:lvl>
    <w:lvl w:ilvl="2">
      <w:start w:val="1"/>
      <w:numFmt w:val="lowerRoman"/>
      <w:pStyle w:val="VLAi"/>
      <w:lvlText w:val="%3."/>
      <w:lvlJc w:val="left"/>
      <w:pPr>
        <w:tabs>
          <w:tab w:val="num" w:pos="1072"/>
        </w:tabs>
        <w:ind w:left="1072" w:hanging="358"/>
      </w:pPr>
      <w:rPr>
        <w:rFonts w:ascii="Arial" w:hAnsi="Arial" w:cs="Arial" w:hint="default"/>
        <w:b w:val="0"/>
        <w:i w:val="0"/>
        <w:sz w:val="21"/>
        <w:u w:val="none"/>
      </w:rPr>
    </w:lvl>
    <w:lvl w:ilvl="3">
      <w:start w:val="1"/>
      <w:numFmt w:val="none"/>
      <w:lvlText w:val=""/>
      <w:lvlJc w:val="left"/>
      <w:pPr>
        <w:tabs>
          <w:tab w:val="num" w:pos="1429"/>
        </w:tabs>
        <w:ind w:left="1429" w:hanging="357"/>
      </w:pPr>
      <w:rPr>
        <w:rFonts w:ascii="Arial" w:hAnsi="Arial" w:cs="Arial" w:hint="default"/>
        <w:b w:val="0"/>
        <w:i w:val="0"/>
        <w:sz w:val="22"/>
        <w:u w:val="none"/>
      </w:rPr>
    </w:lvl>
    <w:lvl w:ilvl="4">
      <w:start w:val="1"/>
      <w:numFmt w:val="none"/>
      <w:lvlText w:val=""/>
      <w:lvlJc w:val="left"/>
      <w:pPr>
        <w:tabs>
          <w:tab w:val="num" w:pos="1786"/>
        </w:tabs>
        <w:ind w:left="1786" w:hanging="357"/>
      </w:pPr>
      <w:rPr>
        <w:rFonts w:ascii="Arial" w:hAnsi="Arial" w:cs="Arial" w:hint="default"/>
        <w:b w:val="0"/>
        <w:i w:val="0"/>
        <w:sz w:val="22"/>
        <w:u w:val="none"/>
      </w:rPr>
    </w:lvl>
    <w:lvl w:ilvl="5">
      <w:start w:val="1"/>
      <w:numFmt w:val="none"/>
      <w:lvlText w:val=""/>
      <w:lvlJc w:val="left"/>
      <w:pPr>
        <w:tabs>
          <w:tab w:val="num" w:pos="2143"/>
        </w:tabs>
        <w:ind w:left="2143" w:hanging="357"/>
      </w:pPr>
      <w:rPr>
        <w:rFonts w:ascii="Arial" w:hAnsi="Arial" w:cs="Arial" w:hint="default"/>
        <w:b w:val="0"/>
        <w:i w:val="0"/>
        <w:sz w:val="22"/>
        <w:u w:val="none"/>
      </w:rPr>
    </w:lvl>
    <w:lvl w:ilvl="6">
      <w:start w:val="1"/>
      <w:numFmt w:val="none"/>
      <w:lvlText w:val=""/>
      <w:lvlJc w:val="left"/>
      <w:pPr>
        <w:tabs>
          <w:tab w:val="num" w:pos="2500"/>
        </w:tabs>
        <w:ind w:left="2500" w:hanging="357"/>
      </w:pPr>
      <w:rPr>
        <w:rFonts w:ascii="Arial" w:hAnsi="Arial" w:cs="Arial" w:hint="default"/>
        <w:b w:val="0"/>
        <w:i w:val="0"/>
        <w:sz w:val="22"/>
        <w:u w:val="none"/>
      </w:rPr>
    </w:lvl>
    <w:lvl w:ilvl="7">
      <w:start w:val="1"/>
      <w:numFmt w:val="none"/>
      <w:lvlText w:val=""/>
      <w:lvlJc w:val="left"/>
      <w:pPr>
        <w:tabs>
          <w:tab w:val="num" w:pos="2858"/>
        </w:tabs>
        <w:ind w:left="2858" w:hanging="358"/>
      </w:pPr>
      <w:rPr>
        <w:rFonts w:ascii="Arial" w:hAnsi="Arial" w:cs="Arial" w:hint="default"/>
        <w:b w:val="0"/>
        <w:i w:val="0"/>
        <w:sz w:val="22"/>
        <w:u w:val="none"/>
      </w:rPr>
    </w:lvl>
    <w:lvl w:ilvl="8">
      <w:start w:val="1"/>
      <w:numFmt w:val="none"/>
      <w:suff w:val="nothing"/>
      <w:lvlText w:val=""/>
      <w:lvlJc w:val="left"/>
      <w:pPr>
        <w:ind w:left="0" w:firstLine="0"/>
      </w:pPr>
      <w:rPr>
        <w:rFonts w:ascii="Arial" w:hAnsi="Arial" w:cs="Arial" w:hint="default"/>
        <w:b w:val="0"/>
        <w:i w:val="0"/>
        <w:sz w:val="24"/>
      </w:rPr>
    </w:lvl>
  </w:abstractNum>
  <w:abstractNum w:abstractNumId="15" w15:restartNumberingAfterBreak="0">
    <w:nsid w:val="557C3AE2"/>
    <w:multiLevelType w:val="multilevel"/>
    <w:tmpl w:val="43B62B0C"/>
    <w:lvl w:ilvl="0">
      <w:start w:val="1"/>
      <w:numFmt w:val="bullet"/>
      <w:lvlText w:val=""/>
      <w:lvlJc w:val="left"/>
      <w:pPr>
        <w:tabs>
          <w:tab w:val="num" w:pos="510"/>
        </w:tabs>
        <w:ind w:left="510" w:hanging="170"/>
      </w:pPr>
      <w:rPr>
        <w:rFonts w:ascii="Symbol" w:hAnsi="Symbol" w:hint="default"/>
        <w:sz w:val="21"/>
      </w:rPr>
    </w:lvl>
    <w:lvl w:ilvl="1">
      <w:start w:val="1"/>
      <w:numFmt w:val="bullet"/>
      <w:pStyle w:val="ListBullet2"/>
      <w:lvlText w:val="o"/>
      <w:lvlJc w:val="left"/>
      <w:pPr>
        <w:tabs>
          <w:tab w:val="num" w:pos="680"/>
        </w:tabs>
        <w:ind w:left="680" w:hanging="170"/>
      </w:pPr>
      <w:rPr>
        <w:rFonts w:ascii="Courier New" w:hAnsi="Courier New" w:hint="default"/>
      </w:rPr>
    </w:lvl>
    <w:lvl w:ilvl="2">
      <w:start w:val="1"/>
      <w:numFmt w:val="bullet"/>
      <w:pStyle w:val="ListBullet3"/>
      <w:lvlText w:val=""/>
      <w:lvlJc w:val="left"/>
      <w:pPr>
        <w:tabs>
          <w:tab w:val="num" w:pos="851"/>
        </w:tabs>
        <w:ind w:left="851" w:hanging="171"/>
      </w:pPr>
      <w:rPr>
        <w:rFonts w:ascii="Wingdings" w:hAnsi="Wingdings" w:hint="default"/>
      </w:rPr>
    </w:lvl>
    <w:lvl w:ilvl="3">
      <w:start w:val="1"/>
      <w:numFmt w:val="none"/>
      <w:lvlText w:val=""/>
      <w:lvlJc w:val="left"/>
      <w:pPr>
        <w:tabs>
          <w:tab w:val="num" w:pos="1769"/>
        </w:tabs>
        <w:ind w:left="1769" w:hanging="357"/>
      </w:pPr>
      <w:rPr>
        <w:rFonts w:hint="default"/>
      </w:rPr>
    </w:lvl>
    <w:lvl w:ilvl="4">
      <w:start w:val="1"/>
      <w:numFmt w:val="none"/>
      <w:lvlText w:val=""/>
      <w:lvlJc w:val="left"/>
      <w:pPr>
        <w:tabs>
          <w:tab w:val="num" w:pos="2126"/>
        </w:tabs>
        <w:ind w:left="2126" w:hanging="357"/>
      </w:pPr>
      <w:rPr>
        <w:rFonts w:hint="default"/>
      </w:rPr>
    </w:lvl>
    <w:lvl w:ilvl="5">
      <w:start w:val="1"/>
      <w:numFmt w:val="none"/>
      <w:lvlText w:val=""/>
      <w:lvlJc w:val="left"/>
      <w:pPr>
        <w:tabs>
          <w:tab w:val="num" w:pos="2483"/>
        </w:tabs>
        <w:ind w:left="2483" w:hanging="357"/>
      </w:pPr>
      <w:rPr>
        <w:rFonts w:hint="default"/>
      </w:rPr>
    </w:lvl>
    <w:lvl w:ilvl="6">
      <w:start w:val="1"/>
      <w:numFmt w:val="none"/>
      <w:lvlText w:val=""/>
      <w:lvlJc w:val="left"/>
      <w:pPr>
        <w:tabs>
          <w:tab w:val="num" w:pos="2840"/>
        </w:tabs>
        <w:ind w:left="2840" w:hanging="357"/>
      </w:pPr>
      <w:rPr>
        <w:rFonts w:hint="default"/>
      </w:rPr>
    </w:lvl>
    <w:lvl w:ilvl="7">
      <w:start w:val="1"/>
      <w:numFmt w:val="none"/>
      <w:lvlText w:val=""/>
      <w:lvlJc w:val="left"/>
      <w:pPr>
        <w:tabs>
          <w:tab w:val="num" w:pos="3198"/>
        </w:tabs>
        <w:ind w:left="3198" w:hanging="358"/>
      </w:pPr>
      <w:rPr>
        <w:rFonts w:hint="default"/>
      </w:rPr>
    </w:lvl>
    <w:lvl w:ilvl="8">
      <w:start w:val="1"/>
      <w:numFmt w:val="none"/>
      <w:lvlText w:val=""/>
      <w:lvlJc w:val="left"/>
      <w:pPr>
        <w:tabs>
          <w:tab w:val="num" w:pos="3555"/>
        </w:tabs>
        <w:ind w:left="3555" w:hanging="357"/>
      </w:pPr>
      <w:rPr>
        <w:rFonts w:hint="default"/>
      </w:rPr>
    </w:lvl>
  </w:abstractNum>
  <w:abstractNum w:abstractNumId="16" w15:restartNumberingAfterBreak="0">
    <w:nsid w:val="59DD487A"/>
    <w:multiLevelType w:val="hybridMultilevel"/>
    <w:tmpl w:val="030C42D0"/>
    <w:lvl w:ilvl="0" w:tplc="7C4A8D96">
      <w:start w:val="1"/>
      <w:numFmt w:val="bullet"/>
      <w:lvlText w:val=""/>
      <w:lvlJc w:val="left"/>
      <w:pPr>
        <w:tabs>
          <w:tab w:val="num" w:pos="510"/>
        </w:tabs>
        <w:ind w:left="510" w:hanging="17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E4F356B"/>
    <w:multiLevelType w:val="hybridMultilevel"/>
    <w:tmpl w:val="1688B84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CA8036E"/>
    <w:multiLevelType w:val="hybridMultilevel"/>
    <w:tmpl w:val="97F4C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15"/>
  </w:num>
  <w:num w:numId="4">
    <w:abstractNumId w:val="14"/>
  </w:num>
  <w:num w:numId="5">
    <w:abstractNumId w:val="15"/>
  </w:num>
  <w:num w:numId="6">
    <w:abstractNumId w:val="15"/>
  </w:num>
  <w:num w:numId="7">
    <w:abstractNumId w:val="16"/>
  </w:num>
  <w:num w:numId="8">
    <w:abstractNumId w:val="15"/>
  </w:num>
  <w:num w:numId="9">
    <w:abstractNumId w:val="13"/>
  </w:num>
  <w:num w:numId="10">
    <w:abstractNumId w:val="10"/>
  </w:num>
  <w:num w:numId="11">
    <w:abstractNumId w:val="13"/>
  </w:num>
  <w:num w:numId="12">
    <w:abstractNumId w:val="8"/>
  </w:num>
  <w:num w:numId="13">
    <w:abstractNumId w:val="8"/>
  </w:num>
  <w:num w:numId="14">
    <w:abstractNumId w:val="8"/>
  </w:num>
  <w:num w:numId="15">
    <w:abstractNumId w:val="8"/>
  </w:num>
  <w:num w:numId="16">
    <w:abstractNumId w:val="10"/>
  </w:num>
  <w:num w:numId="17">
    <w:abstractNumId w:val="15"/>
  </w:num>
  <w:num w:numId="18">
    <w:abstractNumId w:val="15"/>
  </w:num>
  <w:num w:numId="19">
    <w:abstractNumId w:val="14"/>
  </w:num>
  <w:num w:numId="20">
    <w:abstractNumId w:val="14"/>
  </w:num>
  <w:num w:numId="21">
    <w:abstractNumId w:val="14"/>
  </w:num>
  <w:num w:numId="22">
    <w:abstractNumId w:val="13"/>
  </w:num>
  <w:num w:numId="23">
    <w:abstractNumId w:val="10"/>
  </w:num>
  <w:num w:numId="24">
    <w:abstractNumId w:val="15"/>
  </w:num>
  <w:num w:numId="25">
    <w:abstractNumId w:val="15"/>
  </w:num>
  <w:num w:numId="26">
    <w:abstractNumId w:val="14"/>
  </w:num>
  <w:num w:numId="27">
    <w:abstractNumId w:val="14"/>
  </w:num>
  <w:num w:numId="28">
    <w:abstractNumId w:val="14"/>
  </w:num>
  <w:num w:numId="29">
    <w:abstractNumId w:val="6"/>
  </w:num>
  <w:num w:numId="30">
    <w:abstractNumId w:val="4"/>
  </w:num>
  <w:num w:numId="31">
    <w:abstractNumId w:val="3"/>
  </w:num>
  <w:num w:numId="32">
    <w:abstractNumId w:val="2"/>
  </w:num>
  <w:num w:numId="33">
    <w:abstractNumId w:val="1"/>
  </w:num>
  <w:num w:numId="34">
    <w:abstractNumId w:val="0"/>
  </w:num>
  <w:num w:numId="35">
    <w:abstractNumId w:val="5"/>
  </w:num>
  <w:num w:numId="36">
    <w:abstractNumId w:val="17"/>
  </w:num>
  <w:num w:numId="37">
    <w:abstractNumId w:val="18"/>
  </w:num>
  <w:num w:numId="38">
    <w:abstractNumId w:val="9"/>
  </w:num>
  <w:num w:numId="39">
    <w:abstractNumId w:val="12"/>
  </w:num>
  <w:num w:numId="40">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defaultTabStop w:val="720"/>
  <w:drawingGridHorizontalSpacing w:val="11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PubVPasteboard_" w:val="1"/>
    <w:docVar w:name="OpenInPublishingView" w:val="0"/>
  </w:docVars>
  <w:rsids>
    <w:rsidRoot w:val="00AD392B"/>
    <w:rsid w:val="000078CE"/>
    <w:rsid w:val="000360EC"/>
    <w:rsid w:val="00040F0B"/>
    <w:rsid w:val="00057FDC"/>
    <w:rsid w:val="000759A6"/>
    <w:rsid w:val="00091432"/>
    <w:rsid w:val="00091AFC"/>
    <w:rsid w:val="00094FE1"/>
    <w:rsid w:val="000A1C94"/>
    <w:rsid w:val="000C6955"/>
    <w:rsid w:val="000E1BEB"/>
    <w:rsid w:val="00151B7E"/>
    <w:rsid w:val="0015359B"/>
    <w:rsid w:val="00160C7E"/>
    <w:rsid w:val="00181303"/>
    <w:rsid w:val="001A2999"/>
    <w:rsid w:val="0021722B"/>
    <w:rsid w:val="00262FB7"/>
    <w:rsid w:val="002B73A4"/>
    <w:rsid w:val="002F7860"/>
    <w:rsid w:val="00306C10"/>
    <w:rsid w:val="00310DD1"/>
    <w:rsid w:val="00315C03"/>
    <w:rsid w:val="003224F8"/>
    <w:rsid w:val="003315F4"/>
    <w:rsid w:val="00360994"/>
    <w:rsid w:val="003655D7"/>
    <w:rsid w:val="0037081E"/>
    <w:rsid w:val="003A34B1"/>
    <w:rsid w:val="00402557"/>
    <w:rsid w:val="004158B6"/>
    <w:rsid w:val="00427C16"/>
    <w:rsid w:val="004421BD"/>
    <w:rsid w:val="00443649"/>
    <w:rsid w:val="004707EF"/>
    <w:rsid w:val="004C75B1"/>
    <w:rsid w:val="004D7100"/>
    <w:rsid w:val="00503D4A"/>
    <w:rsid w:val="00504F13"/>
    <w:rsid w:val="005317C2"/>
    <w:rsid w:val="00546C0D"/>
    <w:rsid w:val="005B1640"/>
    <w:rsid w:val="005B3D02"/>
    <w:rsid w:val="005C1DFD"/>
    <w:rsid w:val="005D19C7"/>
    <w:rsid w:val="005D4A19"/>
    <w:rsid w:val="005D5C9C"/>
    <w:rsid w:val="00634890"/>
    <w:rsid w:val="0066019E"/>
    <w:rsid w:val="00675F66"/>
    <w:rsid w:val="006764E3"/>
    <w:rsid w:val="00680746"/>
    <w:rsid w:val="00681270"/>
    <w:rsid w:val="006A00A7"/>
    <w:rsid w:val="006A6FC6"/>
    <w:rsid w:val="006B35B8"/>
    <w:rsid w:val="006B3F5E"/>
    <w:rsid w:val="006B612D"/>
    <w:rsid w:val="006B6E7E"/>
    <w:rsid w:val="006F181A"/>
    <w:rsid w:val="006F2D6F"/>
    <w:rsid w:val="00714549"/>
    <w:rsid w:val="00724661"/>
    <w:rsid w:val="0075348F"/>
    <w:rsid w:val="00781FFA"/>
    <w:rsid w:val="0078739B"/>
    <w:rsid w:val="007B0612"/>
    <w:rsid w:val="007D5BA7"/>
    <w:rsid w:val="007F6F30"/>
    <w:rsid w:val="008074B3"/>
    <w:rsid w:val="008158AC"/>
    <w:rsid w:val="0082595B"/>
    <w:rsid w:val="00833658"/>
    <w:rsid w:val="00847377"/>
    <w:rsid w:val="00856DA8"/>
    <w:rsid w:val="008636E1"/>
    <w:rsid w:val="008958CB"/>
    <w:rsid w:val="00896E60"/>
    <w:rsid w:val="008A1E5F"/>
    <w:rsid w:val="008B2419"/>
    <w:rsid w:val="008C388A"/>
    <w:rsid w:val="008F4DC6"/>
    <w:rsid w:val="00916F54"/>
    <w:rsid w:val="00940793"/>
    <w:rsid w:val="0099270D"/>
    <w:rsid w:val="009A74F1"/>
    <w:rsid w:val="009B0D09"/>
    <w:rsid w:val="009B3FB2"/>
    <w:rsid w:val="009B59BF"/>
    <w:rsid w:val="009D539D"/>
    <w:rsid w:val="009E1AC3"/>
    <w:rsid w:val="009F0AA0"/>
    <w:rsid w:val="00A11120"/>
    <w:rsid w:val="00A4395A"/>
    <w:rsid w:val="00A52F29"/>
    <w:rsid w:val="00A93509"/>
    <w:rsid w:val="00AB5376"/>
    <w:rsid w:val="00AC3D95"/>
    <w:rsid w:val="00AD392B"/>
    <w:rsid w:val="00B044A6"/>
    <w:rsid w:val="00B85795"/>
    <w:rsid w:val="00BB122F"/>
    <w:rsid w:val="00BD3873"/>
    <w:rsid w:val="00BE36EB"/>
    <w:rsid w:val="00C16B80"/>
    <w:rsid w:val="00C33AEF"/>
    <w:rsid w:val="00C415B1"/>
    <w:rsid w:val="00C61CB5"/>
    <w:rsid w:val="00C64A61"/>
    <w:rsid w:val="00C81372"/>
    <w:rsid w:val="00C84D28"/>
    <w:rsid w:val="00CA3302"/>
    <w:rsid w:val="00CB48F9"/>
    <w:rsid w:val="00CC0626"/>
    <w:rsid w:val="00CC216F"/>
    <w:rsid w:val="00CF2D05"/>
    <w:rsid w:val="00D26D1D"/>
    <w:rsid w:val="00D30B8E"/>
    <w:rsid w:val="00D5535B"/>
    <w:rsid w:val="00D75C29"/>
    <w:rsid w:val="00D82005"/>
    <w:rsid w:val="00DB07C5"/>
    <w:rsid w:val="00DC01DC"/>
    <w:rsid w:val="00DD5EE1"/>
    <w:rsid w:val="00DE037E"/>
    <w:rsid w:val="00DE3C33"/>
    <w:rsid w:val="00E865F8"/>
    <w:rsid w:val="00E92D5D"/>
    <w:rsid w:val="00EF4FC5"/>
    <w:rsid w:val="00EF7C5C"/>
    <w:rsid w:val="00F0005B"/>
    <w:rsid w:val="00F14EC8"/>
    <w:rsid w:val="00F2584F"/>
    <w:rsid w:val="00F63972"/>
    <w:rsid w:val="00F77E0F"/>
    <w:rsid w:val="00F825B6"/>
    <w:rsid w:val="00FB3760"/>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654CCC8"/>
  <w15:docId w15:val="{86B5EEFE-2DE8-474F-B78F-80A0C1DF6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ngs" w:hAnsi="Cambria" w:cs="Times New Roman"/>
        <w:lang w:val="en-AU"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qFormat="1"/>
    <w:lsdException w:name="heading 8" w:locked="1" w:qFormat="1"/>
    <w:lsdException w:name="heading 9" w:locked="1" w:qFormat="1"/>
    <w:lsdException w:name="index 1"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lsdException w:name="Table Theme" w:semiHidden="1" w:unhideWhenUsed="1"/>
    <w:lsdException w:name="Placeholder Text" w:semiHidden="1" w:uiPriority="67" w:unhideWhenUsed="1"/>
    <w:lsdException w:name="No Spacing" w:semiHidden="1" w:uiPriority="68" w:unhideWhenUsed="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semiHidden="1" w:uiPriority="72" w:unhideWhenUsed="1" w:qFormat="1"/>
    <w:lsdException w:name="Quote" w:semiHidden="1" w:uiPriority="73" w:unhideWhenUsed="1"/>
    <w:lsdException w:name="Intense Quote" w:semiHidden="1" w:uiPriority="60" w:unhideWhenUsed="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07C5"/>
    <w:pPr>
      <w:spacing w:after="120" w:line="300" w:lineRule="atLeast"/>
    </w:pPr>
    <w:rPr>
      <w:rFonts w:ascii="Arial" w:eastAsia="Times New Roman" w:hAnsi="Arial"/>
      <w:sz w:val="22"/>
      <w:szCs w:val="24"/>
    </w:rPr>
  </w:style>
  <w:style w:type="paragraph" w:styleId="Heading1">
    <w:name w:val="heading 1"/>
    <w:next w:val="Normal"/>
    <w:qFormat/>
    <w:rsid w:val="0075348F"/>
    <w:pPr>
      <w:keepNext/>
      <w:spacing w:before="240" w:after="120" w:line="300" w:lineRule="atLeast"/>
      <w:outlineLvl w:val="0"/>
    </w:pPr>
    <w:rPr>
      <w:rFonts w:ascii="Arial" w:eastAsia="Times New Roman" w:hAnsi="Arial" w:cs="Arial"/>
      <w:b/>
      <w:bCs/>
      <w:color w:val="E38431"/>
      <w:kern w:val="32"/>
      <w:sz w:val="32"/>
      <w:szCs w:val="32"/>
      <w:lang w:eastAsia="en-AU"/>
    </w:rPr>
  </w:style>
  <w:style w:type="paragraph" w:styleId="Heading2">
    <w:name w:val="heading 2"/>
    <w:next w:val="Normal"/>
    <w:qFormat/>
    <w:rsid w:val="0075348F"/>
    <w:pPr>
      <w:keepNext/>
      <w:spacing w:before="240" w:after="120" w:line="300" w:lineRule="atLeast"/>
      <w:outlineLvl w:val="1"/>
    </w:pPr>
    <w:rPr>
      <w:rFonts w:ascii="Arial" w:eastAsia="Times New Roman" w:hAnsi="Arial" w:cs="Arial"/>
      <w:b/>
      <w:bCs/>
      <w:iCs/>
      <w:color w:val="E38431"/>
      <w:sz w:val="28"/>
      <w:szCs w:val="28"/>
      <w:lang w:eastAsia="en-AU"/>
    </w:rPr>
  </w:style>
  <w:style w:type="paragraph" w:styleId="Heading3">
    <w:name w:val="heading 3"/>
    <w:next w:val="Normal"/>
    <w:qFormat/>
    <w:rsid w:val="00DB07C5"/>
    <w:pPr>
      <w:keepNext/>
      <w:spacing w:before="240" w:after="120" w:line="300" w:lineRule="atLeast"/>
      <w:outlineLvl w:val="2"/>
    </w:pPr>
    <w:rPr>
      <w:rFonts w:ascii="Arial" w:eastAsia="Times New Roman" w:hAnsi="Arial" w:cs="Arial"/>
      <w:b/>
      <w:bCs/>
      <w:sz w:val="26"/>
      <w:szCs w:val="26"/>
      <w:lang w:eastAsia="en-AU"/>
    </w:rPr>
  </w:style>
  <w:style w:type="paragraph" w:styleId="Heading4">
    <w:name w:val="heading 4"/>
    <w:basedOn w:val="Heading3"/>
    <w:qFormat/>
    <w:rsid w:val="00DB07C5"/>
    <w:pPr>
      <w:outlineLvl w:val="3"/>
    </w:pPr>
    <w:rPr>
      <w:sz w:val="24"/>
      <w:szCs w:val="24"/>
    </w:rPr>
  </w:style>
  <w:style w:type="paragraph" w:styleId="Heading5">
    <w:name w:val="heading 5"/>
    <w:basedOn w:val="Normal"/>
    <w:qFormat/>
    <w:locked/>
    <w:rsid w:val="00DB07C5"/>
    <w:pPr>
      <w:spacing w:before="240"/>
      <w:outlineLvl w:val="4"/>
    </w:pPr>
    <w:rPr>
      <w:b/>
    </w:rPr>
  </w:style>
  <w:style w:type="paragraph" w:styleId="Heading6">
    <w:name w:val="heading 6"/>
    <w:basedOn w:val="Heading5"/>
    <w:next w:val="Normal"/>
    <w:link w:val="Heading6Char"/>
    <w:qFormat/>
    <w:locked/>
    <w:rsid w:val="00DB07C5"/>
    <w:pPr>
      <w:outlineLvl w:val="5"/>
    </w:pPr>
  </w:style>
  <w:style w:type="paragraph" w:styleId="Heading7">
    <w:name w:val="heading 7"/>
    <w:basedOn w:val="Heading6"/>
    <w:next w:val="Normal"/>
    <w:qFormat/>
    <w:locked/>
    <w:rsid w:val="00DB07C5"/>
    <w:pPr>
      <w:outlineLvl w:val="6"/>
    </w:pPr>
  </w:style>
  <w:style w:type="paragraph" w:styleId="Heading8">
    <w:name w:val="heading 8"/>
    <w:basedOn w:val="Heading7"/>
    <w:next w:val="Normal"/>
    <w:qFormat/>
    <w:locked/>
    <w:rsid w:val="00DB07C5"/>
    <w:pPr>
      <w:outlineLvl w:val="7"/>
    </w:pPr>
  </w:style>
  <w:style w:type="paragraph" w:styleId="Heading9">
    <w:name w:val="heading 9"/>
    <w:basedOn w:val="Heading8"/>
    <w:next w:val="Normal"/>
    <w:qFormat/>
    <w:locked/>
    <w:rsid w:val="00DB07C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link w:val="Heading6"/>
    <w:rsid w:val="0082595B"/>
    <w:rPr>
      <w:rFonts w:ascii="Arial" w:eastAsia="Times New Roman" w:hAnsi="Arial"/>
      <w:b/>
      <w:sz w:val="22"/>
      <w:szCs w:val="24"/>
      <w:lang w:eastAsia="en-US"/>
    </w:rPr>
  </w:style>
  <w:style w:type="paragraph" w:styleId="Header">
    <w:name w:val="header"/>
    <w:rsid w:val="0075348F"/>
    <w:pPr>
      <w:pBdr>
        <w:bottom w:val="single" w:sz="4" w:space="1" w:color="E38431"/>
      </w:pBdr>
      <w:tabs>
        <w:tab w:val="center" w:pos="4604"/>
        <w:tab w:val="right" w:pos="9214"/>
      </w:tabs>
      <w:spacing w:line="240" w:lineRule="atLeast"/>
    </w:pPr>
    <w:rPr>
      <w:rFonts w:ascii="Arial" w:eastAsia="Times New Roman" w:hAnsi="Arial"/>
      <w:sz w:val="22"/>
      <w:szCs w:val="24"/>
    </w:rPr>
  </w:style>
  <w:style w:type="paragraph" w:styleId="TOC1">
    <w:name w:val="toc 1"/>
    <w:next w:val="Normal"/>
    <w:locked/>
    <w:rsid w:val="00DB07C5"/>
    <w:pPr>
      <w:tabs>
        <w:tab w:val="right" w:leader="dot" w:pos="9790"/>
      </w:tabs>
      <w:spacing w:before="60" w:after="60"/>
      <w:ind w:left="567" w:right="760" w:hanging="567"/>
    </w:pPr>
    <w:rPr>
      <w:rFonts w:ascii="Arial" w:eastAsia="Times New Roman" w:hAnsi="Arial"/>
      <w:b/>
      <w:szCs w:val="24"/>
    </w:rPr>
  </w:style>
  <w:style w:type="paragraph" w:styleId="ListBullet">
    <w:name w:val="List Bullet"/>
    <w:rsid w:val="00DB07C5"/>
    <w:pPr>
      <w:numPr>
        <w:numId w:val="23"/>
      </w:numPr>
      <w:spacing w:after="120" w:line="300" w:lineRule="atLeast"/>
    </w:pPr>
    <w:rPr>
      <w:rFonts w:ascii="Arial" w:eastAsia="Times New Roman" w:hAnsi="Arial"/>
      <w:sz w:val="22"/>
      <w:szCs w:val="24"/>
    </w:rPr>
  </w:style>
  <w:style w:type="paragraph" w:styleId="Footer">
    <w:name w:val="footer"/>
    <w:basedOn w:val="Normal"/>
    <w:rsid w:val="00DB07C5"/>
    <w:pPr>
      <w:tabs>
        <w:tab w:val="center" w:pos="4153"/>
        <w:tab w:val="right" w:pos="8306"/>
      </w:tabs>
    </w:pPr>
  </w:style>
  <w:style w:type="paragraph" w:styleId="ListBullet2">
    <w:name w:val="List Bullet 2"/>
    <w:rsid w:val="00DB07C5"/>
    <w:pPr>
      <w:numPr>
        <w:ilvl w:val="1"/>
        <w:numId w:val="25"/>
      </w:numPr>
      <w:spacing w:after="120" w:line="300" w:lineRule="atLeast"/>
    </w:pPr>
    <w:rPr>
      <w:rFonts w:ascii="Arial" w:eastAsia="Times New Roman" w:hAnsi="Arial"/>
      <w:sz w:val="22"/>
      <w:szCs w:val="24"/>
    </w:rPr>
  </w:style>
  <w:style w:type="character" w:styleId="PageNumber">
    <w:name w:val="page number"/>
    <w:semiHidden/>
    <w:rsid w:val="00DB07C5"/>
    <w:rPr>
      <w:rFonts w:ascii="Arial" w:hAnsi="Arial"/>
      <w:sz w:val="18"/>
    </w:rPr>
  </w:style>
  <w:style w:type="paragraph" w:styleId="ListBullet3">
    <w:name w:val="List Bullet 3"/>
    <w:rsid w:val="00DB07C5"/>
    <w:pPr>
      <w:numPr>
        <w:ilvl w:val="2"/>
        <w:numId w:val="25"/>
      </w:numPr>
      <w:spacing w:after="120" w:line="300" w:lineRule="atLeast"/>
    </w:pPr>
    <w:rPr>
      <w:rFonts w:ascii="Arial" w:eastAsia="Times New Roman" w:hAnsi="Arial"/>
      <w:sz w:val="22"/>
      <w:szCs w:val="24"/>
    </w:rPr>
  </w:style>
  <w:style w:type="character" w:styleId="FootnoteReference">
    <w:name w:val="footnote reference"/>
    <w:rsid w:val="00DB07C5"/>
    <w:rPr>
      <w:rFonts w:ascii="Arial" w:hAnsi="Arial"/>
      <w:sz w:val="18"/>
      <w:vertAlign w:val="superscript"/>
    </w:rPr>
  </w:style>
  <w:style w:type="paragraph" w:styleId="FootnoteText">
    <w:name w:val="footnote text"/>
    <w:basedOn w:val="Normal"/>
    <w:rsid w:val="00DB07C5"/>
    <w:pPr>
      <w:ind w:left="284" w:hanging="284"/>
    </w:pPr>
    <w:rPr>
      <w:sz w:val="18"/>
      <w:szCs w:val="20"/>
    </w:rPr>
  </w:style>
  <w:style w:type="paragraph" w:customStyle="1" w:styleId="AppendixH1">
    <w:name w:val="Appendix H1"/>
    <w:next w:val="Normal"/>
    <w:rsid w:val="0075348F"/>
    <w:pPr>
      <w:spacing w:before="240" w:after="240" w:line="300" w:lineRule="atLeast"/>
    </w:pPr>
    <w:rPr>
      <w:rFonts w:ascii="Arial" w:eastAsia="Times New Roman" w:hAnsi="Arial" w:cs="Arial"/>
      <w:b/>
      <w:bCs/>
      <w:color w:val="E38431"/>
      <w:kern w:val="32"/>
      <w:sz w:val="28"/>
      <w:szCs w:val="26"/>
      <w:lang w:eastAsia="en-AU"/>
    </w:rPr>
  </w:style>
  <w:style w:type="paragraph" w:customStyle="1" w:styleId="VLAi">
    <w:name w:val="VLA i."/>
    <w:aliases w:val="ii.,iii."/>
    <w:rsid w:val="00DB07C5"/>
    <w:pPr>
      <w:numPr>
        <w:ilvl w:val="2"/>
        <w:numId w:val="28"/>
      </w:numPr>
      <w:spacing w:after="120" w:line="300" w:lineRule="atLeast"/>
    </w:pPr>
    <w:rPr>
      <w:rFonts w:ascii="Arial" w:eastAsia="Times New Roman" w:hAnsi="Arial"/>
      <w:sz w:val="22"/>
      <w:szCs w:val="24"/>
    </w:rPr>
  </w:style>
  <w:style w:type="paragraph" w:customStyle="1" w:styleId="VLApicture">
    <w:name w:val="VLA picture"/>
    <w:next w:val="Normal"/>
    <w:rsid w:val="00DB07C5"/>
    <w:pPr>
      <w:spacing w:after="120" w:line="300" w:lineRule="atLeast"/>
    </w:pPr>
    <w:rPr>
      <w:rFonts w:ascii="Arial" w:eastAsia="Times New Roman" w:hAnsi="Arial"/>
      <w:sz w:val="22"/>
      <w:szCs w:val="24"/>
    </w:rPr>
  </w:style>
  <w:style w:type="paragraph" w:customStyle="1" w:styleId="VLAcaption">
    <w:name w:val="VLA caption"/>
    <w:basedOn w:val="Normal"/>
    <w:next w:val="Normal"/>
    <w:rsid w:val="00DB07C5"/>
    <w:rPr>
      <w:i/>
      <w:sz w:val="20"/>
    </w:rPr>
  </w:style>
  <w:style w:type="paragraph" w:customStyle="1" w:styleId="VLAquotation">
    <w:name w:val="VLA quotation"/>
    <w:basedOn w:val="VLApicture"/>
    <w:rsid w:val="00DB07C5"/>
    <w:pPr>
      <w:ind w:left="720"/>
    </w:pPr>
    <w:rPr>
      <w:i/>
    </w:rPr>
  </w:style>
  <w:style w:type="paragraph" w:customStyle="1" w:styleId="VLA1">
    <w:name w:val="VLA 1."/>
    <w:aliases w:val="2.,3."/>
    <w:rsid w:val="00DB07C5"/>
    <w:pPr>
      <w:numPr>
        <w:numId w:val="28"/>
      </w:numPr>
      <w:spacing w:after="120" w:line="300" w:lineRule="atLeast"/>
    </w:pPr>
    <w:rPr>
      <w:rFonts w:ascii="Arial" w:eastAsia="Times New Roman" w:hAnsi="Arial"/>
      <w:sz w:val="22"/>
      <w:szCs w:val="24"/>
    </w:rPr>
  </w:style>
  <w:style w:type="paragraph" w:customStyle="1" w:styleId="VLAa">
    <w:name w:val="VLA a."/>
    <w:aliases w:val="b.,c."/>
    <w:rsid w:val="00DB07C5"/>
    <w:pPr>
      <w:tabs>
        <w:tab w:val="num" w:pos="714"/>
      </w:tabs>
      <w:spacing w:after="120" w:line="300" w:lineRule="atLeast"/>
      <w:ind w:left="714" w:hanging="357"/>
    </w:pPr>
    <w:rPr>
      <w:rFonts w:ascii="Arial" w:eastAsia="Times New Roman" w:hAnsi="Arial"/>
      <w:sz w:val="22"/>
      <w:szCs w:val="24"/>
    </w:rPr>
  </w:style>
  <w:style w:type="paragraph" w:customStyle="1" w:styleId="Confidentialityclause">
    <w:name w:val="Confidentiality clause"/>
    <w:rsid w:val="00DB07C5"/>
    <w:pPr>
      <w:spacing w:after="120"/>
    </w:pPr>
    <w:rPr>
      <w:rFonts w:ascii="Arial" w:eastAsia="Times New Roman" w:hAnsi="Arial"/>
      <w:bCs/>
      <w:kern w:val="28"/>
      <w:sz w:val="18"/>
    </w:rPr>
  </w:style>
  <w:style w:type="character" w:styleId="Hyperlink">
    <w:name w:val="Hyperlink"/>
    <w:rsid w:val="00DB07C5"/>
    <w:rPr>
      <w:rFonts w:ascii="Arial" w:hAnsi="Arial"/>
      <w:color w:val="0000FF"/>
      <w:u w:val="single"/>
      <w:lang w:val="en-AU"/>
    </w:rPr>
  </w:style>
  <w:style w:type="paragraph" w:styleId="ListBullet4">
    <w:name w:val="List Bullet 4"/>
    <w:basedOn w:val="Normal"/>
    <w:semiHidden/>
    <w:rsid w:val="00DB07C5"/>
    <w:pPr>
      <w:spacing w:after="80"/>
    </w:pPr>
  </w:style>
  <w:style w:type="character" w:styleId="Strong">
    <w:name w:val="Strong"/>
    <w:qFormat/>
    <w:locked/>
    <w:rsid w:val="00DB07C5"/>
    <w:rPr>
      <w:b/>
      <w:bCs/>
    </w:rPr>
  </w:style>
  <w:style w:type="table" w:styleId="TableGrid">
    <w:name w:val="Table Grid"/>
    <w:basedOn w:val="TableNormal"/>
    <w:locked/>
    <w:rsid w:val="00DB07C5"/>
    <w:pPr>
      <w:spacing w:before="60" w:after="60" w:line="240" w:lineRule="atLeast"/>
    </w:pPr>
    <w:rPr>
      <w:rFonts w:ascii="Arial" w:eastAsia="Times New Roman"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locked/>
    <w:rsid w:val="00DB07C5"/>
    <w:pPr>
      <w:tabs>
        <w:tab w:val="right" w:leader="dot" w:pos="9790"/>
      </w:tabs>
      <w:spacing w:before="60" w:after="60"/>
      <w:ind w:left="330" w:right="650"/>
    </w:pPr>
    <w:rPr>
      <w:noProof/>
      <w:sz w:val="20"/>
    </w:rPr>
  </w:style>
  <w:style w:type="paragraph" w:styleId="TOC3">
    <w:name w:val="toc 3"/>
    <w:basedOn w:val="Normal"/>
    <w:next w:val="Normal"/>
    <w:locked/>
    <w:rsid w:val="00DB07C5"/>
    <w:pPr>
      <w:tabs>
        <w:tab w:val="right" w:leader="dot" w:pos="9790"/>
      </w:tabs>
      <w:spacing w:before="60" w:after="60"/>
      <w:ind w:left="550" w:right="760"/>
    </w:pPr>
    <w:rPr>
      <w:noProof/>
      <w:sz w:val="20"/>
    </w:rPr>
  </w:style>
  <w:style w:type="paragraph" w:customStyle="1" w:styleId="VLAdefinition">
    <w:name w:val="VLA definition"/>
    <w:basedOn w:val="Normal"/>
    <w:rsid w:val="00DB07C5"/>
    <w:pPr>
      <w:tabs>
        <w:tab w:val="left" w:pos="2268"/>
      </w:tabs>
      <w:spacing w:before="60"/>
      <w:ind w:left="2268" w:hanging="2268"/>
    </w:pPr>
    <w:rPr>
      <w:szCs w:val="22"/>
    </w:rPr>
  </w:style>
  <w:style w:type="paragraph" w:customStyle="1" w:styleId="VLADocumentText">
    <w:name w:val="VLA Document Text"/>
    <w:rsid w:val="000759A6"/>
    <w:pPr>
      <w:spacing w:after="120" w:line="300" w:lineRule="atLeast"/>
    </w:pPr>
    <w:rPr>
      <w:rFonts w:ascii="Arial" w:eastAsia="Times New Roman" w:hAnsi="Arial"/>
      <w:sz w:val="22"/>
      <w:szCs w:val="24"/>
    </w:rPr>
  </w:style>
  <w:style w:type="character" w:customStyle="1" w:styleId="VLAHiddenText">
    <w:name w:val="VLA Hidden Text"/>
    <w:rsid w:val="000759A6"/>
    <w:rPr>
      <w:rFonts w:ascii="Arial" w:hAnsi="Arial"/>
      <w:vanish/>
      <w:color w:val="3366FF"/>
    </w:rPr>
  </w:style>
  <w:style w:type="paragraph" w:customStyle="1" w:styleId="VLALetterHeading">
    <w:name w:val="VLA Letter Heading"/>
    <w:next w:val="Normal"/>
    <w:rsid w:val="000759A6"/>
    <w:pPr>
      <w:keepNext/>
      <w:spacing w:after="200" w:line="300" w:lineRule="atLeast"/>
    </w:pPr>
    <w:rPr>
      <w:rFonts w:ascii="Arial" w:eastAsia="Times New Roman" w:hAnsi="Arial"/>
      <w:b/>
      <w:sz w:val="22"/>
      <w:szCs w:val="24"/>
    </w:rPr>
  </w:style>
  <w:style w:type="paragraph" w:customStyle="1" w:styleId="VLALetterText">
    <w:name w:val="VLA Letter Text"/>
    <w:rsid w:val="000759A6"/>
    <w:pPr>
      <w:spacing w:after="120" w:line="300" w:lineRule="atLeast"/>
    </w:pPr>
    <w:rPr>
      <w:rFonts w:ascii="Arial" w:eastAsia="Times New Roman" w:hAnsi="Arial"/>
      <w:sz w:val="22"/>
      <w:szCs w:val="24"/>
    </w:rPr>
  </w:style>
  <w:style w:type="paragraph" w:customStyle="1" w:styleId="VLAProgram">
    <w:name w:val="VLA Program"/>
    <w:basedOn w:val="Header"/>
    <w:next w:val="Normal"/>
    <w:rsid w:val="0075348F"/>
    <w:pPr>
      <w:tabs>
        <w:tab w:val="clear" w:pos="4604"/>
        <w:tab w:val="clear" w:pos="9214"/>
      </w:tabs>
      <w:spacing w:before="120" w:after="120"/>
      <w:ind w:left="-329" w:right="-816"/>
    </w:pPr>
    <w:rPr>
      <w:b/>
      <w:color w:val="FFFFFF"/>
      <w:sz w:val="18"/>
      <w:szCs w:val="18"/>
    </w:rPr>
  </w:style>
  <w:style w:type="paragraph" w:customStyle="1" w:styleId="VLAPublicationdate">
    <w:name w:val="VLA Publication date"/>
    <w:basedOn w:val="Normal"/>
    <w:next w:val="Normal"/>
    <w:rsid w:val="00833658"/>
    <w:pPr>
      <w:spacing w:before="120" w:after="960" w:line="240" w:lineRule="auto"/>
      <w:ind w:left="-329"/>
    </w:pPr>
    <w:rPr>
      <w:color w:val="FFFFFF"/>
      <w:sz w:val="18"/>
      <w:szCs w:val="18"/>
    </w:rPr>
  </w:style>
  <w:style w:type="paragraph" w:customStyle="1" w:styleId="AppendixH2">
    <w:name w:val="Appendix H2"/>
    <w:next w:val="Normal"/>
    <w:rsid w:val="0075348F"/>
    <w:pPr>
      <w:spacing w:before="160" w:after="40" w:line="300" w:lineRule="atLeast"/>
    </w:pPr>
    <w:rPr>
      <w:rFonts w:ascii="Arial" w:eastAsia="Times New Roman" w:hAnsi="Arial" w:cs="Arial"/>
      <w:b/>
      <w:bCs/>
      <w:iCs/>
      <w:color w:val="E38431"/>
      <w:sz w:val="26"/>
      <w:szCs w:val="28"/>
      <w:lang w:eastAsia="en-AU"/>
    </w:rPr>
  </w:style>
  <w:style w:type="paragraph" w:customStyle="1" w:styleId="AppendixH3">
    <w:name w:val="Appendix H3"/>
    <w:next w:val="Normal"/>
    <w:rsid w:val="00DB07C5"/>
    <w:pPr>
      <w:spacing w:before="120" w:after="40" w:line="300" w:lineRule="atLeast"/>
    </w:pPr>
    <w:rPr>
      <w:rFonts w:ascii="Arial" w:eastAsia="Times New Roman" w:hAnsi="Arial" w:cs="Arial"/>
      <w:b/>
      <w:bCs/>
      <w:sz w:val="24"/>
      <w:szCs w:val="26"/>
      <w:lang w:eastAsia="en-AU"/>
    </w:rPr>
  </w:style>
  <w:style w:type="paragraph" w:customStyle="1" w:styleId="Appendix">
    <w:name w:val="Appendix"/>
    <w:next w:val="Normal"/>
    <w:rsid w:val="0075348F"/>
    <w:pPr>
      <w:numPr>
        <w:numId w:val="22"/>
      </w:numPr>
      <w:spacing w:before="240" w:after="240" w:line="280" w:lineRule="exact"/>
    </w:pPr>
    <w:rPr>
      <w:rFonts w:ascii="Arial" w:eastAsia="Times New Roman" w:hAnsi="Arial" w:cs="Arial"/>
      <w:b/>
      <w:bCs/>
      <w:color w:val="E38431"/>
      <w:kern w:val="32"/>
      <w:sz w:val="28"/>
      <w:szCs w:val="32"/>
      <w:lang w:eastAsia="en-AU"/>
    </w:rPr>
  </w:style>
  <w:style w:type="paragraph" w:customStyle="1" w:styleId="VLAdivision">
    <w:name w:val="VLA division"/>
    <w:basedOn w:val="Normal"/>
    <w:next w:val="VLAauthor"/>
    <w:rsid w:val="0075348F"/>
    <w:pPr>
      <w:spacing w:before="60" w:after="240"/>
    </w:pPr>
    <w:rPr>
      <w:b/>
      <w:color w:val="E38431"/>
      <w:sz w:val="28"/>
      <w:szCs w:val="28"/>
      <w:lang w:eastAsia="en-AU"/>
    </w:rPr>
  </w:style>
  <w:style w:type="paragraph" w:customStyle="1" w:styleId="VLAauthor">
    <w:name w:val="VLA author"/>
    <w:basedOn w:val="Normal"/>
    <w:next w:val="VLAdivision"/>
    <w:rsid w:val="0075348F"/>
    <w:pPr>
      <w:spacing w:before="240" w:after="60"/>
    </w:pPr>
    <w:rPr>
      <w:b/>
      <w:color w:val="E38431"/>
      <w:sz w:val="28"/>
      <w:szCs w:val="28"/>
      <w:lang w:eastAsia="en-AU"/>
    </w:rPr>
  </w:style>
  <w:style w:type="paragraph" w:customStyle="1" w:styleId="Contents">
    <w:name w:val="Contents"/>
    <w:basedOn w:val="VLAdivision"/>
    <w:next w:val="Normal"/>
    <w:rsid w:val="0075348F"/>
  </w:style>
  <w:style w:type="paragraph" w:customStyle="1" w:styleId="Filename">
    <w:name w:val="Filename"/>
    <w:basedOn w:val="Normal"/>
    <w:rsid w:val="0075348F"/>
    <w:pPr>
      <w:pBdr>
        <w:top w:val="single" w:sz="4" w:space="1" w:color="E38431"/>
      </w:pBdr>
      <w:tabs>
        <w:tab w:val="right" w:pos="9240"/>
      </w:tabs>
    </w:pPr>
    <w:rPr>
      <w:sz w:val="18"/>
    </w:rPr>
  </w:style>
  <w:style w:type="paragraph" w:styleId="Title">
    <w:name w:val="Title"/>
    <w:link w:val="TitleChar"/>
    <w:qFormat/>
    <w:locked/>
    <w:rsid w:val="0075348F"/>
    <w:pPr>
      <w:spacing w:before="2000" w:after="240" w:line="400" w:lineRule="exact"/>
      <w:outlineLvl w:val="0"/>
    </w:pPr>
    <w:rPr>
      <w:rFonts w:ascii="Arial Bold" w:eastAsia="Times New Roman" w:hAnsi="Arial Bold" w:cs="Arial"/>
      <w:b/>
      <w:bCs/>
      <w:color w:val="E38431"/>
      <w:kern w:val="28"/>
      <w:sz w:val="36"/>
      <w:szCs w:val="32"/>
    </w:rPr>
  </w:style>
  <w:style w:type="character" w:customStyle="1" w:styleId="TitleChar">
    <w:name w:val="Title Char"/>
    <w:link w:val="Title"/>
    <w:rsid w:val="0075348F"/>
    <w:rPr>
      <w:rFonts w:ascii="Arial Bold" w:eastAsia="Times New Roman" w:hAnsi="Arial Bold" w:cs="Arial"/>
      <w:b/>
      <w:bCs/>
      <w:color w:val="E38431"/>
      <w:kern w:val="28"/>
      <w:sz w:val="36"/>
      <w:szCs w:val="32"/>
    </w:rPr>
  </w:style>
  <w:style w:type="paragraph" w:customStyle="1" w:styleId="VLAdate">
    <w:name w:val="VLA date"/>
    <w:basedOn w:val="Normal"/>
    <w:qFormat/>
    <w:rsid w:val="00A52F29"/>
    <w:pPr>
      <w:spacing w:before="240" w:after="240" w:line="240" w:lineRule="atLeast"/>
    </w:pPr>
    <w:rPr>
      <w:bCs/>
      <w:sz w:val="24"/>
      <w:szCs w:val="28"/>
    </w:rPr>
  </w:style>
  <w:style w:type="paragraph" w:customStyle="1" w:styleId="VLApublicationdate0">
    <w:name w:val="VLA publication date"/>
    <w:basedOn w:val="Normal"/>
    <w:rsid w:val="00DB07C5"/>
    <w:pPr>
      <w:spacing w:before="1000"/>
    </w:pPr>
    <w:rPr>
      <w:b/>
      <w:sz w:val="28"/>
      <w:szCs w:val="20"/>
      <w:lang w:eastAsia="en-AU"/>
    </w:rPr>
  </w:style>
  <w:style w:type="paragraph" w:customStyle="1" w:styleId="Normalbold">
    <w:name w:val="Normal bold"/>
    <w:basedOn w:val="Normal"/>
    <w:next w:val="Normal"/>
    <w:rsid w:val="00DB07C5"/>
    <w:rPr>
      <w:b/>
      <w:lang w:eastAsia="en-AU"/>
    </w:rPr>
  </w:style>
  <w:style w:type="paragraph" w:customStyle="1" w:styleId="Normalwithborder">
    <w:name w:val="Normal with border"/>
    <w:basedOn w:val="Heading5"/>
    <w:qFormat/>
    <w:rsid w:val="00A52F29"/>
    <w:rPr>
      <w:b w:val="0"/>
    </w:rPr>
  </w:style>
  <w:style w:type="paragraph" w:customStyle="1" w:styleId="Normalwithgreyhighlightbox">
    <w:name w:val="Normal with grey highlight box"/>
    <w:basedOn w:val="Heading4"/>
    <w:qFormat/>
    <w:rsid w:val="00A52F29"/>
    <w:rPr>
      <w:b w:val="0"/>
      <w:sz w:val="22"/>
    </w:rPr>
  </w:style>
  <w:style w:type="paragraph" w:styleId="NormalIndent">
    <w:name w:val="Normal Indent"/>
    <w:basedOn w:val="Normal"/>
    <w:rsid w:val="00A52F29"/>
    <w:pPr>
      <w:ind w:left="720"/>
    </w:pPr>
  </w:style>
  <w:style w:type="paragraph" w:styleId="ListBullet5">
    <w:name w:val="List Bullet 5"/>
    <w:basedOn w:val="Normal"/>
    <w:rsid w:val="008B2419"/>
    <w:pPr>
      <w:numPr>
        <w:numId w:val="35"/>
      </w:numPr>
      <w:contextualSpacing/>
    </w:pPr>
  </w:style>
  <w:style w:type="paragraph" w:styleId="ListNumber">
    <w:name w:val="List Number"/>
    <w:basedOn w:val="Normal"/>
    <w:rsid w:val="008B2419"/>
    <w:pPr>
      <w:numPr>
        <w:numId w:val="29"/>
      </w:numPr>
      <w:contextualSpacing/>
    </w:pPr>
  </w:style>
  <w:style w:type="paragraph" w:styleId="ListNumber2">
    <w:name w:val="List Number 2"/>
    <w:basedOn w:val="Normal"/>
    <w:rsid w:val="008B2419"/>
    <w:pPr>
      <w:numPr>
        <w:numId w:val="30"/>
      </w:numPr>
      <w:contextualSpacing/>
    </w:pPr>
  </w:style>
  <w:style w:type="paragraph" w:styleId="ListNumber3">
    <w:name w:val="List Number 3"/>
    <w:basedOn w:val="Normal"/>
    <w:rsid w:val="008B2419"/>
    <w:pPr>
      <w:numPr>
        <w:numId w:val="31"/>
      </w:numPr>
      <w:contextualSpacing/>
    </w:pPr>
  </w:style>
  <w:style w:type="paragraph" w:styleId="ListNumber4">
    <w:name w:val="List Number 4"/>
    <w:basedOn w:val="Normal"/>
    <w:rsid w:val="008B2419"/>
    <w:pPr>
      <w:numPr>
        <w:numId w:val="32"/>
      </w:numPr>
      <w:contextualSpacing/>
    </w:pPr>
  </w:style>
  <w:style w:type="paragraph" w:styleId="ListNumber5">
    <w:name w:val="List Number 5"/>
    <w:basedOn w:val="Normal"/>
    <w:rsid w:val="008B2419"/>
    <w:pPr>
      <w:numPr>
        <w:numId w:val="33"/>
      </w:numPr>
      <w:contextualSpacing/>
    </w:pPr>
  </w:style>
  <w:style w:type="paragraph" w:styleId="ListParagraph">
    <w:name w:val="List Paragraph"/>
    <w:basedOn w:val="Normal"/>
    <w:uiPriority w:val="72"/>
    <w:qFormat/>
    <w:rsid w:val="00D26D1D"/>
    <w:pPr>
      <w:spacing w:after="0" w:line="240" w:lineRule="auto"/>
      <w:ind w:left="720"/>
      <w:contextualSpacing/>
    </w:pPr>
    <w:rPr>
      <w:rFonts w:ascii="Times New Roman" w:hAnsi="Times New Roman"/>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austlii.edu.au/cgi-bin/sinodisp/au/cases/vic/VCAT/2015/1936.html?stem=0&amp;synonyms=0&amp;query=Ingra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Advantage">
  <a:themeElements>
    <a:clrScheme name="Advantage">
      <a:dk1>
        <a:sysClr val="windowText" lastClr="000000"/>
      </a:dk1>
      <a:lt1>
        <a:sysClr val="window" lastClr="FFFFFF"/>
      </a:lt1>
      <a:dk2>
        <a:srgbClr val="2B142D"/>
      </a:dk2>
      <a:lt2>
        <a:srgbClr val="C3AFCC"/>
      </a:lt2>
      <a:accent1>
        <a:srgbClr val="663366"/>
      </a:accent1>
      <a:accent2>
        <a:srgbClr val="330F42"/>
      </a:accent2>
      <a:accent3>
        <a:srgbClr val="666699"/>
      </a:accent3>
      <a:accent4>
        <a:srgbClr val="999966"/>
      </a:accent4>
      <a:accent5>
        <a:srgbClr val="F7901E"/>
      </a:accent5>
      <a:accent6>
        <a:srgbClr val="A3A101"/>
      </a:accent6>
      <a:hlink>
        <a:srgbClr val="BC5FBC"/>
      </a:hlink>
      <a:folHlink>
        <a:srgbClr val="9775A7"/>
      </a:folHlink>
    </a:clrScheme>
    <a:fontScheme name="Advantage">
      <a:majorFont>
        <a:latin typeface="Rockwell"/>
        <a:ea typeface=""/>
        <a:cs typeface=""/>
        <a:font script="Jpan" typeface="ＭＳ ゴシック"/>
        <a:font script="Hans" typeface="宋体"/>
        <a:font script="Hant" typeface="新細明體"/>
      </a:majorFont>
      <a:minorFont>
        <a:latin typeface="Rockwell"/>
        <a:ea typeface=""/>
        <a:cs typeface=""/>
        <a:font script="Jpan" typeface="ＭＳ ゴシック"/>
        <a:font script="Hans" typeface="宋体"/>
        <a:font script="Hant" typeface="新細明體"/>
      </a:minorFont>
    </a:fontScheme>
    <a:fmtScheme name="Advantage">
      <a:fillStyleLst>
        <a:solidFill>
          <a:schemeClr val="phClr"/>
        </a:solidFill>
        <a:gradFill rotWithShape="1">
          <a:gsLst>
            <a:gs pos="0">
              <a:schemeClr val="phClr">
                <a:tint val="100000"/>
                <a:shade val="40000"/>
                <a:alpha val="100000"/>
                <a:satMod val="150000"/>
                <a:lumMod val="100000"/>
              </a:schemeClr>
            </a:gs>
            <a:gs pos="100000">
              <a:schemeClr val="phClr">
                <a:tint val="70000"/>
                <a:shade val="100000"/>
                <a:alpha val="100000"/>
                <a:satMod val="200000"/>
                <a:lumMod val="100000"/>
              </a:schemeClr>
            </a:gs>
          </a:gsLst>
          <a:lin ang="6000000" scaled="1"/>
        </a:gradFill>
        <a:gradFill rotWithShape="1">
          <a:gsLst>
            <a:gs pos="0">
              <a:schemeClr val="phClr">
                <a:shade val="40000"/>
                <a:alpha val="100000"/>
                <a:satMod val="150000"/>
                <a:lumMod val="100000"/>
              </a:schemeClr>
            </a:gs>
            <a:gs pos="100000">
              <a:schemeClr val="phClr">
                <a:tint val="70000"/>
                <a:shade val="100000"/>
                <a:alpha val="100000"/>
                <a:satMod val="200000"/>
                <a:lumMod val="100000"/>
              </a:schemeClr>
            </a:gs>
          </a:gsLst>
          <a:lin ang="5400000" scaled="1"/>
        </a:gra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innerShdw blurRad="50800" dist="25400" dir="13500000">
              <a:srgbClr val="FFFFFF">
                <a:alpha val="75000"/>
              </a:srgbClr>
            </a:innerShdw>
            <a:outerShdw blurRad="63500" dist="25400" dir="5400000" rotWithShape="0">
              <a:srgbClr val="808080">
                <a:alpha val="75000"/>
              </a:srgbClr>
            </a:outerShdw>
          </a:effectLst>
        </a:effectStyle>
        <a:effectStyle>
          <a:effectLst/>
          <a:scene3d>
            <a:camera prst="orthographicFront">
              <a:rot lat="0" lon="0" rev="0"/>
            </a:camera>
            <a:lightRig rig="twoPt" dir="tl">
              <a:rot lat="0" lon="0" rev="4500000"/>
            </a:lightRig>
          </a:scene3d>
          <a:sp3d>
            <a:bevelT w="63500" h="50800"/>
          </a:sp3d>
        </a:effectStyle>
      </a:effectStyleLst>
      <a:bgFillStyleLst>
        <a:solidFill>
          <a:schemeClr val="phClr"/>
        </a:solidFill>
        <a:gradFill rotWithShape="1">
          <a:gsLst>
            <a:gs pos="0">
              <a:schemeClr val="phClr">
                <a:tint val="40000"/>
                <a:satMod val="1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B42AC8-09AB-49DF-8442-CDAB05614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1122</Words>
  <Characters>6075</Characters>
  <Application>Microsoft Office Word</Application>
  <DocSecurity>0</DocSecurity>
  <Lines>91</Lines>
  <Paragraphs>37</Paragraphs>
  <ScaleCrop>false</ScaleCrop>
  <HeadingPairs>
    <vt:vector size="2" baseType="variant">
      <vt:variant>
        <vt:lpstr>Title</vt:lpstr>
      </vt:variant>
      <vt:variant>
        <vt:i4>1</vt:i4>
      </vt:variant>
    </vt:vector>
  </HeadingPairs>
  <TitlesOfParts>
    <vt:vector size="1" baseType="lpstr">
      <vt:lpstr>Blanket mental health exclusion clause in travel insurance policy amounted to unlawful discrimination</vt:lpstr>
    </vt:vector>
  </TitlesOfParts>
  <Manager/>
  <Company>Victoria Legal Aid</Company>
  <LinksUpToDate>false</LinksUpToDate>
  <CharactersWithSpaces>7172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Blanket mental health exclusion clause in travel insurance policy amounted to unlawful discrimination</dc:title>
  <dc:subject/>
  <dc:creator>Victoria Legal Aid</dc:creator>
  <cp:keywords/>
  <dc:description/>
  <cp:lastModifiedBy>Gabrielle Mundana</cp:lastModifiedBy>
  <cp:revision>2</cp:revision>
  <dcterms:created xsi:type="dcterms:W3CDTF">2022-03-21T00:01:00Z</dcterms:created>
  <dcterms:modified xsi:type="dcterms:W3CDTF">2022-03-21T00:01:00Z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_MarkAsFinal">
    <vt:bool>true</vt:bool>
  </property>
</Properties>
</file>