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0206" w14:textId="77777777" w:rsidR="00C82872" w:rsidRPr="000A635C" w:rsidRDefault="00C82872" w:rsidP="00E6688C">
      <w:pPr>
        <w:pStyle w:val="VLAtitle"/>
      </w:pPr>
      <w:r w:rsidRPr="000A635C">
        <w:rPr>
          <w:noProof/>
          <w:lang w:eastAsia="en-AU"/>
        </w:rPr>
        <w:drawing>
          <wp:anchor distT="0" distB="0" distL="114300" distR="114300" simplePos="0" relativeHeight="251659264" behindDoc="0" locked="0" layoutInCell="1" allowOverlap="1" wp14:anchorId="709B06D3" wp14:editId="0661B302">
            <wp:simplePos x="0" y="0"/>
            <wp:positionH relativeFrom="margin">
              <wp:align>right</wp:align>
            </wp:positionH>
            <wp:positionV relativeFrom="paragraph">
              <wp:posOffset>38439</wp:posOffset>
            </wp:positionV>
            <wp:extent cx="3545883" cy="90879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5883" cy="908790"/>
                    </a:xfrm>
                    <a:prstGeom prst="rect">
                      <a:avLst/>
                    </a:prstGeom>
                    <a:noFill/>
                  </pic:spPr>
                </pic:pic>
              </a:graphicData>
            </a:graphic>
            <wp14:sizeRelH relativeFrom="page">
              <wp14:pctWidth>0</wp14:pctWidth>
            </wp14:sizeRelH>
            <wp14:sizeRelV relativeFrom="page">
              <wp14:pctHeight>0</wp14:pctHeight>
            </wp14:sizeRelV>
          </wp:anchor>
        </w:drawing>
      </w:r>
      <w:r w:rsidRPr="000A635C">
        <w:rPr>
          <w:noProof/>
          <w:lang w:eastAsia="en-AU"/>
        </w:rPr>
        <w:drawing>
          <wp:anchor distT="0" distB="0" distL="114300" distR="114300" simplePos="0" relativeHeight="251660288" behindDoc="0" locked="0" layoutInCell="1" allowOverlap="1" wp14:anchorId="6D1D0BFF" wp14:editId="0E621F4A">
            <wp:simplePos x="0" y="0"/>
            <wp:positionH relativeFrom="column">
              <wp:posOffset>2673886</wp:posOffset>
            </wp:positionH>
            <wp:positionV relativeFrom="paragraph">
              <wp:posOffset>1171622</wp:posOffset>
            </wp:positionV>
            <wp:extent cx="3334632" cy="535951"/>
            <wp:effectExtent l="0" t="0" r="0" b="0"/>
            <wp:wrapNone/>
            <wp:docPr id="2" name="Picture 2"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3095" cy="5421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35C">
        <w:rPr>
          <w:noProof/>
          <w:lang w:eastAsia="en-AU"/>
        </w:rPr>
        <w:drawing>
          <wp:anchor distT="0" distB="0" distL="114300" distR="114300" simplePos="0" relativeHeight="251658240" behindDoc="0" locked="0" layoutInCell="1" allowOverlap="1" wp14:anchorId="655711DA" wp14:editId="5854CC55">
            <wp:simplePos x="0" y="0"/>
            <wp:positionH relativeFrom="column">
              <wp:posOffset>171871</wp:posOffset>
            </wp:positionH>
            <wp:positionV relativeFrom="paragraph">
              <wp:posOffset>-411164</wp:posOffset>
            </wp:positionV>
            <wp:extent cx="2356122" cy="2239029"/>
            <wp:effectExtent l="0" t="0" r="635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321" cy="2253472"/>
                    </a:xfrm>
                    <a:prstGeom prst="rect">
                      <a:avLst/>
                    </a:prstGeom>
                    <a:noFill/>
                  </pic:spPr>
                </pic:pic>
              </a:graphicData>
            </a:graphic>
            <wp14:sizeRelH relativeFrom="page">
              <wp14:pctWidth>0</wp14:pctWidth>
            </wp14:sizeRelH>
            <wp14:sizeRelV relativeFrom="page">
              <wp14:pctHeight>0</wp14:pctHeight>
            </wp14:sizeRelV>
          </wp:anchor>
        </w:drawing>
      </w:r>
    </w:p>
    <w:p w14:paraId="7D2661AA" w14:textId="77777777" w:rsidR="00E6688C" w:rsidRPr="000A635C" w:rsidRDefault="00E05B16" w:rsidP="00E6688C">
      <w:pPr>
        <w:pStyle w:val="VLAtitle"/>
      </w:pPr>
      <w:r w:rsidRPr="000A635C">
        <w:t>Child Information Sharing</w:t>
      </w:r>
    </w:p>
    <w:p w14:paraId="447DAD85" w14:textId="77777777" w:rsidR="00E6688C" w:rsidRPr="000A635C" w:rsidRDefault="00E37152" w:rsidP="00E6688C">
      <w:pPr>
        <w:pStyle w:val="VLAsubtitle"/>
      </w:pPr>
      <w:bookmarkStart w:id="0" w:name="Text2"/>
      <w:r w:rsidRPr="000A635C">
        <w:t xml:space="preserve">Legal assistance </w:t>
      </w:r>
      <w:r w:rsidR="00C82872" w:rsidRPr="000A635C">
        <w:t>sector s</w:t>
      </w:r>
      <w:r w:rsidR="00E05B16" w:rsidRPr="000A635C">
        <w:t xml:space="preserve">ubmission to the Department of Health and Human Services </w:t>
      </w:r>
      <w:bookmarkEnd w:id="0"/>
      <w:r w:rsidR="00C82872" w:rsidRPr="000A635C">
        <w:t>and Department of Education and Training</w:t>
      </w:r>
    </w:p>
    <w:p w14:paraId="24769D69" w14:textId="77777777" w:rsidR="00E6688C" w:rsidRPr="000A635C" w:rsidRDefault="00C810E8" w:rsidP="00E6688C">
      <w:pPr>
        <w:pStyle w:val="VLAdate"/>
      </w:pPr>
      <w:r w:rsidRPr="000A635C">
        <w:t>October</w:t>
      </w:r>
      <w:r w:rsidR="00E05B16" w:rsidRPr="000A635C">
        <w:t xml:space="preserve"> 2017</w:t>
      </w:r>
    </w:p>
    <w:p w14:paraId="758193AB" w14:textId="77777777" w:rsidR="00853BDA" w:rsidRPr="000A635C" w:rsidRDefault="00853BDA" w:rsidP="00946548"/>
    <w:p w14:paraId="070AEEC0" w14:textId="77777777" w:rsidR="00E05B16" w:rsidRPr="000A635C" w:rsidRDefault="00E05B16" w:rsidP="00946548">
      <w:pPr>
        <w:sectPr w:rsidR="00E05B16" w:rsidRPr="000A635C" w:rsidSect="00DA29C4">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418" w:right="992" w:bottom="3969" w:left="1134" w:header="851" w:footer="2835" w:gutter="0"/>
          <w:paperSrc w:first="7" w:other="7"/>
          <w:cols w:space="720"/>
          <w:titlePg/>
          <w:docGrid w:linePitch="299"/>
        </w:sectPr>
      </w:pPr>
    </w:p>
    <w:p w14:paraId="4975F751" w14:textId="77777777" w:rsidR="002B4970" w:rsidRPr="000A635C" w:rsidRDefault="002B4970" w:rsidP="0056464E">
      <w:pPr>
        <w:pStyle w:val="Contents"/>
      </w:pPr>
      <w:r w:rsidRPr="000A635C">
        <w:lastRenderedPageBreak/>
        <w:t>Contents</w:t>
      </w:r>
    </w:p>
    <w:p w14:paraId="6913D210" w14:textId="39F69018" w:rsidR="00565BC6" w:rsidRDefault="004E0688">
      <w:pPr>
        <w:pStyle w:val="TOC1"/>
        <w:rPr>
          <w:rFonts w:asciiTheme="minorHAnsi" w:eastAsiaTheme="minorEastAsia" w:hAnsiTheme="minorHAnsi" w:cstheme="minorBidi"/>
          <w:b w:val="0"/>
          <w:noProof/>
          <w:sz w:val="22"/>
          <w:szCs w:val="22"/>
          <w:lang w:eastAsia="en-AU"/>
        </w:rPr>
      </w:pPr>
      <w:r w:rsidRPr="000A635C">
        <w:fldChar w:fldCharType="begin"/>
      </w:r>
      <w:r w:rsidRPr="000A635C">
        <w:instrText xml:space="preserve"> TOC \h \z \t "Heading 1,1,Heading 2,2,Heading 3,3,Appendix,1" </w:instrText>
      </w:r>
      <w:r w:rsidRPr="000A635C">
        <w:fldChar w:fldCharType="separate"/>
      </w:r>
      <w:hyperlink w:anchor="_Toc495992890" w:history="1">
        <w:r w:rsidR="00565BC6" w:rsidRPr="007C510C">
          <w:rPr>
            <w:rStyle w:val="Hyperlink"/>
            <w:noProof/>
          </w:rPr>
          <w:t>Victoria’s legal assistance sector</w:t>
        </w:r>
        <w:r w:rsidR="00565BC6">
          <w:rPr>
            <w:noProof/>
            <w:webHidden/>
          </w:rPr>
          <w:tab/>
        </w:r>
        <w:r w:rsidR="00565BC6">
          <w:rPr>
            <w:noProof/>
            <w:webHidden/>
          </w:rPr>
          <w:fldChar w:fldCharType="begin"/>
        </w:r>
        <w:r w:rsidR="00565BC6">
          <w:rPr>
            <w:noProof/>
            <w:webHidden/>
          </w:rPr>
          <w:instrText xml:space="preserve"> PAGEREF _Toc495992890 \h </w:instrText>
        </w:r>
        <w:r w:rsidR="00565BC6">
          <w:rPr>
            <w:noProof/>
            <w:webHidden/>
          </w:rPr>
        </w:r>
        <w:r w:rsidR="00565BC6">
          <w:rPr>
            <w:noProof/>
            <w:webHidden/>
          </w:rPr>
          <w:fldChar w:fldCharType="separate"/>
        </w:r>
        <w:r w:rsidR="00565BC6">
          <w:rPr>
            <w:noProof/>
            <w:webHidden/>
          </w:rPr>
          <w:t>1</w:t>
        </w:r>
        <w:r w:rsidR="00565BC6">
          <w:rPr>
            <w:noProof/>
            <w:webHidden/>
          </w:rPr>
          <w:fldChar w:fldCharType="end"/>
        </w:r>
      </w:hyperlink>
    </w:p>
    <w:p w14:paraId="386E908C" w14:textId="79DD85CF" w:rsidR="00565BC6" w:rsidRDefault="00DD0D0B">
      <w:pPr>
        <w:pStyle w:val="TOC1"/>
        <w:rPr>
          <w:rFonts w:asciiTheme="minorHAnsi" w:eastAsiaTheme="minorEastAsia" w:hAnsiTheme="minorHAnsi" w:cstheme="minorBidi"/>
          <w:b w:val="0"/>
          <w:noProof/>
          <w:sz w:val="22"/>
          <w:szCs w:val="22"/>
          <w:lang w:eastAsia="en-AU"/>
        </w:rPr>
      </w:pPr>
      <w:hyperlink w:anchor="_Toc495992891" w:history="1">
        <w:r w:rsidR="00565BC6" w:rsidRPr="007C510C">
          <w:rPr>
            <w:rStyle w:val="Hyperlink"/>
            <w:noProof/>
          </w:rPr>
          <w:t>Summary of legal assistance sector submission</w:t>
        </w:r>
        <w:r w:rsidR="00565BC6">
          <w:rPr>
            <w:noProof/>
            <w:webHidden/>
          </w:rPr>
          <w:tab/>
        </w:r>
        <w:r w:rsidR="00565BC6">
          <w:rPr>
            <w:noProof/>
            <w:webHidden/>
          </w:rPr>
          <w:fldChar w:fldCharType="begin"/>
        </w:r>
        <w:r w:rsidR="00565BC6">
          <w:rPr>
            <w:noProof/>
            <w:webHidden/>
          </w:rPr>
          <w:instrText xml:space="preserve"> PAGEREF _Toc495992891 \h </w:instrText>
        </w:r>
        <w:r w:rsidR="00565BC6">
          <w:rPr>
            <w:noProof/>
            <w:webHidden/>
          </w:rPr>
        </w:r>
        <w:r w:rsidR="00565BC6">
          <w:rPr>
            <w:noProof/>
            <w:webHidden/>
          </w:rPr>
          <w:fldChar w:fldCharType="separate"/>
        </w:r>
        <w:r w:rsidR="00565BC6">
          <w:rPr>
            <w:noProof/>
            <w:webHidden/>
          </w:rPr>
          <w:t>1</w:t>
        </w:r>
        <w:r w:rsidR="00565BC6">
          <w:rPr>
            <w:noProof/>
            <w:webHidden/>
          </w:rPr>
          <w:fldChar w:fldCharType="end"/>
        </w:r>
      </w:hyperlink>
    </w:p>
    <w:p w14:paraId="04AC1172" w14:textId="4F8F18EB" w:rsidR="00565BC6" w:rsidRDefault="00DD0D0B">
      <w:pPr>
        <w:pStyle w:val="TOC2"/>
        <w:rPr>
          <w:rFonts w:asciiTheme="minorHAnsi" w:eastAsiaTheme="minorEastAsia" w:hAnsiTheme="minorHAnsi" w:cstheme="minorBidi"/>
          <w:sz w:val="22"/>
          <w:szCs w:val="22"/>
          <w:lang w:eastAsia="en-AU"/>
        </w:rPr>
      </w:pPr>
      <w:hyperlink w:anchor="_Toc495992892" w:history="1">
        <w:r w:rsidR="00565BC6" w:rsidRPr="007C510C">
          <w:rPr>
            <w:rStyle w:val="Hyperlink"/>
          </w:rPr>
          <w:t>Summary of recommendations</w:t>
        </w:r>
        <w:r w:rsidR="00565BC6">
          <w:rPr>
            <w:webHidden/>
          </w:rPr>
          <w:tab/>
        </w:r>
        <w:r w:rsidR="00565BC6">
          <w:rPr>
            <w:webHidden/>
          </w:rPr>
          <w:fldChar w:fldCharType="begin"/>
        </w:r>
        <w:r w:rsidR="00565BC6">
          <w:rPr>
            <w:webHidden/>
          </w:rPr>
          <w:instrText xml:space="preserve"> PAGEREF _Toc495992892 \h </w:instrText>
        </w:r>
        <w:r w:rsidR="00565BC6">
          <w:rPr>
            <w:webHidden/>
          </w:rPr>
        </w:r>
        <w:r w:rsidR="00565BC6">
          <w:rPr>
            <w:webHidden/>
          </w:rPr>
          <w:fldChar w:fldCharType="separate"/>
        </w:r>
        <w:r w:rsidR="00565BC6">
          <w:rPr>
            <w:webHidden/>
          </w:rPr>
          <w:t>2</w:t>
        </w:r>
        <w:r w:rsidR="00565BC6">
          <w:rPr>
            <w:webHidden/>
          </w:rPr>
          <w:fldChar w:fldCharType="end"/>
        </w:r>
      </w:hyperlink>
    </w:p>
    <w:p w14:paraId="5825F9EF" w14:textId="5DC59BF2" w:rsidR="00565BC6" w:rsidRDefault="00DD0D0B">
      <w:pPr>
        <w:pStyle w:val="TOC1"/>
        <w:rPr>
          <w:rFonts w:asciiTheme="minorHAnsi" w:eastAsiaTheme="minorEastAsia" w:hAnsiTheme="minorHAnsi" w:cstheme="minorBidi"/>
          <w:b w:val="0"/>
          <w:noProof/>
          <w:sz w:val="22"/>
          <w:szCs w:val="22"/>
          <w:lang w:eastAsia="en-AU"/>
        </w:rPr>
      </w:pPr>
      <w:hyperlink w:anchor="_Toc495992893" w:history="1">
        <w:r w:rsidR="00565BC6" w:rsidRPr="007C510C">
          <w:rPr>
            <w:rStyle w:val="Hyperlink"/>
            <w:noProof/>
          </w:rPr>
          <w:t>Child information sharing</w:t>
        </w:r>
        <w:r w:rsidR="00565BC6">
          <w:rPr>
            <w:noProof/>
            <w:webHidden/>
          </w:rPr>
          <w:tab/>
        </w:r>
        <w:r w:rsidR="00565BC6">
          <w:rPr>
            <w:noProof/>
            <w:webHidden/>
          </w:rPr>
          <w:fldChar w:fldCharType="begin"/>
        </w:r>
        <w:r w:rsidR="00565BC6">
          <w:rPr>
            <w:noProof/>
            <w:webHidden/>
          </w:rPr>
          <w:instrText xml:space="preserve"> PAGEREF _Toc495992893 \h </w:instrText>
        </w:r>
        <w:r w:rsidR="00565BC6">
          <w:rPr>
            <w:noProof/>
            <w:webHidden/>
          </w:rPr>
        </w:r>
        <w:r w:rsidR="00565BC6">
          <w:rPr>
            <w:noProof/>
            <w:webHidden/>
          </w:rPr>
          <w:fldChar w:fldCharType="separate"/>
        </w:r>
        <w:r w:rsidR="00565BC6">
          <w:rPr>
            <w:noProof/>
            <w:webHidden/>
          </w:rPr>
          <w:t>3</w:t>
        </w:r>
        <w:r w:rsidR="00565BC6">
          <w:rPr>
            <w:noProof/>
            <w:webHidden/>
          </w:rPr>
          <w:fldChar w:fldCharType="end"/>
        </w:r>
      </w:hyperlink>
    </w:p>
    <w:p w14:paraId="43F23684" w14:textId="4D7F5FE0" w:rsidR="00565BC6" w:rsidRDefault="00DD0D0B">
      <w:pPr>
        <w:pStyle w:val="TOC2"/>
        <w:rPr>
          <w:rFonts w:asciiTheme="minorHAnsi" w:eastAsiaTheme="minorEastAsia" w:hAnsiTheme="minorHAnsi" w:cstheme="minorBidi"/>
          <w:sz w:val="22"/>
          <w:szCs w:val="22"/>
          <w:lang w:eastAsia="en-AU"/>
        </w:rPr>
      </w:pPr>
      <w:hyperlink w:anchor="_Toc495992894" w:history="1">
        <w:r w:rsidR="00565BC6" w:rsidRPr="007C510C">
          <w:rPr>
            <w:rStyle w:val="Hyperlink"/>
          </w:rPr>
          <w:t>Engagement promotes safety</w:t>
        </w:r>
        <w:r w:rsidR="00565BC6">
          <w:rPr>
            <w:webHidden/>
          </w:rPr>
          <w:tab/>
        </w:r>
        <w:r w:rsidR="00565BC6">
          <w:rPr>
            <w:webHidden/>
          </w:rPr>
          <w:fldChar w:fldCharType="begin"/>
        </w:r>
        <w:r w:rsidR="00565BC6">
          <w:rPr>
            <w:webHidden/>
          </w:rPr>
          <w:instrText xml:space="preserve"> PAGEREF _Toc495992894 \h </w:instrText>
        </w:r>
        <w:r w:rsidR="00565BC6">
          <w:rPr>
            <w:webHidden/>
          </w:rPr>
        </w:r>
        <w:r w:rsidR="00565BC6">
          <w:rPr>
            <w:webHidden/>
          </w:rPr>
          <w:fldChar w:fldCharType="separate"/>
        </w:r>
        <w:r w:rsidR="00565BC6">
          <w:rPr>
            <w:webHidden/>
          </w:rPr>
          <w:t>3</w:t>
        </w:r>
        <w:r w:rsidR="00565BC6">
          <w:rPr>
            <w:webHidden/>
          </w:rPr>
          <w:fldChar w:fldCharType="end"/>
        </w:r>
      </w:hyperlink>
    </w:p>
    <w:p w14:paraId="440A1401" w14:textId="64360E65" w:rsidR="00565BC6" w:rsidRDefault="00DD0D0B">
      <w:pPr>
        <w:pStyle w:val="TOC2"/>
        <w:rPr>
          <w:rFonts w:asciiTheme="minorHAnsi" w:eastAsiaTheme="minorEastAsia" w:hAnsiTheme="minorHAnsi" w:cstheme="minorBidi"/>
          <w:sz w:val="22"/>
          <w:szCs w:val="22"/>
          <w:lang w:eastAsia="en-AU"/>
        </w:rPr>
      </w:pPr>
      <w:hyperlink w:anchor="_Toc495992896" w:history="1">
        <w:r w:rsidR="00565BC6" w:rsidRPr="007C510C">
          <w:rPr>
            <w:rStyle w:val="Hyperlink"/>
          </w:rPr>
          <w:t>Consent and agency promote safety</w:t>
        </w:r>
        <w:r w:rsidR="00565BC6">
          <w:rPr>
            <w:webHidden/>
          </w:rPr>
          <w:tab/>
        </w:r>
        <w:r w:rsidR="00565BC6">
          <w:rPr>
            <w:webHidden/>
          </w:rPr>
          <w:fldChar w:fldCharType="begin"/>
        </w:r>
        <w:r w:rsidR="00565BC6">
          <w:rPr>
            <w:webHidden/>
          </w:rPr>
          <w:instrText xml:space="preserve"> PAGEREF _Toc495992896 \h </w:instrText>
        </w:r>
        <w:r w:rsidR="00565BC6">
          <w:rPr>
            <w:webHidden/>
          </w:rPr>
        </w:r>
        <w:r w:rsidR="00565BC6">
          <w:rPr>
            <w:webHidden/>
          </w:rPr>
          <w:fldChar w:fldCharType="separate"/>
        </w:r>
        <w:r w:rsidR="00565BC6">
          <w:rPr>
            <w:webHidden/>
          </w:rPr>
          <w:t>6</w:t>
        </w:r>
        <w:r w:rsidR="00565BC6">
          <w:rPr>
            <w:webHidden/>
          </w:rPr>
          <w:fldChar w:fldCharType="end"/>
        </w:r>
      </w:hyperlink>
    </w:p>
    <w:p w14:paraId="51AE37C3" w14:textId="3AA1C2C5" w:rsidR="00565BC6" w:rsidRDefault="00DD0D0B">
      <w:pPr>
        <w:pStyle w:val="TOC3"/>
        <w:rPr>
          <w:rFonts w:asciiTheme="minorHAnsi" w:eastAsiaTheme="minorEastAsia" w:hAnsiTheme="minorHAnsi" w:cstheme="minorBidi"/>
          <w:sz w:val="22"/>
          <w:szCs w:val="22"/>
          <w:lang w:eastAsia="en-AU"/>
        </w:rPr>
      </w:pPr>
      <w:hyperlink w:anchor="_Toc495992897" w:history="1">
        <w:r w:rsidR="00565BC6" w:rsidRPr="007C510C">
          <w:rPr>
            <w:rStyle w:val="Hyperlink"/>
          </w:rPr>
          <w:t>Consent and agency of children and young people</w:t>
        </w:r>
        <w:r w:rsidR="00565BC6">
          <w:rPr>
            <w:webHidden/>
          </w:rPr>
          <w:tab/>
        </w:r>
        <w:r w:rsidR="00565BC6">
          <w:rPr>
            <w:webHidden/>
          </w:rPr>
          <w:fldChar w:fldCharType="begin"/>
        </w:r>
        <w:r w:rsidR="00565BC6">
          <w:rPr>
            <w:webHidden/>
          </w:rPr>
          <w:instrText xml:space="preserve"> PAGEREF _Toc495992897 \h </w:instrText>
        </w:r>
        <w:r w:rsidR="00565BC6">
          <w:rPr>
            <w:webHidden/>
          </w:rPr>
        </w:r>
        <w:r w:rsidR="00565BC6">
          <w:rPr>
            <w:webHidden/>
          </w:rPr>
          <w:fldChar w:fldCharType="separate"/>
        </w:r>
        <w:r w:rsidR="00565BC6">
          <w:rPr>
            <w:webHidden/>
          </w:rPr>
          <w:t>6</w:t>
        </w:r>
        <w:r w:rsidR="00565BC6">
          <w:rPr>
            <w:webHidden/>
          </w:rPr>
          <w:fldChar w:fldCharType="end"/>
        </w:r>
      </w:hyperlink>
    </w:p>
    <w:p w14:paraId="239E2608" w14:textId="3366ED26" w:rsidR="00565BC6" w:rsidRDefault="00DD0D0B">
      <w:pPr>
        <w:pStyle w:val="TOC3"/>
        <w:rPr>
          <w:rFonts w:asciiTheme="minorHAnsi" w:eastAsiaTheme="minorEastAsia" w:hAnsiTheme="minorHAnsi" w:cstheme="minorBidi"/>
          <w:sz w:val="22"/>
          <w:szCs w:val="22"/>
          <w:lang w:eastAsia="en-AU"/>
        </w:rPr>
      </w:pPr>
      <w:hyperlink w:anchor="_Toc495992898" w:history="1">
        <w:r w:rsidR="00565BC6" w:rsidRPr="007C510C">
          <w:rPr>
            <w:rStyle w:val="Hyperlink"/>
          </w:rPr>
          <w:t>Consent and agency of parents and families</w:t>
        </w:r>
        <w:r w:rsidR="00565BC6">
          <w:rPr>
            <w:webHidden/>
          </w:rPr>
          <w:tab/>
        </w:r>
        <w:r w:rsidR="00565BC6">
          <w:rPr>
            <w:webHidden/>
          </w:rPr>
          <w:fldChar w:fldCharType="begin"/>
        </w:r>
        <w:r w:rsidR="00565BC6">
          <w:rPr>
            <w:webHidden/>
          </w:rPr>
          <w:instrText xml:space="preserve"> PAGEREF _Toc495992898 \h </w:instrText>
        </w:r>
        <w:r w:rsidR="00565BC6">
          <w:rPr>
            <w:webHidden/>
          </w:rPr>
        </w:r>
        <w:r w:rsidR="00565BC6">
          <w:rPr>
            <w:webHidden/>
          </w:rPr>
          <w:fldChar w:fldCharType="separate"/>
        </w:r>
        <w:r w:rsidR="00565BC6">
          <w:rPr>
            <w:webHidden/>
          </w:rPr>
          <w:t>8</w:t>
        </w:r>
        <w:r w:rsidR="00565BC6">
          <w:rPr>
            <w:webHidden/>
          </w:rPr>
          <w:fldChar w:fldCharType="end"/>
        </w:r>
      </w:hyperlink>
    </w:p>
    <w:p w14:paraId="173D2EF6" w14:textId="4ED3F9BC" w:rsidR="00565BC6" w:rsidRDefault="00DD0D0B">
      <w:pPr>
        <w:pStyle w:val="TOC2"/>
        <w:rPr>
          <w:rFonts w:asciiTheme="minorHAnsi" w:eastAsiaTheme="minorEastAsia" w:hAnsiTheme="minorHAnsi" w:cstheme="minorBidi"/>
          <w:sz w:val="22"/>
          <w:szCs w:val="22"/>
          <w:lang w:eastAsia="en-AU"/>
        </w:rPr>
      </w:pPr>
      <w:hyperlink w:anchor="_Toc495992900" w:history="1">
        <w:r w:rsidR="00565BC6" w:rsidRPr="007C510C">
          <w:rPr>
            <w:rStyle w:val="Hyperlink"/>
          </w:rPr>
          <w:t>Alignment of the family violence and child information sharing regimes</w:t>
        </w:r>
        <w:r w:rsidR="00565BC6">
          <w:rPr>
            <w:webHidden/>
          </w:rPr>
          <w:tab/>
        </w:r>
        <w:r w:rsidR="00565BC6">
          <w:rPr>
            <w:webHidden/>
          </w:rPr>
          <w:fldChar w:fldCharType="begin"/>
        </w:r>
        <w:r w:rsidR="00565BC6">
          <w:rPr>
            <w:webHidden/>
          </w:rPr>
          <w:instrText xml:space="preserve"> PAGEREF _Toc495992900 \h </w:instrText>
        </w:r>
        <w:r w:rsidR="00565BC6">
          <w:rPr>
            <w:webHidden/>
          </w:rPr>
        </w:r>
        <w:r w:rsidR="00565BC6">
          <w:rPr>
            <w:webHidden/>
          </w:rPr>
          <w:fldChar w:fldCharType="separate"/>
        </w:r>
        <w:r w:rsidR="00565BC6">
          <w:rPr>
            <w:webHidden/>
          </w:rPr>
          <w:t>10</w:t>
        </w:r>
        <w:r w:rsidR="00565BC6">
          <w:rPr>
            <w:webHidden/>
          </w:rPr>
          <w:fldChar w:fldCharType="end"/>
        </w:r>
      </w:hyperlink>
    </w:p>
    <w:p w14:paraId="12CFE6AE" w14:textId="5D6BDB63" w:rsidR="00565BC6" w:rsidRDefault="00DD0D0B">
      <w:pPr>
        <w:pStyle w:val="TOC1"/>
        <w:rPr>
          <w:rFonts w:asciiTheme="minorHAnsi" w:eastAsiaTheme="minorEastAsia" w:hAnsiTheme="minorHAnsi" w:cstheme="minorBidi"/>
          <w:b w:val="0"/>
          <w:noProof/>
          <w:sz w:val="22"/>
          <w:szCs w:val="22"/>
          <w:lang w:eastAsia="en-AU"/>
        </w:rPr>
      </w:pPr>
      <w:hyperlink w:anchor="_Toc495992902" w:history="1">
        <w:r w:rsidR="00565BC6" w:rsidRPr="007C510C">
          <w:rPr>
            <w:rStyle w:val="Hyperlink"/>
            <w:noProof/>
          </w:rPr>
          <w:t>Child Link</w:t>
        </w:r>
        <w:r w:rsidR="00565BC6">
          <w:rPr>
            <w:noProof/>
            <w:webHidden/>
          </w:rPr>
          <w:tab/>
        </w:r>
        <w:r w:rsidR="00565BC6">
          <w:rPr>
            <w:noProof/>
            <w:webHidden/>
          </w:rPr>
          <w:fldChar w:fldCharType="begin"/>
        </w:r>
        <w:r w:rsidR="00565BC6">
          <w:rPr>
            <w:noProof/>
            <w:webHidden/>
          </w:rPr>
          <w:instrText xml:space="preserve"> PAGEREF _Toc495992902 \h </w:instrText>
        </w:r>
        <w:r w:rsidR="00565BC6">
          <w:rPr>
            <w:noProof/>
            <w:webHidden/>
          </w:rPr>
        </w:r>
        <w:r w:rsidR="00565BC6">
          <w:rPr>
            <w:noProof/>
            <w:webHidden/>
          </w:rPr>
          <w:fldChar w:fldCharType="separate"/>
        </w:r>
        <w:r w:rsidR="00565BC6">
          <w:rPr>
            <w:noProof/>
            <w:webHidden/>
          </w:rPr>
          <w:t>11</w:t>
        </w:r>
        <w:r w:rsidR="00565BC6">
          <w:rPr>
            <w:noProof/>
            <w:webHidden/>
          </w:rPr>
          <w:fldChar w:fldCharType="end"/>
        </w:r>
      </w:hyperlink>
    </w:p>
    <w:p w14:paraId="4CD157AF" w14:textId="1FBE7C61" w:rsidR="00565BC6" w:rsidRDefault="00DD0D0B">
      <w:pPr>
        <w:pStyle w:val="TOC2"/>
        <w:rPr>
          <w:rFonts w:asciiTheme="minorHAnsi" w:eastAsiaTheme="minorEastAsia" w:hAnsiTheme="minorHAnsi" w:cstheme="minorBidi"/>
          <w:sz w:val="22"/>
          <w:szCs w:val="22"/>
          <w:lang w:eastAsia="en-AU"/>
        </w:rPr>
      </w:pPr>
      <w:hyperlink w:anchor="_Toc495992903" w:history="1">
        <w:r w:rsidR="00565BC6" w:rsidRPr="007C510C">
          <w:rPr>
            <w:rStyle w:val="Hyperlink"/>
          </w:rPr>
          <w:t>Child Link’s risk to family violence survivors</w:t>
        </w:r>
        <w:r w:rsidR="00565BC6">
          <w:rPr>
            <w:webHidden/>
          </w:rPr>
          <w:tab/>
        </w:r>
        <w:r w:rsidR="00565BC6">
          <w:rPr>
            <w:webHidden/>
          </w:rPr>
          <w:fldChar w:fldCharType="begin"/>
        </w:r>
        <w:r w:rsidR="00565BC6">
          <w:rPr>
            <w:webHidden/>
          </w:rPr>
          <w:instrText xml:space="preserve"> PAGEREF _Toc495992903 \h </w:instrText>
        </w:r>
        <w:r w:rsidR="00565BC6">
          <w:rPr>
            <w:webHidden/>
          </w:rPr>
        </w:r>
        <w:r w:rsidR="00565BC6">
          <w:rPr>
            <w:webHidden/>
          </w:rPr>
          <w:fldChar w:fldCharType="separate"/>
        </w:r>
        <w:r w:rsidR="00565BC6">
          <w:rPr>
            <w:webHidden/>
          </w:rPr>
          <w:t>11</w:t>
        </w:r>
        <w:r w:rsidR="00565BC6">
          <w:rPr>
            <w:webHidden/>
          </w:rPr>
          <w:fldChar w:fldCharType="end"/>
        </w:r>
      </w:hyperlink>
    </w:p>
    <w:p w14:paraId="161DB070" w14:textId="2863B7C7" w:rsidR="00565BC6" w:rsidRDefault="00DD0D0B">
      <w:pPr>
        <w:pStyle w:val="TOC2"/>
        <w:rPr>
          <w:rFonts w:asciiTheme="minorHAnsi" w:eastAsiaTheme="minorEastAsia" w:hAnsiTheme="minorHAnsi" w:cstheme="minorBidi"/>
          <w:sz w:val="22"/>
          <w:szCs w:val="22"/>
          <w:lang w:eastAsia="en-AU"/>
        </w:rPr>
      </w:pPr>
      <w:hyperlink w:anchor="_Toc495992904" w:history="1">
        <w:r w:rsidR="00565BC6" w:rsidRPr="007C510C">
          <w:rPr>
            <w:rStyle w:val="Hyperlink"/>
          </w:rPr>
          <w:t>The risk of stigmatisation because of data on Child Link</w:t>
        </w:r>
        <w:r w:rsidR="00565BC6">
          <w:rPr>
            <w:webHidden/>
          </w:rPr>
          <w:tab/>
        </w:r>
        <w:r w:rsidR="00565BC6">
          <w:rPr>
            <w:webHidden/>
          </w:rPr>
          <w:fldChar w:fldCharType="begin"/>
        </w:r>
        <w:r w:rsidR="00565BC6">
          <w:rPr>
            <w:webHidden/>
          </w:rPr>
          <w:instrText xml:space="preserve"> PAGEREF _Toc495992904 \h </w:instrText>
        </w:r>
        <w:r w:rsidR="00565BC6">
          <w:rPr>
            <w:webHidden/>
          </w:rPr>
        </w:r>
        <w:r w:rsidR="00565BC6">
          <w:rPr>
            <w:webHidden/>
          </w:rPr>
          <w:fldChar w:fldCharType="separate"/>
        </w:r>
        <w:r w:rsidR="00565BC6">
          <w:rPr>
            <w:webHidden/>
          </w:rPr>
          <w:t>12</w:t>
        </w:r>
        <w:r w:rsidR="00565BC6">
          <w:rPr>
            <w:webHidden/>
          </w:rPr>
          <w:fldChar w:fldCharType="end"/>
        </w:r>
      </w:hyperlink>
    </w:p>
    <w:p w14:paraId="491CB3A4" w14:textId="71FBEF2F" w:rsidR="00687605" w:rsidRPr="00C35E0C" w:rsidRDefault="004E0688" w:rsidP="00521061">
      <w:pPr>
        <w:pStyle w:val="TOC2"/>
        <w:ind w:left="0" w:right="566"/>
        <w:rPr>
          <w:rFonts w:asciiTheme="minorHAnsi" w:eastAsiaTheme="minorEastAsia" w:hAnsiTheme="minorHAnsi" w:cstheme="minorBidi"/>
          <w:sz w:val="22"/>
          <w:szCs w:val="22"/>
          <w:lang w:eastAsia="en-AU"/>
        </w:rPr>
      </w:pPr>
      <w:r w:rsidRPr="000A635C">
        <w:fldChar w:fldCharType="end"/>
      </w:r>
    </w:p>
    <w:p w14:paraId="6D24868C" w14:textId="77777777" w:rsidR="00F92EA5" w:rsidRPr="000A635C" w:rsidRDefault="00F92EA5" w:rsidP="00AA2CCE"/>
    <w:p w14:paraId="2D4A9F3F" w14:textId="77777777" w:rsidR="002B4970" w:rsidRPr="000A635C" w:rsidRDefault="002B4970" w:rsidP="00AA2CCE">
      <w:pPr>
        <w:rPr>
          <w:lang w:eastAsia="en-AU"/>
        </w:rPr>
        <w:sectPr w:rsidR="002B4970" w:rsidRPr="000A635C" w:rsidSect="00DA29C4">
          <w:headerReference w:type="default" r:id="rId17"/>
          <w:footerReference w:type="default" r:id="rId18"/>
          <w:pgSz w:w="11906" w:h="16838"/>
          <w:pgMar w:top="1418" w:right="992" w:bottom="1134" w:left="1134" w:header="851" w:footer="284" w:gutter="0"/>
          <w:paperSrc w:first="7" w:other="7"/>
          <w:pgNumType w:fmt="lowerRoman" w:start="1"/>
          <w:cols w:space="720"/>
          <w:docGrid w:linePitch="299"/>
        </w:sectPr>
      </w:pPr>
    </w:p>
    <w:p w14:paraId="22CC0D6E" w14:textId="77777777" w:rsidR="007550FB" w:rsidRPr="000A635C" w:rsidRDefault="00E30FD7" w:rsidP="00161EEF">
      <w:pPr>
        <w:pStyle w:val="Heading1"/>
      </w:pPr>
      <w:bookmarkStart w:id="1" w:name="_Toc495992890"/>
      <w:r w:rsidRPr="000A635C">
        <w:lastRenderedPageBreak/>
        <w:t>Victoria</w:t>
      </w:r>
      <w:r w:rsidR="00C82872" w:rsidRPr="000A635C">
        <w:t>’s legal assistance sector</w:t>
      </w:r>
      <w:bookmarkEnd w:id="1"/>
    </w:p>
    <w:p w14:paraId="092BEAC3" w14:textId="75ADA77E" w:rsidR="00515466" w:rsidRPr="000A635C" w:rsidRDefault="00515466" w:rsidP="00515466">
      <w:pPr>
        <w:pStyle w:val="VLALetterText"/>
      </w:pPr>
      <w:bookmarkStart w:id="2" w:name="Text11"/>
      <w:r w:rsidRPr="000A635C">
        <w:t xml:space="preserve">Together, Victoria Legal Aid </w:t>
      </w:r>
      <w:r w:rsidR="004E5229" w:rsidRPr="000A635C">
        <w:t xml:space="preserve">(VLA) </w:t>
      </w:r>
      <w:r w:rsidRPr="000A635C">
        <w:t xml:space="preserve">and members of the Federation of Community Legal Centres, including specialised Community Legal Centre Women’s Legal Service Victoria, alongside private practitioners providing legal aid services, provide legal assistance services to Victoria’s most disadvantaged families. We provide the Victorian community with </w:t>
      </w:r>
      <w:r w:rsidR="00962778">
        <w:t xml:space="preserve">on-going representation, </w:t>
      </w:r>
      <w:r w:rsidRPr="000A635C">
        <w:t xml:space="preserve">legal advice, court-based legal services, legal education, and legal information related to child protection, family violence, </w:t>
      </w:r>
      <w:r w:rsidR="00B21736">
        <w:t xml:space="preserve">family law, </w:t>
      </w:r>
      <w:r w:rsidRPr="000A635C">
        <w:t xml:space="preserve">criminal law and civil law. </w:t>
      </w:r>
    </w:p>
    <w:p w14:paraId="74D9FE59" w14:textId="77777777" w:rsidR="00515466" w:rsidRPr="000A635C" w:rsidRDefault="00515466" w:rsidP="00515466">
      <w:r w:rsidRPr="000A635C">
        <w:t xml:space="preserve">We assist clients with parenting disputes, family violence and child protection matters, as well as a range of other legal issues. Our most vulnerable clients </w:t>
      </w:r>
      <w:r w:rsidR="00542641" w:rsidRPr="000A635C">
        <w:t xml:space="preserve">present with </w:t>
      </w:r>
      <w:r w:rsidR="00C82872" w:rsidRPr="000A635C">
        <w:t xml:space="preserve">complex </w:t>
      </w:r>
      <w:r w:rsidRPr="000A635C">
        <w:t xml:space="preserve">problems that cross over the family law, child protection and family violence jurisdictions. As described in </w:t>
      </w:r>
      <w:r w:rsidR="004654EA" w:rsidRPr="000A635C">
        <w:t>VLA’s</w:t>
      </w:r>
      <w:r w:rsidRPr="000A635C">
        <w:t xml:space="preserve"> 2015 submissions to the Family Law Council’s terms of reference,</w:t>
      </w:r>
      <w:r w:rsidRPr="000A635C">
        <w:rPr>
          <w:rStyle w:val="FootnoteReference"/>
        </w:rPr>
        <w:footnoteReference w:id="1"/>
      </w:r>
      <w:r w:rsidRPr="000A635C">
        <w:t xml:space="preserve"> information sharing is particularly important for these clients.</w:t>
      </w:r>
    </w:p>
    <w:p w14:paraId="69FF8F6B" w14:textId="77777777" w:rsidR="00476089" w:rsidRPr="000A635C" w:rsidRDefault="00476089" w:rsidP="00476089">
      <w:pPr>
        <w:pStyle w:val="Heading1"/>
      </w:pPr>
      <w:bookmarkStart w:id="3" w:name="_Toc495992891"/>
      <w:r w:rsidRPr="000A635C">
        <w:t>Summary</w:t>
      </w:r>
      <w:r w:rsidR="00D37DFC" w:rsidRPr="000A635C">
        <w:t xml:space="preserve"> of </w:t>
      </w:r>
      <w:r w:rsidR="007311FF" w:rsidRPr="000A635C">
        <w:t xml:space="preserve">legal assistance sector </w:t>
      </w:r>
      <w:r w:rsidR="00D37DFC" w:rsidRPr="000A635C">
        <w:t>submission</w:t>
      </w:r>
      <w:bookmarkEnd w:id="3"/>
    </w:p>
    <w:bookmarkEnd w:id="2"/>
    <w:p w14:paraId="519C24AB" w14:textId="3EEBF863" w:rsidR="00F00B34" w:rsidRDefault="00F00B34" w:rsidP="00F62045">
      <w:r w:rsidRPr="000A635C">
        <w:t xml:space="preserve">We thank the Departments (of Health and Human Services, and Education and Training) for the opportunity to participate in this ongoing consultation. </w:t>
      </w:r>
    </w:p>
    <w:p w14:paraId="0C2DFC14" w14:textId="1517EAEC" w:rsidR="00E57A7A" w:rsidRDefault="007311FF" w:rsidP="00F62045">
      <w:r w:rsidRPr="000A635C">
        <w:t xml:space="preserve">We have also made a joint submission to this consultation with Domestic Violence Victoria, No To Violence/Men’s Referral Service, Safe Steps Family Violence Response Centre, Domestic Violence Resource Centre Victoria and Berry Street (the “family violence sector joint submission”). </w:t>
      </w:r>
    </w:p>
    <w:p w14:paraId="5B2C3693" w14:textId="72EDF850" w:rsidR="007311FF" w:rsidRDefault="007311FF" w:rsidP="00F62045">
      <w:r w:rsidRPr="000A635C">
        <w:t xml:space="preserve">This submission </w:t>
      </w:r>
      <w:r>
        <w:t>supplements</w:t>
      </w:r>
      <w:r w:rsidRPr="000A635C">
        <w:t xml:space="preserve"> th</w:t>
      </w:r>
      <w:r w:rsidR="00A15793">
        <w:t>e</w:t>
      </w:r>
      <w:r w:rsidRPr="000A635C">
        <w:t xml:space="preserve"> family violence sector joint submission and addresses the </w:t>
      </w:r>
      <w:r w:rsidR="00B21736">
        <w:t xml:space="preserve">proposed </w:t>
      </w:r>
      <w:r w:rsidRPr="000A635C">
        <w:t>legislation in the context of our experience in other legal practice areas</w:t>
      </w:r>
      <w:r w:rsidR="009110F3">
        <w:t>, including child protection and youth crime</w:t>
      </w:r>
      <w:r w:rsidRPr="000A635C">
        <w:t>.</w:t>
      </w:r>
    </w:p>
    <w:p w14:paraId="27AAFFF9" w14:textId="557E0755" w:rsidR="006813DA" w:rsidRPr="000A635C" w:rsidRDefault="006813DA" w:rsidP="00F62045">
      <w:r w:rsidRPr="000A635C">
        <w:t xml:space="preserve">We </w:t>
      </w:r>
      <w:r w:rsidR="00F62045" w:rsidRPr="000A635C">
        <w:t xml:space="preserve">support enhanced information sharing that </w:t>
      </w:r>
      <w:r w:rsidR="008D30E1">
        <w:t>develops</w:t>
      </w:r>
      <w:r w:rsidR="00F62045" w:rsidRPr="000A635C">
        <w:t xml:space="preserve"> better co-ordinated response</w:t>
      </w:r>
      <w:r w:rsidR="008D30E1">
        <w:t>s</w:t>
      </w:r>
      <w:r w:rsidR="00F62045" w:rsidRPr="000A635C">
        <w:t xml:space="preserve"> for vulnerable children and families.</w:t>
      </w:r>
      <w:r w:rsidR="00CE14A7" w:rsidRPr="000A635C">
        <w:t xml:space="preserve"> </w:t>
      </w:r>
      <w:r w:rsidR="00D37DFC" w:rsidRPr="000A635C">
        <w:t xml:space="preserve">We </w:t>
      </w:r>
      <w:r w:rsidR="00D03895">
        <w:t xml:space="preserve">support </w:t>
      </w:r>
      <w:r w:rsidR="00D37DFC" w:rsidRPr="000A635C">
        <w:t>cultural change to</w:t>
      </w:r>
      <w:r w:rsidR="00197426">
        <w:t>wards</w:t>
      </w:r>
      <w:r w:rsidR="00D37DFC" w:rsidRPr="000A635C">
        <w:t xml:space="preserve"> </w:t>
      </w:r>
      <w:r w:rsidR="00CE14A7" w:rsidRPr="000A635C">
        <w:t xml:space="preserve">a culture of safety-focussed </w:t>
      </w:r>
      <w:r w:rsidR="00197426">
        <w:t xml:space="preserve">information </w:t>
      </w:r>
      <w:r w:rsidR="00CE14A7" w:rsidRPr="000A635C">
        <w:t xml:space="preserve">sharing that promotes engagement with services. </w:t>
      </w:r>
    </w:p>
    <w:p w14:paraId="10F64699" w14:textId="173AB4BA" w:rsidR="00F62045" w:rsidRPr="000A635C" w:rsidRDefault="00B81AB3" w:rsidP="00F62045">
      <w:r w:rsidRPr="000A635C">
        <w:t xml:space="preserve">As </w:t>
      </w:r>
      <w:r w:rsidR="00A15793">
        <w:t xml:space="preserve">set out in the family violence sector </w:t>
      </w:r>
      <w:r w:rsidR="00470E56">
        <w:t>jo</w:t>
      </w:r>
      <w:r w:rsidR="00A15793">
        <w:t>int submission</w:t>
      </w:r>
      <w:r w:rsidRPr="000A635C">
        <w:t xml:space="preserve">, we support </w:t>
      </w:r>
      <w:r w:rsidR="00197426">
        <w:t>a refined</w:t>
      </w:r>
      <w:r w:rsidRPr="000A635C">
        <w:t xml:space="preserve"> threshold for </w:t>
      </w:r>
      <w:r w:rsidR="00197426">
        <w:t xml:space="preserve">information </w:t>
      </w:r>
      <w:r w:rsidRPr="000A635C">
        <w:t xml:space="preserve">sharing. </w:t>
      </w:r>
      <w:r w:rsidR="004654EA" w:rsidRPr="000A635C">
        <w:t>In our experience, consent</w:t>
      </w:r>
      <w:r w:rsidR="00197426">
        <w:t>-based sharing promotes safety through engagement</w:t>
      </w:r>
      <w:r w:rsidR="00CE14A7" w:rsidRPr="000A635C">
        <w:t>.</w:t>
      </w:r>
      <w:r w:rsidR="000B12BF">
        <w:t xml:space="preserve"> </w:t>
      </w:r>
      <w:r w:rsidR="00542641" w:rsidRPr="000A635C">
        <w:t>T</w:t>
      </w:r>
      <w:r w:rsidR="00CE14A7" w:rsidRPr="000A635C">
        <w:t xml:space="preserve">he information sharing threshold will be highly relevant when families first engage with a service and have their rights explained to them. Room for professional judgement when </w:t>
      </w:r>
      <w:r w:rsidR="00A15793">
        <w:t xml:space="preserve">responding to </w:t>
      </w:r>
      <w:r w:rsidR="00CE14A7" w:rsidRPr="000A635C">
        <w:t>information</w:t>
      </w:r>
      <w:r w:rsidR="00A15793">
        <w:t xml:space="preserve"> requests</w:t>
      </w:r>
      <w:r w:rsidR="00CE14A7" w:rsidRPr="000A635C">
        <w:t xml:space="preserve"> will allow professionals to give their clients</w:t>
      </w:r>
      <w:r w:rsidR="00470E56">
        <w:t xml:space="preserve"> </w:t>
      </w:r>
      <w:r w:rsidR="00A15793">
        <w:t xml:space="preserve">greater </w:t>
      </w:r>
      <w:r w:rsidR="00CE14A7" w:rsidRPr="000A635C">
        <w:t xml:space="preserve">reassurance when they first engage with </w:t>
      </w:r>
      <w:r w:rsidR="00A15793">
        <w:t>a</w:t>
      </w:r>
      <w:r w:rsidR="00A15793" w:rsidRPr="000A635C">
        <w:t xml:space="preserve"> </w:t>
      </w:r>
      <w:r w:rsidR="00CE14A7" w:rsidRPr="000A635C">
        <w:t>service.</w:t>
      </w:r>
    </w:p>
    <w:p w14:paraId="52FF161A" w14:textId="77777777" w:rsidR="00F62045" w:rsidRPr="000A635C" w:rsidRDefault="00F62045" w:rsidP="00F62045">
      <w:r w:rsidRPr="000A635C">
        <w:t>We understand that VLA and other lawyers</w:t>
      </w:r>
      <w:r w:rsidR="00542641" w:rsidRPr="000A635C">
        <w:t xml:space="preserve"> </w:t>
      </w:r>
      <w:r w:rsidR="00A15793">
        <w:t xml:space="preserve">will be excluded </w:t>
      </w:r>
      <w:r w:rsidR="00542641" w:rsidRPr="000A635C">
        <w:t>from the information sharing regime</w:t>
      </w:r>
      <w:r w:rsidR="00A15793">
        <w:t>. W</w:t>
      </w:r>
      <w:r w:rsidRPr="000A635C">
        <w:t>e support</w:t>
      </w:r>
      <w:r w:rsidR="00A15793">
        <w:t xml:space="preserve"> this</w:t>
      </w:r>
      <w:r w:rsidRPr="000A635C">
        <w:t xml:space="preserve">, as detailed in the family violence sector joint submission. </w:t>
      </w:r>
      <w:r w:rsidR="00CE42B1">
        <w:t xml:space="preserve">We ask for further timely consultation in the event that consideration is given to including lawyers in the regime. </w:t>
      </w:r>
    </w:p>
    <w:p w14:paraId="1EFFB7F7" w14:textId="480E5456" w:rsidR="00F31D33" w:rsidRPr="000A635C" w:rsidRDefault="00D15422" w:rsidP="00D15422">
      <w:r w:rsidRPr="000A635C">
        <w:t xml:space="preserve">We would </w:t>
      </w:r>
      <w:r w:rsidR="00067B0C" w:rsidRPr="000A635C">
        <w:t>welcome further consultation during</w:t>
      </w:r>
      <w:r w:rsidRPr="000A635C">
        <w:t xml:space="preserve"> the development of any guidelines, and </w:t>
      </w:r>
      <w:r w:rsidR="00C97BB1" w:rsidRPr="000A635C">
        <w:t>would</w:t>
      </w:r>
      <w:r w:rsidRPr="000A635C">
        <w:t xml:space="preserve"> be particularly keen to see the safeguards in the family violence sharing guidelines carry through.</w:t>
      </w:r>
      <w:r w:rsidR="004871AD">
        <w:t xml:space="preserve"> (We are currently making submissions on those draft guidelines.)</w:t>
      </w:r>
    </w:p>
    <w:p w14:paraId="18396B6F" w14:textId="42CE91BE" w:rsidR="00E57A7A" w:rsidRPr="000A635C" w:rsidRDefault="009110F3" w:rsidP="00E57A7A">
      <w:r>
        <w:t>W</w:t>
      </w:r>
      <w:r w:rsidR="00E57A7A" w:rsidRPr="000A635C">
        <w:t>e</w:t>
      </w:r>
      <w:r>
        <w:t xml:space="preserve"> also</w:t>
      </w:r>
      <w:r w:rsidR="00E57A7A" w:rsidRPr="000A635C">
        <w:t xml:space="preserve"> </w:t>
      </w:r>
      <w:r w:rsidR="00D6075A">
        <w:t>urge</w:t>
      </w:r>
      <w:r w:rsidR="00E57A7A">
        <w:t xml:space="preserve"> </w:t>
      </w:r>
      <w:r w:rsidR="00E57A7A" w:rsidRPr="000A635C">
        <w:t xml:space="preserve">further consultation </w:t>
      </w:r>
      <w:r w:rsidR="00D6075A">
        <w:t xml:space="preserve">and research </w:t>
      </w:r>
      <w:r w:rsidR="00E57A7A">
        <w:t xml:space="preserve">before any implementation of </w:t>
      </w:r>
      <w:r w:rsidR="00E57A7A" w:rsidRPr="000A635C">
        <w:t>Child Link.</w:t>
      </w:r>
      <w:r w:rsidR="00E57A7A">
        <w:t xml:space="preserve"> </w:t>
      </w:r>
      <w:r w:rsidR="00D6075A" w:rsidRPr="000A635C">
        <w:t>We welcome the recognition that a</w:t>
      </w:r>
      <w:r w:rsidR="00D6075A">
        <w:t>ny</w:t>
      </w:r>
      <w:r w:rsidR="00D6075A" w:rsidRPr="000A635C">
        <w:t xml:space="preserve"> information sharing portal </w:t>
      </w:r>
      <w:r w:rsidR="00D6075A">
        <w:t xml:space="preserve">of this proposed scope </w:t>
      </w:r>
      <w:r w:rsidR="00D6075A" w:rsidRPr="000A635C">
        <w:t xml:space="preserve">would require </w:t>
      </w:r>
      <w:r w:rsidR="00D6075A" w:rsidRPr="000A635C">
        <w:lastRenderedPageBreak/>
        <w:t xml:space="preserve">thorough safeguards to </w:t>
      </w:r>
      <w:r w:rsidR="00D6075A">
        <w:t>respond to the</w:t>
      </w:r>
      <w:r w:rsidR="00D6075A" w:rsidRPr="000A635C">
        <w:t xml:space="preserve"> new opportunities created for perpetrators of family violence and child sexual abuse to locate victims. </w:t>
      </w:r>
      <w:r w:rsidR="00E57A7A">
        <w:t xml:space="preserve">We recommend that </w:t>
      </w:r>
      <w:r w:rsidR="00EB3DF4">
        <w:t>any implementation would need to involve safeguards including:</w:t>
      </w:r>
    </w:p>
    <w:p w14:paraId="6DDB3758" w14:textId="2A2DB8C8" w:rsidR="00267EE8" w:rsidRPr="000A635C" w:rsidRDefault="00D6075A" w:rsidP="00267EE8">
      <w:pPr>
        <w:pStyle w:val="ListParagraph"/>
        <w:numPr>
          <w:ilvl w:val="0"/>
          <w:numId w:val="30"/>
        </w:numPr>
        <w:rPr>
          <w:lang w:eastAsia="en-AU"/>
        </w:rPr>
      </w:pPr>
      <w:r>
        <w:rPr>
          <w:lang w:eastAsia="en-AU"/>
        </w:rPr>
        <w:t>Tightly c</w:t>
      </w:r>
      <w:r w:rsidR="00267EE8" w:rsidRPr="000A635C">
        <w:rPr>
          <w:lang w:eastAsia="en-AU"/>
        </w:rPr>
        <w:t>ontrolled access to Child Link, and training for people with access to Child Link</w:t>
      </w:r>
    </w:p>
    <w:p w14:paraId="78396B1C" w14:textId="791C5863" w:rsidR="00267EE8" w:rsidRPr="000A635C" w:rsidRDefault="00267EE8" w:rsidP="00D6075A">
      <w:pPr>
        <w:pStyle w:val="ListParagraph"/>
        <w:numPr>
          <w:ilvl w:val="0"/>
          <w:numId w:val="30"/>
        </w:numPr>
        <w:rPr>
          <w:lang w:eastAsia="en-AU"/>
        </w:rPr>
      </w:pPr>
      <w:r w:rsidRPr="000A635C">
        <w:rPr>
          <w:lang w:eastAsia="en-AU"/>
        </w:rPr>
        <w:t>An easy process to block a record</w:t>
      </w:r>
      <w:r w:rsidR="00D6075A">
        <w:rPr>
          <w:lang w:eastAsia="en-AU"/>
        </w:rPr>
        <w:t xml:space="preserve">, including before any implementation </w:t>
      </w:r>
      <w:r w:rsidRPr="000A635C">
        <w:rPr>
          <w:lang w:eastAsia="en-AU"/>
        </w:rPr>
        <w:t>of Child Link</w:t>
      </w:r>
    </w:p>
    <w:p w14:paraId="4DCF127F" w14:textId="4F77C3C0" w:rsidR="00267EE8" w:rsidRPr="000A635C" w:rsidRDefault="00267EE8" w:rsidP="00267EE8">
      <w:pPr>
        <w:pStyle w:val="ListParagraph"/>
        <w:numPr>
          <w:ilvl w:val="0"/>
          <w:numId w:val="30"/>
        </w:numPr>
        <w:rPr>
          <w:lang w:eastAsia="en-AU"/>
        </w:rPr>
      </w:pPr>
      <w:r w:rsidRPr="000A635C">
        <w:rPr>
          <w:lang w:eastAsia="en-AU"/>
        </w:rPr>
        <w:t xml:space="preserve">Ensuring requests for access </w:t>
      </w:r>
      <w:r w:rsidR="00D6075A">
        <w:rPr>
          <w:lang w:eastAsia="en-AU"/>
        </w:rPr>
        <w:t>would be</w:t>
      </w:r>
      <w:r w:rsidR="00D6075A" w:rsidRPr="000A635C">
        <w:rPr>
          <w:lang w:eastAsia="en-AU"/>
        </w:rPr>
        <w:t xml:space="preserve"> </w:t>
      </w:r>
      <w:r w:rsidRPr="000A635C">
        <w:rPr>
          <w:lang w:eastAsia="en-AU"/>
        </w:rPr>
        <w:t>responded to safely</w:t>
      </w:r>
    </w:p>
    <w:p w14:paraId="1C057FC2" w14:textId="5A108159" w:rsidR="00267EE8" w:rsidRPr="000A635C" w:rsidRDefault="00267EE8" w:rsidP="00267EE8">
      <w:pPr>
        <w:pStyle w:val="ListParagraph"/>
        <w:numPr>
          <w:ilvl w:val="0"/>
          <w:numId w:val="30"/>
        </w:numPr>
        <w:rPr>
          <w:lang w:eastAsia="en-AU"/>
        </w:rPr>
      </w:pPr>
      <w:r w:rsidRPr="000A635C">
        <w:rPr>
          <w:lang w:eastAsia="en-AU"/>
        </w:rPr>
        <w:t>Not allowing access before enrolment</w:t>
      </w:r>
      <w:r w:rsidR="009110F3">
        <w:rPr>
          <w:lang w:eastAsia="en-AU"/>
        </w:rPr>
        <w:t xml:space="preserve"> in services</w:t>
      </w:r>
    </w:p>
    <w:p w14:paraId="1A03055A" w14:textId="56D48D07" w:rsidR="00267EE8" w:rsidRPr="000A635C" w:rsidRDefault="00267EE8" w:rsidP="00267EE8">
      <w:pPr>
        <w:pStyle w:val="ListParagraph"/>
        <w:numPr>
          <w:ilvl w:val="0"/>
          <w:numId w:val="30"/>
        </w:numPr>
        <w:rPr>
          <w:lang w:eastAsia="en-AU"/>
        </w:rPr>
      </w:pPr>
      <w:r w:rsidRPr="000A635C">
        <w:rPr>
          <w:lang w:eastAsia="en-AU"/>
        </w:rPr>
        <w:t>Aboriginal and Torres Strait Islander</w:t>
      </w:r>
      <w:r w:rsidR="009110F3">
        <w:rPr>
          <w:lang w:eastAsia="en-AU"/>
        </w:rPr>
        <w:t xml:space="preserve"> group</w:t>
      </w:r>
      <w:r w:rsidRPr="000A635C">
        <w:rPr>
          <w:lang w:eastAsia="en-AU"/>
        </w:rPr>
        <w:t>s</w:t>
      </w:r>
      <w:r w:rsidR="009110F3">
        <w:rPr>
          <w:lang w:eastAsia="en-AU"/>
        </w:rPr>
        <w:t xml:space="preserve"> to determine treatment of</w:t>
      </w:r>
      <w:r w:rsidRPr="000A635C">
        <w:rPr>
          <w:lang w:eastAsia="en-AU"/>
        </w:rPr>
        <w:t xml:space="preserve"> </w:t>
      </w:r>
      <w:r w:rsidR="009110F3">
        <w:rPr>
          <w:lang w:eastAsia="en-AU"/>
        </w:rPr>
        <w:t>their own</w:t>
      </w:r>
      <w:r w:rsidRPr="000A635C">
        <w:rPr>
          <w:lang w:eastAsia="en-AU"/>
        </w:rPr>
        <w:t xml:space="preserve"> identification data</w:t>
      </w:r>
    </w:p>
    <w:p w14:paraId="00F1194D" w14:textId="70CC4CC5" w:rsidR="00F55181" w:rsidRPr="000A635C" w:rsidRDefault="00267EE8" w:rsidP="00267EE8">
      <w:pPr>
        <w:pStyle w:val="ListParagraph"/>
        <w:numPr>
          <w:ilvl w:val="0"/>
          <w:numId w:val="30"/>
        </w:numPr>
        <w:rPr>
          <w:lang w:eastAsia="en-AU"/>
        </w:rPr>
      </w:pPr>
      <w:r w:rsidRPr="000A635C">
        <w:rPr>
          <w:lang w:eastAsia="en-AU"/>
        </w:rPr>
        <w:t>Excluding potentially stigmatising information, including Youth Justice information</w:t>
      </w:r>
      <w:r w:rsidR="009110F3">
        <w:rPr>
          <w:lang w:eastAsia="en-AU"/>
        </w:rPr>
        <w:t>.</w:t>
      </w:r>
    </w:p>
    <w:p w14:paraId="24EC13C2" w14:textId="6CBE73FA" w:rsidR="00E316E4" w:rsidRDefault="00E57A7A" w:rsidP="00197426">
      <w:pPr>
        <w:spacing w:before="240" w:after="0" w:line="240" w:lineRule="auto"/>
        <w:rPr>
          <w:lang w:eastAsia="en-AU"/>
        </w:rPr>
      </w:pPr>
      <w:r w:rsidRPr="00E57A7A">
        <w:rPr>
          <w:lang w:eastAsia="en-AU"/>
        </w:rPr>
        <w:t xml:space="preserve">All case examples in our submission are real cases, with details changed to protect the clients’ identity. </w:t>
      </w:r>
    </w:p>
    <w:p w14:paraId="42A0A130" w14:textId="10E8D8F4" w:rsidR="00E316E4" w:rsidRDefault="00E316E4" w:rsidP="00197426">
      <w:pPr>
        <w:pStyle w:val="Heading2"/>
      </w:pPr>
      <w:bookmarkStart w:id="4" w:name="_Toc495992892"/>
      <w:r>
        <w:t>Summary of recommendations</w:t>
      </w:r>
      <w:bookmarkEnd w:id="4"/>
    </w:p>
    <w:p w14:paraId="41F43FCE" w14:textId="3D9A50B3" w:rsidR="007E117E" w:rsidRDefault="00D03895" w:rsidP="00E316E4">
      <w:pPr>
        <w:pStyle w:val="ListParagraph"/>
        <w:numPr>
          <w:ilvl w:val="0"/>
          <w:numId w:val="40"/>
        </w:numPr>
        <w:ind w:left="426" w:hanging="426"/>
      </w:pPr>
      <w:r>
        <w:rPr>
          <w:lang w:eastAsia="en-AU"/>
        </w:rPr>
        <w:t>R</w:t>
      </w:r>
      <w:r w:rsidRPr="009D76F3">
        <w:rPr>
          <w:lang w:eastAsia="en-AU"/>
        </w:rPr>
        <w:t>efine</w:t>
      </w:r>
      <w:r>
        <w:rPr>
          <w:lang w:eastAsia="en-AU"/>
        </w:rPr>
        <w:t xml:space="preserve"> the</w:t>
      </w:r>
      <w:r w:rsidRPr="009D76F3">
        <w:rPr>
          <w:lang w:eastAsia="en-AU"/>
        </w:rPr>
        <w:t xml:space="preserve"> purpose </w:t>
      </w:r>
      <w:r>
        <w:rPr>
          <w:lang w:eastAsia="en-AU"/>
        </w:rPr>
        <w:t xml:space="preserve">for information </w:t>
      </w:r>
      <w:r w:rsidRPr="009D76F3">
        <w:rPr>
          <w:lang w:eastAsia="en-AU"/>
        </w:rPr>
        <w:t>sharing</w:t>
      </w:r>
      <w:r>
        <w:rPr>
          <w:lang w:eastAsia="en-AU"/>
        </w:rPr>
        <w:t xml:space="preserve"> within a risk management and rights-based framework with clear definitions of children’s rights to safety, and directions for organisations and practitioners to act in response to risk</w:t>
      </w:r>
      <w:r w:rsidR="00197426">
        <w:rPr>
          <w:lang w:eastAsia="en-AU"/>
        </w:rPr>
        <w:t>.</w:t>
      </w:r>
    </w:p>
    <w:p w14:paraId="2C8F85A7" w14:textId="467607BA" w:rsidR="00F800C0" w:rsidRDefault="00E316E4" w:rsidP="00E00EDD">
      <w:pPr>
        <w:pStyle w:val="ListParagraph"/>
        <w:numPr>
          <w:ilvl w:val="0"/>
          <w:numId w:val="40"/>
        </w:numPr>
        <w:ind w:left="426" w:hanging="426"/>
      </w:pPr>
      <w:r>
        <w:t>Legislate for a professional consideration of informed consent, including for children, as part of the threshold for sharing information</w:t>
      </w:r>
      <w:r w:rsidR="00EA3D53">
        <w:t>,</w:t>
      </w:r>
      <w:r>
        <w:t xml:space="preserve"> and for an obligation to record what consideration was given to consent.</w:t>
      </w:r>
    </w:p>
    <w:p w14:paraId="37F40C0D" w14:textId="77777777" w:rsidR="006D00F8" w:rsidRDefault="00F92A77" w:rsidP="00E00EDD">
      <w:pPr>
        <w:pStyle w:val="ListParagraph"/>
        <w:numPr>
          <w:ilvl w:val="0"/>
          <w:numId w:val="40"/>
        </w:numPr>
        <w:ind w:left="426" w:hanging="426"/>
      </w:pPr>
      <w:r w:rsidRPr="00F92A77">
        <w:t>Align the generalist child information sharing regime with the specialist family violence sharing regime</w:t>
      </w:r>
      <w:r>
        <w:t>.</w:t>
      </w:r>
    </w:p>
    <w:p w14:paraId="71512536" w14:textId="0C2D9482" w:rsidR="00625966" w:rsidRPr="000A635C" w:rsidRDefault="006D00F8" w:rsidP="0026074B">
      <w:pPr>
        <w:pStyle w:val="ListParagraph"/>
        <w:numPr>
          <w:ilvl w:val="0"/>
          <w:numId w:val="40"/>
        </w:numPr>
        <w:ind w:left="426" w:hanging="426"/>
        <w:rPr>
          <w:lang w:eastAsia="en-AU"/>
        </w:rPr>
      </w:pPr>
      <w:r w:rsidRPr="006D00F8">
        <w:t>Undertake further research and consultation</w:t>
      </w:r>
      <w:r>
        <w:t xml:space="preserve"> and</w:t>
      </w:r>
      <w:r w:rsidRPr="006D00F8">
        <w:t xml:space="preserve"> ensur</w:t>
      </w:r>
      <w:r>
        <w:t>e</w:t>
      </w:r>
      <w:r w:rsidRPr="006D00F8">
        <w:t xml:space="preserve"> necessary safeguards are in place before any implementation of Child Link.</w:t>
      </w:r>
      <w:r w:rsidR="00625966" w:rsidRPr="000A635C">
        <w:rPr>
          <w:lang w:eastAsia="en-AU"/>
        </w:rPr>
        <w:br w:type="page"/>
      </w:r>
    </w:p>
    <w:p w14:paraId="510D8E37" w14:textId="572DBCFC" w:rsidR="000D05E3" w:rsidRPr="000A635C" w:rsidRDefault="000C5D83" w:rsidP="00396477">
      <w:pPr>
        <w:pStyle w:val="Heading1"/>
      </w:pPr>
      <w:bookmarkStart w:id="5" w:name="_Toc495992893"/>
      <w:r w:rsidRPr="000A635C">
        <w:lastRenderedPageBreak/>
        <w:t>Child information sharing</w:t>
      </w:r>
      <w:bookmarkEnd w:id="5"/>
      <w:r w:rsidRPr="000A635C">
        <w:t xml:space="preserve"> </w:t>
      </w:r>
    </w:p>
    <w:p w14:paraId="675E8CDE" w14:textId="3AF77E62" w:rsidR="007B71D2" w:rsidRDefault="0053313F" w:rsidP="00BD5BA2">
      <w:pPr>
        <w:rPr>
          <w:lang w:eastAsia="en-AU"/>
        </w:rPr>
      </w:pPr>
      <w:r w:rsidRPr="000A635C">
        <w:rPr>
          <w:lang w:eastAsia="en-AU"/>
        </w:rPr>
        <w:t xml:space="preserve">We appreciate </w:t>
      </w:r>
      <w:r w:rsidR="007B71D2">
        <w:rPr>
          <w:lang w:eastAsia="en-AU"/>
        </w:rPr>
        <w:t xml:space="preserve">and support </w:t>
      </w:r>
      <w:r w:rsidRPr="000A635C">
        <w:rPr>
          <w:lang w:eastAsia="en-AU"/>
        </w:rPr>
        <w:t>the proposed legislation’s goal of changing the culture of information sharing in Victoria</w:t>
      </w:r>
      <w:r w:rsidR="00A640E2" w:rsidRPr="000A635C">
        <w:rPr>
          <w:lang w:eastAsia="en-AU"/>
        </w:rPr>
        <w:t xml:space="preserve">. </w:t>
      </w:r>
    </w:p>
    <w:p w14:paraId="2798B3F0" w14:textId="77777777" w:rsidR="00A949B5" w:rsidRDefault="0024003E" w:rsidP="002A2F49">
      <w:pPr>
        <w:rPr>
          <w:lang w:eastAsia="en-AU"/>
        </w:rPr>
      </w:pPr>
      <w:r w:rsidRPr="000A635C">
        <w:rPr>
          <w:lang w:eastAsia="en-AU"/>
        </w:rPr>
        <w:t xml:space="preserve">It is important that the culture change created by the legislation is </w:t>
      </w:r>
      <w:r w:rsidR="00BD5BA2">
        <w:rPr>
          <w:lang w:eastAsia="en-AU"/>
        </w:rPr>
        <w:t xml:space="preserve">towards a culture that is effective in </w:t>
      </w:r>
      <w:r w:rsidR="00E46C2F">
        <w:rPr>
          <w:lang w:eastAsia="en-AU"/>
        </w:rPr>
        <w:t>increas</w:t>
      </w:r>
      <w:r w:rsidRPr="000A635C">
        <w:rPr>
          <w:lang w:eastAsia="en-AU"/>
        </w:rPr>
        <w:t xml:space="preserve">ing safety. </w:t>
      </w:r>
    </w:p>
    <w:p w14:paraId="63B78F81" w14:textId="044A6616" w:rsidR="00227EF1" w:rsidRPr="000A635C" w:rsidRDefault="000D1539" w:rsidP="0053313F">
      <w:pPr>
        <w:rPr>
          <w:lang w:eastAsia="en-AU"/>
        </w:rPr>
      </w:pPr>
      <w:r w:rsidRPr="00C22751">
        <w:rPr>
          <w:lang w:eastAsia="en-AU"/>
        </w:rPr>
        <w:t xml:space="preserve">The changes that we suggest in this submission </w:t>
      </w:r>
      <w:r w:rsidR="0053350C">
        <w:rPr>
          <w:lang w:eastAsia="en-AU"/>
        </w:rPr>
        <w:t>(</w:t>
      </w:r>
      <w:r w:rsidRPr="00C22751">
        <w:rPr>
          <w:lang w:eastAsia="en-AU"/>
        </w:rPr>
        <w:t xml:space="preserve">and in the family violence sector joint </w:t>
      </w:r>
      <w:r w:rsidR="00A51919" w:rsidRPr="00C22751">
        <w:rPr>
          <w:lang w:eastAsia="en-AU"/>
        </w:rPr>
        <w:t>submission</w:t>
      </w:r>
      <w:r w:rsidRPr="00C22751">
        <w:rPr>
          <w:lang w:eastAsia="en-AU"/>
        </w:rPr>
        <w:t xml:space="preserve"> to this consultation</w:t>
      </w:r>
      <w:r w:rsidR="0053350C">
        <w:rPr>
          <w:lang w:eastAsia="en-AU"/>
        </w:rPr>
        <w:t>)</w:t>
      </w:r>
      <w:r w:rsidRPr="00C22751">
        <w:rPr>
          <w:lang w:eastAsia="en-AU"/>
        </w:rPr>
        <w:t xml:space="preserve"> </w:t>
      </w:r>
      <w:r w:rsidR="00F648CC" w:rsidRPr="00C22751">
        <w:rPr>
          <w:lang w:eastAsia="en-AU"/>
        </w:rPr>
        <w:t xml:space="preserve">aim </w:t>
      </w:r>
      <w:r w:rsidR="00396477" w:rsidRPr="00C22751">
        <w:rPr>
          <w:lang w:eastAsia="en-AU"/>
        </w:rPr>
        <w:t xml:space="preserve">to ensure that the regime </w:t>
      </w:r>
      <w:r w:rsidR="008C105C" w:rsidRPr="00C22751">
        <w:rPr>
          <w:lang w:eastAsia="en-AU"/>
        </w:rPr>
        <w:t>operate</w:t>
      </w:r>
      <w:r w:rsidR="00396477" w:rsidRPr="00C22751">
        <w:rPr>
          <w:lang w:eastAsia="en-AU"/>
        </w:rPr>
        <w:t>s</w:t>
      </w:r>
      <w:r w:rsidR="008C105C" w:rsidRPr="00C22751">
        <w:rPr>
          <w:lang w:eastAsia="en-AU"/>
        </w:rPr>
        <w:t xml:space="preserve"> to create a culture of information sharing that </w:t>
      </w:r>
      <w:r w:rsidR="00C22751">
        <w:rPr>
          <w:lang w:eastAsia="en-AU"/>
        </w:rPr>
        <w:t>prioritises</w:t>
      </w:r>
      <w:r w:rsidR="00C22751" w:rsidRPr="00C22751">
        <w:rPr>
          <w:lang w:eastAsia="en-AU"/>
        </w:rPr>
        <w:t xml:space="preserve"> </w:t>
      </w:r>
      <w:r w:rsidR="008C105C" w:rsidRPr="00C22751">
        <w:rPr>
          <w:lang w:eastAsia="en-AU"/>
        </w:rPr>
        <w:t xml:space="preserve">safety </w:t>
      </w:r>
      <w:r w:rsidR="008A2F86">
        <w:rPr>
          <w:lang w:eastAsia="en-AU"/>
        </w:rPr>
        <w:t>while</w:t>
      </w:r>
      <w:r w:rsidR="008C105C" w:rsidRPr="00C22751">
        <w:rPr>
          <w:lang w:eastAsia="en-AU"/>
        </w:rPr>
        <w:t xml:space="preserve"> </w:t>
      </w:r>
      <w:r w:rsidR="00C22751">
        <w:rPr>
          <w:lang w:eastAsia="en-AU"/>
        </w:rPr>
        <w:t>support</w:t>
      </w:r>
      <w:r w:rsidR="008A2F86">
        <w:rPr>
          <w:lang w:eastAsia="en-AU"/>
        </w:rPr>
        <w:t>ing</w:t>
      </w:r>
      <w:r w:rsidR="00C22751" w:rsidRPr="00C22751">
        <w:rPr>
          <w:lang w:eastAsia="en-AU"/>
        </w:rPr>
        <w:t xml:space="preserve"> </w:t>
      </w:r>
      <w:r w:rsidR="0024003E" w:rsidRPr="00C22751">
        <w:rPr>
          <w:lang w:eastAsia="en-AU"/>
        </w:rPr>
        <w:t xml:space="preserve">client </w:t>
      </w:r>
      <w:r w:rsidR="00A949B5">
        <w:rPr>
          <w:lang w:eastAsia="en-AU"/>
        </w:rPr>
        <w:t xml:space="preserve">agency and </w:t>
      </w:r>
      <w:r w:rsidR="008C105C" w:rsidRPr="00C22751">
        <w:rPr>
          <w:lang w:eastAsia="en-AU"/>
        </w:rPr>
        <w:t>engagement with services</w:t>
      </w:r>
      <w:r w:rsidR="008A2F86">
        <w:rPr>
          <w:lang w:eastAsia="en-AU"/>
        </w:rPr>
        <w:t xml:space="preserve">, which </w:t>
      </w:r>
      <w:r w:rsidR="00A949B5">
        <w:rPr>
          <w:lang w:eastAsia="en-AU"/>
        </w:rPr>
        <w:t xml:space="preserve">themselves </w:t>
      </w:r>
      <w:r w:rsidR="008A2F86">
        <w:rPr>
          <w:lang w:eastAsia="en-AU"/>
        </w:rPr>
        <w:t>enhance safety</w:t>
      </w:r>
      <w:r w:rsidR="008C105C" w:rsidRPr="00C22751">
        <w:rPr>
          <w:lang w:eastAsia="en-AU"/>
        </w:rPr>
        <w:t>.</w:t>
      </w:r>
      <w:r w:rsidR="008C105C" w:rsidRPr="000A635C">
        <w:rPr>
          <w:lang w:eastAsia="en-AU"/>
        </w:rPr>
        <w:t xml:space="preserve"> </w:t>
      </w:r>
    </w:p>
    <w:p w14:paraId="2297BD2F" w14:textId="1349781F" w:rsidR="0017416A" w:rsidRPr="000A635C" w:rsidRDefault="00395627" w:rsidP="00846340">
      <w:pPr>
        <w:pStyle w:val="Heading2"/>
      </w:pPr>
      <w:bookmarkStart w:id="6" w:name="_Toc495992894"/>
      <w:r>
        <w:t>E</w:t>
      </w:r>
      <w:r w:rsidR="0017416A" w:rsidRPr="000A635C">
        <w:t>ngagement</w:t>
      </w:r>
      <w:r>
        <w:t xml:space="preserve"> promotes safety</w:t>
      </w:r>
      <w:bookmarkEnd w:id="6"/>
    </w:p>
    <w:p w14:paraId="249E0C7C" w14:textId="3121666C" w:rsidR="00227EF1" w:rsidRDefault="00227EF1" w:rsidP="00967A51">
      <w:pPr>
        <w:rPr>
          <w:lang w:eastAsia="en-AU"/>
        </w:rPr>
      </w:pPr>
      <w:r>
        <w:rPr>
          <w:lang w:eastAsia="en-AU"/>
        </w:rPr>
        <w:t xml:space="preserve">In our practice experience, </w:t>
      </w:r>
      <w:r w:rsidR="00F2475A" w:rsidRPr="000A635C">
        <w:rPr>
          <w:lang w:eastAsia="en-AU"/>
        </w:rPr>
        <w:t xml:space="preserve">when engagement with a service is voluntary, there is a </w:t>
      </w:r>
      <w:r w:rsidR="00967A51" w:rsidRPr="000A635C">
        <w:rPr>
          <w:lang w:eastAsia="en-AU"/>
        </w:rPr>
        <w:t>risk</w:t>
      </w:r>
      <w:r w:rsidR="00F2475A" w:rsidRPr="000A635C">
        <w:rPr>
          <w:lang w:eastAsia="en-AU"/>
        </w:rPr>
        <w:t xml:space="preserve"> </w:t>
      </w:r>
      <w:r w:rsidR="00967A51" w:rsidRPr="000A635C">
        <w:rPr>
          <w:lang w:eastAsia="en-AU"/>
        </w:rPr>
        <w:t xml:space="preserve">clients will disengage from services </w:t>
      </w:r>
      <w:r w:rsidR="00F2475A" w:rsidRPr="000A635C">
        <w:rPr>
          <w:lang w:eastAsia="en-AU"/>
        </w:rPr>
        <w:t>if</w:t>
      </w:r>
      <w:r w:rsidR="00967A51" w:rsidRPr="000A635C">
        <w:rPr>
          <w:lang w:eastAsia="en-AU"/>
        </w:rPr>
        <w:t xml:space="preserve"> the service does</w:t>
      </w:r>
      <w:r>
        <w:rPr>
          <w:lang w:eastAsia="en-AU"/>
        </w:rPr>
        <w:t xml:space="preserve"> </w:t>
      </w:r>
      <w:r w:rsidR="00967A51" w:rsidRPr="000A635C">
        <w:rPr>
          <w:lang w:eastAsia="en-AU"/>
        </w:rPr>
        <w:t>n</w:t>
      </w:r>
      <w:r>
        <w:rPr>
          <w:lang w:eastAsia="en-AU"/>
        </w:rPr>
        <w:t>o</w:t>
      </w:r>
      <w:r w:rsidR="00967A51" w:rsidRPr="000A635C">
        <w:rPr>
          <w:lang w:eastAsia="en-AU"/>
        </w:rPr>
        <w:t xml:space="preserve">t have a reputation for respecting confidentiality. </w:t>
      </w:r>
    </w:p>
    <w:p w14:paraId="54D6B641" w14:textId="436CBF16" w:rsidR="00227EF1" w:rsidRDefault="00F2475A" w:rsidP="00967A51">
      <w:pPr>
        <w:rPr>
          <w:lang w:eastAsia="en-AU"/>
        </w:rPr>
      </w:pPr>
      <w:r w:rsidRPr="000A635C">
        <w:rPr>
          <w:lang w:eastAsia="en-AU"/>
        </w:rPr>
        <w:t>Community Legal Centres</w:t>
      </w:r>
      <w:r w:rsidR="00D64139">
        <w:rPr>
          <w:lang w:eastAsia="en-AU"/>
        </w:rPr>
        <w:t xml:space="preserve"> (CLCs)</w:t>
      </w:r>
      <w:r w:rsidRPr="000A635C">
        <w:rPr>
          <w:lang w:eastAsia="en-AU"/>
        </w:rPr>
        <w:t xml:space="preserve"> and </w:t>
      </w:r>
      <w:r w:rsidR="00967A51" w:rsidRPr="000A635C">
        <w:rPr>
          <w:lang w:eastAsia="en-AU"/>
        </w:rPr>
        <w:t>VLA’s offices in regional Victoria report this</w:t>
      </w:r>
      <w:r w:rsidR="007D1B61">
        <w:rPr>
          <w:lang w:eastAsia="en-AU"/>
        </w:rPr>
        <w:t xml:space="preserve"> is a </w:t>
      </w:r>
      <w:r w:rsidR="00470E56">
        <w:rPr>
          <w:lang w:eastAsia="en-AU"/>
        </w:rPr>
        <w:t>significant</w:t>
      </w:r>
      <w:r w:rsidR="00967A51" w:rsidRPr="000A635C">
        <w:rPr>
          <w:lang w:eastAsia="en-AU"/>
        </w:rPr>
        <w:t xml:space="preserve"> issue in small communities where clients and staff of public services and community services are often all known to each other. </w:t>
      </w:r>
    </w:p>
    <w:p w14:paraId="20052E96" w14:textId="77777777" w:rsidR="007E117E" w:rsidRDefault="00967A51" w:rsidP="00967A51">
      <w:pPr>
        <w:rPr>
          <w:lang w:eastAsia="en-AU"/>
        </w:rPr>
      </w:pPr>
      <w:r w:rsidRPr="000A635C">
        <w:rPr>
          <w:lang w:eastAsia="en-AU"/>
        </w:rPr>
        <w:t xml:space="preserve">In these contexts our clients often don’t wish to engage with services where they fear </w:t>
      </w:r>
      <w:r w:rsidR="00DB136B" w:rsidRPr="000A635C">
        <w:rPr>
          <w:lang w:eastAsia="en-AU"/>
        </w:rPr>
        <w:t xml:space="preserve">that </w:t>
      </w:r>
      <w:r w:rsidRPr="000A635C">
        <w:rPr>
          <w:lang w:eastAsia="en-AU"/>
        </w:rPr>
        <w:t>their neighbours, friends, and p</w:t>
      </w:r>
      <w:r w:rsidR="00DB136B" w:rsidRPr="000A635C">
        <w:rPr>
          <w:lang w:eastAsia="en-AU"/>
        </w:rPr>
        <w:t>erhaps even family will end up ‘</w:t>
      </w:r>
      <w:r w:rsidRPr="000A635C">
        <w:rPr>
          <w:lang w:eastAsia="en-AU"/>
        </w:rPr>
        <w:t>knowing their business</w:t>
      </w:r>
      <w:r w:rsidR="00DB136B" w:rsidRPr="000A635C">
        <w:rPr>
          <w:lang w:eastAsia="en-AU"/>
        </w:rPr>
        <w:t>’</w:t>
      </w:r>
      <w:r w:rsidRPr="000A635C">
        <w:rPr>
          <w:lang w:eastAsia="en-AU"/>
        </w:rPr>
        <w:t xml:space="preserve">. </w:t>
      </w:r>
    </w:p>
    <w:p w14:paraId="32416767" w14:textId="2737BAC7" w:rsidR="00967A51" w:rsidRPr="000A635C" w:rsidRDefault="00967A51" w:rsidP="00967A51">
      <w:pPr>
        <w:rPr>
          <w:lang w:eastAsia="en-AU"/>
        </w:rPr>
      </w:pPr>
      <w:r w:rsidRPr="000A635C">
        <w:rPr>
          <w:lang w:eastAsia="en-AU"/>
        </w:rPr>
        <w:t xml:space="preserve">Community organisations have to work hard to gain the trust of the people they work with, and the information sharing regime needs to support them to do this and recognise their professional skill and good judgement in making decisions about retaining their clients’ trust. </w:t>
      </w:r>
    </w:p>
    <w:p w14:paraId="0C7B4A70" w14:textId="4233FB51" w:rsidR="004055E4" w:rsidRDefault="000D1539" w:rsidP="004055E4">
      <w:pPr>
        <w:rPr>
          <w:lang w:eastAsia="en-AU"/>
        </w:rPr>
      </w:pPr>
      <w:r w:rsidRPr="000A635C">
        <w:rPr>
          <w:lang w:eastAsia="en-AU"/>
        </w:rPr>
        <w:t>C</w:t>
      </w:r>
      <w:r w:rsidR="00D64139">
        <w:rPr>
          <w:lang w:eastAsia="en-AU"/>
        </w:rPr>
        <w:t>LC</w:t>
      </w:r>
      <w:r w:rsidRPr="000A635C">
        <w:rPr>
          <w:lang w:eastAsia="en-AU"/>
        </w:rPr>
        <w:t>s often advise and educate non-lawyer community workers about meeting their obligations to clients. This includes explaining privacy laws to community organisations.</w:t>
      </w:r>
      <w:r w:rsidR="004055E4" w:rsidRPr="004055E4">
        <w:rPr>
          <w:lang w:eastAsia="en-AU"/>
        </w:rPr>
        <w:t xml:space="preserve"> </w:t>
      </w:r>
    </w:p>
    <w:p w14:paraId="6F62E996" w14:textId="017F4C83" w:rsidR="004055E4" w:rsidRPr="000A635C" w:rsidRDefault="004055E4" w:rsidP="004055E4">
      <w:pPr>
        <w:rPr>
          <w:lang w:eastAsia="en-AU"/>
        </w:rPr>
      </w:pPr>
      <w:r w:rsidRPr="000A635C">
        <w:rPr>
          <w:lang w:eastAsia="en-AU"/>
        </w:rPr>
        <w:t>Th</w:t>
      </w:r>
      <w:r>
        <w:rPr>
          <w:lang w:eastAsia="en-AU"/>
        </w:rPr>
        <w:t>e</w:t>
      </w:r>
      <w:r w:rsidRPr="000A635C">
        <w:rPr>
          <w:lang w:eastAsia="en-AU"/>
        </w:rPr>
        <w:t xml:space="preserve"> conversation</w:t>
      </w:r>
      <w:r>
        <w:rPr>
          <w:lang w:eastAsia="en-AU"/>
        </w:rPr>
        <w:t>s</w:t>
      </w:r>
      <w:r w:rsidRPr="000A635C">
        <w:rPr>
          <w:lang w:eastAsia="en-AU"/>
        </w:rPr>
        <w:t xml:space="preserve"> that workers have with clients at the beginning of their engagement needs to lay a foundation for ongoing open, honest engagement. </w:t>
      </w:r>
      <w:r>
        <w:rPr>
          <w:lang w:eastAsia="en-AU"/>
        </w:rPr>
        <w:t>It is helpful to</w:t>
      </w:r>
      <w:r w:rsidRPr="000A635C">
        <w:rPr>
          <w:lang w:eastAsia="en-AU"/>
        </w:rPr>
        <w:t xml:space="preserve"> </w:t>
      </w:r>
      <w:r>
        <w:rPr>
          <w:lang w:eastAsia="en-AU"/>
        </w:rPr>
        <w:t xml:space="preserve">understand </w:t>
      </w:r>
      <w:r w:rsidRPr="000A635C">
        <w:rPr>
          <w:lang w:eastAsia="en-AU"/>
        </w:rPr>
        <w:t xml:space="preserve">the </w:t>
      </w:r>
      <w:r>
        <w:rPr>
          <w:lang w:eastAsia="en-AU"/>
        </w:rPr>
        <w:t xml:space="preserve">impact on </w:t>
      </w:r>
      <w:r w:rsidR="007E117E">
        <w:rPr>
          <w:lang w:eastAsia="en-AU"/>
        </w:rPr>
        <w:t>this</w:t>
      </w:r>
      <w:r>
        <w:rPr>
          <w:lang w:eastAsia="en-AU"/>
        </w:rPr>
        <w:t xml:space="preserve"> initial interaction between workers and clients that the threshold for sharing information will have. </w:t>
      </w:r>
    </w:p>
    <w:p w14:paraId="5B41E512" w14:textId="758FA018" w:rsidR="001C170A" w:rsidRPr="000A635C" w:rsidRDefault="001C170A" w:rsidP="00967A51">
      <w:pPr>
        <w:rPr>
          <w:lang w:eastAsia="en-AU"/>
        </w:rPr>
      </w:pPr>
      <w:r w:rsidRPr="000A635C">
        <w:rPr>
          <w:lang w:eastAsia="en-AU"/>
        </w:rPr>
        <w:t xml:space="preserve">Currently, non-lawyer support workers can use plain language with their prospective clients, saying something like: </w:t>
      </w:r>
    </w:p>
    <w:p w14:paraId="38D10E74" w14:textId="77777777" w:rsidR="00FA0FA0" w:rsidRDefault="00967A51" w:rsidP="001C170A">
      <w:pPr>
        <w:shd w:val="clear" w:color="auto" w:fill="D9D9D9" w:themeFill="background1" w:themeFillShade="D9"/>
        <w:rPr>
          <w:i/>
          <w:lang w:eastAsia="en-AU"/>
        </w:rPr>
      </w:pPr>
      <w:r w:rsidRPr="000A635C">
        <w:rPr>
          <w:i/>
          <w:lang w:eastAsia="en-AU"/>
        </w:rPr>
        <w:t>“Our conversations and all the information I have about you is confidential. I’ll share what I need to with my colleagues here who I work with – like if I’m not here I’ll tell [</w:t>
      </w:r>
      <w:r w:rsidR="00340287">
        <w:rPr>
          <w:i/>
          <w:lang w:eastAsia="en-AU"/>
        </w:rPr>
        <w:t>Co-worker</w:t>
      </w:r>
      <w:r w:rsidRPr="000A635C">
        <w:rPr>
          <w:i/>
          <w:lang w:eastAsia="en-AU"/>
        </w:rPr>
        <w:t xml:space="preserve">] what you and I have been talking about so she can help you instead. </w:t>
      </w:r>
    </w:p>
    <w:p w14:paraId="7F537114" w14:textId="77777777" w:rsidR="00FA0FA0" w:rsidRDefault="00967A51" w:rsidP="001C170A">
      <w:pPr>
        <w:shd w:val="clear" w:color="auto" w:fill="D9D9D9" w:themeFill="background1" w:themeFillShade="D9"/>
        <w:rPr>
          <w:i/>
          <w:lang w:eastAsia="en-AU"/>
        </w:rPr>
      </w:pPr>
      <w:r w:rsidRPr="000A635C">
        <w:rPr>
          <w:i/>
          <w:lang w:eastAsia="en-AU"/>
        </w:rPr>
        <w:t xml:space="preserve">And I’ll talk with people outside [our organisation] if you and I plan that together – like when I’m calling your landlord to talk about your rent, I’ll say what you and I agree. </w:t>
      </w:r>
    </w:p>
    <w:p w14:paraId="0B6804D4" w14:textId="2EB560E8" w:rsidR="00FA0FA0" w:rsidRDefault="00967A51" w:rsidP="001C170A">
      <w:pPr>
        <w:shd w:val="clear" w:color="auto" w:fill="D9D9D9" w:themeFill="background1" w:themeFillShade="D9"/>
        <w:rPr>
          <w:i/>
          <w:lang w:eastAsia="en-AU"/>
        </w:rPr>
      </w:pPr>
      <w:r w:rsidRPr="000A635C">
        <w:rPr>
          <w:i/>
          <w:lang w:eastAsia="en-AU"/>
        </w:rPr>
        <w:t xml:space="preserve">And if I’m really worried about your safety or your kids’ safety I might also have to share the information I think I need to share to keep you safe. If I think I have to do that, I’ll talk with you about it first unless I can’t safely </w:t>
      </w:r>
      <w:r w:rsidR="001C170A" w:rsidRPr="000A635C">
        <w:rPr>
          <w:i/>
          <w:lang w:eastAsia="en-AU"/>
        </w:rPr>
        <w:t>talk with you</w:t>
      </w:r>
      <w:r w:rsidRPr="000A635C">
        <w:rPr>
          <w:i/>
          <w:lang w:eastAsia="en-AU"/>
        </w:rPr>
        <w:t xml:space="preserve">. </w:t>
      </w:r>
    </w:p>
    <w:p w14:paraId="09FDD8BB" w14:textId="195FCDD4" w:rsidR="00967A51" w:rsidRPr="000A635C" w:rsidRDefault="00967A51" w:rsidP="001C170A">
      <w:pPr>
        <w:shd w:val="clear" w:color="auto" w:fill="D9D9D9" w:themeFill="background1" w:themeFillShade="D9"/>
        <w:rPr>
          <w:i/>
          <w:lang w:eastAsia="en-AU"/>
        </w:rPr>
      </w:pPr>
      <w:r w:rsidRPr="000A635C">
        <w:rPr>
          <w:i/>
          <w:lang w:eastAsia="en-AU"/>
        </w:rPr>
        <w:t>Does that make sense? Do you have any questio</w:t>
      </w:r>
      <w:r w:rsidR="00323043" w:rsidRPr="000A635C">
        <w:rPr>
          <w:i/>
          <w:lang w:eastAsia="en-AU"/>
        </w:rPr>
        <w:t>ns about that?”</w:t>
      </w:r>
    </w:p>
    <w:p w14:paraId="6A7034B4" w14:textId="77777777" w:rsidR="00B47887" w:rsidRDefault="00B47887" w:rsidP="001C170A">
      <w:pPr>
        <w:rPr>
          <w:lang w:eastAsia="en-AU"/>
        </w:rPr>
      </w:pPr>
      <w:r>
        <w:rPr>
          <w:lang w:eastAsia="en-AU"/>
        </w:rPr>
        <w:t xml:space="preserve">These conversations </w:t>
      </w:r>
      <w:r w:rsidR="00340287">
        <w:rPr>
          <w:lang w:eastAsia="en-AU"/>
        </w:rPr>
        <w:t>will</w:t>
      </w:r>
      <w:r>
        <w:rPr>
          <w:lang w:eastAsia="en-AU"/>
        </w:rPr>
        <w:t xml:space="preserve"> becom</w:t>
      </w:r>
      <w:r w:rsidR="00340287">
        <w:rPr>
          <w:lang w:eastAsia="en-AU"/>
        </w:rPr>
        <w:t>e</w:t>
      </w:r>
      <w:r>
        <w:rPr>
          <w:lang w:eastAsia="en-AU"/>
        </w:rPr>
        <w:t xml:space="preserve"> more complicated </w:t>
      </w:r>
      <w:r w:rsidR="00340287">
        <w:rPr>
          <w:lang w:eastAsia="en-AU"/>
        </w:rPr>
        <w:t xml:space="preserve">as information sharing obligations increase, </w:t>
      </w:r>
      <w:r>
        <w:rPr>
          <w:lang w:eastAsia="en-AU"/>
        </w:rPr>
        <w:t xml:space="preserve">and </w:t>
      </w:r>
      <w:r w:rsidR="00340287">
        <w:rPr>
          <w:lang w:eastAsia="en-AU"/>
        </w:rPr>
        <w:t xml:space="preserve">will risk </w:t>
      </w:r>
      <w:r>
        <w:rPr>
          <w:lang w:eastAsia="en-AU"/>
        </w:rPr>
        <w:t>deterring clients from trusting workers.</w:t>
      </w:r>
    </w:p>
    <w:p w14:paraId="6DA2D520" w14:textId="5F3D31A8" w:rsidR="001C170A" w:rsidRPr="000A635C" w:rsidRDefault="00700287" w:rsidP="001C170A">
      <w:pPr>
        <w:rPr>
          <w:lang w:eastAsia="en-AU"/>
        </w:rPr>
      </w:pPr>
      <w:r w:rsidRPr="000A635C">
        <w:rPr>
          <w:lang w:eastAsia="en-AU"/>
        </w:rPr>
        <w:t xml:space="preserve">Ideally, </w:t>
      </w:r>
      <w:r w:rsidR="00B47887">
        <w:rPr>
          <w:lang w:eastAsia="en-AU"/>
        </w:rPr>
        <w:t xml:space="preserve">any </w:t>
      </w:r>
      <w:r w:rsidRPr="000A635C">
        <w:rPr>
          <w:lang w:eastAsia="en-AU"/>
        </w:rPr>
        <w:t xml:space="preserve">new legislation would </w:t>
      </w:r>
      <w:r w:rsidR="00340287">
        <w:rPr>
          <w:lang w:eastAsia="en-AU"/>
        </w:rPr>
        <w:t>continue to</w:t>
      </w:r>
      <w:r w:rsidR="00340287" w:rsidRPr="000A635C">
        <w:rPr>
          <w:lang w:eastAsia="en-AU"/>
        </w:rPr>
        <w:t xml:space="preserve"> </w:t>
      </w:r>
      <w:r w:rsidRPr="000A635C">
        <w:rPr>
          <w:lang w:eastAsia="en-AU"/>
        </w:rPr>
        <w:t xml:space="preserve">allow a straight-forward and reassuring conversation in which a worker can make </w:t>
      </w:r>
      <w:r w:rsidR="00316E07" w:rsidRPr="000A635C">
        <w:rPr>
          <w:lang w:eastAsia="en-AU"/>
        </w:rPr>
        <w:t xml:space="preserve">their own </w:t>
      </w:r>
      <w:r w:rsidRPr="000A635C">
        <w:rPr>
          <w:lang w:eastAsia="en-AU"/>
        </w:rPr>
        <w:t>commitments about how they will interact with their client</w:t>
      </w:r>
      <w:r w:rsidR="007E5B5D">
        <w:rPr>
          <w:lang w:eastAsia="en-AU"/>
        </w:rPr>
        <w:t xml:space="preserve">. A </w:t>
      </w:r>
      <w:r w:rsidR="007E5B5D">
        <w:rPr>
          <w:lang w:eastAsia="en-AU"/>
        </w:rPr>
        <w:lastRenderedPageBreak/>
        <w:t xml:space="preserve">worker might </w:t>
      </w:r>
      <w:r w:rsidR="00D64139">
        <w:rPr>
          <w:lang w:eastAsia="en-AU"/>
        </w:rPr>
        <w:t xml:space="preserve">exercise their professional judgment to commit </w:t>
      </w:r>
      <w:r w:rsidR="007E5B5D">
        <w:rPr>
          <w:lang w:eastAsia="en-AU"/>
        </w:rPr>
        <w:t xml:space="preserve">to the highest standard </w:t>
      </w:r>
      <w:r w:rsidR="00D64139">
        <w:rPr>
          <w:lang w:eastAsia="en-AU"/>
        </w:rPr>
        <w:t xml:space="preserve">of best practice consent-based sharing </w:t>
      </w:r>
      <w:r w:rsidR="007E5B5D">
        <w:rPr>
          <w:lang w:eastAsia="en-AU"/>
        </w:rPr>
        <w:t>that the legislation allows, in order to develop a trusting relationship where their client controls the information shared as much as possible</w:t>
      </w:r>
      <w:r w:rsidR="00316E07" w:rsidRPr="000A635C">
        <w:rPr>
          <w:lang w:eastAsia="en-AU"/>
        </w:rPr>
        <w:t>, for example</w:t>
      </w:r>
      <w:r w:rsidRPr="000A635C">
        <w:rPr>
          <w:lang w:eastAsia="en-AU"/>
        </w:rPr>
        <w:t>:</w:t>
      </w:r>
    </w:p>
    <w:p w14:paraId="03AD079E" w14:textId="4EBD3CED" w:rsidR="00E64643" w:rsidRDefault="00967A51" w:rsidP="00700287">
      <w:pPr>
        <w:shd w:val="clear" w:color="auto" w:fill="D9D9D9" w:themeFill="background1" w:themeFillShade="D9"/>
        <w:rPr>
          <w:i/>
          <w:lang w:eastAsia="en-AU"/>
        </w:rPr>
      </w:pPr>
      <w:r w:rsidRPr="000A635C">
        <w:rPr>
          <w:i/>
          <w:lang w:eastAsia="en-AU"/>
        </w:rPr>
        <w:t>“Yes, you’re right, new law</w:t>
      </w:r>
      <w:r w:rsidR="00E64643">
        <w:rPr>
          <w:i/>
          <w:lang w:eastAsia="en-AU"/>
        </w:rPr>
        <w:t>s</w:t>
      </w:r>
      <w:r w:rsidRPr="000A635C">
        <w:rPr>
          <w:i/>
          <w:lang w:eastAsia="en-AU"/>
        </w:rPr>
        <w:t xml:space="preserve"> say that other organisations working with your family can ask me for information</w:t>
      </w:r>
      <w:r w:rsidR="007E117E">
        <w:rPr>
          <w:i/>
          <w:lang w:eastAsia="en-AU"/>
        </w:rPr>
        <w:t xml:space="preserve"> about you</w:t>
      </w:r>
      <w:r w:rsidR="00B47887">
        <w:rPr>
          <w:i/>
          <w:lang w:eastAsia="en-AU"/>
        </w:rPr>
        <w:t>, and the law allows me to provide the information</w:t>
      </w:r>
      <w:r w:rsidRPr="000A635C">
        <w:rPr>
          <w:i/>
          <w:lang w:eastAsia="en-AU"/>
        </w:rPr>
        <w:t>.</w:t>
      </w:r>
      <w:r w:rsidR="00B47887">
        <w:rPr>
          <w:i/>
          <w:lang w:eastAsia="en-AU"/>
        </w:rPr>
        <w:t xml:space="preserve"> </w:t>
      </w:r>
    </w:p>
    <w:p w14:paraId="1AD71082" w14:textId="3F6AEA58" w:rsidR="00967A51" w:rsidRPr="000A635C" w:rsidRDefault="00B47887" w:rsidP="00700287">
      <w:pPr>
        <w:shd w:val="clear" w:color="auto" w:fill="D9D9D9" w:themeFill="background1" w:themeFillShade="D9"/>
        <w:rPr>
          <w:i/>
          <w:lang w:eastAsia="en-AU"/>
        </w:rPr>
      </w:pPr>
      <w:r>
        <w:rPr>
          <w:i/>
          <w:lang w:eastAsia="en-AU"/>
        </w:rPr>
        <w:t>But I think it’s important that you’re involved in decisions about your family’s information, so if another organisation asks for information</w:t>
      </w:r>
      <w:r w:rsidR="00967A51" w:rsidRPr="000A635C">
        <w:rPr>
          <w:i/>
          <w:lang w:eastAsia="en-AU"/>
        </w:rPr>
        <w:t>, I’ll always tell you they’ve asked and see what you think before I share the information</w:t>
      </w:r>
      <w:r w:rsidR="007E5B5D">
        <w:rPr>
          <w:i/>
          <w:lang w:eastAsia="en-AU"/>
        </w:rPr>
        <w:t>.</w:t>
      </w:r>
      <w:r w:rsidR="00967A51" w:rsidRPr="000A635C">
        <w:rPr>
          <w:i/>
          <w:lang w:eastAsia="en-AU"/>
        </w:rPr>
        <w:t xml:space="preserve"> </w:t>
      </w:r>
      <w:r w:rsidR="007E5B5D">
        <w:rPr>
          <w:i/>
          <w:lang w:eastAsia="en-AU"/>
        </w:rPr>
        <w:t>The only time I won’t ask you is if it’s not safe to ask you</w:t>
      </w:r>
      <w:r w:rsidR="00967A51" w:rsidRPr="000A635C">
        <w:rPr>
          <w:i/>
          <w:lang w:eastAsia="en-AU"/>
        </w:rPr>
        <w:t xml:space="preserve">. If </w:t>
      </w:r>
      <w:r w:rsidR="00316E07" w:rsidRPr="000A635C">
        <w:rPr>
          <w:i/>
          <w:lang w:eastAsia="en-AU"/>
        </w:rPr>
        <w:t xml:space="preserve">I talk with you and </w:t>
      </w:r>
      <w:r w:rsidR="00967A51" w:rsidRPr="000A635C">
        <w:rPr>
          <w:i/>
          <w:lang w:eastAsia="en-AU"/>
        </w:rPr>
        <w:t xml:space="preserve">you don’t want to give </w:t>
      </w:r>
      <w:r w:rsidR="00316E07" w:rsidRPr="000A635C">
        <w:rPr>
          <w:i/>
          <w:lang w:eastAsia="en-AU"/>
        </w:rPr>
        <w:t>the other organisation</w:t>
      </w:r>
      <w:r w:rsidR="00967A51" w:rsidRPr="000A635C">
        <w:rPr>
          <w:i/>
          <w:lang w:eastAsia="en-AU"/>
        </w:rPr>
        <w:t xml:space="preserve"> the information they’re asking for, you and I can talk about that and decide what we’ll do. I’ll only share if I think </w:t>
      </w:r>
      <w:r w:rsidR="00700287" w:rsidRPr="000A635C">
        <w:rPr>
          <w:i/>
          <w:lang w:eastAsia="en-AU"/>
        </w:rPr>
        <w:t xml:space="preserve">I need to for </w:t>
      </w:r>
      <w:r w:rsidR="009B5E2C">
        <w:rPr>
          <w:i/>
          <w:lang w:eastAsia="en-AU"/>
        </w:rPr>
        <w:t>your/</w:t>
      </w:r>
      <w:r w:rsidR="00700287" w:rsidRPr="000A635C">
        <w:rPr>
          <w:i/>
          <w:lang w:eastAsia="en-AU"/>
        </w:rPr>
        <w:t>your child’s safety</w:t>
      </w:r>
      <w:r w:rsidR="00316E07" w:rsidRPr="000A635C">
        <w:rPr>
          <w:i/>
          <w:lang w:eastAsia="en-AU"/>
        </w:rPr>
        <w:t xml:space="preserve"> – or for another child’s safety.”</w:t>
      </w:r>
    </w:p>
    <w:p w14:paraId="47A103A6" w14:textId="77777777" w:rsidR="007E5B5D" w:rsidRDefault="00F92C18" w:rsidP="00700287">
      <w:pPr>
        <w:rPr>
          <w:lang w:eastAsia="en-AU"/>
        </w:rPr>
      </w:pPr>
      <w:r>
        <w:rPr>
          <w:lang w:eastAsia="en-AU"/>
        </w:rPr>
        <w:t>To support professionals to do this</w:t>
      </w:r>
      <w:r w:rsidR="007E5B5D">
        <w:rPr>
          <w:lang w:eastAsia="en-AU"/>
        </w:rPr>
        <w:t xml:space="preserve">, it is important that the </w:t>
      </w:r>
      <w:r w:rsidR="00316E07" w:rsidRPr="000A635C">
        <w:rPr>
          <w:lang w:eastAsia="en-AU"/>
        </w:rPr>
        <w:t>legislation make</w:t>
      </w:r>
      <w:r w:rsidR="009B5E2C">
        <w:rPr>
          <w:lang w:eastAsia="en-AU"/>
        </w:rPr>
        <w:t>s</w:t>
      </w:r>
      <w:r w:rsidR="00316E07" w:rsidRPr="000A635C">
        <w:rPr>
          <w:lang w:eastAsia="en-AU"/>
        </w:rPr>
        <w:t xml:space="preserve"> clear that professional judgement can be exercised about the impacts of </w:t>
      </w:r>
      <w:r w:rsidR="00124A67" w:rsidRPr="000A635C">
        <w:rPr>
          <w:lang w:eastAsia="en-AU"/>
        </w:rPr>
        <w:t xml:space="preserve">information </w:t>
      </w:r>
      <w:r w:rsidR="00316E07" w:rsidRPr="000A635C">
        <w:rPr>
          <w:lang w:eastAsia="en-AU"/>
        </w:rPr>
        <w:t xml:space="preserve">sharing. </w:t>
      </w:r>
    </w:p>
    <w:p w14:paraId="56F43F41" w14:textId="42D41132" w:rsidR="00EF494C" w:rsidRDefault="00EF494C" w:rsidP="00EF494C">
      <w:pPr>
        <w:rPr>
          <w:lang w:eastAsia="en-AU"/>
        </w:rPr>
      </w:pPr>
      <w:r>
        <w:rPr>
          <w:lang w:eastAsia="en-AU"/>
        </w:rPr>
        <w:t>In the family violence sector joint submission, we explain our view that this would be best achieved through a clearly legislated information sharing purpose “</w:t>
      </w:r>
      <w:r w:rsidRPr="009D76F3">
        <w:rPr>
          <w:i/>
          <w:lang w:eastAsia="en-AU"/>
        </w:rPr>
        <w:t>to</w:t>
      </w:r>
      <w:r>
        <w:rPr>
          <w:i/>
          <w:lang w:eastAsia="en-AU"/>
        </w:rPr>
        <w:t xml:space="preserve"> assess and manage risks to the safety of a child or group of children”</w:t>
      </w:r>
      <w:r>
        <w:rPr>
          <w:lang w:eastAsia="en-AU"/>
        </w:rPr>
        <w:t>.</w:t>
      </w:r>
      <w:r>
        <w:rPr>
          <w:rStyle w:val="FootnoteReference"/>
          <w:lang w:eastAsia="en-AU"/>
        </w:rPr>
        <w:footnoteReference w:id="2"/>
      </w:r>
      <w:r>
        <w:rPr>
          <w:lang w:eastAsia="en-AU"/>
        </w:rPr>
        <w:t xml:space="preserve"> We believe this purpose would best support </w:t>
      </w:r>
      <w:r w:rsidRPr="000A635C">
        <w:rPr>
          <w:lang w:eastAsia="en-AU"/>
        </w:rPr>
        <w:t xml:space="preserve">the </w:t>
      </w:r>
      <w:r>
        <w:rPr>
          <w:lang w:eastAsia="en-AU"/>
        </w:rPr>
        <w:t xml:space="preserve">effective </w:t>
      </w:r>
      <w:r w:rsidRPr="000A635C">
        <w:rPr>
          <w:lang w:eastAsia="en-AU"/>
        </w:rPr>
        <w:t xml:space="preserve">integrated services that information sharing enables. </w:t>
      </w:r>
    </w:p>
    <w:p w14:paraId="731A188E" w14:textId="6E7EAAAD" w:rsidR="007E117E" w:rsidRDefault="007E117E" w:rsidP="007E117E">
      <w:pPr>
        <w:rPr>
          <w:lang w:eastAsia="en-AU"/>
        </w:rPr>
      </w:pPr>
      <w:r w:rsidRPr="000A635C">
        <w:rPr>
          <w:lang w:eastAsia="en-AU"/>
        </w:rPr>
        <w:t xml:space="preserve">Some of the scenarios presented during consultation as evidence of the need for the </w:t>
      </w:r>
      <w:r>
        <w:rPr>
          <w:lang w:eastAsia="en-AU"/>
        </w:rPr>
        <w:t xml:space="preserve">current </w:t>
      </w:r>
      <w:r w:rsidRPr="000A635C">
        <w:rPr>
          <w:lang w:eastAsia="en-AU"/>
        </w:rPr>
        <w:t xml:space="preserve">proposed </w:t>
      </w:r>
      <w:r>
        <w:rPr>
          <w:lang w:eastAsia="en-AU"/>
        </w:rPr>
        <w:t>threshold,</w:t>
      </w:r>
      <w:r w:rsidRPr="000A635C">
        <w:rPr>
          <w:lang w:eastAsia="en-AU"/>
        </w:rPr>
        <w:t xml:space="preserve"> highlight situations that could be better addressed by engaging parents in the decision to share information and seeking parental consent. </w:t>
      </w:r>
    </w:p>
    <w:p w14:paraId="4B2D0209" w14:textId="77777777" w:rsidR="007E117E" w:rsidRPr="000A635C" w:rsidRDefault="007E117E" w:rsidP="007E117E">
      <w:pPr>
        <w:rPr>
          <w:lang w:eastAsia="en-AU"/>
        </w:rPr>
      </w:pPr>
      <w:r>
        <w:rPr>
          <w:lang w:eastAsia="en-AU"/>
        </w:rPr>
        <w:t>For example, o</w:t>
      </w:r>
      <w:r w:rsidRPr="000A635C">
        <w:rPr>
          <w:lang w:eastAsia="en-AU"/>
        </w:rPr>
        <w:t>ne such case study describes a family’s frustration when they had limited understanding of their baby’s diagnosis</w:t>
      </w:r>
      <w:r>
        <w:rPr>
          <w:lang w:eastAsia="en-AU"/>
        </w:rPr>
        <w:t>. The</w:t>
      </w:r>
      <w:r w:rsidRPr="000A635C">
        <w:rPr>
          <w:lang w:eastAsia="en-AU"/>
        </w:rPr>
        <w:t xml:space="preserve"> visiting maternal and child health nurse was unable to inform them further because of the very limited information she had received from the diagnosing hospital. There is no indication in this case study that the parents would have refused consent for the hospital to share </w:t>
      </w:r>
      <w:r>
        <w:rPr>
          <w:lang w:eastAsia="en-AU"/>
        </w:rPr>
        <w:t>information</w:t>
      </w:r>
      <w:r w:rsidRPr="000A635C">
        <w:rPr>
          <w:lang w:eastAsia="en-AU"/>
        </w:rPr>
        <w:t xml:space="preserve"> with the maternal and child health nurse</w:t>
      </w:r>
      <w:r>
        <w:rPr>
          <w:lang w:eastAsia="en-AU"/>
        </w:rPr>
        <w:t>. Further</w:t>
      </w:r>
      <w:r w:rsidRPr="000A635C">
        <w:rPr>
          <w:lang w:eastAsia="en-AU"/>
        </w:rPr>
        <w:t>,</w:t>
      </w:r>
      <w:r>
        <w:rPr>
          <w:lang w:eastAsia="en-AU"/>
        </w:rPr>
        <w:t xml:space="preserve"> there is no discussion of the benefits of obtaining consent in building a relationship of trust. </w:t>
      </w:r>
      <w:r w:rsidRPr="000A635C">
        <w:rPr>
          <w:lang w:eastAsia="en-AU"/>
        </w:rPr>
        <w:t xml:space="preserve"> </w:t>
      </w:r>
    </w:p>
    <w:p w14:paraId="18B3F641" w14:textId="77777777" w:rsidR="007E117E" w:rsidRDefault="007E117E" w:rsidP="007E117E">
      <w:pPr>
        <w:rPr>
          <w:lang w:eastAsia="en-AU"/>
        </w:rPr>
      </w:pPr>
      <w:r>
        <w:rPr>
          <w:lang w:eastAsia="en-AU"/>
        </w:rPr>
        <w:t>A goal of</w:t>
      </w:r>
      <w:r w:rsidRPr="000A635C">
        <w:rPr>
          <w:lang w:eastAsia="en-AU"/>
        </w:rPr>
        <w:t xml:space="preserve"> the regime is to reduce the number of cases </w:t>
      </w:r>
      <w:r>
        <w:rPr>
          <w:lang w:eastAsia="en-AU"/>
        </w:rPr>
        <w:t xml:space="preserve">requiring the involvement of statutory DHHS Child Protection. We agree that this can be promoted </w:t>
      </w:r>
      <w:r w:rsidRPr="000A635C">
        <w:rPr>
          <w:lang w:eastAsia="en-AU"/>
        </w:rPr>
        <w:t>by allowing organisations working with famil</w:t>
      </w:r>
      <w:r>
        <w:rPr>
          <w:lang w:eastAsia="en-AU"/>
        </w:rPr>
        <w:t>ies</w:t>
      </w:r>
      <w:r w:rsidRPr="000A635C">
        <w:rPr>
          <w:lang w:eastAsia="en-AU"/>
        </w:rPr>
        <w:t xml:space="preserve"> to collaborate earlier. </w:t>
      </w:r>
      <w:r>
        <w:rPr>
          <w:lang w:eastAsia="en-AU"/>
        </w:rPr>
        <w:t xml:space="preserve">However, it is crucial to note that </w:t>
      </w:r>
      <w:r w:rsidRPr="000A635C">
        <w:rPr>
          <w:lang w:eastAsia="en-AU"/>
        </w:rPr>
        <w:t xml:space="preserve">early intervention </w:t>
      </w:r>
      <w:r>
        <w:rPr>
          <w:lang w:eastAsia="en-AU"/>
        </w:rPr>
        <w:t xml:space="preserve">is undertaken </w:t>
      </w:r>
      <w:r w:rsidRPr="000A635C">
        <w:rPr>
          <w:lang w:eastAsia="en-AU"/>
        </w:rPr>
        <w:t xml:space="preserve">by agencies who have no legal powers to intervene. Engagement with these services is voluntary, and </w:t>
      </w:r>
      <w:r>
        <w:rPr>
          <w:lang w:eastAsia="en-AU"/>
        </w:rPr>
        <w:t>as such</w:t>
      </w:r>
      <w:r w:rsidRPr="000A635C">
        <w:rPr>
          <w:lang w:eastAsia="en-AU"/>
        </w:rPr>
        <w:t xml:space="preserve"> it</w:t>
      </w:r>
      <w:r>
        <w:rPr>
          <w:lang w:eastAsia="en-AU"/>
        </w:rPr>
        <w:t xml:space="preserve"> is</w:t>
      </w:r>
      <w:r w:rsidRPr="000A635C">
        <w:rPr>
          <w:lang w:eastAsia="en-AU"/>
        </w:rPr>
        <w:t xml:space="preserve"> </w:t>
      </w:r>
      <w:r>
        <w:rPr>
          <w:lang w:eastAsia="en-AU"/>
        </w:rPr>
        <w:t xml:space="preserve">critical that families are encouraged and supported to build trust in service providers in order to engage fully and constructively. </w:t>
      </w:r>
    </w:p>
    <w:p w14:paraId="4AFACD11" w14:textId="77777777" w:rsidR="007E117E" w:rsidRPr="000A635C" w:rsidRDefault="007E117E" w:rsidP="007E117E">
      <w:pPr>
        <w:rPr>
          <w:lang w:eastAsia="en-AU"/>
        </w:rPr>
      </w:pPr>
      <w:r>
        <w:rPr>
          <w:lang w:eastAsia="en-AU"/>
        </w:rPr>
        <w:t>I</w:t>
      </w:r>
      <w:r w:rsidRPr="000A635C">
        <w:rPr>
          <w:lang w:eastAsia="en-AU"/>
        </w:rPr>
        <w:t>nformation sharing</w:t>
      </w:r>
      <w:r>
        <w:rPr>
          <w:lang w:eastAsia="en-AU"/>
        </w:rPr>
        <w:t xml:space="preserve"> that</w:t>
      </w:r>
      <w:r w:rsidRPr="000A635C">
        <w:rPr>
          <w:lang w:eastAsia="en-AU"/>
        </w:rPr>
        <w:t xml:space="preserve"> tak</w:t>
      </w:r>
      <w:r>
        <w:rPr>
          <w:lang w:eastAsia="en-AU"/>
        </w:rPr>
        <w:t>es</w:t>
      </w:r>
      <w:r w:rsidRPr="000A635C">
        <w:rPr>
          <w:lang w:eastAsia="en-AU"/>
        </w:rPr>
        <w:t xml:space="preserve"> place in the context of cooperative work with the family</w:t>
      </w:r>
      <w:r>
        <w:rPr>
          <w:lang w:eastAsia="en-AU"/>
        </w:rPr>
        <w:t xml:space="preserve"> must not unnecessarily undermine this engagement. This would run counter to the goal of sharing the information</w:t>
      </w:r>
      <w:r w:rsidRPr="000A635C">
        <w:rPr>
          <w:lang w:eastAsia="en-AU"/>
        </w:rPr>
        <w:t>.</w:t>
      </w:r>
    </w:p>
    <w:p w14:paraId="732B8C95" w14:textId="3C259B8D" w:rsidR="00EF494C" w:rsidRPr="000A635C" w:rsidRDefault="00EF494C" w:rsidP="00EF494C">
      <w:pPr>
        <w:rPr>
          <w:lang w:eastAsia="en-AU"/>
        </w:rPr>
      </w:pPr>
      <w:r w:rsidRPr="000A635C">
        <w:rPr>
          <w:lang w:eastAsia="en-AU"/>
        </w:rPr>
        <w:t xml:space="preserve">Another example of </w:t>
      </w:r>
      <w:r w:rsidR="007E117E">
        <w:rPr>
          <w:lang w:eastAsia="en-AU"/>
        </w:rPr>
        <w:t xml:space="preserve">the potential impact of too low or unfocused a threshold for information sharing is provided by the current initiative MABELS, an </w:t>
      </w:r>
      <w:r w:rsidRPr="000A635C">
        <w:rPr>
          <w:lang w:eastAsia="en-AU"/>
        </w:rPr>
        <w:t>integrated family violence support and legal services</w:t>
      </w:r>
      <w:r w:rsidR="007E117E">
        <w:rPr>
          <w:lang w:eastAsia="en-AU"/>
        </w:rPr>
        <w:t xml:space="preserve"> partnership</w:t>
      </w:r>
      <w:r w:rsidRPr="000A635C">
        <w:rPr>
          <w:lang w:eastAsia="en-AU"/>
        </w:rPr>
        <w:t>.</w:t>
      </w:r>
      <w:r w:rsidRPr="000A635C">
        <w:rPr>
          <w:rStyle w:val="FootnoteReference"/>
          <w:lang w:eastAsia="en-AU"/>
        </w:rPr>
        <w:footnoteReference w:id="3"/>
      </w:r>
      <w:r w:rsidRPr="000A635C">
        <w:rPr>
          <w:lang w:eastAsia="en-AU"/>
        </w:rPr>
        <w:t xml:space="preserve"> </w:t>
      </w:r>
    </w:p>
    <w:p w14:paraId="68BD2683" w14:textId="77777777" w:rsidR="00EF494C" w:rsidRPr="000A635C" w:rsidRDefault="00EF494C" w:rsidP="00EF494C">
      <w:pPr>
        <w:pStyle w:val="Heading4"/>
        <w:shd w:val="clear" w:color="auto" w:fill="D9D9D9" w:themeFill="background1" w:themeFillShade="D9"/>
      </w:pPr>
      <w:r w:rsidRPr="000A635C">
        <w:lastRenderedPageBreak/>
        <w:t>MABELS</w:t>
      </w:r>
    </w:p>
    <w:p w14:paraId="3B7B6F7E" w14:textId="77777777" w:rsidR="00EF494C" w:rsidRPr="000A635C" w:rsidRDefault="00EF494C" w:rsidP="00EF494C">
      <w:pPr>
        <w:shd w:val="clear" w:color="auto" w:fill="D9D9D9" w:themeFill="background1" w:themeFillShade="D9"/>
        <w:tabs>
          <w:tab w:val="left" w:pos="4015"/>
        </w:tabs>
        <w:rPr>
          <w:lang w:eastAsia="en-AU"/>
        </w:rPr>
      </w:pPr>
      <w:r w:rsidRPr="000A635C">
        <w:rPr>
          <w:lang w:eastAsia="en-AU"/>
        </w:rPr>
        <w:t xml:space="preserve">MABELS is an Eastern Community Legal Centre (ECLC) Health Justice Partnership (HJP) providing early intervention to families experiencing family violence within the Maternal and Child Health context. MABELS improves the responses of maternal and child health, legal and support services in a co-ordinated and integrated manner. For Aboriginal families, the MABELS program includes the support of the local Aboriginal Healing Service. </w:t>
      </w:r>
    </w:p>
    <w:p w14:paraId="097110F0" w14:textId="77777777" w:rsidR="00EF494C" w:rsidRPr="000A635C" w:rsidRDefault="00EF494C" w:rsidP="00EF494C">
      <w:pPr>
        <w:shd w:val="clear" w:color="auto" w:fill="D9D9D9" w:themeFill="background1" w:themeFillShade="D9"/>
        <w:tabs>
          <w:tab w:val="left" w:pos="4015"/>
        </w:tabs>
        <w:rPr>
          <w:lang w:eastAsia="en-AU"/>
        </w:rPr>
      </w:pPr>
      <w:r w:rsidRPr="000A635C">
        <w:rPr>
          <w:lang w:eastAsia="en-AU"/>
        </w:rPr>
        <w:t>MABELS’ integration of legal, specialist family violence and Aboriginal services provides women with family violence and related legal advice, safety planning, cultural safety, information and referrals</w:t>
      </w:r>
      <w:r>
        <w:rPr>
          <w:lang w:eastAsia="en-AU"/>
        </w:rPr>
        <w:t>. This is all delivered</w:t>
      </w:r>
      <w:r w:rsidRPr="000A635C">
        <w:rPr>
          <w:lang w:eastAsia="en-AU"/>
        </w:rPr>
        <w:t xml:space="preserve"> in the same appointment. The multidisciplinary collaboration enhances each professional</w:t>
      </w:r>
      <w:r>
        <w:rPr>
          <w:lang w:eastAsia="en-AU"/>
        </w:rPr>
        <w:t xml:space="preserve"> </w:t>
      </w:r>
      <w:r w:rsidRPr="000A635C">
        <w:rPr>
          <w:lang w:eastAsia="en-AU"/>
        </w:rPr>
        <w:t>s</w:t>
      </w:r>
      <w:r>
        <w:rPr>
          <w:lang w:eastAsia="en-AU"/>
        </w:rPr>
        <w:t>ervice</w:t>
      </w:r>
      <w:r w:rsidRPr="000A635C">
        <w:rPr>
          <w:lang w:eastAsia="en-AU"/>
        </w:rPr>
        <w:t xml:space="preserve"> and allows for comprehensive exploration of their experience of family violence and the management of risk to themselves and their children. </w:t>
      </w:r>
    </w:p>
    <w:p w14:paraId="51A38AB2" w14:textId="77777777" w:rsidR="00EF494C" w:rsidRDefault="00EF494C" w:rsidP="00EF494C">
      <w:pPr>
        <w:shd w:val="clear" w:color="auto" w:fill="D9D9D9" w:themeFill="background1" w:themeFillShade="D9"/>
        <w:tabs>
          <w:tab w:val="left" w:pos="4015"/>
        </w:tabs>
        <w:rPr>
          <w:lang w:eastAsia="en-AU"/>
        </w:rPr>
      </w:pPr>
      <w:r w:rsidRPr="000A635C">
        <w:rPr>
          <w:lang w:eastAsia="en-AU"/>
        </w:rPr>
        <w:t xml:space="preserve">Women report that receiving information and advice from professionals in a single appointment is very helpful. A MABELS client reported “Having the family violence advocate and the lawyer together was great because you could get a bit of back and forth … the family violence advocate can help the lawyer understand what the actual effect and dynamic of family violence is like… For them to be communicating to one another was fantastic”. </w:t>
      </w:r>
    </w:p>
    <w:p w14:paraId="0A0CC1C2" w14:textId="77777777" w:rsidR="00EF494C" w:rsidRPr="000A635C" w:rsidRDefault="00EF494C" w:rsidP="00EF494C">
      <w:pPr>
        <w:shd w:val="clear" w:color="auto" w:fill="D9D9D9" w:themeFill="background1" w:themeFillShade="D9"/>
        <w:tabs>
          <w:tab w:val="left" w:pos="4015"/>
        </w:tabs>
        <w:rPr>
          <w:lang w:eastAsia="en-AU"/>
        </w:rPr>
      </w:pPr>
      <w:r w:rsidRPr="00962778">
        <w:rPr>
          <w:lang w:eastAsia="en-AU"/>
        </w:rPr>
        <w:t>When a Maternal and Child Health nurse identifies that a client is at risk of or experiencing family violence, the nurse emails a referral form to the MABELS lawyer directly</w:t>
      </w:r>
      <w:r>
        <w:rPr>
          <w:lang w:eastAsia="en-AU"/>
        </w:rPr>
        <w:t>,</w:t>
      </w:r>
      <w:r w:rsidRPr="00962778">
        <w:rPr>
          <w:lang w:eastAsia="en-AU"/>
        </w:rPr>
        <w:t xml:space="preserve"> with the client’s consent. </w:t>
      </w:r>
    </w:p>
    <w:p w14:paraId="2671E2F4" w14:textId="77777777" w:rsidR="00EF494C" w:rsidRPr="000A635C" w:rsidRDefault="00EF494C" w:rsidP="00EF494C">
      <w:pPr>
        <w:shd w:val="clear" w:color="auto" w:fill="D9D9D9" w:themeFill="background1" w:themeFillShade="D9"/>
        <w:tabs>
          <w:tab w:val="left" w:pos="4015"/>
        </w:tabs>
        <w:rPr>
          <w:lang w:eastAsia="en-AU"/>
        </w:rPr>
      </w:pPr>
      <w:r w:rsidRPr="000A635C">
        <w:rPr>
          <w:lang w:eastAsia="en-AU"/>
        </w:rPr>
        <w:t xml:space="preserve">The MABELS lawyer will contact the client and offer advice and assistance from the legal service and the specialist family violence service. The lawyer will explain the different professional obligations and confidentiality limitations of the two professions, and that the client has the option of having separate appointments with each professional. The lawyer will also explain the potential benefits of both services assisting the client together at the same time. </w:t>
      </w:r>
    </w:p>
    <w:p w14:paraId="7A1C7C4F" w14:textId="77777777" w:rsidR="00EF494C" w:rsidRDefault="00EF494C" w:rsidP="00EF494C">
      <w:pPr>
        <w:shd w:val="clear" w:color="auto" w:fill="D9D9D9" w:themeFill="background1" w:themeFillShade="D9"/>
        <w:tabs>
          <w:tab w:val="left" w:pos="4015"/>
        </w:tabs>
        <w:rPr>
          <w:lang w:eastAsia="en-AU"/>
        </w:rPr>
      </w:pPr>
      <w:r w:rsidRPr="000A635C">
        <w:rPr>
          <w:lang w:eastAsia="en-AU"/>
        </w:rPr>
        <w:t xml:space="preserve">ECLC has found that women will often wish to explore how their information might be shared, and they engage actively with the decision of how to proceed. </w:t>
      </w:r>
    </w:p>
    <w:p w14:paraId="31D9E274" w14:textId="77777777" w:rsidR="00EF494C" w:rsidRPr="000A635C" w:rsidRDefault="00EF494C" w:rsidP="00EF494C">
      <w:pPr>
        <w:shd w:val="clear" w:color="auto" w:fill="D9D9D9" w:themeFill="background1" w:themeFillShade="D9"/>
        <w:tabs>
          <w:tab w:val="left" w:pos="4015"/>
        </w:tabs>
        <w:rPr>
          <w:lang w:eastAsia="en-AU"/>
        </w:rPr>
      </w:pPr>
      <w:r w:rsidRPr="000A635C">
        <w:rPr>
          <w:lang w:eastAsia="en-AU"/>
        </w:rPr>
        <w:t>The vast majority of women choose to have the family violence advocate present</w:t>
      </w:r>
      <w:r>
        <w:rPr>
          <w:lang w:eastAsia="en-AU"/>
        </w:rPr>
        <w:t xml:space="preserve"> at the same time as the lawyer</w:t>
      </w:r>
      <w:r w:rsidRPr="000A635C">
        <w:rPr>
          <w:lang w:eastAsia="en-AU"/>
        </w:rPr>
        <w:t xml:space="preserve">. In some cases, women will choose initially to have the advocate present and then at later appointments choose to exclude the advocate because of the advocate’s ability to share information without the client’s consent. </w:t>
      </w:r>
    </w:p>
    <w:p w14:paraId="5F511D35" w14:textId="6A494E5E" w:rsidR="00EF494C" w:rsidRDefault="00EF494C" w:rsidP="00EF494C">
      <w:pPr>
        <w:rPr>
          <w:lang w:eastAsia="en-AU"/>
        </w:rPr>
      </w:pPr>
      <w:r w:rsidRPr="000A635C">
        <w:rPr>
          <w:lang w:eastAsia="en-AU"/>
        </w:rPr>
        <w:t xml:space="preserve">ECLC expects that a lower information sharing threshold without consent </w:t>
      </w:r>
      <w:r>
        <w:rPr>
          <w:lang w:eastAsia="en-AU"/>
        </w:rPr>
        <w:t xml:space="preserve">will lead to more women excluding the family violence advocate from legal appointments, thereby reducing the effectiveness </w:t>
      </w:r>
      <w:r w:rsidRPr="000A635C">
        <w:rPr>
          <w:lang w:eastAsia="en-AU"/>
        </w:rPr>
        <w:t xml:space="preserve">of these multidisciplinary partnership models. </w:t>
      </w:r>
      <w:r>
        <w:rPr>
          <w:lang w:eastAsia="en-AU"/>
        </w:rPr>
        <w:t xml:space="preserve">Women would lose </w:t>
      </w:r>
      <w:r w:rsidRPr="000A635C">
        <w:rPr>
          <w:lang w:eastAsia="en-AU"/>
        </w:rPr>
        <w:t>the benefit of the family violence advocate’s expertise,</w:t>
      </w:r>
      <w:r>
        <w:rPr>
          <w:lang w:eastAsia="en-AU"/>
        </w:rPr>
        <w:t xml:space="preserve"> </w:t>
      </w:r>
      <w:r w:rsidRPr="000A635C">
        <w:rPr>
          <w:lang w:eastAsia="en-AU"/>
        </w:rPr>
        <w:t>particular</w:t>
      </w:r>
      <w:r>
        <w:rPr>
          <w:lang w:eastAsia="en-AU"/>
        </w:rPr>
        <w:t>ly the</w:t>
      </w:r>
      <w:r w:rsidRPr="000A635C">
        <w:rPr>
          <w:lang w:eastAsia="en-AU"/>
        </w:rPr>
        <w:t xml:space="preserve"> identification of risks and safety planning, as well as access to referrals and resources</w:t>
      </w:r>
      <w:r>
        <w:rPr>
          <w:lang w:eastAsia="en-AU"/>
        </w:rPr>
        <w:t>, in legal advice appointments</w:t>
      </w:r>
      <w:r w:rsidRPr="000A635C">
        <w:rPr>
          <w:lang w:eastAsia="en-AU"/>
        </w:rPr>
        <w:t xml:space="preserve">. </w:t>
      </w:r>
      <w:r w:rsidR="007E117E">
        <w:rPr>
          <w:lang w:eastAsia="en-AU"/>
        </w:rPr>
        <w:t>Importantly, t</w:t>
      </w:r>
      <w:r w:rsidRPr="000A635C">
        <w:rPr>
          <w:lang w:eastAsia="en-AU"/>
        </w:rPr>
        <w:t xml:space="preserve">here is </w:t>
      </w:r>
      <w:r w:rsidR="007E117E">
        <w:rPr>
          <w:lang w:eastAsia="en-AU"/>
        </w:rPr>
        <w:t xml:space="preserve">also </w:t>
      </w:r>
      <w:r w:rsidRPr="000A635C">
        <w:rPr>
          <w:lang w:eastAsia="en-AU"/>
        </w:rPr>
        <w:t>a</w:t>
      </w:r>
      <w:r w:rsidR="007E117E">
        <w:rPr>
          <w:lang w:eastAsia="en-AU"/>
        </w:rPr>
        <w:t xml:space="preserve"> heightened</w:t>
      </w:r>
      <w:r w:rsidRPr="000A635C">
        <w:rPr>
          <w:lang w:eastAsia="en-AU"/>
        </w:rPr>
        <w:t xml:space="preserve"> risk that wom</w:t>
      </w:r>
      <w:r>
        <w:rPr>
          <w:lang w:eastAsia="en-AU"/>
        </w:rPr>
        <w:t>e</w:t>
      </w:r>
      <w:r w:rsidRPr="000A635C">
        <w:rPr>
          <w:lang w:eastAsia="en-AU"/>
        </w:rPr>
        <w:t>n may not then engage with the family violence service at all.</w:t>
      </w:r>
    </w:p>
    <w:p w14:paraId="19504C82" w14:textId="609B0E17" w:rsidR="00F92A77" w:rsidRPr="000A635C" w:rsidRDefault="00F92A77" w:rsidP="00EF494C">
      <w:pPr>
        <w:rPr>
          <w:lang w:eastAsia="en-AU"/>
        </w:rPr>
      </w:pPr>
      <w:r w:rsidRPr="000A635C">
        <w:t xml:space="preserve">A more </w:t>
      </w:r>
      <w:r>
        <w:t>focused</w:t>
      </w:r>
      <w:r w:rsidRPr="000A635C">
        <w:t xml:space="preserve"> threshold </w:t>
      </w:r>
      <w:r>
        <w:t xml:space="preserve">and purpose </w:t>
      </w:r>
      <w:r w:rsidRPr="000A635C">
        <w:t>for information sharing is also more likely to be a demonstrably justifiable limit on the right to privacy and reputation</w:t>
      </w:r>
      <w:r w:rsidRPr="00B83E0C">
        <w:t xml:space="preserve"> </w:t>
      </w:r>
      <w:r>
        <w:t xml:space="preserve">under </w:t>
      </w:r>
      <w:r w:rsidRPr="000A635C">
        <w:t xml:space="preserve">section 13 </w:t>
      </w:r>
      <w:r>
        <w:t xml:space="preserve">of the </w:t>
      </w:r>
      <w:r w:rsidRPr="000A635C">
        <w:t xml:space="preserve">Victorian </w:t>
      </w:r>
      <w:r w:rsidRPr="00A0428B">
        <w:rPr>
          <w:i/>
        </w:rPr>
        <w:t>Charter of Human Rights and Responsibilities Act</w:t>
      </w:r>
      <w:r>
        <w:rPr>
          <w:i/>
        </w:rPr>
        <w:t xml:space="preserve"> 2006</w:t>
      </w:r>
      <w:r w:rsidRPr="000A635C">
        <w:t xml:space="preserve">. </w:t>
      </w:r>
      <w:r>
        <w:t>I</w:t>
      </w:r>
      <w:r w:rsidRPr="000A635C">
        <w:t xml:space="preserve">mproved information sharing can be achieved through a regime which relies less on sharing information without consent, and is more consistent with the </w:t>
      </w:r>
      <w:r>
        <w:t>right to privacy and reputation.</w:t>
      </w:r>
    </w:p>
    <w:p w14:paraId="0715C888" w14:textId="4F521A7A" w:rsidR="00700287" w:rsidRDefault="00EF494C" w:rsidP="00700287">
      <w:pPr>
        <w:rPr>
          <w:lang w:val="en-US"/>
        </w:rPr>
      </w:pPr>
      <w:r>
        <w:rPr>
          <w:lang w:eastAsia="en-AU"/>
        </w:rPr>
        <w:t>We also suggest that the legislation needs to clarify what occurs where</w:t>
      </w:r>
      <w:r w:rsidR="00C22751">
        <w:rPr>
          <w:lang w:eastAsia="en-AU"/>
        </w:rPr>
        <w:t xml:space="preserve"> </w:t>
      </w:r>
      <w:r w:rsidR="00316E07" w:rsidRPr="000A635C">
        <w:rPr>
          <w:lang w:eastAsia="en-AU"/>
        </w:rPr>
        <w:t xml:space="preserve">a worker </w:t>
      </w:r>
      <w:r>
        <w:rPr>
          <w:lang w:eastAsia="en-AU"/>
        </w:rPr>
        <w:t>i</w:t>
      </w:r>
      <w:r w:rsidR="00316E07" w:rsidRPr="000A635C">
        <w:rPr>
          <w:lang w:eastAsia="en-AU"/>
        </w:rPr>
        <w:t>s asked for information about a child they work with, in order to promote another child’s well-being</w:t>
      </w:r>
      <w:r>
        <w:rPr>
          <w:lang w:eastAsia="en-AU"/>
        </w:rPr>
        <w:t>.</w:t>
      </w:r>
      <w:r w:rsidR="00316E07" w:rsidRPr="000A635C">
        <w:rPr>
          <w:lang w:eastAsia="en-AU"/>
        </w:rPr>
        <w:t xml:space="preserve"> </w:t>
      </w:r>
      <w:r>
        <w:rPr>
          <w:lang w:eastAsia="en-AU"/>
        </w:rPr>
        <w:t>I</w:t>
      </w:r>
      <w:r w:rsidR="00316E07" w:rsidRPr="000A635C">
        <w:rPr>
          <w:lang w:eastAsia="en-AU"/>
        </w:rPr>
        <w:t xml:space="preserve">t is </w:t>
      </w:r>
      <w:r w:rsidR="00C22751">
        <w:rPr>
          <w:lang w:eastAsia="en-AU"/>
        </w:rPr>
        <w:t>un</w:t>
      </w:r>
      <w:r w:rsidR="00316E07" w:rsidRPr="000A635C">
        <w:rPr>
          <w:lang w:eastAsia="en-AU"/>
        </w:rPr>
        <w:t xml:space="preserve">clear </w:t>
      </w:r>
      <w:r w:rsidR="00316E07" w:rsidRPr="000A635C">
        <w:rPr>
          <w:lang w:eastAsia="en-AU"/>
        </w:rPr>
        <w:lastRenderedPageBreak/>
        <w:t>what factors the worker c</w:t>
      </w:r>
      <w:r w:rsidR="00C22751">
        <w:rPr>
          <w:lang w:eastAsia="en-AU"/>
        </w:rPr>
        <w:t>ould</w:t>
      </w:r>
      <w:r w:rsidR="00316E07" w:rsidRPr="000A635C">
        <w:rPr>
          <w:lang w:eastAsia="en-AU"/>
        </w:rPr>
        <w:t xml:space="preserve"> take into account when deciding whether to share </w:t>
      </w:r>
      <w:r>
        <w:rPr>
          <w:lang w:eastAsia="en-AU"/>
        </w:rPr>
        <w:t xml:space="preserve">the </w:t>
      </w:r>
      <w:r w:rsidR="00316E07" w:rsidRPr="000A635C">
        <w:rPr>
          <w:lang w:eastAsia="en-AU"/>
        </w:rPr>
        <w:t>information</w:t>
      </w:r>
      <w:r>
        <w:rPr>
          <w:lang w:eastAsia="en-AU"/>
        </w:rPr>
        <w:t>,</w:t>
      </w:r>
      <w:r w:rsidR="00316E07" w:rsidRPr="000A635C">
        <w:rPr>
          <w:lang w:eastAsia="en-AU"/>
        </w:rPr>
        <w:t xml:space="preserve"> </w:t>
      </w:r>
      <w:r>
        <w:rPr>
          <w:lang w:eastAsia="en-AU"/>
        </w:rPr>
        <w:t>i</w:t>
      </w:r>
      <w:r w:rsidR="00316E07" w:rsidRPr="000A635C">
        <w:rPr>
          <w:lang w:eastAsia="en-AU"/>
        </w:rPr>
        <w:t>f the professional’s view is that sharing the information will harm the child they are working with</w:t>
      </w:r>
      <w:r w:rsidR="008F44E6">
        <w:rPr>
          <w:lang w:val="en-US"/>
        </w:rPr>
        <w:t>.</w:t>
      </w:r>
    </w:p>
    <w:p w14:paraId="47689A6E" w14:textId="23D776D1" w:rsidR="008E4112" w:rsidRPr="000A635C" w:rsidRDefault="008E4112" w:rsidP="008E4112">
      <w:pPr>
        <w:rPr>
          <w:lang w:eastAsia="en-AU"/>
        </w:rPr>
      </w:pPr>
      <w:r>
        <w:rPr>
          <w:lang w:eastAsia="en-AU"/>
        </w:rPr>
        <w:t>T</w:t>
      </w:r>
      <w:r w:rsidRPr="000A635C">
        <w:rPr>
          <w:lang w:eastAsia="en-AU"/>
        </w:rPr>
        <w:t xml:space="preserve">he impact of the </w:t>
      </w:r>
      <w:r>
        <w:rPr>
          <w:lang w:eastAsia="en-AU"/>
        </w:rPr>
        <w:t xml:space="preserve">proposed </w:t>
      </w:r>
      <w:r w:rsidRPr="000A635C">
        <w:rPr>
          <w:lang w:eastAsia="en-AU"/>
        </w:rPr>
        <w:t xml:space="preserve">sharing threshold on the proportionality of the obligation to share one child’s information for another child’s </w:t>
      </w:r>
      <w:r>
        <w:rPr>
          <w:lang w:eastAsia="en-AU"/>
        </w:rPr>
        <w:t xml:space="preserve">benefit is also unclear and could raise </w:t>
      </w:r>
      <w:r w:rsidR="00F92A77">
        <w:rPr>
          <w:lang w:eastAsia="en-AU"/>
        </w:rPr>
        <w:t xml:space="preserve">issues regarding </w:t>
      </w:r>
      <w:r>
        <w:rPr>
          <w:lang w:eastAsia="en-AU"/>
        </w:rPr>
        <w:t xml:space="preserve">compliance </w:t>
      </w:r>
      <w:r w:rsidR="00F92A77">
        <w:rPr>
          <w:lang w:eastAsia="en-AU"/>
        </w:rPr>
        <w:t xml:space="preserve">with section 13 of the </w:t>
      </w:r>
      <w:r w:rsidR="00F92A77" w:rsidRPr="00A0428B">
        <w:rPr>
          <w:i/>
        </w:rPr>
        <w:t>Charter of Human Rights and Responsibilities Act</w:t>
      </w:r>
      <w:r w:rsidR="00F92A77">
        <w:t xml:space="preserve"> as against section 17 of that Act</w:t>
      </w:r>
      <w:r w:rsidRPr="0076158B">
        <w:rPr>
          <w:lang w:eastAsia="en-AU"/>
        </w:rPr>
        <w:t>.</w:t>
      </w:r>
      <w:r w:rsidRPr="000A635C">
        <w:rPr>
          <w:lang w:eastAsia="en-AU"/>
        </w:rPr>
        <w:t xml:space="preserve"> We suggest that the legislation needs to ensure that any infringement on one child’s rights is proportionate to the purpose of the sharing.</w:t>
      </w:r>
    </w:p>
    <w:p w14:paraId="65293178" w14:textId="1AD6A7C8" w:rsidR="007F0C1F" w:rsidRPr="009D76F3" w:rsidRDefault="00B81AB3" w:rsidP="0000169D">
      <w:pPr>
        <w:pStyle w:val="Heading3"/>
        <w:pBdr>
          <w:top w:val="single" w:sz="4" w:space="1" w:color="auto"/>
          <w:left w:val="single" w:sz="4" w:space="4" w:color="auto"/>
          <w:bottom w:val="single" w:sz="4" w:space="1" w:color="auto"/>
          <w:right w:val="single" w:sz="4" w:space="4" w:color="auto"/>
        </w:pBdr>
        <w:spacing w:after="0"/>
      </w:pPr>
      <w:bookmarkStart w:id="7" w:name="_Toc495402427"/>
      <w:bookmarkStart w:id="8" w:name="_Toc495405346"/>
      <w:bookmarkStart w:id="9" w:name="_Toc495405432"/>
      <w:bookmarkStart w:id="10" w:name="_Toc495509156"/>
      <w:bookmarkStart w:id="11" w:name="_Toc495599073"/>
      <w:bookmarkStart w:id="12" w:name="_Toc495657252"/>
      <w:bookmarkStart w:id="13" w:name="_Toc495663343"/>
      <w:bookmarkStart w:id="14" w:name="_Toc495928617"/>
      <w:bookmarkStart w:id="15" w:name="_Toc495935520"/>
      <w:bookmarkStart w:id="16" w:name="_Toc495943602"/>
      <w:bookmarkStart w:id="17" w:name="_Toc495943871"/>
      <w:bookmarkStart w:id="18" w:name="_Toc495992895"/>
      <w:r w:rsidRPr="009D76F3">
        <w:t>Recommendation:</w:t>
      </w:r>
      <w:bookmarkEnd w:id="7"/>
      <w:bookmarkEnd w:id="8"/>
      <w:bookmarkEnd w:id="9"/>
      <w:bookmarkEnd w:id="10"/>
      <w:bookmarkEnd w:id="11"/>
      <w:bookmarkEnd w:id="12"/>
      <w:bookmarkEnd w:id="13"/>
      <w:bookmarkEnd w:id="14"/>
      <w:bookmarkEnd w:id="15"/>
      <w:bookmarkEnd w:id="16"/>
      <w:bookmarkEnd w:id="17"/>
      <w:bookmarkEnd w:id="18"/>
      <w:r w:rsidRPr="009D76F3">
        <w:t xml:space="preserve"> </w:t>
      </w:r>
    </w:p>
    <w:p w14:paraId="4BD1E2A3" w14:textId="29704CBC" w:rsidR="007E117E" w:rsidRDefault="00AB35B1" w:rsidP="00A22E98">
      <w:pPr>
        <w:pBdr>
          <w:top w:val="single" w:sz="4" w:space="1" w:color="auto"/>
          <w:left w:val="single" w:sz="4" w:space="4" w:color="auto"/>
          <w:bottom w:val="single" w:sz="4" w:space="1" w:color="auto"/>
          <w:right w:val="single" w:sz="4" w:space="4" w:color="auto"/>
        </w:pBdr>
        <w:spacing w:after="360"/>
        <w:rPr>
          <w:lang w:eastAsia="en-AU"/>
        </w:rPr>
      </w:pPr>
      <w:r>
        <w:rPr>
          <w:lang w:eastAsia="en-AU"/>
        </w:rPr>
        <w:t>R</w:t>
      </w:r>
      <w:r w:rsidR="000F66F7" w:rsidRPr="009D76F3">
        <w:rPr>
          <w:lang w:eastAsia="en-AU"/>
        </w:rPr>
        <w:t>efine</w:t>
      </w:r>
      <w:r>
        <w:rPr>
          <w:lang w:eastAsia="en-AU"/>
        </w:rPr>
        <w:t xml:space="preserve"> the</w:t>
      </w:r>
      <w:r w:rsidR="000F66F7" w:rsidRPr="009D76F3">
        <w:rPr>
          <w:lang w:eastAsia="en-AU"/>
        </w:rPr>
        <w:t xml:space="preserve"> purpose </w:t>
      </w:r>
      <w:r>
        <w:rPr>
          <w:lang w:eastAsia="en-AU"/>
        </w:rPr>
        <w:t>f</w:t>
      </w:r>
      <w:r w:rsidR="00F8464C">
        <w:rPr>
          <w:lang w:eastAsia="en-AU"/>
        </w:rPr>
        <w:t>or</w:t>
      </w:r>
      <w:r>
        <w:rPr>
          <w:lang w:eastAsia="en-AU"/>
        </w:rPr>
        <w:t xml:space="preserve"> information </w:t>
      </w:r>
      <w:r w:rsidR="000F66F7" w:rsidRPr="009D76F3">
        <w:rPr>
          <w:lang w:eastAsia="en-AU"/>
        </w:rPr>
        <w:t>sharing</w:t>
      </w:r>
      <w:r>
        <w:rPr>
          <w:lang w:eastAsia="en-AU"/>
        </w:rPr>
        <w:t xml:space="preserve"> within </w:t>
      </w:r>
      <w:r w:rsidR="005E45E5">
        <w:rPr>
          <w:lang w:eastAsia="en-AU"/>
        </w:rPr>
        <w:t xml:space="preserve">a risk management and rights-based framework with clear </w:t>
      </w:r>
      <w:r w:rsidR="00F8464C">
        <w:rPr>
          <w:lang w:eastAsia="en-AU"/>
        </w:rPr>
        <w:t>definitions</w:t>
      </w:r>
      <w:r w:rsidR="005E45E5">
        <w:rPr>
          <w:lang w:eastAsia="en-AU"/>
        </w:rPr>
        <w:t xml:space="preserve"> of c</w:t>
      </w:r>
      <w:r w:rsidR="00F8464C">
        <w:rPr>
          <w:lang w:eastAsia="en-AU"/>
        </w:rPr>
        <w:t>hildren’s rights to safety, and directions for organisations and practitioners to act in response to risk</w:t>
      </w:r>
      <w:r w:rsidR="007F0C1F" w:rsidRPr="009D76F3">
        <w:rPr>
          <w:lang w:eastAsia="en-AU"/>
        </w:rPr>
        <w:t>.</w:t>
      </w:r>
    </w:p>
    <w:p w14:paraId="70C93318" w14:textId="77777777" w:rsidR="00396477" w:rsidRPr="000A635C" w:rsidRDefault="00396477" w:rsidP="0017416A">
      <w:pPr>
        <w:pStyle w:val="Heading2"/>
      </w:pPr>
      <w:bookmarkStart w:id="19" w:name="_Toc495992896"/>
      <w:r w:rsidRPr="000A635C">
        <w:t>Consent and agency promote safety</w:t>
      </w:r>
      <w:bookmarkEnd w:id="19"/>
    </w:p>
    <w:p w14:paraId="590FEECE" w14:textId="77777777" w:rsidR="00030C56" w:rsidRDefault="00BC689D" w:rsidP="00BC689D">
      <w:pPr>
        <w:rPr>
          <w:lang w:eastAsia="en-AU"/>
        </w:rPr>
      </w:pPr>
      <w:r w:rsidRPr="000A635C">
        <w:rPr>
          <w:lang w:eastAsia="en-AU"/>
        </w:rPr>
        <w:t>As described in the previous section, consent and agency support engagement</w:t>
      </w:r>
      <w:r w:rsidR="002329F7" w:rsidRPr="000A635C">
        <w:rPr>
          <w:lang w:eastAsia="en-AU"/>
        </w:rPr>
        <w:t xml:space="preserve"> with services</w:t>
      </w:r>
      <w:r w:rsidRPr="000A635C">
        <w:rPr>
          <w:lang w:eastAsia="en-AU"/>
        </w:rPr>
        <w:t>, which in turn supports safety. Our experience is that safety is also directly promoted by involving children (as appropriate) and protective parents in decisions about information sharing.</w:t>
      </w:r>
      <w:r w:rsidR="00846340" w:rsidRPr="000A635C">
        <w:rPr>
          <w:lang w:eastAsia="en-AU"/>
        </w:rPr>
        <w:t xml:space="preserve"> </w:t>
      </w:r>
    </w:p>
    <w:p w14:paraId="71BA126E" w14:textId="2E66AA4B" w:rsidR="00846340" w:rsidRDefault="00846340" w:rsidP="00BC689D">
      <w:pPr>
        <w:rPr>
          <w:lang w:eastAsia="en-AU"/>
        </w:rPr>
      </w:pPr>
      <w:r w:rsidRPr="000A635C">
        <w:rPr>
          <w:lang w:eastAsia="en-AU"/>
        </w:rPr>
        <w:t>This experience is largely detailed in the family violence</w:t>
      </w:r>
      <w:r w:rsidR="003C55D3">
        <w:rPr>
          <w:lang w:eastAsia="en-AU"/>
        </w:rPr>
        <w:t xml:space="preserve"> sector joint submission to this </w:t>
      </w:r>
      <w:r w:rsidRPr="000A635C">
        <w:rPr>
          <w:lang w:eastAsia="en-AU"/>
        </w:rPr>
        <w:t>consultation.</w:t>
      </w:r>
      <w:r w:rsidR="00030C56">
        <w:rPr>
          <w:lang w:eastAsia="en-AU"/>
        </w:rPr>
        <w:t xml:space="preserve"> Howeve</w:t>
      </w:r>
      <w:r w:rsidR="00F76964">
        <w:rPr>
          <w:lang w:eastAsia="en-AU"/>
        </w:rPr>
        <w:t>r, we provide some important examples from our practice experience in other legal contexts below.</w:t>
      </w:r>
    </w:p>
    <w:p w14:paraId="7ED93551" w14:textId="273E6487" w:rsidR="000453FB" w:rsidRPr="000A635C" w:rsidRDefault="00F76964" w:rsidP="00F76964">
      <w:pPr>
        <w:pStyle w:val="Heading3"/>
      </w:pPr>
      <w:bookmarkStart w:id="20" w:name="_Toc495992897"/>
      <w:r>
        <w:t>C</w:t>
      </w:r>
      <w:r w:rsidR="000453FB" w:rsidRPr="000A635C">
        <w:t>onsent and agency of children and young people</w:t>
      </w:r>
      <w:bookmarkEnd w:id="20"/>
    </w:p>
    <w:p w14:paraId="2E078788" w14:textId="274351C9" w:rsidR="000453FB" w:rsidRDefault="00F76964" w:rsidP="000453FB">
      <w:pPr>
        <w:rPr>
          <w:lang w:eastAsia="en-AU"/>
        </w:rPr>
      </w:pPr>
      <w:r>
        <w:rPr>
          <w:lang w:eastAsia="en-AU"/>
        </w:rPr>
        <w:t>W</w:t>
      </w:r>
      <w:r w:rsidR="000453FB" w:rsidRPr="000A635C">
        <w:rPr>
          <w:lang w:eastAsia="en-AU"/>
        </w:rPr>
        <w:t xml:space="preserve">e recommend that the proposed law better protect </w:t>
      </w:r>
      <w:r w:rsidR="000453FB">
        <w:rPr>
          <w:lang w:eastAsia="en-AU"/>
        </w:rPr>
        <w:t>the rights of children</w:t>
      </w:r>
      <w:r w:rsidR="000453FB" w:rsidRPr="000A635C">
        <w:rPr>
          <w:lang w:eastAsia="en-AU"/>
        </w:rPr>
        <w:t xml:space="preserve"> to the dignity of privacy and control over their personal information</w:t>
      </w:r>
      <w:r w:rsidR="000453FB">
        <w:rPr>
          <w:lang w:eastAsia="en-AU"/>
        </w:rPr>
        <w:t>, lest it inadvertently undermine their overall safety</w:t>
      </w:r>
      <w:r w:rsidR="000453FB" w:rsidRPr="000A635C">
        <w:rPr>
          <w:lang w:eastAsia="en-AU"/>
        </w:rPr>
        <w:t>.</w:t>
      </w:r>
      <w:r w:rsidR="000453FB" w:rsidRPr="000A635C" w:rsidDel="000D05E3">
        <w:rPr>
          <w:lang w:eastAsia="en-AU"/>
        </w:rPr>
        <w:t xml:space="preserve"> </w:t>
      </w:r>
    </w:p>
    <w:p w14:paraId="71E72952" w14:textId="77777777" w:rsidR="000453FB" w:rsidRPr="000A635C" w:rsidRDefault="000453FB" w:rsidP="000453FB">
      <w:pPr>
        <w:rPr>
          <w:lang w:eastAsia="en-AU"/>
        </w:rPr>
      </w:pPr>
      <w:r>
        <w:rPr>
          <w:lang w:eastAsia="en-AU"/>
        </w:rPr>
        <w:t>As detailed in the family violence sector joint submission,</w:t>
      </w:r>
      <w:r>
        <w:rPr>
          <w:rStyle w:val="FootnoteReference"/>
          <w:lang w:eastAsia="en-AU"/>
        </w:rPr>
        <w:footnoteReference w:id="4"/>
      </w:r>
      <w:r>
        <w:rPr>
          <w:lang w:eastAsia="en-AU"/>
        </w:rPr>
        <w:t xml:space="preserve"> t</w:t>
      </w:r>
      <w:r w:rsidRPr="000A635C">
        <w:rPr>
          <w:lang w:eastAsia="en-AU"/>
        </w:rPr>
        <w:t xml:space="preserve">his can be achieved through inclusion of </w:t>
      </w:r>
      <w:r>
        <w:rPr>
          <w:lang w:eastAsia="en-AU"/>
        </w:rPr>
        <w:t xml:space="preserve">age-appropriate consent </w:t>
      </w:r>
      <w:r w:rsidRPr="000A635C">
        <w:rPr>
          <w:lang w:eastAsia="en-AU"/>
        </w:rPr>
        <w:t>in the threshold test for sharing information, to put agency at the core of the new information sharing culture to be developed.</w:t>
      </w:r>
    </w:p>
    <w:p w14:paraId="4C29227A" w14:textId="77777777" w:rsidR="000453FB" w:rsidRPr="000A635C" w:rsidRDefault="000453FB" w:rsidP="000453FB">
      <w:pPr>
        <w:rPr>
          <w:lang w:eastAsia="en-AU"/>
        </w:rPr>
      </w:pPr>
      <w:r>
        <w:rPr>
          <w:lang w:eastAsia="en-AU"/>
        </w:rPr>
        <w:t>It is our e</w:t>
      </w:r>
      <w:r w:rsidRPr="000A635C">
        <w:rPr>
          <w:lang w:eastAsia="en-AU"/>
        </w:rPr>
        <w:t>xperience that</w:t>
      </w:r>
      <w:r>
        <w:rPr>
          <w:lang w:eastAsia="en-AU"/>
        </w:rPr>
        <w:t xml:space="preserve"> some current</w:t>
      </w:r>
      <w:r w:rsidRPr="000A635C">
        <w:rPr>
          <w:lang w:eastAsia="en-AU"/>
        </w:rPr>
        <w:t xml:space="preserve"> </w:t>
      </w:r>
      <w:r w:rsidRPr="000A635C">
        <w:t xml:space="preserve">information sharing </w:t>
      </w:r>
      <w:r>
        <w:t xml:space="preserve">practices </w:t>
      </w:r>
      <w:r w:rsidRPr="000A635C">
        <w:t>further disadvantag</w:t>
      </w:r>
      <w:r>
        <w:t>e</w:t>
      </w:r>
      <w:r w:rsidRPr="000A635C">
        <w:t xml:space="preserve"> </w:t>
      </w:r>
      <w:r>
        <w:t xml:space="preserve">and endanger </w:t>
      </w:r>
      <w:r w:rsidRPr="000A635C">
        <w:t xml:space="preserve">already stigmatised children. </w:t>
      </w:r>
    </w:p>
    <w:p w14:paraId="611C8D8A" w14:textId="77777777" w:rsidR="000453FB" w:rsidRPr="000A635C" w:rsidRDefault="000453FB" w:rsidP="000453FB">
      <w:r w:rsidRPr="000A635C">
        <w:t>“Alex’s” case</w:t>
      </w:r>
      <w:r>
        <w:t xml:space="preserve"> below</w:t>
      </w:r>
      <w:r w:rsidRPr="000A635C">
        <w:t xml:space="preserve"> illustrates how some of Victoria’s most disadvantaged children are already subject to higher levels of surveillance</w:t>
      </w:r>
      <w:r>
        <w:t>,</w:t>
      </w:r>
      <w:r w:rsidRPr="000A635C">
        <w:t xml:space="preserve"> and </w:t>
      </w:r>
      <w:r>
        <w:t>experience</w:t>
      </w:r>
      <w:r w:rsidRPr="000A635C">
        <w:t xml:space="preserve"> additional disadvantage through information sharing. It emphasises the need for the legislated threshold for sharing to guide a culture of engaging children in decision-making about their information. </w:t>
      </w:r>
    </w:p>
    <w:p w14:paraId="1F6EE491" w14:textId="77777777" w:rsidR="000453FB" w:rsidRPr="000A635C" w:rsidRDefault="000453FB" w:rsidP="000453FB">
      <w:pPr>
        <w:pStyle w:val="Heading4"/>
        <w:shd w:val="clear" w:color="auto" w:fill="D9D9D9" w:themeFill="background1" w:themeFillShade="D9"/>
      </w:pPr>
      <w:r w:rsidRPr="000A635C">
        <w:t>Case example – Alex</w:t>
      </w:r>
    </w:p>
    <w:p w14:paraId="7C4344B2" w14:textId="77777777" w:rsidR="000453FB" w:rsidRPr="003751B8" w:rsidRDefault="000453FB" w:rsidP="000453FB">
      <w:pPr>
        <w:shd w:val="clear" w:color="auto" w:fill="D9D9D9" w:themeFill="background1" w:themeFillShade="D9"/>
        <w:rPr>
          <w:i/>
        </w:rPr>
      </w:pPr>
      <w:r w:rsidRPr="003751B8">
        <w:rPr>
          <w:i/>
        </w:rPr>
        <w:t>Alex is 14. He experienced family violence from his father throughout his early childhood until his parents separated and he lived with his mother. His mother uses drugs as a coping mechanism and has poor mental health. She doesn’t have adequate family support to care for Alex and Alex has gone into DHHS care. He lives in a residential unit.</w:t>
      </w:r>
    </w:p>
    <w:p w14:paraId="3BAF5F71" w14:textId="77777777" w:rsidR="000453FB" w:rsidRDefault="000453FB" w:rsidP="000453FB">
      <w:pPr>
        <w:shd w:val="clear" w:color="auto" w:fill="D9D9D9" w:themeFill="background1" w:themeFillShade="D9"/>
        <w:rPr>
          <w:i/>
        </w:rPr>
      </w:pPr>
      <w:r w:rsidRPr="003751B8">
        <w:rPr>
          <w:i/>
        </w:rPr>
        <w:lastRenderedPageBreak/>
        <w:t xml:space="preserve">In a routine check of Alex’s room at the residential unit staff find some electronics that they suspect are stolen property. Alex gathers up the electronics and leaves the house. Staff call Police. Police find Alex and find the electronics nearby. They charge him with receiving stolen property. </w:t>
      </w:r>
    </w:p>
    <w:p w14:paraId="51ED58C7" w14:textId="77777777" w:rsidR="000453FB" w:rsidRPr="003751B8" w:rsidRDefault="000453FB" w:rsidP="000453FB">
      <w:pPr>
        <w:shd w:val="clear" w:color="auto" w:fill="D9D9D9" w:themeFill="background1" w:themeFillShade="D9"/>
        <w:rPr>
          <w:i/>
        </w:rPr>
      </w:pPr>
      <w:r w:rsidRPr="003751B8">
        <w:rPr>
          <w:i/>
        </w:rPr>
        <w:t>The</w:t>
      </w:r>
      <w:r>
        <w:rPr>
          <w:i/>
        </w:rPr>
        <w:t xml:space="preserve"> Police</w:t>
      </w:r>
      <w:r w:rsidRPr="003751B8">
        <w:rPr>
          <w:i/>
        </w:rPr>
        <w:t xml:space="preserve"> ask the residential unit to provide their notes about the room search and about Alex’s movements on the day. The residential unit provides these notes for use as evidence in the Police case against Alex.</w:t>
      </w:r>
    </w:p>
    <w:p w14:paraId="68795946" w14:textId="77777777" w:rsidR="00F00B34" w:rsidRDefault="000453FB" w:rsidP="000453FB">
      <w:pPr>
        <w:shd w:val="clear" w:color="auto" w:fill="D9D9D9" w:themeFill="background1" w:themeFillShade="D9"/>
        <w:rPr>
          <w:i/>
        </w:rPr>
      </w:pPr>
      <w:r w:rsidRPr="003751B8">
        <w:rPr>
          <w:i/>
        </w:rPr>
        <w:t>Alex’s relationship with the residential unit is damaged by the unit’s decision to support the police prosecution. He considers that the role of the unit staff is not to support him but instead to monitor him and enforce the law against him.</w:t>
      </w:r>
      <w:r w:rsidR="00EB4DAC">
        <w:rPr>
          <w:i/>
        </w:rPr>
        <w:t xml:space="preserve"> </w:t>
      </w:r>
    </w:p>
    <w:p w14:paraId="1973A542" w14:textId="38E82D74" w:rsidR="000453FB" w:rsidRPr="003751B8" w:rsidRDefault="00EB4DAC" w:rsidP="000453FB">
      <w:pPr>
        <w:shd w:val="clear" w:color="auto" w:fill="D9D9D9" w:themeFill="background1" w:themeFillShade="D9"/>
        <w:rPr>
          <w:i/>
        </w:rPr>
      </w:pPr>
      <w:r>
        <w:rPr>
          <w:i/>
        </w:rPr>
        <w:t xml:space="preserve">The notes shared about </w:t>
      </w:r>
      <w:r w:rsidR="00F00B34">
        <w:rPr>
          <w:i/>
        </w:rPr>
        <w:t>Alex</w:t>
      </w:r>
      <w:r>
        <w:rPr>
          <w:i/>
        </w:rPr>
        <w:t xml:space="preserve"> are notes that are only kept about children disadvantaged enough to live in residential care, and they are being used by Police to support a criminal charge</w:t>
      </w:r>
      <w:r w:rsidR="00F00B34">
        <w:rPr>
          <w:i/>
        </w:rPr>
        <w:t xml:space="preserve"> against</w:t>
      </w:r>
      <w:r>
        <w:rPr>
          <w:i/>
        </w:rPr>
        <w:t xml:space="preserve"> Alex.</w:t>
      </w:r>
    </w:p>
    <w:p w14:paraId="04979C16" w14:textId="2CC74582" w:rsidR="000453FB" w:rsidRPr="000A635C" w:rsidRDefault="0000169D" w:rsidP="000453FB">
      <w:pPr>
        <w:rPr>
          <w:lang w:eastAsia="en-AU"/>
        </w:rPr>
      </w:pPr>
      <w:r>
        <w:rPr>
          <w:lang w:eastAsia="en-AU"/>
        </w:rPr>
        <w:t>“Saskia’s</w:t>
      </w:r>
      <w:r w:rsidR="000453FB">
        <w:rPr>
          <w:lang w:eastAsia="en-AU"/>
        </w:rPr>
        <w:t>”</w:t>
      </w:r>
      <w:r w:rsidR="000453FB" w:rsidRPr="000A635C">
        <w:rPr>
          <w:lang w:eastAsia="en-AU"/>
        </w:rPr>
        <w:t xml:space="preserve"> case study below shows the impact on another child when she was not involved in decisions to share her information. </w:t>
      </w:r>
    </w:p>
    <w:p w14:paraId="474BB9EE" w14:textId="5F9DE772" w:rsidR="000453FB" w:rsidRPr="003751B8" w:rsidRDefault="000453FB" w:rsidP="000453FB">
      <w:pPr>
        <w:pStyle w:val="Heading4"/>
        <w:shd w:val="clear" w:color="auto" w:fill="D9D9D9" w:themeFill="background1" w:themeFillShade="D9"/>
      </w:pPr>
      <w:r w:rsidRPr="003751B8">
        <w:t xml:space="preserve">Case example </w:t>
      </w:r>
      <w:r w:rsidR="00DB35B3">
        <w:t>–</w:t>
      </w:r>
      <w:r w:rsidRPr="003751B8">
        <w:t xml:space="preserve"> Saskia</w:t>
      </w:r>
    </w:p>
    <w:p w14:paraId="3F28B34E" w14:textId="77777777" w:rsidR="000453FB" w:rsidRPr="003751B8" w:rsidRDefault="000453FB" w:rsidP="000453FB">
      <w:pPr>
        <w:shd w:val="clear" w:color="auto" w:fill="D9D9D9" w:themeFill="background1" w:themeFillShade="D9"/>
        <w:rPr>
          <w:i/>
          <w:lang w:eastAsia="en-AU"/>
        </w:rPr>
      </w:pPr>
      <w:r w:rsidRPr="003751B8">
        <w:rPr>
          <w:i/>
          <w:lang w:eastAsia="en-AU"/>
        </w:rPr>
        <w:t>VLA represents Saskia, who is 16. Her step-father sexually abused her when she was 11 and 12</w:t>
      </w:r>
      <w:r>
        <w:rPr>
          <w:i/>
          <w:lang w:eastAsia="en-AU"/>
        </w:rPr>
        <w:t xml:space="preserve"> years old</w:t>
      </w:r>
      <w:r w:rsidRPr="003751B8">
        <w:rPr>
          <w:i/>
          <w:lang w:eastAsia="en-AU"/>
        </w:rPr>
        <w:t xml:space="preserve">. The abuse was reported to the Police, and the abuser is now in prison. Saskia’s mother was not seen to be adequately protective, so Saskia went into the care of DHHS Child Protection. </w:t>
      </w:r>
    </w:p>
    <w:p w14:paraId="17739AFE" w14:textId="77777777" w:rsidR="000453FB" w:rsidRDefault="000453FB" w:rsidP="000453FB">
      <w:pPr>
        <w:shd w:val="clear" w:color="auto" w:fill="D9D9D9" w:themeFill="background1" w:themeFillShade="D9"/>
        <w:rPr>
          <w:i/>
          <w:lang w:eastAsia="en-AU"/>
        </w:rPr>
      </w:pPr>
      <w:r w:rsidRPr="003751B8">
        <w:rPr>
          <w:i/>
          <w:lang w:eastAsia="en-AU"/>
        </w:rPr>
        <w:t xml:space="preserve">Saskia has lived in a number of DHHS placements. When she was 14 </w:t>
      </w:r>
      <w:r>
        <w:rPr>
          <w:i/>
          <w:lang w:eastAsia="en-AU"/>
        </w:rPr>
        <w:t xml:space="preserve">years old </w:t>
      </w:r>
      <w:r w:rsidRPr="003751B8">
        <w:rPr>
          <w:i/>
          <w:lang w:eastAsia="en-AU"/>
        </w:rPr>
        <w:t xml:space="preserve">she lived in a residential care unit run by “Horizons”.* At Horizons she had frequent conflict with the staff and with one other child. </w:t>
      </w:r>
    </w:p>
    <w:p w14:paraId="490DCC14" w14:textId="77777777" w:rsidR="000453FB" w:rsidRPr="003751B8" w:rsidRDefault="000453FB" w:rsidP="000453FB">
      <w:pPr>
        <w:shd w:val="clear" w:color="auto" w:fill="D9D9D9" w:themeFill="background1" w:themeFillShade="D9"/>
        <w:rPr>
          <w:i/>
          <w:lang w:eastAsia="en-AU"/>
        </w:rPr>
      </w:pPr>
      <w:r w:rsidRPr="003751B8">
        <w:rPr>
          <w:i/>
          <w:lang w:eastAsia="en-AU"/>
        </w:rPr>
        <w:t xml:space="preserve">Saskia has since moved to a new residential unit, run by “Caring Melbourne”, where she has been living for over two years. Saskia </w:t>
      </w:r>
      <w:r>
        <w:rPr>
          <w:i/>
          <w:lang w:eastAsia="en-AU"/>
        </w:rPr>
        <w:t>h</w:t>
      </w:r>
      <w:r w:rsidRPr="003751B8">
        <w:rPr>
          <w:i/>
          <w:lang w:eastAsia="en-AU"/>
        </w:rPr>
        <w:t xml:space="preserve">as </w:t>
      </w:r>
      <w:r>
        <w:rPr>
          <w:i/>
          <w:lang w:eastAsia="en-AU"/>
        </w:rPr>
        <w:t>been happier</w:t>
      </w:r>
      <w:r w:rsidRPr="003751B8">
        <w:rPr>
          <w:i/>
          <w:lang w:eastAsia="en-AU"/>
        </w:rPr>
        <w:t xml:space="preserve"> at the new unit, but she still wants to move in with her older sister, Ciara, who is 29. Ciara is happy to have Saskia come to live with her, but DHHS has some concerns about Saskia’s sexual activity with her 18-year-old boyfriend.</w:t>
      </w:r>
    </w:p>
    <w:p w14:paraId="315AF1E2" w14:textId="77777777" w:rsidR="000453FB" w:rsidRPr="003751B8" w:rsidRDefault="000453FB" w:rsidP="000453FB">
      <w:pPr>
        <w:shd w:val="clear" w:color="auto" w:fill="D9D9D9" w:themeFill="background1" w:themeFillShade="D9"/>
        <w:rPr>
          <w:i/>
          <w:lang w:eastAsia="en-AU"/>
        </w:rPr>
      </w:pPr>
      <w:r w:rsidRPr="003751B8">
        <w:rPr>
          <w:i/>
          <w:lang w:eastAsia="en-AU"/>
        </w:rPr>
        <w:t xml:space="preserve">Saskia’s care team has been meeting to discuss whether DHHS will support a move to live with her sister. In the Court proceedings about whether Saskia will go to live with her sister, Saskia has seen notes from the care team meetings. She sees that DHHS has been talking with staff of the Horizons residential unit where she lived when she was 14. She sees that Horizons has said that she lied frequently and that she can’t be trusted. She also sees that Horizons staff have been given information about her sexual relationship with her boyfriend. </w:t>
      </w:r>
    </w:p>
    <w:p w14:paraId="08FE440C" w14:textId="77777777" w:rsidR="000453FB" w:rsidRPr="003751B8" w:rsidRDefault="000453FB" w:rsidP="000453FB">
      <w:pPr>
        <w:shd w:val="clear" w:color="auto" w:fill="D9D9D9" w:themeFill="background1" w:themeFillShade="D9"/>
        <w:rPr>
          <w:i/>
          <w:lang w:eastAsia="en-AU"/>
        </w:rPr>
      </w:pPr>
      <w:r w:rsidRPr="003751B8">
        <w:rPr>
          <w:i/>
          <w:lang w:eastAsia="en-AU"/>
        </w:rPr>
        <w:t xml:space="preserve">Saskia feels that her privacy has been invaded by Horizons staff having access to personal information about her that they don’t need because they’re not involved in her current care. She also feels that the information Horizons has given about her is unfair, because it is a generalised opinion about how she behaved more than two years ago, and she feels she has been branded a liar without getting a chance to respond. She is angry that she wasn’t asked whether Horizons could be involved in information sharing about her. </w:t>
      </w:r>
    </w:p>
    <w:p w14:paraId="1D8524C7" w14:textId="77777777" w:rsidR="000453FB" w:rsidRPr="003751B8" w:rsidRDefault="000453FB" w:rsidP="000453FB">
      <w:pPr>
        <w:shd w:val="clear" w:color="auto" w:fill="D9D9D9" w:themeFill="background1" w:themeFillShade="D9"/>
        <w:rPr>
          <w:i/>
          <w:lang w:eastAsia="en-AU"/>
        </w:rPr>
      </w:pPr>
      <w:r w:rsidRPr="003751B8">
        <w:rPr>
          <w:i/>
          <w:lang w:eastAsia="en-AU"/>
        </w:rPr>
        <w:t xml:space="preserve">Saskia is very upset about the information sharing that took place without her consent and without her views being sought. Saskia has told her lawyer that she feels embarrassed that lots of people have been talking about the ways she was sexually abused and about her current sexual activity when she feels they don’t need to. She feels disrespected and like she has no power in the situation. As decision-making about Saskia’s placement continues, Saskia is disengaging further </w:t>
      </w:r>
      <w:r w:rsidRPr="003751B8">
        <w:rPr>
          <w:i/>
          <w:lang w:eastAsia="en-AU"/>
        </w:rPr>
        <w:lastRenderedPageBreak/>
        <w:t xml:space="preserve">from school, and doing poorly when she does attend. She feels like she has no control over her own life and isn’t listened to. </w:t>
      </w:r>
    </w:p>
    <w:p w14:paraId="24BD7607" w14:textId="78AF3666" w:rsidR="000453FB" w:rsidRPr="00F76964" w:rsidRDefault="000453FB" w:rsidP="000453FB">
      <w:pPr>
        <w:shd w:val="clear" w:color="auto" w:fill="D9D9D9" w:themeFill="background1" w:themeFillShade="D9"/>
        <w:rPr>
          <w:i/>
          <w:sz w:val="20"/>
          <w:szCs w:val="20"/>
          <w:lang w:eastAsia="en-AU"/>
        </w:rPr>
      </w:pPr>
      <w:r w:rsidRPr="00F76964">
        <w:rPr>
          <w:i/>
          <w:sz w:val="20"/>
          <w:szCs w:val="20"/>
          <w:lang w:eastAsia="en-AU"/>
        </w:rPr>
        <w:t xml:space="preserve">* Fictitious names are also used for service providers in this case study. </w:t>
      </w:r>
    </w:p>
    <w:p w14:paraId="1365A13E" w14:textId="77777777" w:rsidR="000453FB" w:rsidRDefault="000453FB" w:rsidP="000453FB">
      <w:pPr>
        <w:rPr>
          <w:lang w:eastAsia="en-AU"/>
        </w:rPr>
      </w:pPr>
      <w:r w:rsidRPr="000A635C">
        <w:rPr>
          <w:lang w:eastAsia="en-AU"/>
        </w:rPr>
        <w:t>Saskia’s case illustrates the impact of not supporting</w:t>
      </w:r>
      <w:r>
        <w:rPr>
          <w:lang w:eastAsia="en-AU"/>
        </w:rPr>
        <w:t xml:space="preserve"> children’s</w:t>
      </w:r>
      <w:r w:rsidRPr="000A635C">
        <w:rPr>
          <w:lang w:eastAsia="en-AU"/>
        </w:rPr>
        <w:t xml:space="preserve"> informed decision-making </w:t>
      </w:r>
      <w:r>
        <w:rPr>
          <w:lang w:eastAsia="en-AU"/>
        </w:rPr>
        <w:t>about whether they consent to information sharing or not</w:t>
      </w:r>
      <w:r w:rsidRPr="000A635C">
        <w:rPr>
          <w:lang w:eastAsia="en-AU"/>
        </w:rPr>
        <w:t xml:space="preserve">. </w:t>
      </w:r>
      <w:r>
        <w:rPr>
          <w:lang w:eastAsia="en-AU"/>
        </w:rPr>
        <w:t>While the sharing of information may have been well-intentioned in advancing the young person’s safety and wellbeing, in effect it can undermine that very safety and wellbeing.</w:t>
      </w:r>
    </w:p>
    <w:p w14:paraId="3CE791EE" w14:textId="77777777" w:rsidR="000453FB" w:rsidRPr="000A635C" w:rsidRDefault="000453FB" w:rsidP="000453FB">
      <w:pPr>
        <w:rPr>
          <w:lang w:eastAsia="en-AU"/>
        </w:rPr>
      </w:pPr>
      <w:r w:rsidRPr="000A635C">
        <w:rPr>
          <w:lang w:eastAsia="en-AU"/>
        </w:rPr>
        <w:t>We suggest that the legislation require professional</w:t>
      </w:r>
      <w:r>
        <w:rPr>
          <w:lang w:eastAsia="en-AU"/>
        </w:rPr>
        <w:t xml:space="preserve">s to consider obtaining the </w:t>
      </w:r>
      <w:r w:rsidRPr="000A635C">
        <w:rPr>
          <w:lang w:eastAsia="en-AU"/>
        </w:rPr>
        <w:t>consent of a child or young person prior to the sharing of information</w:t>
      </w:r>
      <w:r>
        <w:rPr>
          <w:lang w:eastAsia="en-AU"/>
        </w:rPr>
        <w:t>,</w:t>
      </w:r>
      <w:r w:rsidRPr="000A635C">
        <w:rPr>
          <w:lang w:eastAsia="en-AU"/>
        </w:rPr>
        <w:t xml:space="preserve"> and </w:t>
      </w:r>
      <w:r>
        <w:rPr>
          <w:lang w:eastAsia="en-AU"/>
        </w:rPr>
        <w:t>to keep</w:t>
      </w:r>
      <w:r w:rsidRPr="000A635C">
        <w:rPr>
          <w:lang w:eastAsia="en-AU"/>
        </w:rPr>
        <w:t xml:space="preserve"> </w:t>
      </w:r>
      <w:r>
        <w:rPr>
          <w:lang w:eastAsia="en-AU"/>
        </w:rPr>
        <w:t xml:space="preserve">a </w:t>
      </w:r>
      <w:r w:rsidRPr="000A635C">
        <w:rPr>
          <w:lang w:eastAsia="en-AU"/>
        </w:rPr>
        <w:t>record of this professional judgment. This appropriately elevates a child’s agency from a legislated principle to a core part of the sharing threshold.</w:t>
      </w:r>
    </w:p>
    <w:p w14:paraId="1AD6191A" w14:textId="77777777" w:rsidR="000453FB" w:rsidRDefault="000453FB" w:rsidP="000453FB">
      <w:pPr>
        <w:rPr>
          <w:lang w:eastAsia="en-AU"/>
        </w:rPr>
      </w:pPr>
      <w:r w:rsidRPr="000A635C">
        <w:rPr>
          <w:lang w:eastAsia="en-AU"/>
        </w:rPr>
        <w:t xml:space="preserve">Though we accept that it will not be possible or appropriate to seek consent from children of all ages, an age-appropriate consideration of consent from child or parent should be part of the legislated threshold for information sharing. </w:t>
      </w:r>
    </w:p>
    <w:p w14:paraId="228DB26B" w14:textId="77777777" w:rsidR="000453FB" w:rsidRPr="000A635C" w:rsidRDefault="000453FB" w:rsidP="000453FB">
      <w:pPr>
        <w:rPr>
          <w:lang w:eastAsia="en-AU"/>
        </w:rPr>
      </w:pPr>
      <w:r>
        <w:rPr>
          <w:lang w:eastAsia="en-AU"/>
        </w:rPr>
        <w:t>The family violence sector joint submission expands on this recommendation (under the heading “</w:t>
      </w:r>
      <w:r w:rsidRPr="00FA6F7E">
        <w:rPr>
          <w:lang w:eastAsia="en-AU"/>
        </w:rPr>
        <w:t>Create a four-part test to include informed consent</w:t>
      </w:r>
      <w:r>
        <w:rPr>
          <w:lang w:eastAsia="en-AU"/>
        </w:rPr>
        <w:t>”, beginning on page 7 of that submission).</w:t>
      </w:r>
    </w:p>
    <w:p w14:paraId="30CD43A9" w14:textId="08977F04" w:rsidR="00030C56" w:rsidRPr="000A635C" w:rsidRDefault="00F76964" w:rsidP="00F76964">
      <w:pPr>
        <w:pStyle w:val="Heading3"/>
      </w:pPr>
      <w:bookmarkStart w:id="21" w:name="_Toc495992898"/>
      <w:r>
        <w:t>C</w:t>
      </w:r>
      <w:r w:rsidRPr="000A635C">
        <w:t xml:space="preserve">onsent and agency of </w:t>
      </w:r>
      <w:r>
        <w:t>parents and families</w:t>
      </w:r>
      <w:bookmarkEnd w:id="21"/>
    </w:p>
    <w:p w14:paraId="2AE6897A" w14:textId="77777777" w:rsidR="00030C56" w:rsidRDefault="00030C56" w:rsidP="000E42DD">
      <w:pPr>
        <w:rPr>
          <w:lang w:eastAsia="en-AU"/>
        </w:rPr>
      </w:pPr>
      <w:r>
        <w:rPr>
          <w:lang w:eastAsia="en-AU"/>
        </w:rPr>
        <w:t>Consent and agency is also important in dealing with adult clients.</w:t>
      </w:r>
    </w:p>
    <w:p w14:paraId="39304BB2" w14:textId="0765616C" w:rsidR="00030C56" w:rsidRDefault="00967A51" w:rsidP="000E42DD">
      <w:pPr>
        <w:rPr>
          <w:lang w:eastAsia="en-AU"/>
        </w:rPr>
      </w:pPr>
      <w:r w:rsidRPr="000A635C">
        <w:rPr>
          <w:lang w:eastAsia="en-AU"/>
        </w:rPr>
        <w:t xml:space="preserve">Another VLA case shows the safety risks associated with sharing </w:t>
      </w:r>
      <w:r w:rsidR="002D5669" w:rsidRPr="000A635C">
        <w:rPr>
          <w:lang w:eastAsia="en-AU"/>
        </w:rPr>
        <w:t xml:space="preserve">information </w:t>
      </w:r>
      <w:r w:rsidRPr="000A635C">
        <w:rPr>
          <w:lang w:eastAsia="en-AU"/>
        </w:rPr>
        <w:t>while not promoting the agency of the person who is most protective of the child</w:t>
      </w:r>
      <w:r w:rsidR="00F76964">
        <w:rPr>
          <w:lang w:eastAsia="en-AU"/>
        </w:rPr>
        <w:t xml:space="preserve"> </w:t>
      </w:r>
      <w:r w:rsidR="00F76964" w:rsidRPr="000A635C">
        <w:rPr>
          <w:lang w:eastAsia="en-AU"/>
        </w:rPr>
        <w:t>(in this case the mother)</w:t>
      </w:r>
      <w:r w:rsidR="000E42DD" w:rsidRPr="000A635C">
        <w:rPr>
          <w:lang w:eastAsia="en-AU"/>
        </w:rPr>
        <w:t xml:space="preserve">. </w:t>
      </w:r>
    </w:p>
    <w:p w14:paraId="0A6209C3" w14:textId="0DEC1C55" w:rsidR="00F60BFC" w:rsidRPr="000A635C" w:rsidRDefault="000E42DD" w:rsidP="000E42DD">
      <w:pPr>
        <w:rPr>
          <w:lang w:eastAsia="en-AU"/>
        </w:rPr>
      </w:pPr>
      <w:r w:rsidRPr="000A635C">
        <w:rPr>
          <w:lang w:eastAsia="en-AU"/>
        </w:rPr>
        <w:t>In this case</w:t>
      </w:r>
      <w:r w:rsidR="00030C56">
        <w:rPr>
          <w:lang w:eastAsia="en-AU"/>
        </w:rPr>
        <w:t xml:space="preserve"> below</w:t>
      </w:r>
      <w:r w:rsidR="00F92C18">
        <w:rPr>
          <w:lang w:eastAsia="en-AU"/>
        </w:rPr>
        <w:t xml:space="preserve"> </w:t>
      </w:r>
      <w:r w:rsidR="00470E56">
        <w:rPr>
          <w:lang w:eastAsia="en-AU"/>
        </w:rPr>
        <w:t>“</w:t>
      </w:r>
      <w:r w:rsidR="00F92C18">
        <w:rPr>
          <w:lang w:eastAsia="en-AU"/>
        </w:rPr>
        <w:t>Daniela</w:t>
      </w:r>
      <w:r w:rsidR="00470E56">
        <w:rPr>
          <w:lang w:eastAsia="en-AU"/>
        </w:rPr>
        <w:t>”</w:t>
      </w:r>
      <w:r w:rsidRPr="000A635C">
        <w:rPr>
          <w:lang w:eastAsia="en-AU"/>
        </w:rPr>
        <w:t>, a mother in regional Victoria</w:t>
      </w:r>
      <w:r w:rsidR="00470E56">
        <w:rPr>
          <w:lang w:eastAsia="en-AU"/>
        </w:rPr>
        <w:t>,</w:t>
      </w:r>
      <w:r w:rsidRPr="000A635C">
        <w:rPr>
          <w:lang w:eastAsia="en-AU"/>
        </w:rPr>
        <w:t xml:space="preserve"> spoke little English, so </w:t>
      </w:r>
      <w:r w:rsidR="00F60BFC" w:rsidRPr="000A635C">
        <w:rPr>
          <w:lang w:eastAsia="en-AU"/>
        </w:rPr>
        <w:t xml:space="preserve">English-speaking </w:t>
      </w:r>
      <w:r w:rsidRPr="000A635C">
        <w:rPr>
          <w:lang w:eastAsia="en-AU"/>
        </w:rPr>
        <w:t xml:space="preserve">services found it easier to let other people (including her husband) speak for her. </w:t>
      </w:r>
      <w:r w:rsidR="00F60BFC" w:rsidRPr="000A635C">
        <w:rPr>
          <w:lang w:eastAsia="en-AU"/>
        </w:rPr>
        <w:t xml:space="preserve">Information was shared without Daniela having the opportunity to respond to it effectively and provide other information. </w:t>
      </w:r>
    </w:p>
    <w:p w14:paraId="6E1D44CB" w14:textId="77777777" w:rsidR="00F60BFC" w:rsidRPr="000A635C" w:rsidRDefault="009843D0" w:rsidP="000E42DD">
      <w:pPr>
        <w:rPr>
          <w:lang w:eastAsia="en-AU"/>
        </w:rPr>
      </w:pPr>
      <w:r>
        <w:rPr>
          <w:lang w:eastAsia="en-AU"/>
        </w:rPr>
        <w:t>The failure to involve Daniela</w:t>
      </w:r>
      <w:r w:rsidRPr="000A635C">
        <w:rPr>
          <w:lang w:eastAsia="en-AU"/>
        </w:rPr>
        <w:t xml:space="preserve"> </w:t>
      </w:r>
      <w:r w:rsidR="000E42DD" w:rsidRPr="000A635C">
        <w:rPr>
          <w:lang w:eastAsia="en-AU"/>
        </w:rPr>
        <w:t xml:space="preserve">in the information sharing, amplified the voice of the father, who </w:t>
      </w:r>
      <w:r w:rsidR="00243816" w:rsidRPr="000A635C">
        <w:rPr>
          <w:lang w:eastAsia="en-AU"/>
        </w:rPr>
        <w:t>wa</w:t>
      </w:r>
      <w:r w:rsidR="000E42DD" w:rsidRPr="000A635C">
        <w:rPr>
          <w:lang w:eastAsia="en-AU"/>
        </w:rPr>
        <w:t xml:space="preserve">s using family violence against the mother. </w:t>
      </w:r>
      <w:r w:rsidR="00F60BFC" w:rsidRPr="000A635C">
        <w:rPr>
          <w:lang w:eastAsia="en-AU"/>
        </w:rPr>
        <w:t xml:space="preserve">Failure to have Daniela’s point of view before acting on information initially led to </w:t>
      </w:r>
      <w:r w:rsidR="00243816" w:rsidRPr="000A635C">
        <w:rPr>
          <w:lang w:eastAsia="en-AU"/>
        </w:rPr>
        <w:t>her</w:t>
      </w:r>
      <w:r w:rsidR="00F60BFC" w:rsidRPr="000A635C">
        <w:rPr>
          <w:lang w:eastAsia="en-AU"/>
        </w:rPr>
        <w:t xml:space="preserve"> children’s removal, and subsequently led to Daniela’s income support benefit being suspended and Daniela facing hunger and potential homelessness as a family violence survivor.</w:t>
      </w:r>
    </w:p>
    <w:p w14:paraId="73E52078" w14:textId="5696CFBB" w:rsidR="000E42DD" w:rsidRPr="000A635C" w:rsidRDefault="009843D0" w:rsidP="000E42DD">
      <w:pPr>
        <w:rPr>
          <w:lang w:eastAsia="en-AU"/>
        </w:rPr>
      </w:pPr>
      <w:r>
        <w:rPr>
          <w:lang w:eastAsia="en-AU"/>
        </w:rPr>
        <w:t>While t</w:t>
      </w:r>
      <w:r w:rsidR="000E42DD" w:rsidRPr="000A635C">
        <w:rPr>
          <w:lang w:eastAsia="en-AU"/>
        </w:rPr>
        <w:t xml:space="preserve">his is an issue under current legislation, </w:t>
      </w:r>
      <w:r w:rsidR="00243816" w:rsidRPr="000A635C">
        <w:rPr>
          <w:lang w:eastAsia="en-AU"/>
        </w:rPr>
        <w:t xml:space="preserve">it risks </w:t>
      </w:r>
      <w:r w:rsidR="000E42DD" w:rsidRPr="000A635C">
        <w:rPr>
          <w:lang w:eastAsia="en-AU"/>
        </w:rPr>
        <w:t>be</w:t>
      </w:r>
      <w:r w:rsidR="00243816" w:rsidRPr="000A635C">
        <w:rPr>
          <w:lang w:eastAsia="en-AU"/>
        </w:rPr>
        <w:t>ing</w:t>
      </w:r>
      <w:r w:rsidR="000E42DD" w:rsidRPr="000A635C">
        <w:rPr>
          <w:lang w:eastAsia="en-AU"/>
        </w:rPr>
        <w:t xml:space="preserve"> exacerbated by amendments which do not make consent a central aspect of information sharing. The issue is most stark in cases like Daniela’s, where the primary perpetrator of family violence is misidentified,</w:t>
      </w:r>
      <w:r w:rsidR="001C105C">
        <w:rPr>
          <w:rStyle w:val="FootnoteReference"/>
          <w:lang w:eastAsia="en-AU"/>
        </w:rPr>
        <w:footnoteReference w:id="5"/>
      </w:r>
      <w:r w:rsidR="000E42DD" w:rsidRPr="000A635C">
        <w:rPr>
          <w:lang w:eastAsia="en-AU"/>
        </w:rPr>
        <w:t xml:space="preserve"> but the same concerns can apply in many instances when information is shared without a parent of a child having a chance to respond to the information and contextualise it. </w:t>
      </w:r>
    </w:p>
    <w:p w14:paraId="381B9E32" w14:textId="0AF352C8" w:rsidR="00DA475B" w:rsidRPr="003751B8" w:rsidRDefault="00DA475B" w:rsidP="00DA475B">
      <w:pPr>
        <w:pStyle w:val="Heading4"/>
        <w:shd w:val="clear" w:color="auto" w:fill="D9D9D9" w:themeFill="background1" w:themeFillShade="D9"/>
      </w:pPr>
      <w:r w:rsidRPr="003751B8">
        <w:t xml:space="preserve">Case example </w:t>
      </w:r>
      <w:r w:rsidR="00DB35B3">
        <w:t>–</w:t>
      </w:r>
      <w:r w:rsidRPr="003751B8">
        <w:t xml:space="preserve"> </w:t>
      </w:r>
      <w:r>
        <w:t>Daniel</w:t>
      </w:r>
      <w:r w:rsidRPr="003751B8">
        <w:t>a</w:t>
      </w:r>
    </w:p>
    <w:p w14:paraId="1690AEB8" w14:textId="77777777" w:rsidR="00967A51" w:rsidRPr="000A635C" w:rsidRDefault="00967A51" w:rsidP="003751B8">
      <w:pPr>
        <w:shd w:val="clear" w:color="auto" w:fill="D9D9D9" w:themeFill="background1" w:themeFillShade="D9"/>
        <w:rPr>
          <w:i/>
          <w:lang w:val="en-US"/>
        </w:rPr>
      </w:pPr>
      <w:r w:rsidRPr="000A635C">
        <w:rPr>
          <w:i/>
          <w:lang w:val="en-US"/>
        </w:rPr>
        <w:t>Daniela arrived in Australia in 2013 from Colombia, after marrying a Colombian man who lives in regional Victoria. Daniela has no family or friends in Australia and speaks very little English.</w:t>
      </w:r>
    </w:p>
    <w:p w14:paraId="478B986B" w14:textId="77777777" w:rsidR="00967A51" w:rsidRPr="000A635C" w:rsidRDefault="00967A51" w:rsidP="003751B8">
      <w:pPr>
        <w:shd w:val="clear" w:color="auto" w:fill="D9D9D9" w:themeFill="background1" w:themeFillShade="D9"/>
        <w:rPr>
          <w:i/>
          <w:lang w:val="en-US"/>
        </w:rPr>
      </w:pPr>
      <w:r w:rsidRPr="000A635C">
        <w:rPr>
          <w:i/>
          <w:lang w:eastAsia="en-AU"/>
        </w:rPr>
        <w:lastRenderedPageBreak/>
        <w:t>Daniela’s children are 1 and 3 years old. Her husband, who s</w:t>
      </w:r>
      <w:r w:rsidR="000E42DD" w:rsidRPr="000A635C">
        <w:rPr>
          <w:i/>
          <w:lang w:eastAsia="en-AU"/>
        </w:rPr>
        <w:t>peaks much more English than she does</w:t>
      </w:r>
      <w:r w:rsidRPr="000A635C">
        <w:rPr>
          <w:i/>
          <w:lang w:eastAsia="en-AU"/>
        </w:rPr>
        <w:t xml:space="preserve">, has been violent towards her for a number of years, and she decided to leave him. She moved into supported housing with the children, but on multiple occasions she returned to her husband’s house. She was feeling extremely isolated and exhausted and felt that she might cope better </w:t>
      </w:r>
      <w:r w:rsidR="000E42DD" w:rsidRPr="000A635C">
        <w:rPr>
          <w:i/>
          <w:lang w:eastAsia="en-AU"/>
        </w:rPr>
        <w:t>with</w:t>
      </w:r>
      <w:r w:rsidRPr="000A635C">
        <w:rPr>
          <w:i/>
          <w:lang w:eastAsia="en-AU"/>
        </w:rPr>
        <w:t xml:space="preserve"> her husband</w:t>
      </w:r>
      <w:r w:rsidR="000E42DD" w:rsidRPr="000A635C">
        <w:rPr>
          <w:i/>
          <w:lang w:eastAsia="en-AU"/>
        </w:rPr>
        <w:t xml:space="preserve"> than without him</w:t>
      </w:r>
      <w:r w:rsidRPr="000A635C">
        <w:rPr>
          <w:i/>
          <w:lang w:eastAsia="en-AU"/>
        </w:rPr>
        <w:t xml:space="preserve">, even with the violence. </w:t>
      </w:r>
      <w:r w:rsidRPr="000A635C">
        <w:rPr>
          <w:i/>
          <w:lang w:val="en-US"/>
        </w:rPr>
        <w:t>Daniela misses her family intensely and feels miserable.</w:t>
      </w:r>
    </w:p>
    <w:p w14:paraId="516316F7" w14:textId="77777777" w:rsidR="00967A51" w:rsidRPr="000A635C" w:rsidRDefault="00967A51" w:rsidP="003751B8">
      <w:pPr>
        <w:shd w:val="clear" w:color="auto" w:fill="D9D9D9" w:themeFill="background1" w:themeFillShade="D9"/>
        <w:rPr>
          <w:i/>
          <w:lang w:val="en-US"/>
        </w:rPr>
      </w:pPr>
      <w:r w:rsidRPr="000A635C">
        <w:rPr>
          <w:i/>
          <w:lang w:val="en-US"/>
        </w:rPr>
        <w:t>Recently, neighbours called police when they overheard fighting between Daniela and her husband. When police arrived, the husband relayed his version of events in English. He told Police that Daniela was a risk to the children.</w:t>
      </w:r>
    </w:p>
    <w:p w14:paraId="6174D041" w14:textId="5B3772BF" w:rsidR="00967A51" w:rsidRPr="000A635C" w:rsidRDefault="00967A51" w:rsidP="003751B8">
      <w:pPr>
        <w:shd w:val="clear" w:color="auto" w:fill="D9D9D9" w:themeFill="background1" w:themeFillShade="D9"/>
        <w:rPr>
          <w:i/>
          <w:lang w:val="en-US"/>
        </w:rPr>
      </w:pPr>
      <w:r w:rsidRPr="000A635C">
        <w:rPr>
          <w:i/>
          <w:lang w:val="en-US"/>
        </w:rPr>
        <w:t xml:space="preserve">A report was made to DHHS Child Protection and they investigated. </w:t>
      </w:r>
      <w:r w:rsidR="000E42DD" w:rsidRPr="000A635C">
        <w:rPr>
          <w:i/>
          <w:lang w:val="en-US"/>
        </w:rPr>
        <w:t xml:space="preserve">Daniela had little access to interpreting, and DHHS preferred </w:t>
      </w:r>
      <w:r w:rsidR="00F60BFC" w:rsidRPr="000A635C">
        <w:rPr>
          <w:i/>
          <w:lang w:val="en-US"/>
        </w:rPr>
        <w:t xml:space="preserve">her husband’s account of the incident, which made Daniela out to be the primary aggressor. </w:t>
      </w:r>
      <w:r w:rsidRPr="000A635C">
        <w:rPr>
          <w:i/>
          <w:lang w:val="en-US"/>
        </w:rPr>
        <w:t xml:space="preserve">DHHS filed a court application and </w:t>
      </w:r>
      <w:r w:rsidR="001C105C">
        <w:rPr>
          <w:i/>
          <w:lang w:val="en-US"/>
        </w:rPr>
        <w:t>placed</w:t>
      </w:r>
      <w:r w:rsidRPr="000A635C">
        <w:rPr>
          <w:i/>
          <w:lang w:val="en-US"/>
        </w:rPr>
        <w:t xml:space="preserve"> the children with the husband.</w:t>
      </w:r>
    </w:p>
    <w:p w14:paraId="56AA499B" w14:textId="21632FE8" w:rsidR="00B972E4" w:rsidRDefault="00967A51" w:rsidP="003751B8">
      <w:pPr>
        <w:shd w:val="clear" w:color="auto" w:fill="D9D9D9" w:themeFill="background1" w:themeFillShade="D9"/>
        <w:rPr>
          <w:i/>
          <w:lang w:val="en-US"/>
        </w:rPr>
      </w:pPr>
      <w:r w:rsidRPr="000A635C">
        <w:rPr>
          <w:i/>
          <w:lang w:val="en-US"/>
        </w:rPr>
        <w:t>Daniela’s Centrelink benefit has also been suspended, because Daniela hadn’t told Centrelink that she had tried to move back in with her husband. This information was shared with Centrelink by her housing</w:t>
      </w:r>
      <w:r w:rsidR="00B972E4">
        <w:rPr>
          <w:i/>
          <w:lang w:val="en-US"/>
        </w:rPr>
        <w:t xml:space="preserve"> support</w:t>
      </w:r>
      <w:r w:rsidRPr="000A635C">
        <w:rPr>
          <w:i/>
          <w:lang w:val="en-US"/>
        </w:rPr>
        <w:t xml:space="preserve"> worker. The housing support worker also said Daniela would be evicted unless rent was paid. </w:t>
      </w:r>
    </w:p>
    <w:p w14:paraId="5966353D" w14:textId="73B09F8D" w:rsidR="00967A51" w:rsidRPr="000A635C" w:rsidRDefault="00967A51" w:rsidP="003751B8">
      <w:pPr>
        <w:shd w:val="clear" w:color="auto" w:fill="D9D9D9" w:themeFill="background1" w:themeFillShade="D9"/>
        <w:rPr>
          <w:i/>
          <w:lang w:val="en-US"/>
        </w:rPr>
      </w:pPr>
      <w:r w:rsidRPr="000A635C">
        <w:rPr>
          <w:i/>
          <w:lang w:val="en-US"/>
        </w:rPr>
        <w:t xml:space="preserve">Daniela’s lawyer has since </w:t>
      </w:r>
      <w:r w:rsidR="00F60BFC" w:rsidRPr="000A635C">
        <w:rPr>
          <w:i/>
          <w:lang w:val="en-US"/>
        </w:rPr>
        <w:t xml:space="preserve">successfully </w:t>
      </w:r>
      <w:r w:rsidRPr="000A635C">
        <w:rPr>
          <w:i/>
          <w:lang w:val="en-US"/>
        </w:rPr>
        <w:t xml:space="preserve">advocated to have Daniela’s benefit reinstated given that Daniela </w:t>
      </w:r>
      <w:r w:rsidR="00FE7BEE">
        <w:rPr>
          <w:i/>
          <w:lang w:val="en-US"/>
        </w:rPr>
        <w:t>i</w:t>
      </w:r>
      <w:r w:rsidRPr="000A635C">
        <w:rPr>
          <w:i/>
          <w:lang w:val="en-US"/>
        </w:rPr>
        <w:t xml:space="preserve">s not in fact residing with the husband. </w:t>
      </w:r>
    </w:p>
    <w:p w14:paraId="41154704" w14:textId="0F759D5C" w:rsidR="00967A51" w:rsidRPr="000A635C" w:rsidRDefault="00967A51" w:rsidP="003751B8">
      <w:pPr>
        <w:shd w:val="clear" w:color="auto" w:fill="D9D9D9" w:themeFill="background1" w:themeFillShade="D9"/>
        <w:rPr>
          <w:i/>
          <w:lang w:val="en-US"/>
        </w:rPr>
      </w:pPr>
      <w:r w:rsidRPr="000A635C">
        <w:rPr>
          <w:i/>
          <w:lang w:val="en-US"/>
        </w:rPr>
        <w:t xml:space="preserve">Daniela is </w:t>
      </w:r>
      <w:r w:rsidR="00B972E4">
        <w:rPr>
          <w:i/>
          <w:lang w:val="en-US"/>
        </w:rPr>
        <w:t xml:space="preserve">also </w:t>
      </w:r>
      <w:r w:rsidRPr="000A635C">
        <w:rPr>
          <w:i/>
          <w:lang w:val="en-US"/>
        </w:rPr>
        <w:t xml:space="preserve">now waiting for a contested </w:t>
      </w:r>
      <w:r w:rsidR="00B972E4">
        <w:rPr>
          <w:i/>
          <w:lang w:val="en-US"/>
        </w:rPr>
        <w:t xml:space="preserve">court </w:t>
      </w:r>
      <w:r w:rsidRPr="000A635C">
        <w:rPr>
          <w:i/>
          <w:lang w:val="en-US"/>
        </w:rPr>
        <w:t>hearing that would allow her to test DHHS Child Protection’s evidence</w:t>
      </w:r>
      <w:r w:rsidR="00B972E4">
        <w:rPr>
          <w:i/>
          <w:lang w:val="en-US"/>
        </w:rPr>
        <w:t xml:space="preserve"> about </w:t>
      </w:r>
      <w:r w:rsidR="000453FB">
        <w:rPr>
          <w:i/>
          <w:lang w:val="en-US"/>
        </w:rPr>
        <w:t xml:space="preserve">whether or not she poses a </w:t>
      </w:r>
      <w:r w:rsidR="00B972E4">
        <w:rPr>
          <w:i/>
          <w:lang w:val="en-US"/>
        </w:rPr>
        <w:t>risk to her child</w:t>
      </w:r>
      <w:r w:rsidR="000453FB">
        <w:rPr>
          <w:i/>
          <w:lang w:val="en-US"/>
        </w:rPr>
        <w:t>ren</w:t>
      </w:r>
      <w:r w:rsidRPr="000A635C">
        <w:rPr>
          <w:i/>
          <w:lang w:val="en-US"/>
        </w:rPr>
        <w:t xml:space="preserve">. The Court has provided no interpreter at each of Daniela’s court dates so far, even at the submissions contest where DHHS Child Protection’s lawyer, and Daniela’s lawyer, made lengthy submissions. Daniela couldn’t understand what was being said. Daniela’s lawyer contacted a telephone interpreter after the hearings to relay a summary. </w:t>
      </w:r>
    </w:p>
    <w:p w14:paraId="07D31871" w14:textId="7DE321FF" w:rsidR="000453FB" w:rsidRDefault="000453FB" w:rsidP="003751B8">
      <w:pPr>
        <w:shd w:val="clear" w:color="auto" w:fill="D9D9D9" w:themeFill="background1" w:themeFillShade="D9"/>
        <w:rPr>
          <w:i/>
          <w:lang w:val="en-US"/>
        </w:rPr>
      </w:pPr>
      <w:r w:rsidRPr="000A635C">
        <w:rPr>
          <w:i/>
          <w:lang w:val="en-US"/>
        </w:rPr>
        <w:t xml:space="preserve">There is a long wait for hearings in the region where she lives. </w:t>
      </w:r>
      <w:r>
        <w:rPr>
          <w:i/>
          <w:lang w:val="en-US"/>
        </w:rPr>
        <w:t xml:space="preserve">While </w:t>
      </w:r>
      <w:r w:rsidR="00967A51" w:rsidRPr="000A635C">
        <w:rPr>
          <w:i/>
          <w:lang w:val="en-US"/>
        </w:rPr>
        <w:t xml:space="preserve">waiting for </w:t>
      </w:r>
      <w:r w:rsidR="00FE7BEE">
        <w:rPr>
          <w:i/>
          <w:lang w:val="en-US"/>
        </w:rPr>
        <w:t>the</w:t>
      </w:r>
      <w:r w:rsidR="00967A51" w:rsidRPr="000A635C">
        <w:rPr>
          <w:i/>
          <w:lang w:val="en-US"/>
        </w:rPr>
        <w:t xml:space="preserve"> contest date, </w:t>
      </w:r>
      <w:r>
        <w:rPr>
          <w:i/>
          <w:lang w:val="en-US"/>
        </w:rPr>
        <w:t>Daniela’s</w:t>
      </w:r>
      <w:r w:rsidR="00967A51" w:rsidRPr="000A635C">
        <w:rPr>
          <w:i/>
          <w:lang w:val="en-US"/>
        </w:rPr>
        <w:t xml:space="preserve"> children are still in </w:t>
      </w:r>
      <w:r>
        <w:rPr>
          <w:i/>
          <w:lang w:val="en-US"/>
        </w:rPr>
        <w:t>her</w:t>
      </w:r>
      <w:r w:rsidR="00967A51" w:rsidRPr="000A635C">
        <w:rPr>
          <w:i/>
          <w:lang w:val="en-US"/>
        </w:rPr>
        <w:t xml:space="preserve"> husband’s care. Daniela spends some supervised time with them.</w:t>
      </w:r>
      <w:r w:rsidR="00F60BFC" w:rsidRPr="000A635C">
        <w:rPr>
          <w:i/>
          <w:lang w:val="en-US"/>
        </w:rPr>
        <w:t xml:space="preserve"> </w:t>
      </w:r>
    </w:p>
    <w:p w14:paraId="685246D5" w14:textId="0D9C3DBC" w:rsidR="00967A51" w:rsidRPr="000A635C" w:rsidRDefault="00F60BFC" w:rsidP="003751B8">
      <w:pPr>
        <w:shd w:val="clear" w:color="auto" w:fill="D9D9D9" w:themeFill="background1" w:themeFillShade="D9"/>
        <w:rPr>
          <w:i/>
          <w:lang w:val="en-US"/>
        </w:rPr>
      </w:pPr>
      <w:r w:rsidRPr="000A635C">
        <w:rPr>
          <w:i/>
          <w:lang w:val="en-US"/>
        </w:rPr>
        <w:t>Daniela is no longer eligible for the Family Tax Benefit, given the children have been removed</w:t>
      </w:r>
      <w:r w:rsidR="000453FB">
        <w:rPr>
          <w:i/>
          <w:lang w:val="en-US"/>
        </w:rPr>
        <w:t xml:space="preserve"> from her care</w:t>
      </w:r>
      <w:r w:rsidRPr="000A635C">
        <w:rPr>
          <w:i/>
          <w:lang w:val="en-US"/>
        </w:rPr>
        <w:t xml:space="preserve">. Daniela is solely reliant on the </w:t>
      </w:r>
      <w:r w:rsidR="00FE7BEE">
        <w:rPr>
          <w:i/>
          <w:lang w:val="en-US"/>
        </w:rPr>
        <w:t>b</w:t>
      </w:r>
      <w:r w:rsidRPr="000A635C">
        <w:rPr>
          <w:i/>
          <w:lang w:val="en-US"/>
        </w:rPr>
        <w:t xml:space="preserve">enefit that was suspended. Daniela is also no longer a priority client for public housing, given the children are not with her. </w:t>
      </w:r>
    </w:p>
    <w:p w14:paraId="73BD54AB" w14:textId="77777777" w:rsidR="000453FB" w:rsidRDefault="00F60BFC" w:rsidP="005362DD">
      <w:r w:rsidRPr="000A635C">
        <w:t xml:space="preserve">While this case study raises </w:t>
      </w:r>
      <w:r w:rsidR="00C041D5" w:rsidRPr="000A635C">
        <w:t>multiple</w:t>
      </w:r>
      <w:r w:rsidRPr="000A635C">
        <w:t xml:space="preserve"> issues, it particularly highlights the impact of information sharing that doesn’t involve the protective parent. </w:t>
      </w:r>
    </w:p>
    <w:p w14:paraId="10272B21" w14:textId="29FD4142" w:rsidR="005362DD" w:rsidRDefault="005362DD" w:rsidP="005362DD">
      <w:r>
        <w:t xml:space="preserve">Daniela relied on other people to communicate for her because she could not speak English and interpreting was not provided. Service providers working with Daniela provided information to each other, on Daniela’s behalf, including an explanation of what happened when the police attended. Through various pathways this information fed into concerns held by </w:t>
      </w:r>
      <w:r w:rsidR="00567763">
        <w:t>C</w:t>
      </w:r>
      <w:r>
        <w:t xml:space="preserve">hild </w:t>
      </w:r>
      <w:r w:rsidR="00567763">
        <w:t>P</w:t>
      </w:r>
      <w:r>
        <w:t>rotection. When Daniela was asked through an interpreter, it was discovered that what happened when the police attended was different to the version relayed between service providers on her behalf.</w:t>
      </w:r>
    </w:p>
    <w:p w14:paraId="3774462D" w14:textId="12BCC57E" w:rsidR="00F60BFC" w:rsidRPr="000A635C" w:rsidRDefault="00567763" w:rsidP="00F60BFC">
      <w:pPr>
        <w:rPr>
          <w:lang w:eastAsia="en-AU"/>
        </w:rPr>
      </w:pPr>
      <w:r>
        <w:t>W</w:t>
      </w:r>
      <w:r w:rsidR="00F60BFC" w:rsidRPr="000A635C">
        <w:t xml:space="preserve">hile the issue occurred under </w:t>
      </w:r>
      <w:r w:rsidR="00F60BFC" w:rsidRPr="000A635C">
        <w:rPr>
          <w:lang w:eastAsia="en-AU"/>
        </w:rPr>
        <w:t xml:space="preserve">current law, </w:t>
      </w:r>
      <w:r w:rsidR="00CD12BD">
        <w:rPr>
          <w:lang w:eastAsia="en-AU"/>
        </w:rPr>
        <w:t>the current</w:t>
      </w:r>
      <w:r w:rsidR="00CD12BD" w:rsidRPr="00CD12BD">
        <w:rPr>
          <w:lang w:eastAsia="en-AU"/>
        </w:rPr>
        <w:t xml:space="preserve"> legislative </w:t>
      </w:r>
      <w:r w:rsidR="00CD12BD">
        <w:rPr>
          <w:lang w:eastAsia="en-AU"/>
        </w:rPr>
        <w:t>proposals also do not require a consideration of consent, meaning s</w:t>
      </w:r>
      <w:r w:rsidR="00CD12BD" w:rsidRPr="00CD12BD">
        <w:rPr>
          <w:lang w:eastAsia="en-AU"/>
        </w:rPr>
        <w:t xml:space="preserve">ituations </w:t>
      </w:r>
      <w:r w:rsidR="00CD12BD">
        <w:rPr>
          <w:lang w:eastAsia="en-AU"/>
        </w:rPr>
        <w:t>such as the above have not been addressed and the resultant safety concerns remain</w:t>
      </w:r>
      <w:r w:rsidR="00F60BFC" w:rsidRPr="000A635C">
        <w:rPr>
          <w:lang w:eastAsia="en-AU"/>
        </w:rPr>
        <w:t xml:space="preserve">. </w:t>
      </w:r>
      <w:r w:rsidR="00C048C6" w:rsidRPr="000A635C">
        <w:rPr>
          <w:lang w:eastAsia="en-AU"/>
        </w:rPr>
        <w:t xml:space="preserve">In laying the legislative foundation for a new culture of information sharing, it is important that the </w:t>
      </w:r>
      <w:r w:rsidR="00124A67" w:rsidRPr="000A635C">
        <w:rPr>
          <w:lang w:eastAsia="en-AU"/>
        </w:rPr>
        <w:t>emphasis</w:t>
      </w:r>
      <w:r w:rsidR="009843D0">
        <w:rPr>
          <w:lang w:eastAsia="en-AU"/>
        </w:rPr>
        <w:t xml:space="preserve"> is on</w:t>
      </w:r>
      <w:r w:rsidR="00C048C6" w:rsidRPr="000A635C">
        <w:rPr>
          <w:lang w:eastAsia="en-AU"/>
        </w:rPr>
        <w:t xml:space="preserve"> safe, consent-based sharing.</w:t>
      </w:r>
    </w:p>
    <w:p w14:paraId="2CE77E7A" w14:textId="77777777" w:rsidR="000453FB" w:rsidRDefault="002D5669" w:rsidP="00C041D5">
      <w:pPr>
        <w:rPr>
          <w:lang w:eastAsia="en-AU"/>
        </w:rPr>
      </w:pPr>
      <w:r w:rsidRPr="000A635C">
        <w:rPr>
          <w:lang w:eastAsia="en-AU"/>
        </w:rPr>
        <w:lastRenderedPageBreak/>
        <w:t xml:space="preserve">This issue was also </w:t>
      </w:r>
      <w:r w:rsidR="00C041D5" w:rsidRPr="000A635C">
        <w:rPr>
          <w:lang w:eastAsia="en-AU"/>
        </w:rPr>
        <w:t xml:space="preserve">highlighted in the Commission for Children and Young People’s </w:t>
      </w:r>
      <w:r w:rsidRPr="000A635C">
        <w:rPr>
          <w:lang w:eastAsia="en-AU"/>
        </w:rPr>
        <w:t>(CCYP</w:t>
      </w:r>
      <w:r w:rsidR="00A1453C">
        <w:rPr>
          <w:lang w:eastAsia="en-AU"/>
        </w:rPr>
        <w:t>’s</w:t>
      </w:r>
      <w:r w:rsidRPr="000A635C">
        <w:rPr>
          <w:lang w:eastAsia="en-AU"/>
        </w:rPr>
        <w:t xml:space="preserve">) </w:t>
      </w:r>
      <w:r w:rsidR="00C041D5" w:rsidRPr="000A635C">
        <w:rPr>
          <w:lang w:eastAsia="en-AU"/>
        </w:rPr>
        <w:t>2014-15 annual report summary of child death inquiries.</w:t>
      </w:r>
      <w:r w:rsidR="00C041D5" w:rsidRPr="000A635C">
        <w:rPr>
          <w:rStyle w:val="FootnoteReference"/>
          <w:lang w:eastAsia="en-AU"/>
        </w:rPr>
        <w:footnoteReference w:id="6"/>
      </w:r>
      <w:r w:rsidR="00A1453C">
        <w:rPr>
          <w:lang w:eastAsia="en-AU"/>
        </w:rPr>
        <w:t xml:space="preserve"> The summary</w:t>
      </w:r>
      <w:r w:rsidR="00C041D5" w:rsidRPr="000A635C">
        <w:rPr>
          <w:lang w:eastAsia="en-AU"/>
        </w:rPr>
        <w:t xml:space="preserve"> points to the high proportion of </w:t>
      </w:r>
      <w:r w:rsidR="00A1453C">
        <w:rPr>
          <w:lang w:eastAsia="en-AU"/>
        </w:rPr>
        <w:t xml:space="preserve">child death </w:t>
      </w:r>
      <w:r w:rsidR="00C041D5" w:rsidRPr="000A635C">
        <w:rPr>
          <w:lang w:eastAsia="en-AU"/>
        </w:rPr>
        <w:t>inquiry reports which identified issues relating to service coordination and collaboration</w:t>
      </w:r>
      <w:r w:rsidR="00A1453C">
        <w:rPr>
          <w:lang w:eastAsia="en-AU"/>
        </w:rPr>
        <w:t>.</w:t>
      </w:r>
      <w:r w:rsidRPr="000A635C">
        <w:rPr>
          <w:lang w:eastAsia="en-AU"/>
        </w:rPr>
        <w:t xml:space="preserve"> The report</w:t>
      </w:r>
      <w:r w:rsidR="00C041D5" w:rsidRPr="000A635C">
        <w:rPr>
          <w:lang w:eastAsia="en-AU"/>
        </w:rPr>
        <w:t xml:space="preserve"> </w:t>
      </w:r>
      <w:r w:rsidRPr="000A635C">
        <w:rPr>
          <w:lang w:eastAsia="en-AU"/>
        </w:rPr>
        <w:t xml:space="preserve">expressed concern about the quality of </w:t>
      </w:r>
      <w:r w:rsidR="00C041D5" w:rsidRPr="000A635C">
        <w:rPr>
          <w:lang w:eastAsia="en-AU"/>
        </w:rPr>
        <w:t>risk assessment</w:t>
      </w:r>
      <w:r w:rsidRPr="000A635C">
        <w:rPr>
          <w:lang w:eastAsia="en-AU"/>
        </w:rPr>
        <w:t>s</w:t>
      </w:r>
      <w:r w:rsidR="00C041D5" w:rsidRPr="000A635C">
        <w:rPr>
          <w:lang w:eastAsia="en-AU"/>
        </w:rPr>
        <w:t xml:space="preserve"> </w:t>
      </w:r>
      <w:r w:rsidRPr="000A635C">
        <w:rPr>
          <w:lang w:eastAsia="en-AU"/>
        </w:rPr>
        <w:t xml:space="preserve">that have </w:t>
      </w:r>
      <w:r w:rsidR="00C041D5" w:rsidRPr="000A635C">
        <w:rPr>
          <w:lang w:eastAsia="en-AU"/>
        </w:rPr>
        <w:t>“insu</w:t>
      </w:r>
      <w:r w:rsidR="00C041D5" w:rsidRPr="000A635C">
        <w:rPr>
          <w:rFonts w:eastAsia="Arial" w:cs="Arial"/>
          <w:lang w:eastAsia="en-AU"/>
        </w:rPr>
        <w:t>ffic</w:t>
      </w:r>
      <w:r w:rsidR="00C041D5" w:rsidRPr="000A635C">
        <w:rPr>
          <w:lang w:eastAsia="en-AU"/>
        </w:rPr>
        <w:t>ient conta</w:t>
      </w:r>
      <w:r w:rsidR="00C041D5" w:rsidRPr="000A635C">
        <w:rPr>
          <w:rFonts w:eastAsia="Arial" w:cs="Arial"/>
          <w:lang w:eastAsia="en-AU"/>
        </w:rPr>
        <w:t>ct w</w:t>
      </w:r>
      <w:r w:rsidR="00C041D5" w:rsidRPr="000A635C">
        <w:rPr>
          <w:lang w:eastAsia="en-AU"/>
        </w:rPr>
        <w:t>ith client/family</w:t>
      </w:r>
      <w:r w:rsidR="00A1453C">
        <w:rPr>
          <w:lang w:eastAsia="en-AU"/>
        </w:rPr>
        <w:t>”</w:t>
      </w:r>
      <w:r w:rsidRPr="000A635C">
        <w:rPr>
          <w:lang w:eastAsia="en-AU"/>
        </w:rPr>
        <w:t xml:space="preserve"> and</w:t>
      </w:r>
      <w:r w:rsidR="00C041D5" w:rsidRPr="000A635C">
        <w:rPr>
          <w:lang w:eastAsia="en-AU"/>
        </w:rPr>
        <w:t xml:space="preserve"> </w:t>
      </w:r>
      <w:r w:rsidR="00A1453C">
        <w:rPr>
          <w:lang w:eastAsia="en-AU"/>
        </w:rPr>
        <w:t>“</w:t>
      </w:r>
      <w:r w:rsidR="00C041D5" w:rsidRPr="000A635C">
        <w:rPr>
          <w:lang w:eastAsia="en-AU"/>
        </w:rPr>
        <w:t>over-reliance on input of other professionals/agencies</w:t>
      </w:r>
      <w:r w:rsidR="00A1453C">
        <w:rPr>
          <w:lang w:eastAsia="en-AU"/>
        </w:rPr>
        <w:t>”</w:t>
      </w:r>
      <w:r w:rsidR="00C041D5" w:rsidRPr="000A635C">
        <w:rPr>
          <w:lang w:eastAsia="en-AU"/>
        </w:rPr>
        <w:t>.</w:t>
      </w:r>
      <w:r w:rsidR="00C041D5" w:rsidRPr="000A635C">
        <w:rPr>
          <w:rStyle w:val="FootnoteReference"/>
          <w:lang w:eastAsia="en-AU"/>
        </w:rPr>
        <w:footnoteReference w:id="7"/>
      </w:r>
      <w:r w:rsidR="00C041D5" w:rsidRPr="000A635C">
        <w:rPr>
          <w:lang w:eastAsia="en-AU"/>
        </w:rPr>
        <w:t xml:space="preserve"> The CCYP</w:t>
      </w:r>
      <w:r w:rsidRPr="000A635C">
        <w:rPr>
          <w:lang w:eastAsia="en-AU"/>
        </w:rPr>
        <w:t xml:space="preserve"> expressed similar concerns again in 2015-16. </w:t>
      </w:r>
    </w:p>
    <w:p w14:paraId="02B4FC4D" w14:textId="5CB82FD7" w:rsidR="00C041D5" w:rsidRPr="000A635C" w:rsidRDefault="00C041D5" w:rsidP="00C041D5">
      <w:pPr>
        <w:rPr>
          <w:lang w:eastAsia="en-AU"/>
        </w:rPr>
      </w:pPr>
      <w:r w:rsidRPr="000A635C">
        <w:rPr>
          <w:lang w:eastAsia="en-AU"/>
        </w:rPr>
        <w:t>In an environment where</w:t>
      </w:r>
      <w:r w:rsidR="00E31D92" w:rsidRPr="000A635C">
        <w:rPr>
          <w:lang w:eastAsia="en-AU"/>
        </w:rPr>
        <w:t xml:space="preserve"> there is an increasing focus on</w:t>
      </w:r>
      <w:r w:rsidRPr="000A635C">
        <w:rPr>
          <w:lang w:eastAsia="en-AU"/>
        </w:rPr>
        <w:t xml:space="preserve"> risk assessment</w:t>
      </w:r>
      <w:r w:rsidR="00E31D92" w:rsidRPr="000A635C">
        <w:rPr>
          <w:lang w:eastAsia="en-AU"/>
        </w:rPr>
        <w:t xml:space="preserve">, the CCYP </w:t>
      </w:r>
      <w:r w:rsidR="000C45E1">
        <w:rPr>
          <w:lang w:eastAsia="en-AU"/>
        </w:rPr>
        <w:t xml:space="preserve">summaries </w:t>
      </w:r>
      <w:r w:rsidR="00E31D92" w:rsidRPr="000A635C">
        <w:rPr>
          <w:lang w:eastAsia="en-AU"/>
        </w:rPr>
        <w:t>suggest</w:t>
      </w:r>
      <w:r w:rsidR="000C45E1">
        <w:rPr>
          <w:lang w:eastAsia="en-AU"/>
        </w:rPr>
        <w:t xml:space="preserve"> </w:t>
      </w:r>
      <w:r w:rsidR="00ED03DB">
        <w:rPr>
          <w:lang w:eastAsia="en-AU"/>
        </w:rPr>
        <w:t xml:space="preserve">caution against </w:t>
      </w:r>
      <w:r w:rsidR="00E31D92" w:rsidRPr="000A635C">
        <w:rPr>
          <w:lang w:eastAsia="en-AU"/>
        </w:rPr>
        <w:t>rely</w:t>
      </w:r>
      <w:r w:rsidR="00ED03DB">
        <w:rPr>
          <w:lang w:eastAsia="en-AU"/>
        </w:rPr>
        <w:t>ing</w:t>
      </w:r>
      <w:r w:rsidR="00E31D92" w:rsidRPr="000A635C">
        <w:rPr>
          <w:lang w:eastAsia="en-AU"/>
        </w:rPr>
        <w:t xml:space="preserve"> on information sharing without the </w:t>
      </w:r>
      <w:r w:rsidRPr="000A635C">
        <w:rPr>
          <w:lang w:eastAsia="en-AU"/>
        </w:rPr>
        <w:t xml:space="preserve">engagement </w:t>
      </w:r>
      <w:r w:rsidR="00E31D92" w:rsidRPr="000A635C">
        <w:rPr>
          <w:lang w:eastAsia="en-AU"/>
        </w:rPr>
        <w:t xml:space="preserve">of </w:t>
      </w:r>
      <w:r w:rsidRPr="000A635C">
        <w:rPr>
          <w:lang w:eastAsia="en-AU"/>
        </w:rPr>
        <w:t>the child and family</w:t>
      </w:r>
      <w:r w:rsidR="00A1453C">
        <w:rPr>
          <w:lang w:eastAsia="en-AU"/>
        </w:rPr>
        <w:t>.</w:t>
      </w:r>
    </w:p>
    <w:p w14:paraId="743FC22D" w14:textId="77777777" w:rsidR="00F60BFC" w:rsidRPr="000A635C" w:rsidRDefault="00F60BFC" w:rsidP="00F60BFC">
      <w:pPr>
        <w:rPr>
          <w:lang w:eastAsia="en-AU"/>
        </w:rPr>
      </w:pPr>
      <w:r w:rsidRPr="000A635C">
        <w:rPr>
          <w:lang w:eastAsia="en-AU"/>
        </w:rPr>
        <w:t xml:space="preserve">Again we urge that the new legislation </w:t>
      </w:r>
      <w:r w:rsidR="00E31D92" w:rsidRPr="000A635C">
        <w:rPr>
          <w:lang w:eastAsia="en-AU"/>
        </w:rPr>
        <w:t>require consent where professional judgment indicates it is appropriate</w:t>
      </w:r>
      <w:r w:rsidRPr="000A635C">
        <w:rPr>
          <w:lang w:eastAsia="en-AU"/>
        </w:rPr>
        <w:t xml:space="preserve"> </w:t>
      </w:r>
      <w:r w:rsidR="00E31D92" w:rsidRPr="000A635C">
        <w:rPr>
          <w:lang w:eastAsia="en-AU"/>
        </w:rPr>
        <w:t>so that the</w:t>
      </w:r>
      <w:r w:rsidRPr="000A635C">
        <w:rPr>
          <w:lang w:eastAsia="en-AU"/>
        </w:rPr>
        <w:t xml:space="preserve"> legislated sharing threshold</w:t>
      </w:r>
      <w:r w:rsidR="00E31D92" w:rsidRPr="000A635C">
        <w:rPr>
          <w:lang w:eastAsia="en-AU"/>
        </w:rPr>
        <w:t xml:space="preserve"> </w:t>
      </w:r>
      <w:r w:rsidRPr="000A635C">
        <w:rPr>
          <w:lang w:eastAsia="en-AU"/>
        </w:rPr>
        <w:t>promote</w:t>
      </w:r>
      <w:r w:rsidR="00E31D92" w:rsidRPr="000A635C">
        <w:rPr>
          <w:lang w:eastAsia="en-AU"/>
        </w:rPr>
        <w:t>s</w:t>
      </w:r>
      <w:r w:rsidRPr="000A635C">
        <w:rPr>
          <w:lang w:eastAsia="en-AU"/>
        </w:rPr>
        <w:t xml:space="preserve"> a culture of fully informed information sharing that best promotes safety, by engaging families rather than relying excessively on other people’s interpretations of a family’s situation. </w:t>
      </w:r>
    </w:p>
    <w:p w14:paraId="249AE3B6" w14:textId="77777777" w:rsidR="00625331" w:rsidRDefault="00625331" w:rsidP="00EB4DAC">
      <w:pPr>
        <w:pStyle w:val="Heading3"/>
        <w:pBdr>
          <w:top w:val="single" w:sz="4" w:space="1" w:color="auto"/>
          <w:left w:val="single" w:sz="4" w:space="1" w:color="auto"/>
          <w:bottom w:val="single" w:sz="4" w:space="1" w:color="auto"/>
          <w:right w:val="single" w:sz="4" w:space="1" w:color="auto"/>
        </w:pBdr>
        <w:spacing w:before="120" w:after="0"/>
      </w:pPr>
      <w:bookmarkStart w:id="22" w:name="_Toc495943606"/>
      <w:bookmarkStart w:id="23" w:name="_Toc495943875"/>
      <w:bookmarkStart w:id="24" w:name="_Toc495992899"/>
      <w:bookmarkStart w:id="25" w:name="_Toc495402429"/>
      <w:bookmarkStart w:id="26" w:name="_Toc495405348"/>
      <w:bookmarkStart w:id="27" w:name="_Toc495405434"/>
      <w:bookmarkStart w:id="28" w:name="_Toc495509158"/>
      <w:bookmarkStart w:id="29" w:name="_Toc495599075"/>
      <w:bookmarkStart w:id="30" w:name="_Toc495657254"/>
      <w:bookmarkStart w:id="31" w:name="_Toc495663345"/>
      <w:r w:rsidRPr="000A635C">
        <w:t>Recommendation:</w:t>
      </w:r>
      <w:bookmarkEnd w:id="22"/>
      <w:bookmarkEnd w:id="23"/>
      <w:bookmarkEnd w:id="24"/>
    </w:p>
    <w:p w14:paraId="6BA64366" w14:textId="7E3D1F2E" w:rsidR="002329F7" w:rsidRPr="000A635C" w:rsidRDefault="00F76964" w:rsidP="008A2320">
      <w:pPr>
        <w:pBdr>
          <w:top w:val="single" w:sz="4" w:space="1" w:color="auto"/>
          <w:left w:val="single" w:sz="4" w:space="1" w:color="auto"/>
          <w:bottom w:val="single" w:sz="4" w:space="1" w:color="auto"/>
          <w:right w:val="single" w:sz="4" w:space="1" w:color="auto"/>
        </w:pBdr>
        <w:spacing w:after="360"/>
      </w:pPr>
      <w:r w:rsidRPr="00625331">
        <w:t>Legislate for a professional consideration of informed consent, including for children, as part of the threshold for sharing information and for an obligation to record what consideration was given to consent.</w:t>
      </w:r>
      <w:bookmarkEnd w:id="25"/>
      <w:bookmarkEnd w:id="26"/>
      <w:bookmarkEnd w:id="27"/>
      <w:bookmarkEnd w:id="28"/>
      <w:bookmarkEnd w:id="29"/>
      <w:bookmarkEnd w:id="30"/>
      <w:bookmarkEnd w:id="31"/>
    </w:p>
    <w:p w14:paraId="5EC09458" w14:textId="51C69BD6" w:rsidR="002329F7" w:rsidRPr="000A635C" w:rsidRDefault="00A1453C" w:rsidP="000A635C">
      <w:pPr>
        <w:pStyle w:val="Heading2"/>
      </w:pPr>
      <w:bookmarkStart w:id="32" w:name="_Toc495992900"/>
      <w:r>
        <w:t>Alignment of t</w:t>
      </w:r>
      <w:r w:rsidR="002329F7" w:rsidRPr="000A635C">
        <w:t xml:space="preserve">he family violence </w:t>
      </w:r>
      <w:r>
        <w:t xml:space="preserve">and child </w:t>
      </w:r>
      <w:r w:rsidR="002329F7" w:rsidRPr="000A635C">
        <w:t>information sharing regime</w:t>
      </w:r>
      <w:r>
        <w:t>s</w:t>
      </w:r>
      <w:bookmarkEnd w:id="32"/>
    </w:p>
    <w:p w14:paraId="42DEA8EF" w14:textId="09E2158F" w:rsidR="00F92A77" w:rsidRDefault="00B83E0C" w:rsidP="002329F7">
      <w:pPr>
        <w:rPr>
          <w:lang w:eastAsia="en-AU"/>
        </w:rPr>
      </w:pPr>
      <w:r>
        <w:rPr>
          <w:lang w:eastAsia="en-AU"/>
        </w:rPr>
        <w:t>We understand that the child information sharing regime will apply</w:t>
      </w:r>
      <w:r w:rsidR="002329F7" w:rsidRPr="000A635C">
        <w:rPr>
          <w:lang w:eastAsia="en-AU"/>
        </w:rPr>
        <w:t xml:space="preserve"> to family violence survivors who have children</w:t>
      </w:r>
      <w:r>
        <w:rPr>
          <w:lang w:eastAsia="en-AU"/>
        </w:rPr>
        <w:t xml:space="preserve">. </w:t>
      </w:r>
      <w:r w:rsidR="002329F7" w:rsidRPr="000A635C">
        <w:rPr>
          <w:lang w:eastAsia="en-AU"/>
        </w:rPr>
        <w:t>This concerns</w:t>
      </w:r>
      <w:r>
        <w:rPr>
          <w:lang w:eastAsia="en-AU"/>
        </w:rPr>
        <w:t xml:space="preserve"> </w:t>
      </w:r>
      <w:r w:rsidR="00BF560B">
        <w:rPr>
          <w:lang w:eastAsia="en-AU"/>
        </w:rPr>
        <w:t xml:space="preserve">us, </w:t>
      </w:r>
      <w:r w:rsidR="003D0293">
        <w:rPr>
          <w:lang w:eastAsia="en-AU"/>
        </w:rPr>
        <w:t xml:space="preserve">because </w:t>
      </w:r>
      <w:r w:rsidR="00A1453C" w:rsidRPr="000A635C">
        <w:rPr>
          <w:lang w:eastAsia="en-AU"/>
        </w:rPr>
        <w:t>most of our family violence survivor clients</w:t>
      </w:r>
      <w:r w:rsidR="00A1453C">
        <w:rPr>
          <w:lang w:eastAsia="en-AU"/>
        </w:rPr>
        <w:t xml:space="preserve"> have children. T</w:t>
      </w:r>
      <w:r w:rsidR="002329F7" w:rsidRPr="000A635C">
        <w:rPr>
          <w:lang w:eastAsia="en-AU"/>
        </w:rPr>
        <w:t>he child information sharing regime</w:t>
      </w:r>
      <w:r>
        <w:rPr>
          <w:lang w:eastAsia="en-AU"/>
        </w:rPr>
        <w:t xml:space="preserve"> has fewer safeguards and </w:t>
      </w:r>
      <w:r w:rsidRPr="000A635C">
        <w:rPr>
          <w:lang w:eastAsia="en-AU"/>
        </w:rPr>
        <w:t>has not been developed with the same attention to the risks of family violence</w:t>
      </w:r>
      <w:r w:rsidR="002329F7" w:rsidRPr="000A635C">
        <w:rPr>
          <w:lang w:eastAsia="en-AU"/>
        </w:rPr>
        <w:t xml:space="preserve">. </w:t>
      </w:r>
    </w:p>
    <w:p w14:paraId="53B95E78" w14:textId="4161CD84" w:rsidR="007F0C1F" w:rsidRDefault="003D0293" w:rsidP="002329F7">
      <w:pPr>
        <w:rPr>
          <w:lang w:eastAsia="en-AU"/>
        </w:rPr>
      </w:pPr>
      <w:r>
        <w:rPr>
          <w:lang w:eastAsia="en-AU"/>
        </w:rPr>
        <w:t>In consultation on the family violence information sharing regime, we have raised concerns about the regime’s impact on family violence survivors incorrectly identified as primary perpetrators of family violence.</w:t>
      </w:r>
      <w:r w:rsidR="00DC64EE">
        <w:rPr>
          <w:lang w:eastAsia="en-AU"/>
        </w:rPr>
        <w:t xml:space="preserve"> </w:t>
      </w:r>
      <w:r w:rsidR="002329F7" w:rsidRPr="000A635C">
        <w:rPr>
          <w:lang w:eastAsia="en-AU"/>
        </w:rPr>
        <w:t xml:space="preserve">Risks associated with child information sharing are most acute when there is a risk of family violence. This is because, as illustrated in “Daniela’s” case study above, sharing without consent involves not only disengagement risks but also direct safety risks, when one parent is a danger to the children. </w:t>
      </w:r>
    </w:p>
    <w:p w14:paraId="519A6083" w14:textId="34F45B90" w:rsidR="003D0293" w:rsidRPr="000A635C" w:rsidRDefault="003D0293" w:rsidP="002329F7">
      <w:pPr>
        <w:rPr>
          <w:lang w:eastAsia="en-AU"/>
        </w:rPr>
      </w:pPr>
      <w:r>
        <w:rPr>
          <w:lang w:eastAsia="en-AU"/>
        </w:rPr>
        <w:t xml:space="preserve">We consider that the safeguards of the family violence information sharing regime should remain available when children are at risk of family violence. </w:t>
      </w:r>
    </w:p>
    <w:p w14:paraId="0969F9A3" w14:textId="77777777" w:rsidR="007F0C1F" w:rsidRPr="000A635C" w:rsidRDefault="007F0C1F" w:rsidP="00EB4DAC">
      <w:pPr>
        <w:pStyle w:val="Heading3"/>
        <w:pBdr>
          <w:top w:val="single" w:sz="4" w:space="1" w:color="auto"/>
          <w:left w:val="single" w:sz="4" w:space="4" w:color="auto"/>
          <w:bottom w:val="single" w:sz="4" w:space="1" w:color="auto"/>
          <w:right w:val="single" w:sz="4" w:space="4" w:color="auto"/>
        </w:pBdr>
        <w:spacing w:before="120" w:after="0"/>
      </w:pPr>
      <w:bookmarkStart w:id="33" w:name="_Toc495402436"/>
      <w:bookmarkStart w:id="34" w:name="_Toc495405355"/>
      <w:bookmarkStart w:id="35" w:name="_Toc495405441"/>
      <w:bookmarkStart w:id="36" w:name="_Toc495509165"/>
      <w:bookmarkStart w:id="37" w:name="_Toc495599082"/>
      <w:bookmarkStart w:id="38" w:name="_Toc495657261"/>
      <w:bookmarkStart w:id="39" w:name="_Toc495663352"/>
      <w:bookmarkStart w:id="40" w:name="_Toc495928624"/>
      <w:bookmarkStart w:id="41" w:name="_Toc495935527"/>
      <w:bookmarkStart w:id="42" w:name="_Toc495943608"/>
      <w:bookmarkStart w:id="43" w:name="_Toc495943877"/>
      <w:bookmarkStart w:id="44" w:name="_Toc495992901"/>
      <w:r w:rsidRPr="000A635C">
        <w:t>Recommendation:</w:t>
      </w:r>
      <w:bookmarkEnd w:id="33"/>
      <w:bookmarkEnd w:id="34"/>
      <w:bookmarkEnd w:id="35"/>
      <w:bookmarkEnd w:id="36"/>
      <w:bookmarkEnd w:id="37"/>
      <w:bookmarkEnd w:id="38"/>
      <w:bookmarkEnd w:id="39"/>
      <w:bookmarkEnd w:id="40"/>
      <w:bookmarkEnd w:id="41"/>
      <w:bookmarkEnd w:id="42"/>
      <w:bookmarkEnd w:id="43"/>
      <w:bookmarkEnd w:id="44"/>
    </w:p>
    <w:p w14:paraId="639A08A3" w14:textId="45B78353" w:rsidR="008A2320" w:rsidRDefault="007F0C1F" w:rsidP="00EB4DAC">
      <w:pPr>
        <w:pBdr>
          <w:top w:val="single" w:sz="4" w:space="1" w:color="auto"/>
          <w:left w:val="single" w:sz="4" w:space="4" w:color="auto"/>
          <w:bottom w:val="single" w:sz="4" w:space="1" w:color="auto"/>
          <w:right w:val="single" w:sz="4" w:space="4" w:color="auto"/>
        </w:pBdr>
        <w:spacing w:after="360"/>
        <w:rPr>
          <w:rFonts w:cs="Arial"/>
          <w:b/>
          <w:bCs/>
          <w:color w:val="971A4B"/>
          <w:kern w:val="32"/>
          <w:sz w:val="32"/>
          <w:szCs w:val="32"/>
          <w:lang w:eastAsia="en-AU"/>
        </w:rPr>
      </w:pPr>
      <w:r w:rsidRPr="000A635C">
        <w:rPr>
          <w:lang w:eastAsia="en-AU"/>
        </w:rPr>
        <w:t>A</w:t>
      </w:r>
      <w:r w:rsidR="003D0293">
        <w:rPr>
          <w:lang w:eastAsia="en-AU"/>
        </w:rPr>
        <w:t xml:space="preserve">lign </w:t>
      </w:r>
      <w:r w:rsidRPr="000A635C">
        <w:rPr>
          <w:lang w:eastAsia="en-AU"/>
        </w:rPr>
        <w:t xml:space="preserve">the </w:t>
      </w:r>
      <w:r w:rsidR="003D0293">
        <w:rPr>
          <w:lang w:eastAsia="en-AU"/>
        </w:rPr>
        <w:t xml:space="preserve">generalist child information sharing </w:t>
      </w:r>
      <w:r w:rsidR="00F92A77">
        <w:rPr>
          <w:lang w:eastAsia="en-AU"/>
        </w:rPr>
        <w:t xml:space="preserve">regime </w:t>
      </w:r>
      <w:r w:rsidR="003D0293">
        <w:rPr>
          <w:lang w:eastAsia="en-AU"/>
        </w:rPr>
        <w:t xml:space="preserve">with the </w:t>
      </w:r>
      <w:r w:rsidRPr="000A635C">
        <w:rPr>
          <w:lang w:eastAsia="en-AU"/>
        </w:rPr>
        <w:t xml:space="preserve">specialist family violence </w:t>
      </w:r>
      <w:r w:rsidR="003D0293">
        <w:rPr>
          <w:lang w:eastAsia="en-AU"/>
        </w:rPr>
        <w:t xml:space="preserve">sharing </w:t>
      </w:r>
      <w:r w:rsidRPr="000A635C">
        <w:rPr>
          <w:lang w:eastAsia="en-AU"/>
        </w:rPr>
        <w:t>regime.</w:t>
      </w:r>
      <w:r w:rsidR="008A2320">
        <w:br w:type="page"/>
      </w:r>
    </w:p>
    <w:p w14:paraId="64E2FCA6" w14:textId="7F1F01EE" w:rsidR="00EC2C94" w:rsidRPr="000A635C" w:rsidRDefault="00EC2C94" w:rsidP="00EC2C94">
      <w:pPr>
        <w:pStyle w:val="Heading1"/>
      </w:pPr>
      <w:bookmarkStart w:id="45" w:name="_Toc495992902"/>
      <w:r w:rsidRPr="000A635C">
        <w:lastRenderedPageBreak/>
        <w:t>Child Link</w:t>
      </w:r>
      <w:bookmarkEnd w:id="45"/>
    </w:p>
    <w:p w14:paraId="7B1A65FB" w14:textId="77777777" w:rsidR="00AC6F3B" w:rsidRDefault="0044674D" w:rsidP="008F0018">
      <w:pPr>
        <w:rPr>
          <w:lang w:eastAsia="en-AU"/>
        </w:rPr>
      </w:pPr>
      <w:r>
        <w:rPr>
          <w:lang w:eastAsia="en-AU"/>
        </w:rPr>
        <w:t xml:space="preserve">The legal assistance sector </w:t>
      </w:r>
      <w:r w:rsidR="008F0018" w:rsidRPr="000A635C">
        <w:rPr>
          <w:lang w:eastAsia="en-AU"/>
        </w:rPr>
        <w:t>thank</w:t>
      </w:r>
      <w:r>
        <w:rPr>
          <w:lang w:eastAsia="en-AU"/>
        </w:rPr>
        <w:t>s</w:t>
      </w:r>
      <w:r w:rsidR="008F0018" w:rsidRPr="000A635C">
        <w:rPr>
          <w:lang w:eastAsia="en-AU"/>
        </w:rPr>
        <w:t xml:space="preserve"> the Departments for the information provided about Child Link. </w:t>
      </w:r>
    </w:p>
    <w:p w14:paraId="49871E16" w14:textId="586378B4" w:rsidR="00B84335" w:rsidRDefault="0044674D" w:rsidP="008F0018">
      <w:pPr>
        <w:rPr>
          <w:lang w:eastAsia="en-AU"/>
        </w:rPr>
      </w:pPr>
      <w:r>
        <w:rPr>
          <w:lang w:eastAsia="en-AU"/>
        </w:rPr>
        <w:t>As stated in the family violence sector joint submission</w:t>
      </w:r>
      <w:r w:rsidR="00077469">
        <w:rPr>
          <w:lang w:eastAsia="en-AU"/>
        </w:rPr>
        <w:t xml:space="preserve"> (beginning at page 14 of that submission)</w:t>
      </w:r>
      <w:r>
        <w:rPr>
          <w:lang w:eastAsia="en-AU"/>
        </w:rPr>
        <w:t>, we suggest further research and consultation</w:t>
      </w:r>
      <w:r w:rsidR="00B83E0C">
        <w:rPr>
          <w:lang w:eastAsia="en-AU"/>
        </w:rPr>
        <w:t xml:space="preserve">s </w:t>
      </w:r>
      <w:r>
        <w:rPr>
          <w:lang w:eastAsia="en-AU"/>
        </w:rPr>
        <w:t xml:space="preserve">before </w:t>
      </w:r>
      <w:r w:rsidR="00FC723C">
        <w:rPr>
          <w:lang w:eastAsia="en-AU"/>
        </w:rPr>
        <w:t xml:space="preserve">any implementation of </w:t>
      </w:r>
      <w:r>
        <w:rPr>
          <w:lang w:eastAsia="en-AU"/>
        </w:rPr>
        <w:t>Child Link</w:t>
      </w:r>
      <w:r w:rsidR="00B83E0C">
        <w:rPr>
          <w:lang w:eastAsia="en-AU"/>
        </w:rPr>
        <w:t>.</w:t>
      </w:r>
      <w:r w:rsidR="00FC723C">
        <w:rPr>
          <w:lang w:eastAsia="en-AU"/>
        </w:rPr>
        <w:t xml:space="preserve"> </w:t>
      </w:r>
    </w:p>
    <w:p w14:paraId="5AA4FC3A" w14:textId="773E6A99" w:rsidR="00E40F6F" w:rsidRPr="000A635C" w:rsidRDefault="00CA5FBE" w:rsidP="008F0018">
      <w:pPr>
        <w:rPr>
          <w:lang w:eastAsia="en-AU"/>
        </w:rPr>
      </w:pPr>
      <w:r>
        <w:t xml:space="preserve">We recommended that any further research and consultation into </w:t>
      </w:r>
      <w:r w:rsidR="00FC723C">
        <w:rPr>
          <w:lang w:eastAsia="en-AU"/>
        </w:rPr>
        <w:t xml:space="preserve">Child Link </w:t>
      </w:r>
      <w:r>
        <w:t>include developing vital safeguards</w:t>
      </w:r>
      <w:r w:rsidR="00FC723C">
        <w:rPr>
          <w:lang w:eastAsia="en-AU"/>
        </w:rPr>
        <w:t>, particularly in relation to the key concerns of family violence risk and stigmatisation risk</w:t>
      </w:r>
      <w:r w:rsidR="00B83E0C">
        <w:rPr>
          <w:lang w:eastAsia="en-AU"/>
        </w:rPr>
        <w:t>.</w:t>
      </w:r>
    </w:p>
    <w:p w14:paraId="62500C76" w14:textId="308C6080" w:rsidR="00B52F00" w:rsidRPr="000A635C" w:rsidRDefault="00B52F00" w:rsidP="00B52F00">
      <w:pPr>
        <w:pStyle w:val="Heading2"/>
      </w:pPr>
      <w:bookmarkStart w:id="46" w:name="_Toc495992903"/>
      <w:r w:rsidRPr="000A635C">
        <w:t>Child Link</w:t>
      </w:r>
      <w:r w:rsidR="008D30DB" w:rsidRPr="000A635C">
        <w:t xml:space="preserve">’s risk to </w:t>
      </w:r>
      <w:r w:rsidRPr="000A635C">
        <w:t xml:space="preserve">family violence </w:t>
      </w:r>
      <w:r w:rsidR="008D30DB" w:rsidRPr="000A635C">
        <w:t>survivo</w:t>
      </w:r>
      <w:r w:rsidRPr="000A635C">
        <w:t>rs</w:t>
      </w:r>
      <w:bookmarkEnd w:id="46"/>
    </w:p>
    <w:p w14:paraId="33FAF916" w14:textId="1ECABC33" w:rsidR="008F0018" w:rsidRPr="000A635C" w:rsidRDefault="0044674D" w:rsidP="008F0018">
      <w:pPr>
        <w:rPr>
          <w:lang w:eastAsia="en-AU"/>
        </w:rPr>
      </w:pPr>
      <w:r>
        <w:rPr>
          <w:lang w:eastAsia="en-AU"/>
        </w:rPr>
        <w:t xml:space="preserve">Some of our key concerns about the Child Link proposal are </w:t>
      </w:r>
      <w:r w:rsidRPr="000A635C">
        <w:rPr>
          <w:lang w:eastAsia="en-AU"/>
        </w:rPr>
        <w:t xml:space="preserve">set out in the </w:t>
      </w:r>
      <w:r w:rsidRPr="000A635C">
        <w:t>family violence sector joint submission</w:t>
      </w:r>
      <w:r w:rsidRPr="000A635C">
        <w:rPr>
          <w:lang w:eastAsia="en-AU"/>
        </w:rPr>
        <w:t xml:space="preserve"> to this consultation</w:t>
      </w:r>
      <w:r>
        <w:rPr>
          <w:lang w:eastAsia="en-AU"/>
        </w:rPr>
        <w:t>, and relate to Child Link’s</w:t>
      </w:r>
      <w:r w:rsidRPr="000A635C">
        <w:rPr>
          <w:lang w:eastAsia="en-AU"/>
        </w:rPr>
        <w:t xml:space="preserve"> potential to be used by perpetrators of family violence to locate children and protective parents who have fled the perpetrator</w:t>
      </w:r>
      <w:r>
        <w:rPr>
          <w:lang w:eastAsia="en-AU"/>
        </w:rPr>
        <w:t xml:space="preserve">. </w:t>
      </w:r>
      <w:r w:rsidR="008F0018" w:rsidRPr="000A635C">
        <w:rPr>
          <w:lang w:eastAsia="en-AU"/>
        </w:rPr>
        <w:t xml:space="preserve">We appreciate that the Departments understand that </w:t>
      </w:r>
      <w:r>
        <w:rPr>
          <w:lang w:eastAsia="en-AU"/>
        </w:rPr>
        <w:t xml:space="preserve">these are </w:t>
      </w:r>
      <w:r w:rsidR="008F0018" w:rsidRPr="000A635C">
        <w:rPr>
          <w:lang w:eastAsia="en-AU"/>
        </w:rPr>
        <w:t>very real concern</w:t>
      </w:r>
      <w:r>
        <w:rPr>
          <w:lang w:eastAsia="en-AU"/>
        </w:rPr>
        <w:t>s</w:t>
      </w:r>
      <w:r w:rsidR="008F0018" w:rsidRPr="000A635C">
        <w:rPr>
          <w:lang w:eastAsia="en-AU"/>
        </w:rPr>
        <w:t xml:space="preserve">. </w:t>
      </w:r>
    </w:p>
    <w:p w14:paraId="43B89C83" w14:textId="77777777" w:rsidR="00AC6F3B" w:rsidRDefault="004E6E08" w:rsidP="008F0018">
      <w:pPr>
        <w:rPr>
          <w:lang w:eastAsia="en-AU"/>
        </w:rPr>
      </w:pPr>
      <w:r w:rsidRPr="000A635C">
        <w:rPr>
          <w:lang w:eastAsia="en-AU"/>
        </w:rPr>
        <w:t xml:space="preserve">We are pleased that Child Link would not hold address details. We consider this to be an important safeguard. </w:t>
      </w:r>
    </w:p>
    <w:p w14:paraId="532B05CD" w14:textId="77777777" w:rsidR="00AC6F3B" w:rsidRDefault="004E6E08" w:rsidP="008F0018">
      <w:pPr>
        <w:rPr>
          <w:lang w:eastAsia="en-AU"/>
        </w:rPr>
      </w:pPr>
      <w:r w:rsidRPr="000A635C">
        <w:rPr>
          <w:lang w:eastAsia="en-AU"/>
        </w:rPr>
        <w:t>Nonetheless we remain concerned that the information that would be contained on Child Link would effectively allow perpetrators to locate children</w:t>
      </w:r>
      <w:r w:rsidR="00300E78">
        <w:rPr>
          <w:lang w:eastAsia="en-AU"/>
        </w:rPr>
        <w:t xml:space="preserve"> by learning the addresses of services children are attending</w:t>
      </w:r>
      <w:r w:rsidR="00B83E0C">
        <w:rPr>
          <w:lang w:eastAsia="en-AU"/>
        </w:rPr>
        <w:t xml:space="preserve">. </w:t>
      </w:r>
    </w:p>
    <w:p w14:paraId="37874240" w14:textId="2B46B8C4" w:rsidR="004E6E08" w:rsidRPr="000A635C" w:rsidRDefault="00B83E0C" w:rsidP="008F0018">
      <w:pPr>
        <w:rPr>
          <w:lang w:eastAsia="en-AU"/>
        </w:rPr>
      </w:pPr>
      <w:r>
        <w:rPr>
          <w:lang w:eastAsia="en-AU"/>
        </w:rPr>
        <w:t>Accordingly we</w:t>
      </w:r>
      <w:r w:rsidR="004E6E08" w:rsidRPr="000A635C">
        <w:rPr>
          <w:lang w:eastAsia="en-AU"/>
        </w:rPr>
        <w:t xml:space="preserve"> </w:t>
      </w:r>
      <w:r w:rsidR="00B84335">
        <w:rPr>
          <w:lang w:eastAsia="en-AU"/>
        </w:rPr>
        <w:t xml:space="preserve">would </w:t>
      </w:r>
      <w:r w:rsidR="00660316" w:rsidRPr="000A635C">
        <w:rPr>
          <w:lang w:eastAsia="en-AU"/>
        </w:rPr>
        <w:t>strongly recommend</w:t>
      </w:r>
      <w:r w:rsidR="005762D8">
        <w:rPr>
          <w:lang w:eastAsia="en-AU"/>
        </w:rPr>
        <w:t xml:space="preserve"> further</w:t>
      </w:r>
      <w:r w:rsidR="00660316" w:rsidRPr="000A635C">
        <w:rPr>
          <w:lang w:eastAsia="en-AU"/>
        </w:rPr>
        <w:t xml:space="preserve"> </w:t>
      </w:r>
      <w:r w:rsidR="005762D8">
        <w:rPr>
          <w:lang w:eastAsia="en-AU"/>
        </w:rPr>
        <w:t xml:space="preserve">research and consultation before any legislation for Child Link, and </w:t>
      </w:r>
      <w:r w:rsidR="0066437F" w:rsidRPr="000A635C">
        <w:rPr>
          <w:lang w:eastAsia="en-AU"/>
        </w:rPr>
        <w:t xml:space="preserve">thorough </w:t>
      </w:r>
      <w:r w:rsidR="004E6E08" w:rsidRPr="000A635C">
        <w:rPr>
          <w:lang w:eastAsia="en-AU"/>
        </w:rPr>
        <w:t>safeguards</w:t>
      </w:r>
      <w:r w:rsidR="00724B8D" w:rsidRPr="000A635C">
        <w:rPr>
          <w:lang w:eastAsia="en-AU"/>
        </w:rPr>
        <w:t>, including</w:t>
      </w:r>
      <w:r w:rsidR="001C105C">
        <w:rPr>
          <w:lang w:eastAsia="en-AU"/>
        </w:rPr>
        <w:t xml:space="preserve"> those discussed in the family violence sector joint submission,</w:t>
      </w:r>
      <w:r w:rsidR="005762D8">
        <w:rPr>
          <w:rStyle w:val="FootnoteReference"/>
          <w:lang w:eastAsia="en-AU"/>
        </w:rPr>
        <w:footnoteReference w:id="8"/>
      </w:r>
      <w:r w:rsidR="001C105C">
        <w:rPr>
          <w:lang w:eastAsia="en-AU"/>
        </w:rPr>
        <w:t xml:space="preserve"> and</w:t>
      </w:r>
      <w:r w:rsidR="00724B8D" w:rsidRPr="000A635C">
        <w:rPr>
          <w:lang w:eastAsia="en-AU"/>
        </w:rPr>
        <w:t>:</w:t>
      </w:r>
    </w:p>
    <w:p w14:paraId="22464615" w14:textId="1C50830B" w:rsidR="00B52F00" w:rsidRPr="000A635C" w:rsidRDefault="00660316" w:rsidP="009D76F3">
      <w:pPr>
        <w:pStyle w:val="ListParagraph"/>
        <w:numPr>
          <w:ilvl w:val="0"/>
          <w:numId w:val="30"/>
        </w:numPr>
        <w:rPr>
          <w:lang w:eastAsia="en-AU"/>
        </w:rPr>
      </w:pPr>
      <w:r w:rsidRPr="009D76F3">
        <w:rPr>
          <w:lang w:eastAsia="en-AU"/>
        </w:rPr>
        <w:t>An</w:t>
      </w:r>
      <w:r w:rsidR="00724B8D" w:rsidRPr="009D76F3">
        <w:rPr>
          <w:lang w:eastAsia="en-AU"/>
        </w:rPr>
        <w:t xml:space="preserve"> easy </w:t>
      </w:r>
      <w:r w:rsidRPr="009D76F3">
        <w:rPr>
          <w:lang w:eastAsia="en-AU"/>
        </w:rPr>
        <w:t xml:space="preserve">process </w:t>
      </w:r>
      <w:r w:rsidR="00724B8D" w:rsidRPr="009D76F3">
        <w:rPr>
          <w:lang w:eastAsia="en-AU"/>
        </w:rPr>
        <w:t xml:space="preserve">to </w:t>
      </w:r>
      <w:r w:rsidR="00F26CAB" w:rsidRPr="009D76F3">
        <w:rPr>
          <w:lang w:eastAsia="en-AU"/>
        </w:rPr>
        <w:t>block a record</w:t>
      </w:r>
      <w:r w:rsidR="00300E78" w:rsidRPr="009D76F3">
        <w:rPr>
          <w:lang w:eastAsia="en-AU"/>
        </w:rPr>
        <w:t xml:space="preserve">: </w:t>
      </w:r>
      <w:r w:rsidR="00B52F00" w:rsidRPr="000A635C">
        <w:rPr>
          <w:lang w:eastAsia="en-AU"/>
        </w:rPr>
        <w:t xml:space="preserve">The </w:t>
      </w:r>
      <w:r w:rsidR="00F26CAB" w:rsidRPr="000A635C">
        <w:rPr>
          <w:lang w:eastAsia="en-AU"/>
        </w:rPr>
        <w:t xml:space="preserve">proposed </w:t>
      </w:r>
      <w:r w:rsidR="00B52F00" w:rsidRPr="000A635C">
        <w:rPr>
          <w:lang w:eastAsia="en-AU"/>
        </w:rPr>
        <w:t xml:space="preserve">ability to block access to certain records on Child Link </w:t>
      </w:r>
      <w:r w:rsidR="00300E78">
        <w:rPr>
          <w:lang w:eastAsia="en-AU"/>
        </w:rPr>
        <w:t>would be</w:t>
      </w:r>
      <w:r w:rsidR="00B52F00" w:rsidRPr="000A635C">
        <w:rPr>
          <w:lang w:eastAsia="en-AU"/>
        </w:rPr>
        <w:t xml:space="preserve"> vital, and should be </w:t>
      </w:r>
      <w:r w:rsidR="00F26CAB" w:rsidRPr="000A635C">
        <w:rPr>
          <w:lang w:eastAsia="en-AU"/>
        </w:rPr>
        <w:t xml:space="preserve">very easily available in relation to the records of children at risk of family violence or other forms of targeted victimisation (for example sexual exploitation by a non-family member). </w:t>
      </w:r>
    </w:p>
    <w:p w14:paraId="501A1A83" w14:textId="26314ADC" w:rsidR="003C06DF" w:rsidRPr="000A635C" w:rsidRDefault="00724B8D" w:rsidP="009D76F3">
      <w:pPr>
        <w:pStyle w:val="ListParagraph"/>
        <w:numPr>
          <w:ilvl w:val="0"/>
          <w:numId w:val="30"/>
        </w:numPr>
        <w:rPr>
          <w:lang w:eastAsia="en-AU"/>
        </w:rPr>
      </w:pPr>
      <w:r w:rsidRPr="009D76F3">
        <w:rPr>
          <w:lang w:eastAsia="en-AU"/>
        </w:rPr>
        <w:t>Blocking r</w:t>
      </w:r>
      <w:r w:rsidR="00A5112C" w:rsidRPr="009D76F3">
        <w:rPr>
          <w:lang w:eastAsia="en-AU"/>
        </w:rPr>
        <w:t xml:space="preserve">ecords before </w:t>
      </w:r>
      <w:r w:rsidR="00B84335">
        <w:rPr>
          <w:lang w:eastAsia="en-AU"/>
        </w:rPr>
        <w:t>any</w:t>
      </w:r>
      <w:r w:rsidR="00B84335" w:rsidRPr="009D76F3">
        <w:rPr>
          <w:lang w:eastAsia="en-AU"/>
        </w:rPr>
        <w:t xml:space="preserve"> </w:t>
      </w:r>
      <w:r w:rsidR="00660316" w:rsidRPr="009D76F3">
        <w:rPr>
          <w:lang w:eastAsia="en-AU"/>
        </w:rPr>
        <w:t xml:space="preserve">introduction of </w:t>
      </w:r>
      <w:r w:rsidR="00A5112C" w:rsidRPr="009D76F3">
        <w:rPr>
          <w:lang w:eastAsia="en-AU"/>
        </w:rPr>
        <w:t>Child Link</w:t>
      </w:r>
      <w:r w:rsidR="00300E78">
        <w:rPr>
          <w:lang w:eastAsia="en-AU"/>
        </w:rPr>
        <w:t xml:space="preserve">: </w:t>
      </w:r>
      <w:r w:rsidR="00237834" w:rsidRPr="000A635C">
        <w:rPr>
          <w:lang w:eastAsia="en-AU"/>
        </w:rPr>
        <w:t>As well as making it easy for records to be blocked proactively, it</w:t>
      </w:r>
      <w:r w:rsidR="00C52D1B" w:rsidRPr="000A635C">
        <w:rPr>
          <w:lang w:eastAsia="en-AU"/>
        </w:rPr>
        <w:t xml:space="preserve"> </w:t>
      </w:r>
      <w:r w:rsidR="00300E78">
        <w:rPr>
          <w:lang w:eastAsia="en-AU"/>
        </w:rPr>
        <w:t>would be</w:t>
      </w:r>
      <w:r w:rsidR="00300E78" w:rsidRPr="000A635C">
        <w:rPr>
          <w:lang w:eastAsia="en-AU"/>
        </w:rPr>
        <w:t xml:space="preserve"> </w:t>
      </w:r>
      <w:r w:rsidR="00C52D1B" w:rsidRPr="000A635C">
        <w:rPr>
          <w:lang w:eastAsia="en-AU"/>
        </w:rPr>
        <w:t xml:space="preserve">important that all </w:t>
      </w:r>
      <w:r w:rsidR="00FB68DC" w:rsidRPr="000A635C">
        <w:rPr>
          <w:lang w:eastAsia="en-AU"/>
        </w:rPr>
        <w:t xml:space="preserve">existing </w:t>
      </w:r>
      <w:r w:rsidR="00C52D1B" w:rsidRPr="000A635C">
        <w:rPr>
          <w:lang w:eastAsia="en-AU"/>
        </w:rPr>
        <w:t>records that need</w:t>
      </w:r>
      <w:r w:rsidR="00300E78">
        <w:rPr>
          <w:lang w:eastAsia="en-AU"/>
        </w:rPr>
        <w:t>ed</w:t>
      </w:r>
      <w:r w:rsidR="00C52D1B" w:rsidRPr="000A635C">
        <w:rPr>
          <w:lang w:eastAsia="en-AU"/>
        </w:rPr>
        <w:t xml:space="preserve"> to be blocked </w:t>
      </w:r>
      <w:r w:rsidR="00300E78">
        <w:rPr>
          <w:lang w:eastAsia="en-AU"/>
        </w:rPr>
        <w:t>were</w:t>
      </w:r>
      <w:r w:rsidR="00300E78" w:rsidRPr="000A635C">
        <w:rPr>
          <w:lang w:eastAsia="en-AU"/>
        </w:rPr>
        <w:t xml:space="preserve"> </w:t>
      </w:r>
      <w:r w:rsidR="00C52D1B" w:rsidRPr="000A635C">
        <w:rPr>
          <w:lang w:eastAsia="en-AU"/>
        </w:rPr>
        <w:t xml:space="preserve">blocked before Child Link </w:t>
      </w:r>
      <w:r w:rsidR="00300E78">
        <w:rPr>
          <w:lang w:eastAsia="en-AU"/>
        </w:rPr>
        <w:t>wa</w:t>
      </w:r>
      <w:r w:rsidR="00C52D1B" w:rsidRPr="000A635C">
        <w:rPr>
          <w:lang w:eastAsia="en-AU"/>
        </w:rPr>
        <w:t xml:space="preserve">s rolled out. </w:t>
      </w:r>
      <w:r w:rsidR="00237834" w:rsidRPr="000A635C">
        <w:rPr>
          <w:lang w:eastAsia="en-AU"/>
        </w:rPr>
        <w:t xml:space="preserve">Mechanisms </w:t>
      </w:r>
      <w:r w:rsidR="00AD1570">
        <w:rPr>
          <w:lang w:eastAsia="en-AU"/>
        </w:rPr>
        <w:t>would</w:t>
      </w:r>
      <w:r w:rsidR="00237834" w:rsidRPr="000A635C">
        <w:rPr>
          <w:lang w:eastAsia="en-AU"/>
        </w:rPr>
        <w:t xml:space="preserve"> need to be developed, for example f</w:t>
      </w:r>
      <w:r w:rsidR="00C52D1B" w:rsidRPr="000A635C">
        <w:rPr>
          <w:lang w:eastAsia="en-AU"/>
        </w:rPr>
        <w:t>amily violence services m</w:t>
      </w:r>
      <w:r w:rsidR="00300E78">
        <w:rPr>
          <w:lang w:eastAsia="en-AU"/>
        </w:rPr>
        <w:t>ight</w:t>
      </w:r>
      <w:r w:rsidR="00C52D1B" w:rsidRPr="000A635C">
        <w:rPr>
          <w:lang w:eastAsia="en-AU"/>
        </w:rPr>
        <w:t xml:space="preserve"> need additional funding</w:t>
      </w:r>
      <w:r w:rsidR="00B925CC">
        <w:rPr>
          <w:lang w:eastAsia="en-AU"/>
        </w:rPr>
        <w:t xml:space="preserve"> and time</w:t>
      </w:r>
      <w:r w:rsidR="00C52D1B" w:rsidRPr="000A635C">
        <w:rPr>
          <w:lang w:eastAsia="en-AU"/>
        </w:rPr>
        <w:t xml:space="preserve"> to contact past clients and assess the </w:t>
      </w:r>
      <w:r w:rsidR="00237834" w:rsidRPr="000A635C">
        <w:rPr>
          <w:lang w:eastAsia="en-AU"/>
        </w:rPr>
        <w:t xml:space="preserve">risk of a child’s Child Link record leading to the location of the family. </w:t>
      </w:r>
    </w:p>
    <w:p w14:paraId="2B8432F3" w14:textId="0C6993C9" w:rsidR="00E40F6F" w:rsidRDefault="00724B8D" w:rsidP="009D76F3">
      <w:pPr>
        <w:pStyle w:val="ListParagraph"/>
        <w:numPr>
          <w:ilvl w:val="0"/>
          <w:numId w:val="30"/>
        </w:numPr>
        <w:rPr>
          <w:lang w:eastAsia="en-AU"/>
        </w:rPr>
      </w:pPr>
      <w:r w:rsidRPr="009D76F3">
        <w:rPr>
          <w:lang w:eastAsia="en-AU"/>
        </w:rPr>
        <w:t xml:space="preserve">Ensuring </w:t>
      </w:r>
      <w:r w:rsidR="00E40F6F" w:rsidRPr="009D76F3">
        <w:rPr>
          <w:lang w:eastAsia="en-AU"/>
        </w:rPr>
        <w:t xml:space="preserve">personal </w:t>
      </w:r>
      <w:r w:rsidRPr="009D76F3">
        <w:rPr>
          <w:lang w:eastAsia="en-AU"/>
        </w:rPr>
        <w:t>r</w:t>
      </w:r>
      <w:r w:rsidR="003C06DF" w:rsidRPr="009D76F3">
        <w:rPr>
          <w:lang w:eastAsia="en-AU"/>
        </w:rPr>
        <w:t xml:space="preserve">equests for </w:t>
      </w:r>
      <w:r w:rsidR="00B925CC" w:rsidRPr="009D76F3">
        <w:rPr>
          <w:lang w:eastAsia="en-AU"/>
        </w:rPr>
        <w:t xml:space="preserve">records </w:t>
      </w:r>
      <w:r w:rsidRPr="009D76F3">
        <w:rPr>
          <w:lang w:eastAsia="en-AU"/>
        </w:rPr>
        <w:t>are</w:t>
      </w:r>
      <w:r w:rsidR="00237834" w:rsidRPr="009D76F3">
        <w:rPr>
          <w:lang w:eastAsia="en-AU"/>
        </w:rPr>
        <w:t xml:space="preserve"> responded to safely</w:t>
      </w:r>
      <w:r w:rsidR="00300E78">
        <w:rPr>
          <w:lang w:eastAsia="en-AU"/>
        </w:rPr>
        <w:t xml:space="preserve">: </w:t>
      </w:r>
      <w:r w:rsidR="00237834" w:rsidRPr="000A635C">
        <w:rPr>
          <w:lang w:eastAsia="en-AU"/>
        </w:rPr>
        <w:t xml:space="preserve">We understand that children and parents </w:t>
      </w:r>
      <w:r w:rsidR="00AD1570">
        <w:rPr>
          <w:lang w:eastAsia="en-AU"/>
        </w:rPr>
        <w:t>would</w:t>
      </w:r>
      <w:r w:rsidR="00237834" w:rsidRPr="000A635C">
        <w:rPr>
          <w:lang w:eastAsia="en-AU"/>
        </w:rPr>
        <w:t xml:space="preserve"> not have direct access to their families’ Child Link records. However, as</w:t>
      </w:r>
      <w:r w:rsidR="003C06DF" w:rsidRPr="000A635C">
        <w:rPr>
          <w:lang w:eastAsia="en-AU"/>
        </w:rPr>
        <w:t xml:space="preserve"> the </w:t>
      </w:r>
      <w:r w:rsidR="00E40F6F">
        <w:rPr>
          <w:lang w:eastAsia="en-AU"/>
        </w:rPr>
        <w:t xml:space="preserve">consultation </w:t>
      </w:r>
      <w:r w:rsidR="003C06DF" w:rsidRPr="000A635C">
        <w:rPr>
          <w:lang w:eastAsia="en-AU"/>
        </w:rPr>
        <w:t xml:space="preserve">paper recognises, parents and children </w:t>
      </w:r>
      <w:r w:rsidR="00AD1570">
        <w:rPr>
          <w:lang w:eastAsia="en-AU"/>
        </w:rPr>
        <w:t xml:space="preserve">would </w:t>
      </w:r>
      <w:r w:rsidR="003C06DF" w:rsidRPr="000A635C">
        <w:rPr>
          <w:lang w:eastAsia="en-AU"/>
        </w:rPr>
        <w:t xml:space="preserve">need to be able to access </w:t>
      </w:r>
      <w:r w:rsidR="00237834" w:rsidRPr="000A635C">
        <w:rPr>
          <w:lang w:eastAsia="en-AU"/>
        </w:rPr>
        <w:t>and correct their records in accordance with standard</w:t>
      </w:r>
      <w:r w:rsidR="003C06DF" w:rsidRPr="000A635C">
        <w:rPr>
          <w:lang w:eastAsia="en-AU"/>
        </w:rPr>
        <w:t xml:space="preserve"> </w:t>
      </w:r>
      <w:r w:rsidR="00237834" w:rsidRPr="000A635C">
        <w:rPr>
          <w:lang w:eastAsia="en-AU"/>
        </w:rPr>
        <w:t xml:space="preserve">privacy laws. It is important that responses to these requests </w:t>
      </w:r>
      <w:r w:rsidR="00AD1570">
        <w:rPr>
          <w:lang w:eastAsia="en-AU"/>
        </w:rPr>
        <w:t>would be</w:t>
      </w:r>
      <w:r w:rsidR="00237834" w:rsidRPr="000A635C">
        <w:rPr>
          <w:lang w:eastAsia="en-AU"/>
        </w:rPr>
        <w:t xml:space="preserve"> met safely, again ensuring that </w:t>
      </w:r>
      <w:r w:rsidR="00B84335">
        <w:rPr>
          <w:lang w:eastAsia="en-AU"/>
        </w:rPr>
        <w:t xml:space="preserve">a parent who uses family violence could not locate their family through requesting and viewing their own child’s Child Link </w:t>
      </w:r>
      <w:r w:rsidR="00237834" w:rsidRPr="000A635C">
        <w:rPr>
          <w:lang w:eastAsia="en-AU"/>
        </w:rPr>
        <w:t>record.</w:t>
      </w:r>
      <w:r w:rsidR="00A31D41">
        <w:rPr>
          <w:lang w:eastAsia="en-AU"/>
        </w:rPr>
        <w:t xml:space="preserve"> </w:t>
      </w:r>
    </w:p>
    <w:p w14:paraId="5B4B774D" w14:textId="31FADDAC" w:rsidR="00EC2C94" w:rsidRPr="000A635C" w:rsidRDefault="00300E78" w:rsidP="00EC2C94">
      <w:pPr>
        <w:pStyle w:val="Heading2"/>
      </w:pPr>
      <w:bookmarkStart w:id="47" w:name="_Toc495992904"/>
      <w:r>
        <w:lastRenderedPageBreak/>
        <w:t>T</w:t>
      </w:r>
      <w:r w:rsidR="008D30DB" w:rsidRPr="000A635C">
        <w:t>he r</w:t>
      </w:r>
      <w:r w:rsidR="00237834" w:rsidRPr="000A635C">
        <w:t>isk of s</w:t>
      </w:r>
      <w:r w:rsidR="00EC2C94" w:rsidRPr="000A635C">
        <w:t>tigma</w:t>
      </w:r>
      <w:r w:rsidR="00237834" w:rsidRPr="000A635C">
        <w:t>tisation</w:t>
      </w:r>
      <w:r w:rsidR="001A6FCE" w:rsidRPr="000A635C">
        <w:t xml:space="preserve"> because of data on Child Link</w:t>
      </w:r>
      <w:bookmarkEnd w:id="47"/>
    </w:p>
    <w:p w14:paraId="792CA94C" w14:textId="1BD6DA3E" w:rsidR="00237834" w:rsidRPr="000A635C" w:rsidRDefault="00237834" w:rsidP="00237834">
      <w:pPr>
        <w:rPr>
          <w:lang w:eastAsia="en-AU"/>
        </w:rPr>
      </w:pPr>
      <w:r w:rsidRPr="000A635C">
        <w:rPr>
          <w:lang w:eastAsia="en-AU"/>
        </w:rPr>
        <w:t xml:space="preserve">We know the Departments are also aware of the </w:t>
      </w:r>
      <w:r w:rsidR="000E71D4" w:rsidRPr="000A635C">
        <w:rPr>
          <w:lang w:eastAsia="en-AU"/>
        </w:rPr>
        <w:t xml:space="preserve">serious </w:t>
      </w:r>
      <w:r w:rsidRPr="000A635C">
        <w:rPr>
          <w:lang w:eastAsia="en-AU"/>
        </w:rPr>
        <w:t xml:space="preserve">concern that information on Child Link </w:t>
      </w:r>
      <w:r w:rsidR="00AD1570">
        <w:rPr>
          <w:lang w:eastAsia="en-AU"/>
        </w:rPr>
        <w:t>would</w:t>
      </w:r>
      <w:r w:rsidRPr="000A635C">
        <w:rPr>
          <w:lang w:eastAsia="en-AU"/>
        </w:rPr>
        <w:t xml:space="preserve"> be used to stigmatise already vulnerable children.</w:t>
      </w:r>
    </w:p>
    <w:p w14:paraId="4167D121" w14:textId="511D0ED4" w:rsidR="00237834" w:rsidRDefault="008C0028" w:rsidP="00237834">
      <w:pPr>
        <w:rPr>
          <w:lang w:eastAsia="en-AU"/>
        </w:rPr>
      </w:pPr>
      <w:r w:rsidRPr="000A635C">
        <w:rPr>
          <w:lang w:eastAsia="en-AU"/>
        </w:rPr>
        <w:t xml:space="preserve">Our </w:t>
      </w:r>
      <w:r w:rsidR="00237834" w:rsidRPr="000A635C">
        <w:rPr>
          <w:lang w:eastAsia="en-AU"/>
        </w:rPr>
        <w:t>experience leads us to have concerns</w:t>
      </w:r>
      <w:r w:rsidR="0069632D">
        <w:rPr>
          <w:lang w:eastAsia="en-AU"/>
        </w:rPr>
        <w:t xml:space="preserve"> about how this </w:t>
      </w:r>
      <w:r w:rsidR="00BF560B">
        <w:rPr>
          <w:lang w:eastAsia="en-AU"/>
        </w:rPr>
        <w:t xml:space="preserve">information </w:t>
      </w:r>
      <w:r w:rsidR="00ED4783">
        <w:rPr>
          <w:lang w:eastAsia="en-AU"/>
        </w:rPr>
        <w:t xml:space="preserve">may </w:t>
      </w:r>
      <w:r w:rsidR="0069632D">
        <w:rPr>
          <w:lang w:eastAsia="en-AU"/>
        </w:rPr>
        <w:t>be used</w:t>
      </w:r>
      <w:r w:rsidR="00237834" w:rsidRPr="000A635C">
        <w:rPr>
          <w:lang w:eastAsia="en-AU"/>
        </w:rPr>
        <w:t xml:space="preserve">, for example to exclude children with </w:t>
      </w:r>
      <w:r w:rsidR="008D30DB" w:rsidRPr="000A635C">
        <w:rPr>
          <w:lang w:eastAsia="en-AU"/>
        </w:rPr>
        <w:t xml:space="preserve">records of criminal offending, behavioural difficulties, or disability. </w:t>
      </w:r>
    </w:p>
    <w:p w14:paraId="740E5394" w14:textId="77777777" w:rsidR="00AC6F3B" w:rsidRDefault="00B925CC" w:rsidP="008D30DB">
      <w:pPr>
        <w:rPr>
          <w:lang w:eastAsia="en-AU"/>
        </w:rPr>
      </w:pPr>
      <w:r>
        <w:rPr>
          <w:lang w:eastAsia="en-AU"/>
        </w:rPr>
        <w:t xml:space="preserve">Some of the safeguards proposed in the family violence sector joint submission (for example consideration of a central agency model) could mitigate against stigmatisation. </w:t>
      </w:r>
    </w:p>
    <w:p w14:paraId="46CEB707" w14:textId="65EA9977" w:rsidR="00EC2C94" w:rsidRPr="000A635C" w:rsidRDefault="00300E78" w:rsidP="008D30DB">
      <w:pPr>
        <w:rPr>
          <w:lang w:eastAsia="en-AU"/>
        </w:rPr>
      </w:pPr>
      <w:r>
        <w:rPr>
          <w:lang w:eastAsia="en-AU"/>
        </w:rPr>
        <w:t>A</w:t>
      </w:r>
      <w:r w:rsidR="00B925CC">
        <w:rPr>
          <w:lang w:eastAsia="en-AU"/>
        </w:rPr>
        <w:t xml:space="preserve">dditional </w:t>
      </w:r>
      <w:r w:rsidR="008D30DB" w:rsidRPr="000A635C">
        <w:rPr>
          <w:lang w:eastAsia="en-AU"/>
        </w:rPr>
        <w:t>safeguards against the use of Child Link to stigmatise and further marginalise children</w:t>
      </w:r>
      <w:r w:rsidR="00724B8D" w:rsidRPr="000A635C">
        <w:rPr>
          <w:lang w:eastAsia="en-AU"/>
        </w:rPr>
        <w:t xml:space="preserve"> </w:t>
      </w:r>
      <w:r w:rsidR="000E779D">
        <w:rPr>
          <w:lang w:eastAsia="en-AU"/>
        </w:rPr>
        <w:t xml:space="preserve">would </w:t>
      </w:r>
      <w:r>
        <w:rPr>
          <w:lang w:eastAsia="en-AU"/>
        </w:rPr>
        <w:t>als</w:t>
      </w:r>
      <w:r w:rsidR="000E779D">
        <w:rPr>
          <w:lang w:eastAsia="en-AU"/>
        </w:rPr>
        <w:t>o</w:t>
      </w:r>
      <w:r>
        <w:rPr>
          <w:lang w:eastAsia="en-AU"/>
        </w:rPr>
        <w:t xml:space="preserve"> be necessary, </w:t>
      </w:r>
      <w:r w:rsidR="00724B8D" w:rsidRPr="000A635C">
        <w:rPr>
          <w:lang w:eastAsia="en-AU"/>
        </w:rPr>
        <w:t>including:</w:t>
      </w:r>
      <w:r w:rsidR="008D30DB" w:rsidRPr="000A635C">
        <w:rPr>
          <w:lang w:eastAsia="en-AU"/>
        </w:rPr>
        <w:t xml:space="preserve"> </w:t>
      </w:r>
    </w:p>
    <w:p w14:paraId="488EE4C9" w14:textId="0B9C2B42" w:rsidR="00D6075A" w:rsidRPr="001E50E1" w:rsidRDefault="00724B8D" w:rsidP="009D76F3">
      <w:pPr>
        <w:pStyle w:val="ListParagraph"/>
        <w:numPr>
          <w:ilvl w:val="0"/>
          <w:numId w:val="30"/>
        </w:numPr>
        <w:rPr>
          <w:lang w:eastAsia="en-AU"/>
        </w:rPr>
      </w:pPr>
      <w:r w:rsidRPr="00D6075A">
        <w:rPr>
          <w:lang w:eastAsia="en-AU"/>
        </w:rPr>
        <w:t xml:space="preserve">Not allowing </w:t>
      </w:r>
      <w:r w:rsidR="000E71D4" w:rsidRPr="00D6075A">
        <w:rPr>
          <w:lang w:eastAsia="en-AU"/>
        </w:rPr>
        <w:t>access before enrolment</w:t>
      </w:r>
      <w:r w:rsidR="000E779D" w:rsidRPr="00D6075A">
        <w:rPr>
          <w:lang w:eastAsia="en-AU"/>
        </w:rPr>
        <w:t xml:space="preserve">: </w:t>
      </w:r>
      <w:r w:rsidR="000E71D4" w:rsidRPr="00D6075A">
        <w:rPr>
          <w:lang w:eastAsia="en-AU"/>
        </w:rPr>
        <w:t xml:space="preserve">We understand it is intended that access to Child Link </w:t>
      </w:r>
      <w:r w:rsidR="00AD1570" w:rsidRPr="00BD5BA2">
        <w:rPr>
          <w:lang w:eastAsia="en-AU"/>
        </w:rPr>
        <w:t>would</w:t>
      </w:r>
      <w:r w:rsidR="000E71D4" w:rsidRPr="00BD5BA2">
        <w:rPr>
          <w:lang w:eastAsia="en-AU"/>
        </w:rPr>
        <w:t xml:space="preserve"> be possible only in relation to the records of children who are or have been enrolled in a service (consultation paper page 16). We </w:t>
      </w:r>
      <w:r w:rsidR="006D00F8">
        <w:rPr>
          <w:lang w:eastAsia="en-AU"/>
        </w:rPr>
        <w:t xml:space="preserve">support this proposal and </w:t>
      </w:r>
      <w:r w:rsidR="000E71D4" w:rsidRPr="00BD5BA2">
        <w:rPr>
          <w:lang w:eastAsia="en-AU"/>
        </w:rPr>
        <w:t xml:space="preserve">view </w:t>
      </w:r>
      <w:r w:rsidR="00D118F6">
        <w:rPr>
          <w:lang w:eastAsia="en-AU"/>
        </w:rPr>
        <w:t>it</w:t>
      </w:r>
      <w:r w:rsidR="00D118F6" w:rsidRPr="00BD5BA2">
        <w:rPr>
          <w:lang w:eastAsia="en-AU"/>
        </w:rPr>
        <w:t xml:space="preserve"> </w:t>
      </w:r>
      <w:r w:rsidR="000E71D4" w:rsidRPr="00BD5BA2">
        <w:rPr>
          <w:lang w:eastAsia="en-AU"/>
        </w:rPr>
        <w:t>as a vital safeguard against exclusion from services. It is important that the mechanisms for implementing this safeguard do not rely solely on best practice. The press</w:t>
      </w:r>
      <w:r w:rsidR="000E71D4" w:rsidRPr="00E46C2F">
        <w:rPr>
          <w:lang w:eastAsia="en-AU"/>
        </w:rPr>
        <w:t>ures on services to exclude families with experiences of disadvantage are overwhelming.</w:t>
      </w:r>
      <w:r w:rsidR="000E779D" w:rsidRPr="00E46C2F">
        <w:rPr>
          <w:lang w:eastAsia="en-AU"/>
        </w:rPr>
        <w:t xml:space="preserve"> </w:t>
      </w:r>
      <w:r w:rsidR="000E71D4" w:rsidRPr="00E46C2F">
        <w:rPr>
          <w:lang w:eastAsia="en-AU"/>
        </w:rPr>
        <w:t xml:space="preserve">Implementation and monitoring of the effectiveness of this safeguard </w:t>
      </w:r>
      <w:r w:rsidR="00AD1570" w:rsidRPr="00E46C2F">
        <w:rPr>
          <w:lang w:eastAsia="en-AU"/>
        </w:rPr>
        <w:t>would</w:t>
      </w:r>
      <w:r w:rsidR="000E71D4" w:rsidRPr="00E46C2F">
        <w:rPr>
          <w:lang w:eastAsia="en-AU"/>
        </w:rPr>
        <w:t xml:space="preserve"> be crucial.</w:t>
      </w:r>
      <w:r w:rsidR="00D6075A" w:rsidRPr="001E50E1">
        <w:rPr>
          <w:lang w:eastAsia="en-AU"/>
        </w:rPr>
        <w:t xml:space="preserve"> </w:t>
      </w:r>
    </w:p>
    <w:p w14:paraId="6FE4E5A6" w14:textId="43E1E068" w:rsidR="00D6075A" w:rsidRPr="000A635C" w:rsidRDefault="00D6075A" w:rsidP="009D76F3">
      <w:pPr>
        <w:pStyle w:val="ListParagraph"/>
        <w:numPr>
          <w:ilvl w:val="0"/>
          <w:numId w:val="30"/>
        </w:numPr>
        <w:rPr>
          <w:lang w:eastAsia="en-AU"/>
        </w:rPr>
      </w:pPr>
      <w:r w:rsidRPr="009D76F3">
        <w:rPr>
          <w:lang w:eastAsia="en-AU"/>
        </w:rPr>
        <w:t>Excluding potentially stigmatising information:</w:t>
      </w:r>
      <w:r>
        <w:rPr>
          <w:b/>
          <w:lang w:eastAsia="en-AU"/>
        </w:rPr>
        <w:t xml:space="preserve"> </w:t>
      </w:r>
      <w:r w:rsidRPr="000A635C">
        <w:rPr>
          <w:lang w:eastAsia="en-AU"/>
        </w:rPr>
        <w:t>We support the exclusion of Children’s Court Criminal Division orders from Child Link, and we consider that Youth Justice should not be a prescribed organisation for the purposes of Child Link.</w:t>
      </w:r>
    </w:p>
    <w:p w14:paraId="3B4AFC9A" w14:textId="77777777" w:rsidR="00D6075A" w:rsidRPr="000A635C" w:rsidRDefault="00D6075A" w:rsidP="00D118F6">
      <w:pPr>
        <w:rPr>
          <w:lang w:eastAsia="en-AU"/>
        </w:rPr>
      </w:pPr>
      <w:r w:rsidRPr="000A635C">
        <w:rPr>
          <w:lang w:eastAsia="en-AU"/>
        </w:rPr>
        <w:t>We understand a key rationale for Child Link is to keep families in view and prevent them from disengaging with services (as described in the case study on page 17 of the consultation paper). When a child is engaged with Youth Justice they are well within view of the system. In our experience they are also much more likely to have difficulty enrolling in schools</w:t>
      </w:r>
      <w:r>
        <w:rPr>
          <w:lang w:eastAsia="en-AU"/>
        </w:rPr>
        <w:t>, and schools may also be more likely to exclude a student when an opportunity arises if the child has a criminal record</w:t>
      </w:r>
      <w:r w:rsidRPr="000A635C">
        <w:rPr>
          <w:lang w:eastAsia="en-AU"/>
        </w:rPr>
        <w:t>.</w:t>
      </w:r>
      <w:r>
        <w:rPr>
          <w:lang w:eastAsia="en-AU"/>
        </w:rPr>
        <w:t xml:space="preserve"> </w:t>
      </w:r>
    </w:p>
    <w:p w14:paraId="46C97DFB" w14:textId="77777777" w:rsidR="00D6075A" w:rsidRPr="000A635C" w:rsidRDefault="00D6075A" w:rsidP="00D118F6">
      <w:pPr>
        <w:rPr>
          <w:lang w:eastAsia="en-AU"/>
        </w:rPr>
      </w:pPr>
      <w:r w:rsidRPr="000A635C">
        <w:rPr>
          <w:lang w:eastAsia="en-AU"/>
        </w:rPr>
        <w:t>There are strong rationales for the prohibition of publication of youth justice orders, and those rationales are also relevant in relation to Child Link, given how broadly accessible Child Link might be.</w:t>
      </w:r>
    </w:p>
    <w:p w14:paraId="3AF2DE73" w14:textId="77777777" w:rsidR="00D6075A" w:rsidRDefault="00D6075A" w:rsidP="00D118F6">
      <w:pPr>
        <w:rPr>
          <w:lang w:eastAsia="en-AU"/>
        </w:rPr>
      </w:pPr>
      <w:r w:rsidRPr="000A635C">
        <w:rPr>
          <w:lang w:eastAsia="en-AU"/>
        </w:rPr>
        <w:t>We similarly suggest that Child Link should not include a disability marker. That information should not be automatically available to all services a child engages with.</w:t>
      </w:r>
      <w:r>
        <w:rPr>
          <w:lang w:eastAsia="en-AU"/>
        </w:rPr>
        <w:t xml:space="preserve"> </w:t>
      </w:r>
    </w:p>
    <w:p w14:paraId="449A5AD2" w14:textId="330AD8E5" w:rsidR="004E1ECD" w:rsidRDefault="001A6FCE" w:rsidP="009D76F3">
      <w:pPr>
        <w:rPr>
          <w:lang w:eastAsia="en-AU"/>
        </w:rPr>
      </w:pPr>
      <w:r w:rsidRPr="000A635C">
        <w:rPr>
          <w:lang w:eastAsia="en-AU"/>
        </w:rPr>
        <w:t xml:space="preserve">We understand that it is not yet decided whether Child Link would record whether a child identifies as being Aboriginal and/or a Torres Strait Islander. </w:t>
      </w:r>
      <w:r w:rsidR="00AD1570">
        <w:rPr>
          <w:lang w:eastAsia="en-AU"/>
        </w:rPr>
        <w:t>Our</w:t>
      </w:r>
      <w:r w:rsidRPr="000A635C">
        <w:rPr>
          <w:lang w:eastAsia="en-AU"/>
        </w:rPr>
        <w:t xml:space="preserve"> view is that</w:t>
      </w:r>
      <w:r w:rsidR="00D6075A">
        <w:rPr>
          <w:lang w:eastAsia="en-AU"/>
        </w:rPr>
        <w:t>,</w:t>
      </w:r>
      <w:r w:rsidRPr="000A635C">
        <w:rPr>
          <w:lang w:eastAsia="en-AU"/>
        </w:rPr>
        <w:t xml:space="preserve"> </w:t>
      </w:r>
      <w:r w:rsidR="00D6075A">
        <w:rPr>
          <w:lang w:eastAsia="en-AU"/>
        </w:rPr>
        <w:t xml:space="preserve">if Child Link is to proceed, </w:t>
      </w:r>
      <w:r w:rsidRPr="000A635C">
        <w:rPr>
          <w:lang w:eastAsia="en-AU"/>
        </w:rPr>
        <w:t xml:space="preserve">the decision about that identification data should be made by Aboriginal and Torres Strait Islander groups. Aboriginal and Torres </w:t>
      </w:r>
      <w:r w:rsidR="00724B8D" w:rsidRPr="000A635C">
        <w:rPr>
          <w:lang w:eastAsia="en-AU"/>
        </w:rPr>
        <w:t>St</w:t>
      </w:r>
      <w:r w:rsidRPr="000A635C">
        <w:rPr>
          <w:lang w:eastAsia="en-AU"/>
        </w:rPr>
        <w:t>rait Islander decision-makers should be able to revise any decision to include identification data on Child Link, which they may wish to do for example if it is subsequently found to be leading to increased stigmatisation.</w:t>
      </w:r>
      <w:r w:rsidR="000E71D4">
        <w:rPr>
          <w:lang w:eastAsia="en-AU"/>
        </w:rPr>
        <w:t xml:space="preserve"> </w:t>
      </w:r>
    </w:p>
    <w:p w14:paraId="6C3F816C" w14:textId="77777777" w:rsidR="00077469" w:rsidRPr="000A635C" w:rsidRDefault="00077469" w:rsidP="00D118F6">
      <w:pPr>
        <w:pStyle w:val="Heading3"/>
        <w:pBdr>
          <w:top w:val="single" w:sz="4" w:space="1" w:color="auto"/>
          <w:left w:val="single" w:sz="4" w:space="4" w:color="auto"/>
          <w:bottom w:val="single" w:sz="4" w:space="1" w:color="auto"/>
          <w:right w:val="single" w:sz="4" w:space="4" w:color="auto"/>
        </w:pBdr>
        <w:spacing w:after="0"/>
      </w:pPr>
      <w:bookmarkStart w:id="48" w:name="_Toc495599086"/>
      <w:bookmarkStart w:id="49" w:name="_Toc495657265"/>
      <w:bookmarkStart w:id="50" w:name="_Toc495663356"/>
      <w:bookmarkStart w:id="51" w:name="_Toc495928628"/>
      <w:bookmarkStart w:id="52" w:name="_Toc495935531"/>
      <w:bookmarkStart w:id="53" w:name="_Toc495943612"/>
      <w:bookmarkStart w:id="54" w:name="_Toc495943881"/>
      <w:bookmarkStart w:id="55" w:name="_Toc495992905"/>
      <w:r w:rsidRPr="000A635C">
        <w:t>Recommendation:</w:t>
      </w:r>
      <w:bookmarkEnd w:id="48"/>
      <w:bookmarkEnd w:id="49"/>
      <w:bookmarkEnd w:id="50"/>
      <w:bookmarkEnd w:id="51"/>
      <w:bookmarkEnd w:id="52"/>
      <w:bookmarkEnd w:id="53"/>
      <w:bookmarkEnd w:id="54"/>
      <w:bookmarkEnd w:id="55"/>
    </w:p>
    <w:p w14:paraId="482170BF" w14:textId="744C3861" w:rsidR="00077469" w:rsidRDefault="006D00F8" w:rsidP="00D118F6">
      <w:pPr>
        <w:pBdr>
          <w:top w:val="single" w:sz="4" w:space="1" w:color="auto"/>
          <w:left w:val="single" w:sz="4" w:space="4" w:color="auto"/>
          <w:bottom w:val="single" w:sz="4" w:space="1" w:color="auto"/>
          <w:right w:val="single" w:sz="4" w:space="4" w:color="auto"/>
        </w:pBdr>
        <w:rPr>
          <w:lang w:eastAsia="en-AU"/>
        </w:rPr>
      </w:pPr>
      <w:r>
        <w:rPr>
          <w:lang w:eastAsia="en-AU"/>
        </w:rPr>
        <w:t>Undertake f</w:t>
      </w:r>
      <w:r w:rsidR="00077469">
        <w:rPr>
          <w:lang w:eastAsia="en-AU"/>
        </w:rPr>
        <w:t>urther research and consultation</w:t>
      </w:r>
      <w:r>
        <w:rPr>
          <w:lang w:eastAsia="en-AU"/>
        </w:rPr>
        <w:t xml:space="preserve"> and</w:t>
      </w:r>
      <w:r w:rsidR="00077469">
        <w:rPr>
          <w:lang w:eastAsia="en-AU"/>
        </w:rPr>
        <w:t xml:space="preserve"> ensur</w:t>
      </w:r>
      <w:r>
        <w:rPr>
          <w:lang w:eastAsia="en-AU"/>
        </w:rPr>
        <w:t>e</w:t>
      </w:r>
      <w:r w:rsidR="00077469">
        <w:rPr>
          <w:lang w:eastAsia="en-AU"/>
        </w:rPr>
        <w:t xml:space="preserve"> necessary safeguards are in place before any implementation of Child Link.</w:t>
      </w:r>
    </w:p>
    <w:sectPr w:rsidR="00077469" w:rsidSect="00DA29C4">
      <w:headerReference w:type="even" r:id="rId19"/>
      <w:headerReference w:type="first" r:id="rId20"/>
      <w:footerReference w:type="first" r:id="rId21"/>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52D8" w14:textId="77777777" w:rsidR="00DD0D0B" w:rsidRDefault="00DD0D0B">
      <w:r>
        <w:separator/>
      </w:r>
    </w:p>
    <w:p w14:paraId="2C8EDEA5" w14:textId="77777777" w:rsidR="00DD0D0B" w:rsidRDefault="00DD0D0B"/>
    <w:p w14:paraId="00001FEF" w14:textId="77777777" w:rsidR="00DD0D0B" w:rsidRDefault="00DD0D0B"/>
  </w:endnote>
  <w:endnote w:type="continuationSeparator" w:id="0">
    <w:p w14:paraId="67FDDEA0" w14:textId="77777777" w:rsidR="00DD0D0B" w:rsidRDefault="00DD0D0B">
      <w:r>
        <w:continuationSeparator/>
      </w:r>
    </w:p>
    <w:p w14:paraId="11529458" w14:textId="77777777" w:rsidR="00DD0D0B" w:rsidRDefault="00DD0D0B"/>
    <w:p w14:paraId="28119CE2" w14:textId="77777777" w:rsidR="00DD0D0B" w:rsidRDefault="00DD0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E347" w14:textId="77777777" w:rsidR="00C519CE" w:rsidRDefault="00C51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ECF3" w14:textId="77777777" w:rsidR="00EB4DAC" w:rsidRDefault="00EB4DAC" w:rsidP="004E0688">
    <w:pPr>
      <w:pBdr>
        <w:top w:val="single" w:sz="12"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BD81" w14:textId="77777777" w:rsidR="00C519CE" w:rsidRDefault="00C519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F51B" w14:textId="77777777" w:rsidR="00EB4DAC" w:rsidRDefault="00EB4DAC" w:rsidP="00161EEF">
    <w:pPr>
      <w:pStyle w:val="Filename"/>
      <w:tabs>
        <w:tab w:val="clear" w:pos="9240"/>
      </w:tabs>
    </w:pPr>
    <w:r>
      <w:t>Child Information Sharing – Legal assistance sector submission – October 2017</w:t>
    </w:r>
  </w:p>
  <w:p w14:paraId="308BD63D" w14:textId="477D310A" w:rsidR="00EB4DAC" w:rsidRPr="002B4970" w:rsidRDefault="00EB4DAC"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47607">
      <w:rPr>
        <w:rStyle w:val="PageNumber"/>
        <w:noProof/>
      </w:rPr>
      <w:t>12</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AD09" w14:textId="77777777" w:rsidR="00EB4DAC" w:rsidRDefault="00EB4DAC" w:rsidP="00E05B16">
    <w:pPr>
      <w:pStyle w:val="Filename"/>
      <w:tabs>
        <w:tab w:val="clear" w:pos="9240"/>
      </w:tabs>
    </w:pPr>
    <w:r>
      <w:t>Child Information Sharing – Legal assistance sector submission – October 2017</w:t>
    </w:r>
  </w:p>
  <w:p w14:paraId="4170139A" w14:textId="24B64943" w:rsidR="00EB4DAC" w:rsidRPr="002B4970" w:rsidRDefault="00EB4DAC"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47607">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7AB7" w14:textId="77777777" w:rsidR="00DD0D0B" w:rsidRPr="00E9228F" w:rsidRDefault="00DD0D0B" w:rsidP="00E9228F">
      <w:pPr>
        <w:rPr>
          <w:sz w:val="18"/>
          <w:szCs w:val="18"/>
        </w:rPr>
      </w:pPr>
      <w:r w:rsidRPr="006831FC">
        <w:rPr>
          <w:sz w:val="18"/>
        </w:rPr>
        <w:separator/>
      </w:r>
    </w:p>
  </w:footnote>
  <w:footnote w:type="continuationSeparator" w:id="0">
    <w:p w14:paraId="27101D70" w14:textId="77777777" w:rsidR="00DD0D0B" w:rsidRDefault="00DD0D0B">
      <w:r>
        <w:continuationSeparator/>
      </w:r>
    </w:p>
    <w:p w14:paraId="304615F3" w14:textId="77777777" w:rsidR="00DD0D0B" w:rsidRDefault="00DD0D0B"/>
    <w:p w14:paraId="0BC4D0F7" w14:textId="77777777" w:rsidR="00DD0D0B" w:rsidRDefault="00DD0D0B"/>
  </w:footnote>
  <w:footnote w:id="1">
    <w:p w14:paraId="1CBDF3E4" w14:textId="77777777" w:rsidR="00EB4DAC" w:rsidRPr="00920B4E" w:rsidRDefault="00EB4DAC" w:rsidP="00515466">
      <w:pPr>
        <w:pStyle w:val="FootnoteText"/>
        <w:rPr>
          <w:lang w:val="en-US"/>
        </w:rPr>
      </w:pPr>
      <w:r>
        <w:rPr>
          <w:rStyle w:val="FootnoteReference"/>
        </w:rPr>
        <w:footnoteRef/>
      </w:r>
      <w:r>
        <w:t xml:space="preserve"> </w:t>
      </w:r>
      <w:hyperlink r:id="rId1" w:history="1">
        <w:r>
          <w:rPr>
            <w:rStyle w:val="Hyperlink"/>
          </w:rPr>
          <w:t>http://www.legalaid.vic.gov.au/about-us/strategic-advocacy-and-law-reform/more-effective-responses-to-gender-inequality-including-sex-discrimination-and-family-violence/families-with-complex-needs</w:t>
        </w:r>
      </w:hyperlink>
    </w:p>
  </w:footnote>
  <w:footnote w:id="2">
    <w:p w14:paraId="0ED14A72" w14:textId="77777777" w:rsidR="00EB4DAC" w:rsidRPr="00E731A6" w:rsidRDefault="00EB4DAC" w:rsidP="00EF494C">
      <w:pPr>
        <w:pStyle w:val="FootnoteText"/>
      </w:pPr>
      <w:r>
        <w:rPr>
          <w:rStyle w:val="FootnoteReference"/>
        </w:rPr>
        <w:footnoteRef/>
      </w:r>
      <w:r>
        <w:t xml:space="preserve"> Under the heading “</w:t>
      </w:r>
      <w:r w:rsidRPr="00BD5BA2">
        <w:t>Refining the purpose of information sharing</w:t>
      </w:r>
      <w:r>
        <w:t>”, beginning on page 5 of the submission</w:t>
      </w:r>
      <w:r>
        <w:rPr>
          <w:lang w:val="en-US"/>
        </w:rPr>
        <w:t xml:space="preserve">. </w:t>
      </w:r>
    </w:p>
  </w:footnote>
  <w:footnote w:id="3">
    <w:p w14:paraId="0E21A3C6" w14:textId="77777777" w:rsidR="00EB4DAC" w:rsidRPr="004E5229" w:rsidRDefault="00EB4DAC" w:rsidP="00EF494C">
      <w:pPr>
        <w:pStyle w:val="FootnoteText"/>
        <w:rPr>
          <w:lang w:val="en-US"/>
        </w:rPr>
      </w:pPr>
      <w:r>
        <w:rPr>
          <w:rStyle w:val="FootnoteReference"/>
        </w:rPr>
        <w:footnoteRef/>
      </w:r>
      <w:r>
        <w:t xml:space="preserve"> Read more on the ECLC website at </w:t>
      </w:r>
      <w:hyperlink r:id="rId2" w:history="1">
        <w:r w:rsidRPr="000A253E">
          <w:rPr>
            <w:rStyle w:val="Hyperlink"/>
          </w:rPr>
          <w:t>http://www.eclc.org.au/what-we-do/partnerships-and-projects/mabels/</w:t>
        </w:r>
      </w:hyperlink>
      <w:r>
        <w:t xml:space="preserve">, </w:t>
      </w:r>
    </w:p>
  </w:footnote>
  <w:footnote w:id="4">
    <w:p w14:paraId="6238CD60" w14:textId="77777777" w:rsidR="00EB4DAC" w:rsidRPr="009D76F3" w:rsidRDefault="00EB4DAC" w:rsidP="000453FB">
      <w:pPr>
        <w:pStyle w:val="FootnoteText"/>
        <w:rPr>
          <w:lang w:val="en-US"/>
        </w:rPr>
      </w:pPr>
      <w:r>
        <w:rPr>
          <w:rStyle w:val="FootnoteReference"/>
        </w:rPr>
        <w:footnoteRef/>
      </w:r>
      <w:r>
        <w:t xml:space="preserve"> </w:t>
      </w:r>
      <w:r>
        <w:rPr>
          <w:lang w:val="en-US"/>
        </w:rPr>
        <w:t>Under the heading “</w:t>
      </w:r>
      <w:r w:rsidRPr="00E46C2F">
        <w:rPr>
          <w:lang w:val="en-US"/>
        </w:rPr>
        <w:t>Create a four-part test to include informed consent</w:t>
      </w:r>
      <w:r>
        <w:rPr>
          <w:lang w:val="en-US"/>
        </w:rPr>
        <w:t>” on page 7 onwards.</w:t>
      </w:r>
    </w:p>
  </w:footnote>
  <w:footnote w:id="5">
    <w:p w14:paraId="72AC1F5C" w14:textId="256BBE57" w:rsidR="00EB4DAC" w:rsidRPr="001C105C" w:rsidRDefault="00EB4DAC">
      <w:pPr>
        <w:pStyle w:val="FootnoteText"/>
        <w:rPr>
          <w:lang w:val="en-US"/>
        </w:rPr>
      </w:pPr>
      <w:r>
        <w:rPr>
          <w:rStyle w:val="FootnoteReference"/>
        </w:rPr>
        <w:footnoteRef/>
      </w:r>
      <w:r>
        <w:t xml:space="preserve"> </w:t>
      </w:r>
      <w:r>
        <w:rPr>
          <w:lang w:val="en-US"/>
        </w:rPr>
        <w:t>See further conversation in family violence sector joint submission under the heading “</w:t>
      </w:r>
      <w:r w:rsidRPr="001C105C">
        <w:rPr>
          <w:lang w:val="en-US"/>
        </w:rPr>
        <w:t>Safeguards against the misidentification of perpetrators</w:t>
      </w:r>
      <w:r>
        <w:rPr>
          <w:lang w:val="en-US"/>
        </w:rPr>
        <w:t xml:space="preserve">”, beginning on page 17 of that submission. </w:t>
      </w:r>
    </w:p>
  </w:footnote>
  <w:footnote w:id="6">
    <w:p w14:paraId="5E050FF1" w14:textId="6AEF9BF9" w:rsidR="00EB4DAC" w:rsidRPr="00C041D5" w:rsidRDefault="00EB4DAC">
      <w:pPr>
        <w:pStyle w:val="FootnoteText"/>
        <w:rPr>
          <w:lang w:val="en-US"/>
        </w:rPr>
      </w:pPr>
      <w:r>
        <w:rPr>
          <w:rStyle w:val="FootnoteReference"/>
        </w:rPr>
        <w:footnoteRef/>
      </w:r>
      <w:r>
        <w:t xml:space="preserve"> Cited a</w:t>
      </w:r>
      <w:r>
        <w:rPr>
          <w:lang w:val="en-US"/>
        </w:rPr>
        <w:t xml:space="preserve">t page 4 of the consultation paper. </w:t>
      </w:r>
      <w:r w:rsidRPr="00C041D5">
        <w:rPr>
          <w:lang w:val="en-US"/>
        </w:rPr>
        <w:t>The figures in the CCYP report appear different from those in the consultation paper,</w:t>
      </w:r>
      <w:r>
        <w:rPr>
          <w:lang w:val="en-US"/>
        </w:rPr>
        <w:t xml:space="preserve"> but the themes are consistent.</w:t>
      </w:r>
    </w:p>
  </w:footnote>
  <w:footnote w:id="7">
    <w:p w14:paraId="03416B11" w14:textId="77777777" w:rsidR="00EB4DAC" w:rsidRPr="00C041D5" w:rsidRDefault="00EB4DAC">
      <w:pPr>
        <w:pStyle w:val="FootnoteText"/>
        <w:rPr>
          <w:lang w:val="en-US"/>
        </w:rPr>
      </w:pPr>
      <w:r>
        <w:rPr>
          <w:rStyle w:val="FootnoteReference"/>
        </w:rPr>
        <w:footnoteRef/>
      </w:r>
      <w:r>
        <w:t xml:space="preserve"> See </w:t>
      </w:r>
      <w:r>
        <w:rPr>
          <w:lang w:eastAsia="en-AU"/>
        </w:rPr>
        <w:t xml:space="preserve">page 55 of </w:t>
      </w:r>
      <w:hyperlink r:id="rId3" w:history="1">
        <w:r w:rsidRPr="00B4735F">
          <w:rPr>
            <w:rStyle w:val="Hyperlink"/>
            <w:lang w:eastAsia="en-AU"/>
          </w:rPr>
          <w:t>CCYP 2014/15 annual report</w:t>
        </w:r>
      </w:hyperlink>
      <w:r>
        <w:rPr>
          <w:rStyle w:val="Hyperlink"/>
          <w:lang w:eastAsia="en-AU"/>
        </w:rPr>
        <w:t xml:space="preserve">. </w:t>
      </w:r>
    </w:p>
  </w:footnote>
  <w:footnote w:id="8">
    <w:p w14:paraId="790E3DDF" w14:textId="1EFAEF22" w:rsidR="00EB4DAC" w:rsidRDefault="00EB4DAC">
      <w:pPr>
        <w:pStyle w:val="FootnoteText"/>
      </w:pPr>
      <w:r>
        <w:rPr>
          <w:rStyle w:val="FootnoteReference"/>
        </w:rPr>
        <w:footnoteRef/>
      </w:r>
      <w:r>
        <w:t xml:space="preserve"> I</w:t>
      </w:r>
      <w:r w:rsidRPr="005762D8">
        <w:t>nclud</w:t>
      </w:r>
      <w:r>
        <w:t xml:space="preserve">ing </w:t>
      </w:r>
      <w:r w:rsidRPr="005762D8">
        <w:t>limiting Child Link access to a central agency (see page 16 of family violence sector joint submission)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2F87" w14:textId="0D7781A5" w:rsidR="00EB4DAC" w:rsidRDefault="00EB4DAC">
    <w:pPr>
      <w:pStyle w:val="Header"/>
    </w:pPr>
    <w:r>
      <w:rPr>
        <w:noProof/>
        <w:lang w:eastAsia="en-AU"/>
      </w:rPr>
      <mc:AlternateContent>
        <mc:Choice Requires="wps">
          <w:drawing>
            <wp:anchor distT="0" distB="0" distL="114300" distR="114300" simplePos="0" relativeHeight="251657216" behindDoc="1" locked="0" layoutInCell="0" allowOverlap="1" wp14:anchorId="29FD1651" wp14:editId="6D4DE6A8">
              <wp:simplePos x="0" y="0"/>
              <wp:positionH relativeFrom="margin">
                <wp:align>center</wp:align>
              </wp:positionH>
              <wp:positionV relativeFrom="margin">
                <wp:align>center</wp:align>
              </wp:positionV>
              <wp:extent cx="1085850" cy="714375"/>
              <wp:effectExtent l="38100" t="200025" r="0" b="152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D2A268" w14:textId="77777777" w:rsidR="00EB4DAC" w:rsidRDefault="00EB4DAC" w:rsidP="00C82872">
                          <w:pPr>
                            <w:pStyle w:val="NormalWeb"/>
                            <w:spacing w:before="0" w:beforeAutospacing="0" w:after="0" w:afterAutospacing="0"/>
                            <w:jc w:val="center"/>
                          </w:pPr>
                          <w:r>
                            <w:rPr>
                              <w:rFonts w:ascii="Arial Narrow" w:hAnsi="Arial Narrow"/>
                              <w:color w:val="C0C0C0"/>
                              <w:sz w:val="96"/>
                              <w:szCs w:val="96"/>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FD1651" id="_x0000_t202" coordsize="21600,21600" o:spt="202" path="m,l,21600r21600,l21600,xe">
              <v:stroke joinstyle="miter"/>
              <v:path gradientshapeok="t" o:connecttype="rect"/>
            </v:shapetype>
            <v:shape id="Text Box 6" o:spid="_x0000_s1026" type="#_x0000_t202" style="position:absolute;margin-left:0;margin-top:0;width:85.5pt;height:56.2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vIw8gEAAMQDAAAOAAAAZHJzL2Uyb0RvYy54bWysU01v2zAMvQ/YfxB0X+x0y5oZcYqsXXfp&#13;&#10;tgJN0bOij9ibJWqUEjv/vpTiJsN6G+aDYJPU43vk8+JqsB3bawwtuJpPJyVn2klQrdvW/HF9+27O&#13;&#10;WYjCKdGB0zU/6MCvlm/fLHpf6QtooFMaGYG4UPW+5k2MviqKIBttRZiA146SBtCKSJ+4LRSKntBt&#13;&#10;V1yU5ceiB1QeQeoQKHpzTPJlxjdGy/jDmKAj62pO3GI+MZ+bdBbLhai2KHzTypGG+AcWVrSOmp6g&#13;&#10;bkQUbIftKyjbSoQAJk4k2AKMaaXOGkjNtPxLzUMjvM5aaDjBn8YU/h+s/L5/8PfI4vAZBlpgFhH8&#13;&#10;HchfgTm4boTb6hUi9I0WihpP+Smc6a0Pntaao2s9xC+qpRlP01yL3odqxE/7CFVInTb9N1B0Rewi&#13;&#10;5G6DQcsQ0rX5pzI9OUyzYcSIlnY4LYoaMJlolvPZfEYpSbnL6Yf3l7PcUVQJLO3BY4hfNViWXmqO&#13;&#10;ZISMKvZ3ISZy55KRaSJ3pBmHzUAlifEG1IE492SQmoffO4Ga9O/sNZCfSLRBsE/kwBVm1S+d18OT&#13;&#10;QD/2jsT6vnsxSCaQnaKYEzYNQv0kINuR7/aiY7M8gSPFsXgke0RNd4Nf0fRu26zkzHNUQlbJAkdb&#13;&#10;Jy/++Z2rzj/f8hkAAP//AwBQSwMEFAAGAAgAAAAhAIu4NDTcAAAACgEAAA8AAABkcnMvZG93bnJl&#13;&#10;di54bWxMT8tOwzAQvCPxD9ZW4kadFPFQGqdCRBx67EOc3XibhNrrEDtNytez5QKX0Y5GMzuTryZn&#13;&#10;xRn70HpSkM4TEEiVNy3VCva79/sXECFqMtp6QgUXDLAqbm9ynRk/0gbP21gLDqGQaQVNjF0mZaga&#13;&#10;dDrMfYfE2tH3TkemfS1Nr0cOd1YukuRJOt0Sf2h0h28NVqft4BSY7+OlexjH3Xq9KYcv25Ylfnwq&#13;&#10;dTebyiXD6xJExCn+OeC6gftDwcUOfiAThFXAa+IvXrXnlOmBj3TxCLLI5f8JxQ8AAAD//wMAUEsB&#13;&#10;Ai0AFAAGAAgAAAAhALaDOJL+AAAA4QEAABMAAAAAAAAAAAAAAAAAAAAAAFtDb250ZW50X1R5cGVz&#13;&#10;XS54bWxQSwECLQAUAAYACAAAACEAOP0h/9YAAACUAQAACwAAAAAAAAAAAAAAAAAvAQAAX3JlbHMv&#13;&#10;LnJlbHNQSwECLQAUAAYACAAAACEAxkbyMPIBAADEAwAADgAAAAAAAAAAAAAAAAAuAgAAZHJzL2Uy&#13;&#10;b0RvYy54bWxQSwECLQAUAAYACAAAACEAi7g0NNwAAAAKAQAADwAAAAAAAAAAAAAAAABMBAAAZHJz&#13;&#10;L2Rvd25yZXYueG1sUEsFBgAAAAAEAAQA8wAAAFUFAAAAAA==&#13;&#10;" o:allowincell="f" filled="f" stroked="f">
              <v:stroke joinstyle="round"/>
              <o:lock v:ext="edit" shapetype="t"/>
              <v:textbox style="mso-fit-shape-to-text:t">
                <w:txbxContent>
                  <w:p w14:paraId="64D2A268" w14:textId="77777777" w:rsidR="00EB4DAC" w:rsidRDefault="00EB4DAC" w:rsidP="00C82872">
                    <w:pPr>
                      <w:pStyle w:val="NormalWeb"/>
                      <w:spacing w:before="0" w:beforeAutospacing="0" w:after="0" w:afterAutospacing="0"/>
                      <w:jc w:val="center"/>
                    </w:pPr>
                    <w:r>
                      <w:rPr>
                        <w:rFonts w:ascii="Arial Narrow" w:hAnsi="Arial Narrow"/>
                        <w:color w:val="C0C0C0"/>
                        <w:sz w:val="96"/>
                        <w:szCs w:val="9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B470" w14:textId="77777777" w:rsidR="00EB4DAC" w:rsidRPr="009F7B2D" w:rsidRDefault="00EB4DAC" w:rsidP="004E0688">
    <w:pPr>
      <w:pStyle w:val="Header"/>
      <w:jc w:val="right"/>
    </w:pPr>
    <w:r>
      <w:rPr>
        <w:noProof/>
        <w:lang w:eastAsia="en-AU"/>
      </w:rPr>
      <w:drawing>
        <wp:inline distT="0" distB="0" distL="0" distR="0" wp14:anchorId="10A84969" wp14:editId="2314FC0A">
          <wp:extent cx="1806575" cy="1445260"/>
          <wp:effectExtent l="0" t="0" r="3175" b="2540"/>
          <wp:docPr id="1" name="Picture 1"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A7A5" w14:textId="64D2BA99" w:rsidR="00EB4DAC" w:rsidRDefault="00EB4DAC" w:rsidP="006E2882">
    <w:pPr>
      <w:spacing w:before="40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4A54" w14:textId="77777777" w:rsidR="00EB4DAC" w:rsidRPr="009F7B2D" w:rsidRDefault="00EB4DAC" w:rsidP="005D5637">
    <w:pPr>
      <w:pStyle w:val="Header"/>
      <w:tabs>
        <w:tab w:val="clear" w:pos="4604"/>
        <w:tab w:val="clear" w:pos="9214"/>
      </w:tabs>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9D28" w14:textId="77777777" w:rsidR="00EB4DAC" w:rsidRDefault="00EB4DA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E828" w14:textId="77777777" w:rsidR="00EB4DAC" w:rsidRPr="00665568" w:rsidRDefault="00EB4DAC" w:rsidP="00161EEF">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42C4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1BA00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4DAF1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728F9C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BA544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A9E3B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255CBF0C"/>
    <w:lvl w:ilvl="0">
      <w:start w:val="1"/>
      <w:numFmt w:val="decimal"/>
      <w:lvlText w:val="%1."/>
      <w:lvlJc w:val="left"/>
      <w:pPr>
        <w:tabs>
          <w:tab w:val="num" w:pos="360"/>
        </w:tabs>
        <w:ind w:left="360" w:hanging="360"/>
      </w:pPr>
    </w:lvl>
  </w:abstractNum>
  <w:abstractNum w:abstractNumId="7" w15:restartNumberingAfterBreak="0">
    <w:nsid w:val="08526D98"/>
    <w:multiLevelType w:val="hybridMultilevel"/>
    <w:tmpl w:val="C210930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9822A0"/>
    <w:multiLevelType w:val="hybridMultilevel"/>
    <w:tmpl w:val="40E867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196ECD"/>
    <w:multiLevelType w:val="hybridMultilevel"/>
    <w:tmpl w:val="59BC06C4"/>
    <w:lvl w:ilvl="0" w:tplc="A8D0DDE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1" w15:restartNumberingAfterBreak="0">
    <w:nsid w:val="17E968AC"/>
    <w:multiLevelType w:val="hybridMultilevel"/>
    <w:tmpl w:val="0C266ED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1E21C31"/>
    <w:multiLevelType w:val="hybridMultilevel"/>
    <w:tmpl w:val="7A58D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31524D43"/>
    <w:multiLevelType w:val="hybridMultilevel"/>
    <w:tmpl w:val="D85264F6"/>
    <w:lvl w:ilvl="0" w:tplc="49C811E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0" w15:restartNumberingAfterBreak="0">
    <w:nsid w:val="50951F11"/>
    <w:multiLevelType w:val="hybridMultilevel"/>
    <w:tmpl w:val="2B9A340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3D6003"/>
    <w:multiLevelType w:val="hybridMultilevel"/>
    <w:tmpl w:val="AEE4F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CC4ED8"/>
    <w:multiLevelType w:val="hybridMultilevel"/>
    <w:tmpl w:val="EDC68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4" w15:restartNumberingAfterBreak="0">
    <w:nsid w:val="59DD487A"/>
    <w:multiLevelType w:val="hybridMultilevel"/>
    <w:tmpl w:val="B26AFA1E"/>
    <w:lvl w:ilvl="0" w:tplc="0256E7CA">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6"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7" w15:restartNumberingAfterBreak="0">
    <w:nsid w:val="6BE75E0C"/>
    <w:multiLevelType w:val="hybridMultilevel"/>
    <w:tmpl w:val="68142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9" w15:restartNumberingAfterBreak="0">
    <w:nsid w:val="7A4171D7"/>
    <w:multiLevelType w:val="hybridMultilevel"/>
    <w:tmpl w:val="E188AF36"/>
    <w:lvl w:ilvl="0" w:tplc="3E08383C">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3"/>
  </w:num>
  <w:num w:numId="4">
    <w:abstractNumId w:val="19"/>
  </w:num>
  <w:num w:numId="5">
    <w:abstractNumId w:val="15"/>
  </w:num>
  <w:num w:numId="6">
    <w:abstractNumId w:val="23"/>
  </w:num>
  <w:num w:numId="7">
    <w:abstractNumId w:val="24"/>
  </w:num>
  <w:num w:numId="8">
    <w:abstractNumId w:val="23"/>
  </w:num>
  <w:num w:numId="9">
    <w:abstractNumId w:val="18"/>
  </w:num>
  <w:num w:numId="10">
    <w:abstractNumId w:val="15"/>
  </w:num>
  <w:num w:numId="11">
    <w:abstractNumId w:val="23"/>
  </w:num>
  <w:num w:numId="12">
    <w:abstractNumId w:val="23"/>
  </w:num>
  <w:num w:numId="13">
    <w:abstractNumId w:val="19"/>
  </w:num>
  <w:num w:numId="14">
    <w:abstractNumId w:val="19"/>
  </w:num>
  <w:num w:numId="15">
    <w:abstractNumId w:val="19"/>
  </w:num>
  <w:num w:numId="16">
    <w:abstractNumId w:val="18"/>
  </w:num>
  <w:num w:numId="17">
    <w:abstractNumId w:val="15"/>
  </w:num>
  <w:num w:numId="18">
    <w:abstractNumId w:val="23"/>
  </w:num>
  <w:num w:numId="19">
    <w:abstractNumId w:val="23"/>
  </w:num>
  <w:num w:numId="20">
    <w:abstractNumId w:val="19"/>
  </w:num>
  <w:num w:numId="21">
    <w:abstractNumId w:val="19"/>
  </w:num>
  <w:num w:numId="22">
    <w:abstractNumId w:val="19"/>
  </w:num>
  <w:num w:numId="23">
    <w:abstractNumId w:val="0"/>
  </w:num>
  <w:num w:numId="24">
    <w:abstractNumId w:val="5"/>
  </w:num>
  <w:num w:numId="25">
    <w:abstractNumId w:val="6"/>
  </w:num>
  <w:num w:numId="26">
    <w:abstractNumId w:val="4"/>
  </w:num>
  <w:num w:numId="27">
    <w:abstractNumId w:val="3"/>
  </w:num>
  <w:num w:numId="28">
    <w:abstractNumId w:val="2"/>
  </w:num>
  <w:num w:numId="29">
    <w:abstractNumId w:val="1"/>
  </w:num>
  <w:num w:numId="30">
    <w:abstractNumId w:val="21"/>
  </w:num>
  <w:num w:numId="31">
    <w:abstractNumId w:val="7"/>
  </w:num>
  <w:num w:numId="32">
    <w:abstractNumId w:val="29"/>
  </w:num>
  <w:num w:numId="33">
    <w:abstractNumId w:val="16"/>
  </w:num>
  <w:num w:numId="34">
    <w:abstractNumId w:val="9"/>
  </w:num>
  <w:num w:numId="35">
    <w:abstractNumId w:val="27"/>
  </w:num>
  <w:num w:numId="36">
    <w:abstractNumId w:val="22"/>
  </w:num>
  <w:num w:numId="37">
    <w:abstractNumId w:val="11"/>
  </w:num>
  <w:num w:numId="38">
    <w:abstractNumId w:val="20"/>
  </w:num>
  <w:num w:numId="39">
    <w:abstractNumId w:val="13"/>
  </w:num>
  <w:num w:numId="4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AU" w:vendorID="64" w:dllVersion="0" w:nlCheck="1" w:checkStyle="1"/>
  <w:activeWritingStyle w:appName="MSWord" w:lang="en-US" w:vendorID="64" w:dllVersion="0" w:nlCheck="1" w:checkStyle="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16"/>
    <w:rsid w:val="0000169D"/>
    <w:rsid w:val="0000389D"/>
    <w:rsid w:val="00006616"/>
    <w:rsid w:val="00007914"/>
    <w:rsid w:val="00010F94"/>
    <w:rsid w:val="000155A6"/>
    <w:rsid w:val="00021737"/>
    <w:rsid w:val="00022C70"/>
    <w:rsid w:val="00022C83"/>
    <w:rsid w:val="00022F0E"/>
    <w:rsid w:val="00022F62"/>
    <w:rsid w:val="000240FD"/>
    <w:rsid w:val="00030C56"/>
    <w:rsid w:val="00032AF3"/>
    <w:rsid w:val="0004136F"/>
    <w:rsid w:val="000453FB"/>
    <w:rsid w:val="000479D6"/>
    <w:rsid w:val="0005492F"/>
    <w:rsid w:val="00055B69"/>
    <w:rsid w:val="00056D16"/>
    <w:rsid w:val="000579AC"/>
    <w:rsid w:val="000610FC"/>
    <w:rsid w:val="00061235"/>
    <w:rsid w:val="00062699"/>
    <w:rsid w:val="00064406"/>
    <w:rsid w:val="00064B2A"/>
    <w:rsid w:val="00067B0C"/>
    <w:rsid w:val="00077469"/>
    <w:rsid w:val="0008102A"/>
    <w:rsid w:val="00084C6C"/>
    <w:rsid w:val="00091DA9"/>
    <w:rsid w:val="00097789"/>
    <w:rsid w:val="000A635C"/>
    <w:rsid w:val="000A711A"/>
    <w:rsid w:val="000B02D8"/>
    <w:rsid w:val="000B0AB6"/>
    <w:rsid w:val="000B12BF"/>
    <w:rsid w:val="000B278C"/>
    <w:rsid w:val="000C0B84"/>
    <w:rsid w:val="000C45E1"/>
    <w:rsid w:val="000C5D83"/>
    <w:rsid w:val="000C7598"/>
    <w:rsid w:val="000D05E3"/>
    <w:rsid w:val="000D1539"/>
    <w:rsid w:val="000D41D7"/>
    <w:rsid w:val="000D4F97"/>
    <w:rsid w:val="000E0695"/>
    <w:rsid w:val="000E27BD"/>
    <w:rsid w:val="000E42DD"/>
    <w:rsid w:val="000E4B9B"/>
    <w:rsid w:val="000E5BED"/>
    <w:rsid w:val="000E7142"/>
    <w:rsid w:val="000E71D4"/>
    <w:rsid w:val="000E779D"/>
    <w:rsid w:val="000F66F7"/>
    <w:rsid w:val="00101CBD"/>
    <w:rsid w:val="00111069"/>
    <w:rsid w:val="0011287B"/>
    <w:rsid w:val="00114C38"/>
    <w:rsid w:val="00114EE2"/>
    <w:rsid w:val="0011572E"/>
    <w:rsid w:val="00115BD6"/>
    <w:rsid w:val="00120C1D"/>
    <w:rsid w:val="00124A67"/>
    <w:rsid w:val="00124D25"/>
    <w:rsid w:val="00130286"/>
    <w:rsid w:val="001377C9"/>
    <w:rsid w:val="0014270F"/>
    <w:rsid w:val="00143A56"/>
    <w:rsid w:val="001479F2"/>
    <w:rsid w:val="0015093F"/>
    <w:rsid w:val="00155FC2"/>
    <w:rsid w:val="00161EEF"/>
    <w:rsid w:val="0017416A"/>
    <w:rsid w:val="00175D56"/>
    <w:rsid w:val="001927BE"/>
    <w:rsid w:val="00197426"/>
    <w:rsid w:val="001A17AA"/>
    <w:rsid w:val="001A6FCE"/>
    <w:rsid w:val="001B0E0C"/>
    <w:rsid w:val="001B270D"/>
    <w:rsid w:val="001C105C"/>
    <w:rsid w:val="001C170A"/>
    <w:rsid w:val="001C4BC6"/>
    <w:rsid w:val="001C7011"/>
    <w:rsid w:val="001D6F95"/>
    <w:rsid w:val="001D7E9D"/>
    <w:rsid w:val="001E0A52"/>
    <w:rsid w:val="001E50E1"/>
    <w:rsid w:val="001E5143"/>
    <w:rsid w:val="001E730B"/>
    <w:rsid w:val="001F5717"/>
    <w:rsid w:val="001F6FFA"/>
    <w:rsid w:val="001F7353"/>
    <w:rsid w:val="00200449"/>
    <w:rsid w:val="00205AF6"/>
    <w:rsid w:val="0021585A"/>
    <w:rsid w:val="002228E1"/>
    <w:rsid w:val="00227EF1"/>
    <w:rsid w:val="00231516"/>
    <w:rsid w:val="002329F7"/>
    <w:rsid w:val="00237834"/>
    <w:rsid w:val="0024003E"/>
    <w:rsid w:val="00241904"/>
    <w:rsid w:val="002435C9"/>
    <w:rsid w:val="00243816"/>
    <w:rsid w:val="002439E7"/>
    <w:rsid w:val="002527C9"/>
    <w:rsid w:val="002574E0"/>
    <w:rsid w:val="0026074B"/>
    <w:rsid w:val="00262D02"/>
    <w:rsid w:val="0026649B"/>
    <w:rsid w:val="00266935"/>
    <w:rsid w:val="00267EE8"/>
    <w:rsid w:val="002769FB"/>
    <w:rsid w:val="00285AD4"/>
    <w:rsid w:val="0029348C"/>
    <w:rsid w:val="00294136"/>
    <w:rsid w:val="0029727E"/>
    <w:rsid w:val="002A2F49"/>
    <w:rsid w:val="002A3D1D"/>
    <w:rsid w:val="002A7402"/>
    <w:rsid w:val="002B4970"/>
    <w:rsid w:val="002C2C9D"/>
    <w:rsid w:val="002D12FD"/>
    <w:rsid w:val="002D5669"/>
    <w:rsid w:val="002E27B8"/>
    <w:rsid w:val="002E64B6"/>
    <w:rsid w:val="002F36EE"/>
    <w:rsid w:val="00300E78"/>
    <w:rsid w:val="00300F83"/>
    <w:rsid w:val="0030591D"/>
    <w:rsid w:val="00305D85"/>
    <w:rsid w:val="00307C02"/>
    <w:rsid w:val="003105C8"/>
    <w:rsid w:val="00310AB6"/>
    <w:rsid w:val="00316117"/>
    <w:rsid w:val="00316E07"/>
    <w:rsid w:val="00322992"/>
    <w:rsid w:val="00323043"/>
    <w:rsid w:val="003260B9"/>
    <w:rsid w:val="00334417"/>
    <w:rsid w:val="003372DF"/>
    <w:rsid w:val="00340287"/>
    <w:rsid w:val="00343A15"/>
    <w:rsid w:val="00343DAA"/>
    <w:rsid w:val="00353A6B"/>
    <w:rsid w:val="0035726A"/>
    <w:rsid w:val="0036511B"/>
    <w:rsid w:val="00371282"/>
    <w:rsid w:val="00372327"/>
    <w:rsid w:val="003751B8"/>
    <w:rsid w:val="00376112"/>
    <w:rsid w:val="003775EB"/>
    <w:rsid w:val="00383710"/>
    <w:rsid w:val="00384660"/>
    <w:rsid w:val="00393DF2"/>
    <w:rsid w:val="00395627"/>
    <w:rsid w:val="00396477"/>
    <w:rsid w:val="003A13F2"/>
    <w:rsid w:val="003A2302"/>
    <w:rsid w:val="003A3DF3"/>
    <w:rsid w:val="003A5726"/>
    <w:rsid w:val="003B07CB"/>
    <w:rsid w:val="003B6366"/>
    <w:rsid w:val="003C06DF"/>
    <w:rsid w:val="003C2A4B"/>
    <w:rsid w:val="003C2F49"/>
    <w:rsid w:val="003C4A7F"/>
    <w:rsid w:val="003C55D3"/>
    <w:rsid w:val="003C7A7F"/>
    <w:rsid w:val="003D0293"/>
    <w:rsid w:val="003D29C2"/>
    <w:rsid w:val="003E17D1"/>
    <w:rsid w:val="003E409C"/>
    <w:rsid w:val="003E5D82"/>
    <w:rsid w:val="003F1C1E"/>
    <w:rsid w:val="003F48A9"/>
    <w:rsid w:val="003F55A5"/>
    <w:rsid w:val="003F6005"/>
    <w:rsid w:val="003F656D"/>
    <w:rsid w:val="004055E4"/>
    <w:rsid w:val="0041181E"/>
    <w:rsid w:val="00423CC7"/>
    <w:rsid w:val="00423DE6"/>
    <w:rsid w:val="004365C6"/>
    <w:rsid w:val="00442077"/>
    <w:rsid w:val="00442DBC"/>
    <w:rsid w:val="0044674D"/>
    <w:rsid w:val="00447108"/>
    <w:rsid w:val="0045435F"/>
    <w:rsid w:val="0046002E"/>
    <w:rsid w:val="004618A8"/>
    <w:rsid w:val="00461AE2"/>
    <w:rsid w:val="00462BA5"/>
    <w:rsid w:val="00462C13"/>
    <w:rsid w:val="004637BC"/>
    <w:rsid w:val="0046548B"/>
    <w:rsid w:val="004654EA"/>
    <w:rsid w:val="00470E56"/>
    <w:rsid w:val="00476089"/>
    <w:rsid w:val="0048037C"/>
    <w:rsid w:val="00481371"/>
    <w:rsid w:val="004871AD"/>
    <w:rsid w:val="00493B23"/>
    <w:rsid w:val="00495490"/>
    <w:rsid w:val="00495ED9"/>
    <w:rsid w:val="00496242"/>
    <w:rsid w:val="004A3FDE"/>
    <w:rsid w:val="004B12B4"/>
    <w:rsid w:val="004D3B12"/>
    <w:rsid w:val="004E0688"/>
    <w:rsid w:val="004E1ECD"/>
    <w:rsid w:val="004E20F7"/>
    <w:rsid w:val="004E2C5B"/>
    <w:rsid w:val="004E511B"/>
    <w:rsid w:val="004E5229"/>
    <w:rsid w:val="004E6E08"/>
    <w:rsid w:val="004F1880"/>
    <w:rsid w:val="004F2CD9"/>
    <w:rsid w:val="0050198F"/>
    <w:rsid w:val="005111EA"/>
    <w:rsid w:val="00515466"/>
    <w:rsid w:val="005160EB"/>
    <w:rsid w:val="0052023F"/>
    <w:rsid w:val="00520FB3"/>
    <w:rsid w:val="00521061"/>
    <w:rsid w:val="00521801"/>
    <w:rsid w:val="00526804"/>
    <w:rsid w:val="005272D5"/>
    <w:rsid w:val="005314CA"/>
    <w:rsid w:val="0053271A"/>
    <w:rsid w:val="0053313F"/>
    <w:rsid w:val="0053350C"/>
    <w:rsid w:val="00535394"/>
    <w:rsid w:val="005362DD"/>
    <w:rsid w:val="005375A4"/>
    <w:rsid w:val="00542641"/>
    <w:rsid w:val="0054738D"/>
    <w:rsid w:val="0056148F"/>
    <w:rsid w:val="0056464E"/>
    <w:rsid w:val="00565BC6"/>
    <w:rsid w:val="00567614"/>
    <w:rsid w:val="00567763"/>
    <w:rsid w:val="005731B6"/>
    <w:rsid w:val="005762D8"/>
    <w:rsid w:val="005801A3"/>
    <w:rsid w:val="00586B65"/>
    <w:rsid w:val="00590B78"/>
    <w:rsid w:val="00594D95"/>
    <w:rsid w:val="005A01A5"/>
    <w:rsid w:val="005A01BE"/>
    <w:rsid w:val="005A4159"/>
    <w:rsid w:val="005A7F72"/>
    <w:rsid w:val="005B2676"/>
    <w:rsid w:val="005B4BAD"/>
    <w:rsid w:val="005D103A"/>
    <w:rsid w:val="005D1354"/>
    <w:rsid w:val="005D31B1"/>
    <w:rsid w:val="005D5637"/>
    <w:rsid w:val="005E248A"/>
    <w:rsid w:val="005E3CA0"/>
    <w:rsid w:val="005E45E5"/>
    <w:rsid w:val="005E75D6"/>
    <w:rsid w:val="005F193F"/>
    <w:rsid w:val="005F276D"/>
    <w:rsid w:val="005F7D8E"/>
    <w:rsid w:val="006024A0"/>
    <w:rsid w:val="0060449D"/>
    <w:rsid w:val="00604558"/>
    <w:rsid w:val="00605107"/>
    <w:rsid w:val="00605C95"/>
    <w:rsid w:val="00606026"/>
    <w:rsid w:val="006151E7"/>
    <w:rsid w:val="006166B3"/>
    <w:rsid w:val="00617097"/>
    <w:rsid w:val="00625331"/>
    <w:rsid w:val="00625966"/>
    <w:rsid w:val="006260BB"/>
    <w:rsid w:val="006315C9"/>
    <w:rsid w:val="00634C24"/>
    <w:rsid w:val="00640994"/>
    <w:rsid w:val="006432D8"/>
    <w:rsid w:val="0065013E"/>
    <w:rsid w:val="00653753"/>
    <w:rsid w:val="00653D29"/>
    <w:rsid w:val="00653DD4"/>
    <w:rsid w:val="00657BC3"/>
    <w:rsid w:val="00660316"/>
    <w:rsid w:val="0066180F"/>
    <w:rsid w:val="0066437F"/>
    <w:rsid w:val="00665568"/>
    <w:rsid w:val="00675BF8"/>
    <w:rsid w:val="006762F9"/>
    <w:rsid w:val="0067730F"/>
    <w:rsid w:val="00680DDC"/>
    <w:rsid w:val="006813DA"/>
    <w:rsid w:val="00681771"/>
    <w:rsid w:val="006819A3"/>
    <w:rsid w:val="006831FC"/>
    <w:rsid w:val="00683F81"/>
    <w:rsid w:val="00687605"/>
    <w:rsid w:val="0069617A"/>
    <w:rsid w:val="0069632D"/>
    <w:rsid w:val="00696BAC"/>
    <w:rsid w:val="00697FDC"/>
    <w:rsid w:val="006A5F7D"/>
    <w:rsid w:val="006A6A7D"/>
    <w:rsid w:val="006B2384"/>
    <w:rsid w:val="006B7DD2"/>
    <w:rsid w:val="006C3D4C"/>
    <w:rsid w:val="006C4CA7"/>
    <w:rsid w:val="006D00F8"/>
    <w:rsid w:val="006D36DC"/>
    <w:rsid w:val="006D4450"/>
    <w:rsid w:val="006D621B"/>
    <w:rsid w:val="006E2882"/>
    <w:rsid w:val="006E2AD6"/>
    <w:rsid w:val="006E2FA2"/>
    <w:rsid w:val="006E2FE3"/>
    <w:rsid w:val="006E3195"/>
    <w:rsid w:val="006F61CA"/>
    <w:rsid w:val="00700287"/>
    <w:rsid w:val="00707B1D"/>
    <w:rsid w:val="0071324F"/>
    <w:rsid w:val="00714771"/>
    <w:rsid w:val="00714817"/>
    <w:rsid w:val="00716188"/>
    <w:rsid w:val="00724B8D"/>
    <w:rsid w:val="007311FF"/>
    <w:rsid w:val="00733602"/>
    <w:rsid w:val="00736267"/>
    <w:rsid w:val="0075285A"/>
    <w:rsid w:val="007538CC"/>
    <w:rsid w:val="00753E26"/>
    <w:rsid w:val="007550FB"/>
    <w:rsid w:val="00756788"/>
    <w:rsid w:val="007600C3"/>
    <w:rsid w:val="0076158B"/>
    <w:rsid w:val="00764EF7"/>
    <w:rsid w:val="00774F94"/>
    <w:rsid w:val="007767BD"/>
    <w:rsid w:val="0078022B"/>
    <w:rsid w:val="007825F3"/>
    <w:rsid w:val="00783185"/>
    <w:rsid w:val="0078637D"/>
    <w:rsid w:val="007933F4"/>
    <w:rsid w:val="007966A5"/>
    <w:rsid w:val="007B3B7C"/>
    <w:rsid w:val="007B5F8C"/>
    <w:rsid w:val="007B6D12"/>
    <w:rsid w:val="007B71D2"/>
    <w:rsid w:val="007D08B2"/>
    <w:rsid w:val="007D1B61"/>
    <w:rsid w:val="007D3C93"/>
    <w:rsid w:val="007D7535"/>
    <w:rsid w:val="007E117E"/>
    <w:rsid w:val="007E4CB8"/>
    <w:rsid w:val="007E4CD9"/>
    <w:rsid w:val="007E54F6"/>
    <w:rsid w:val="007E5B5D"/>
    <w:rsid w:val="007E76DB"/>
    <w:rsid w:val="007F0C1F"/>
    <w:rsid w:val="007F13DC"/>
    <w:rsid w:val="007F52A9"/>
    <w:rsid w:val="00800301"/>
    <w:rsid w:val="0080104F"/>
    <w:rsid w:val="0080415E"/>
    <w:rsid w:val="00811FE7"/>
    <w:rsid w:val="00812BDB"/>
    <w:rsid w:val="00817032"/>
    <w:rsid w:val="0083009F"/>
    <w:rsid w:val="00834CA8"/>
    <w:rsid w:val="00835928"/>
    <w:rsid w:val="00835DCC"/>
    <w:rsid w:val="008368CA"/>
    <w:rsid w:val="008377A1"/>
    <w:rsid w:val="008425B2"/>
    <w:rsid w:val="008450E7"/>
    <w:rsid w:val="00846340"/>
    <w:rsid w:val="00850401"/>
    <w:rsid w:val="00853BDA"/>
    <w:rsid w:val="00855D9B"/>
    <w:rsid w:val="0085710F"/>
    <w:rsid w:val="0085749C"/>
    <w:rsid w:val="008636CA"/>
    <w:rsid w:val="008670C3"/>
    <w:rsid w:val="00885238"/>
    <w:rsid w:val="008955B5"/>
    <w:rsid w:val="00895DB5"/>
    <w:rsid w:val="008A067C"/>
    <w:rsid w:val="008A2320"/>
    <w:rsid w:val="008A2F86"/>
    <w:rsid w:val="008B6507"/>
    <w:rsid w:val="008B6EEB"/>
    <w:rsid w:val="008C0028"/>
    <w:rsid w:val="008C072E"/>
    <w:rsid w:val="008C105C"/>
    <w:rsid w:val="008C4E01"/>
    <w:rsid w:val="008D30DB"/>
    <w:rsid w:val="008D30E1"/>
    <w:rsid w:val="008D4C41"/>
    <w:rsid w:val="008E4112"/>
    <w:rsid w:val="008F0018"/>
    <w:rsid w:val="008F0579"/>
    <w:rsid w:val="008F057C"/>
    <w:rsid w:val="008F1F0B"/>
    <w:rsid w:val="008F36EC"/>
    <w:rsid w:val="008F44E6"/>
    <w:rsid w:val="008F726E"/>
    <w:rsid w:val="009110F3"/>
    <w:rsid w:val="00911151"/>
    <w:rsid w:val="00917DE9"/>
    <w:rsid w:val="00920B4E"/>
    <w:rsid w:val="00925672"/>
    <w:rsid w:val="0093361D"/>
    <w:rsid w:val="0093605B"/>
    <w:rsid w:val="009374BC"/>
    <w:rsid w:val="0094252E"/>
    <w:rsid w:val="009434CC"/>
    <w:rsid w:val="00945E43"/>
    <w:rsid w:val="00946548"/>
    <w:rsid w:val="00953ADC"/>
    <w:rsid w:val="0095636C"/>
    <w:rsid w:val="00957221"/>
    <w:rsid w:val="00962778"/>
    <w:rsid w:val="009642AF"/>
    <w:rsid w:val="00967A51"/>
    <w:rsid w:val="00975114"/>
    <w:rsid w:val="00977834"/>
    <w:rsid w:val="009843D0"/>
    <w:rsid w:val="00987966"/>
    <w:rsid w:val="009922E5"/>
    <w:rsid w:val="0099632D"/>
    <w:rsid w:val="009A1F97"/>
    <w:rsid w:val="009A227B"/>
    <w:rsid w:val="009A23DB"/>
    <w:rsid w:val="009A25B4"/>
    <w:rsid w:val="009A2930"/>
    <w:rsid w:val="009B1167"/>
    <w:rsid w:val="009B5E2C"/>
    <w:rsid w:val="009C1230"/>
    <w:rsid w:val="009C12DD"/>
    <w:rsid w:val="009D0F76"/>
    <w:rsid w:val="009D20F7"/>
    <w:rsid w:val="009D3968"/>
    <w:rsid w:val="009D76F3"/>
    <w:rsid w:val="009E7B53"/>
    <w:rsid w:val="009F2795"/>
    <w:rsid w:val="009F2F9E"/>
    <w:rsid w:val="009F7A4E"/>
    <w:rsid w:val="009F7A60"/>
    <w:rsid w:val="00A01CC6"/>
    <w:rsid w:val="00A02190"/>
    <w:rsid w:val="00A02ADD"/>
    <w:rsid w:val="00A134FD"/>
    <w:rsid w:val="00A1453C"/>
    <w:rsid w:val="00A15793"/>
    <w:rsid w:val="00A171DA"/>
    <w:rsid w:val="00A22E98"/>
    <w:rsid w:val="00A25235"/>
    <w:rsid w:val="00A261C3"/>
    <w:rsid w:val="00A30C8A"/>
    <w:rsid w:val="00A31D41"/>
    <w:rsid w:val="00A448DA"/>
    <w:rsid w:val="00A5112C"/>
    <w:rsid w:val="00A51919"/>
    <w:rsid w:val="00A551BE"/>
    <w:rsid w:val="00A63371"/>
    <w:rsid w:val="00A640E2"/>
    <w:rsid w:val="00A64217"/>
    <w:rsid w:val="00A712DE"/>
    <w:rsid w:val="00A80FFC"/>
    <w:rsid w:val="00A82893"/>
    <w:rsid w:val="00A87112"/>
    <w:rsid w:val="00A940C0"/>
    <w:rsid w:val="00A94752"/>
    <w:rsid w:val="00A949B5"/>
    <w:rsid w:val="00AA2CCE"/>
    <w:rsid w:val="00AA4167"/>
    <w:rsid w:val="00AA5335"/>
    <w:rsid w:val="00AB35B1"/>
    <w:rsid w:val="00AB6BFF"/>
    <w:rsid w:val="00AC1D04"/>
    <w:rsid w:val="00AC2B72"/>
    <w:rsid w:val="00AC464A"/>
    <w:rsid w:val="00AC6B36"/>
    <w:rsid w:val="00AC6F3B"/>
    <w:rsid w:val="00AD1570"/>
    <w:rsid w:val="00AD4F16"/>
    <w:rsid w:val="00AE146B"/>
    <w:rsid w:val="00AE1D8D"/>
    <w:rsid w:val="00AE6371"/>
    <w:rsid w:val="00AE672E"/>
    <w:rsid w:val="00AE6FCE"/>
    <w:rsid w:val="00AF56AB"/>
    <w:rsid w:val="00AF5D4C"/>
    <w:rsid w:val="00B0000B"/>
    <w:rsid w:val="00B01519"/>
    <w:rsid w:val="00B07747"/>
    <w:rsid w:val="00B10A7F"/>
    <w:rsid w:val="00B1301D"/>
    <w:rsid w:val="00B1619F"/>
    <w:rsid w:val="00B21736"/>
    <w:rsid w:val="00B22672"/>
    <w:rsid w:val="00B23F19"/>
    <w:rsid w:val="00B3125C"/>
    <w:rsid w:val="00B350A3"/>
    <w:rsid w:val="00B37955"/>
    <w:rsid w:val="00B41378"/>
    <w:rsid w:val="00B4735F"/>
    <w:rsid w:val="00B47887"/>
    <w:rsid w:val="00B52F00"/>
    <w:rsid w:val="00B556D7"/>
    <w:rsid w:val="00B56F07"/>
    <w:rsid w:val="00B60A4B"/>
    <w:rsid w:val="00B647BB"/>
    <w:rsid w:val="00B70B5F"/>
    <w:rsid w:val="00B70E99"/>
    <w:rsid w:val="00B728AE"/>
    <w:rsid w:val="00B73FE0"/>
    <w:rsid w:val="00B80CF7"/>
    <w:rsid w:val="00B81AB3"/>
    <w:rsid w:val="00B8316F"/>
    <w:rsid w:val="00B83E0C"/>
    <w:rsid w:val="00B84335"/>
    <w:rsid w:val="00B921BF"/>
    <w:rsid w:val="00B9248C"/>
    <w:rsid w:val="00B925CC"/>
    <w:rsid w:val="00B93DDD"/>
    <w:rsid w:val="00B942A7"/>
    <w:rsid w:val="00B972E4"/>
    <w:rsid w:val="00B97EFB"/>
    <w:rsid w:val="00B97EFF"/>
    <w:rsid w:val="00BA222F"/>
    <w:rsid w:val="00BA6D49"/>
    <w:rsid w:val="00BB1F72"/>
    <w:rsid w:val="00BB2E00"/>
    <w:rsid w:val="00BB352E"/>
    <w:rsid w:val="00BB6303"/>
    <w:rsid w:val="00BC4D4B"/>
    <w:rsid w:val="00BC5C58"/>
    <w:rsid w:val="00BC689D"/>
    <w:rsid w:val="00BD0063"/>
    <w:rsid w:val="00BD1123"/>
    <w:rsid w:val="00BD5BA2"/>
    <w:rsid w:val="00BE0E09"/>
    <w:rsid w:val="00BE0E40"/>
    <w:rsid w:val="00BE25A1"/>
    <w:rsid w:val="00BE5D38"/>
    <w:rsid w:val="00BE63A6"/>
    <w:rsid w:val="00BE7FD7"/>
    <w:rsid w:val="00BF073A"/>
    <w:rsid w:val="00BF1BDA"/>
    <w:rsid w:val="00BF560B"/>
    <w:rsid w:val="00C01D35"/>
    <w:rsid w:val="00C041D5"/>
    <w:rsid w:val="00C048C6"/>
    <w:rsid w:val="00C075BA"/>
    <w:rsid w:val="00C148F9"/>
    <w:rsid w:val="00C16A13"/>
    <w:rsid w:val="00C16A43"/>
    <w:rsid w:val="00C171FB"/>
    <w:rsid w:val="00C20338"/>
    <w:rsid w:val="00C22751"/>
    <w:rsid w:val="00C22FC4"/>
    <w:rsid w:val="00C27D47"/>
    <w:rsid w:val="00C349DD"/>
    <w:rsid w:val="00C35E0C"/>
    <w:rsid w:val="00C4614D"/>
    <w:rsid w:val="00C47607"/>
    <w:rsid w:val="00C519CE"/>
    <w:rsid w:val="00C52D1B"/>
    <w:rsid w:val="00C5490E"/>
    <w:rsid w:val="00C564C2"/>
    <w:rsid w:val="00C568E5"/>
    <w:rsid w:val="00C578A3"/>
    <w:rsid w:val="00C627F5"/>
    <w:rsid w:val="00C70818"/>
    <w:rsid w:val="00C734C3"/>
    <w:rsid w:val="00C74608"/>
    <w:rsid w:val="00C74806"/>
    <w:rsid w:val="00C76860"/>
    <w:rsid w:val="00C76ACB"/>
    <w:rsid w:val="00C810E8"/>
    <w:rsid w:val="00C82872"/>
    <w:rsid w:val="00C85211"/>
    <w:rsid w:val="00C915FE"/>
    <w:rsid w:val="00C93538"/>
    <w:rsid w:val="00C96789"/>
    <w:rsid w:val="00C97BB1"/>
    <w:rsid w:val="00CA228A"/>
    <w:rsid w:val="00CA29EE"/>
    <w:rsid w:val="00CA4F9B"/>
    <w:rsid w:val="00CA5BC6"/>
    <w:rsid w:val="00CA5FBE"/>
    <w:rsid w:val="00CA7422"/>
    <w:rsid w:val="00CB5042"/>
    <w:rsid w:val="00CB6506"/>
    <w:rsid w:val="00CC0C03"/>
    <w:rsid w:val="00CC735E"/>
    <w:rsid w:val="00CC77B0"/>
    <w:rsid w:val="00CD12BD"/>
    <w:rsid w:val="00CD7005"/>
    <w:rsid w:val="00CE14A7"/>
    <w:rsid w:val="00CE29C1"/>
    <w:rsid w:val="00CE42B1"/>
    <w:rsid w:val="00CE4C2F"/>
    <w:rsid w:val="00CE52ED"/>
    <w:rsid w:val="00CF1809"/>
    <w:rsid w:val="00CF5341"/>
    <w:rsid w:val="00CF7865"/>
    <w:rsid w:val="00D016D4"/>
    <w:rsid w:val="00D03895"/>
    <w:rsid w:val="00D118F6"/>
    <w:rsid w:val="00D15422"/>
    <w:rsid w:val="00D2112B"/>
    <w:rsid w:val="00D2235E"/>
    <w:rsid w:val="00D339E9"/>
    <w:rsid w:val="00D37DFC"/>
    <w:rsid w:val="00D41F5E"/>
    <w:rsid w:val="00D43920"/>
    <w:rsid w:val="00D445A3"/>
    <w:rsid w:val="00D47B4C"/>
    <w:rsid w:val="00D51B10"/>
    <w:rsid w:val="00D540C1"/>
    <w:rsid w:val="00D56737"/>
    <w:rsid w:val="00D6075A"/>
    <w:rsid w:val="00D60A46"/>
    <w:rsid w:val="00D622EF"/>
    <w:rsid w:val="00D62C11"/>
    <w:rsid w:val="00D64139"/>
    <w:rsid w:val="00D64351"/>
    <w:rsid w:val="00D7143E"/>
    <w:rsid w:val="00D77FC5"/>
    <w:rsid w:val="00D81994"/>
    <w:rsid w:val="00D86BA1"/>
    <w:rsid w:val="00D86C2C"/>
    <w:rsid w:val="00D87556"/>
    <w:rsid w:val="00D917C3"/>
    <w:rsid w:val="00DA19AF"/>
    <w:rsid w:val="00DA29C4"/>
    <w:rsid w:val="00DA475B"/>
    <w:rsid w:val="00DA7AB8"/>
    <w:rsid w:val="00DB136B"/>
    <w:rsid w:val="00DB3599"/>
    <w:rsid w:val="00DB35B3"/>
    <w:rsid w:val="00DB51EF"/>
    <w:rsid w:val="00DB7701"/>
    <w:rsid w:val="00DC2052"/>
    <w:rsid w:val="00DC3C22"/>
    <w:rsid w:val="00DC64EE"/>
    <w:rsid w:val="00DD0D0B"/>
    <w:rsid w:val="00DD58F9"/>
    <w:rsid w:val="00DD6C7D"/>
    <w:rsid w:val="00DD721D"/>
    <w:rsid w:val="00DF4036"/>
    <w:rsid w:val="00E004C5"/>
    <w:rsid w:val="00E00EDD"/>
    <w:rsid w:val="00E00F9A"/>
    <w:rsid w:val="00E054B1"/>
    <w:rsid w:val="00E05B16"/>
    <w:rsid w:val="00E1488D"/>
    <w:rsid w:val="00E15C73"/>
    <w:rsid w:val="00E15F96"/>
    <w:rsid w:val="00E24256"/>
    <w:rsid w:val="00E24A08"/>
    <w:rsid w:val="00E25711"/>
    <w:rsid w:val="00E275FF"/>
    <w:rsid w:val="00E30FD7"/>
    <w:rsid w:val="00E316E4"/>
    <w:rsid w:val="00E31D92"/>
    <w:rsid w:val="00E36631"/>
    <w:rsid w:val="00E36CAF"/>
    <w:rsid w:val="00E37152"/>
    <w:rsid w:val="00E40F6F"/>
    <w:rsid w:val="00E42052"/>
    <w:rsid w:val="00E42BB4"/>
    <w:rsid w:val="00E46C2F"/>
    <w:rsid w:val="00E52D83"/>
    <w:rsid w:val="00E576ED"/>
    <w:rsid w:val="00E57A7A"/>
    <w:rsid w:val="00E61A54"/>
    <w:rsid w:val="00E64643"/>
    <w:rsid w:val="00E6688C"/>
    <w:rsid w:val="00E67143"/>
    <w:rsid w:val="00E72E37"/>
    <w:rsid w:val="00E731A6"/>
    <w:rsid w:val="00E73268"/>
    <w:rsid w:val="00E8483F"/>
    <w:rsid w:val="00E9228F"/>
    <w:rsid w:val="00E96F91"/>
    <w:rsid w:val="00EA1560"/>
    <w:rsid w:val="00EA37CB"/>
    <w:rsid w:val="00EA3AA6"/>
    <w:rsid w:val="00EA3D53"/>
    <w:rsid w:val="00EB1B22"/>
    <w:rsid w:val="00EB3DF4"/>
    <w:rsid w:val="00EB4CA6"/>
    <w:rsid w:val="00EB4DAC"/>
    <w:rsid w:val="00EC1FF1"/>
    <w:rsid w:val="00EC2C94"/>
    <w:rsid w:val="00EC3306"/>
    <w:rsid w:val="00EC4BC7"/>
    <w:rsid w:val="00EC5536"/>
    <w:rsid w:val="00EC6B29"/>
    <w:rsid w:val="00ED03DB"/>
    <w:rsid w:val="00ED4783"/>
    <w:rsid w:val="00ED5FF7"/>
    <w:rsid w:val="00ED7F25"/>
    <w:rsid w:val="00EE1259"/>
    <w:rsid w:val="00EE5DC2"/>
    <w:rsid w:val="00EE685D"/>
    <w:rsid w:val="00EF0EE1"/>
    <w:rsid w:val="00EF13D8"/>
    <w:rsid w:val="00EF494C"/>
    <w:rsid w:val="00EF7DDD"/>
    <w:rsid w:val="00F00B34"/>
    <w:rsid w:val="00F03063"/>
    <w:rsid w:val="00F116E5"/>
    <w:rsid w:val="00F125E0"/>
    <w:rsid w:val="00F20500"/>
    <w:rsid w:val="00F244BF"/>
    <w:rsid w:val="00F2475A"/>
    <w:rsid w:val="00F2554F"/>
    <w:rsid w:val="00F25B9E"/>
    <w:rsid w:val="00F26CAB"/>
    <w:rsid w:val="00F31D33"/>
    <w:rsid w:val="00F31F4C"/>
    <w:rsid w:val="00F320FD"/>
    <w:rsid w:val="00F3505A"/>
    <w:rsid w:val="00F470AF"/>
    <w:rsid w:val="00F526FE"/>
    <w:rsid w:val="00F55181"/>
    <w:rsid w:val="00F60BFC"/>
    <w:rsid w:val="00F62045"/>
    <w:rsid w:val="00F63AE9"/>
    <w:rsid w:val="00F648CC"/>
    <w:rsid w:val="00F667C0"/>
    <w:rsid w:val="00F76964"/>
    <w:rsid w:val="00F773E8"/>
    <w:rsid w:val="00F77B6C"/>
    <w:rsid w:val="00F800C0"/>
    <w:rsid w:val="00F807D5"/>
    <w:rsid w:val="00F82AB6"/>
    <w:rsid w:val="00F8381F"/>
    <w:rsid w:val="00F83EC1"/>
    <w:rsid w:val="00F84376"/>
    <w:rsid w:val="00F8464C"/>
    <w:rsid w:val="00F84688"/>
    <w:rsid w:val="00F91C99"/>
    <w:rsid w:val="00F92A77"/>
    <w:rsid w:val="00F92C18"/>
    <w:rsid w:val="00F92EA5"/>
    <w:rsid w:val="00F9645C"/>
    <w:rsid w:val="00F96C67"/>
    <w:rsid w:val="00FA0025"/>
    <w:rsid w:val="00FA0D66"/>
    <w:rsid w:val="00FA0FA0"/>
    <w:rsid w:val="00FA6F7E"/>
    <w:rsid w:val="00FB68DC"/>
    <w:rsid w:val="00FB7C15"/>
    <w:rsid w:val="00FC2237"/>
    <w:rsid w:val="00FC7073"/>
    <w:rsid w:val="00FC723C"/>
    <w:rsid w:val="00FD45FD"/>
    <w:rsid w:val="00FD4A96"/>
    <w:rsid w:val="00FD7641"/>
    <w:rsid w:val="00FE24F9"/>
    <w:rsid w:val="00FE33D1"/>
    <w:rsid w:val="00FE41A9"/>
    <w:rsid w:val="00FE7BEE"/>
    <w:rsid w:val="00FF5984"/>
    <w:rsid w:val="00FF7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F2B84"/>
  <w15:chartTrackingRefBased/>
  <w15:docId w15:val="{066306FB-F4C9-4948-8727-DF160A87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0C0"/>
    <w:pPr>
      <w:spacing w:after="120" w:line="300" w:lineRule="atLeast"/>
    </w:pPr>
    <w:rPr>
      <w:rFonts w:ascii="Arial" w:hAnsi="Arial"/>
      <w:sz w:val="22"/>
      <w:szCs w:val="24"/>
      <w:lang w:eastAsia="en-US"/>
    </w:rPr>
  </w:style>
  <w:style w:type="paragraph" w:styleId="Heading1">
    <w:name w:val="heading 1"/>
    <w:next w:val="Normal"/>
    <w:qFormat/>
    <w:rsid w:val="0094252E"/>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94252E"/>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link w:val="Heading3Char"/>
    <w:qFormat/>
    <w:rsid w:val="007E76D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7E76DB"/>
    <w:pPr>
      <w:outlineLvl w:val="3"/>
    </w:pPr>
    <w:rPr>
      <w:sz w:val="24"/>
      <w:szCs w:val="24"/>
    </w:rPr>
  </w:style>
  <w:style w:type="paragraph" w:styleId="Heading5">
    <w:name w:val="heading 5"/>
    <w:basedOn w:val="Normal"/>
    <w:qFormat/>
    <w:rsid w:val="007E76DB"/>
    <w:pPr>
      <w:spacing w:before="240"/>
      <w:outlineLvl w:val="4"/>
    </w:pPr>
    <w:rPr>
      <w:b/>
    </w:rPr>
  </w:style>
  <w:style w:type="paragraph" w:styleId="Heading6">
    <w:name w:val="heading 6"/>
    <w:basedOn w:val="Heading5"/>
    <w:next w:val="Normal"/>
    <w:qFormat/>
    <w:rsid w:val="007E76DB"/>
    <w:pPr>
      <w:outlineLvl w:val="5"/>
    </w:pPr>
  </w:style>
  <w:style w:type="paragraph" w:styleId="Heading7">
    <w:name w:val="heading 7"/>
    <w:basedOn w:val="Heading6"/>
    <w:next w:val="Normal"/>
    <w:qFormat/>
    <w:rsid w:val="007E76DB"/>
    <w:pPr>
      <w:outlineLvl w:val="6"/>
    </w:pPr>
  </w:style>
  <w:style w:type="paragraph" w:styleId="Heading8">
    <w:name w:val="heading 8"/>
    <w:basedOn w:val="Heading7"/>
    <w:next w:val="Normal"/>
    <w:qFormat/>
    <w:rsid w:val="007E76DB"/>
    <w:pPr>
      <w:outlineLvl w:val="7"/>
    </w:pPr>
  </w:style>
  <w:style w:type="paragraph" w:styleId="Heading9">
    <w:name w:val="heading 9"/>
    <w:basedOn w:val="Heading8"/>
    <w:next w:val="Normal"/>
    <w:qFormat/>
    <w:rsid w:val="007E7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7E76DB"/>
    <w:pPr>
      <w:spacing w:after="120" w:line="300" w:lineRule="atLeast"/>
    </w:pPr>
    <w:rPr>
      <w:rFonts w:ascii="Arial" w:hAnsi="Arial"/>
      <w:sz w:val="22"/>
      <w:szCs w:val="24"/>
      <w:lang w:eastAsia="en-US"/>
    </w:rPr>
  </w:style>
  <w:style w:type="paragraph" w:styleId="ListBullet">
    <w:name w:val="List Bullet"/>
    <w:rsid w:val="007E76DB"/>
    <w:pPr>
      <w:numPr>
        <w:numId w:val="17"/>
      </w:numPr>
      <w:spacing w:after="120" w:line="300" w:lineRule="atLeast"/>
    </w:pPr>
    <w:rPr>
      <w:rFonts w:ascii="Arial" w:hAnsi="Arial"/>
      <w:sz w:val="22"/>
      <w:szCs w:val="24"/>
      <w:lang w:eastAsia="en-US"/>
    </w:rPr>
  </w:style>
  <w:style w:type="paragraph" w:styleId="ListBullet2">
    <w:name w:val="List Bullet 2"/>
    <w:rsid w:val="007E76DB"/>
    <w:pPr>
      <w:numPr>
        <w:ilvl w:val="1"/>
        <w:numId w:val="19"/>
      </w:numPr>
      <w:spacing w:after="120" w:line="300" w:lineRule="atLeast"/>
    </w:pPr>
    <w:rPr>
      <w:rFonts w:ascii="Arial" w:hAnsi="Arial"/>
      <w:sz w:val="22"/>
      <w:szCs w:val="24"/>
      <w:lang w:eastAsia="en-US"/>
    </w:rPr>
  </w:style>
  <w:style w:type="paragraph" w:styleId="ListBullet3">
    <w:name w:val="List Bullet 3"/>
    <w:rsid w:val="007E76DB"/>
    <w:pPr>
      <w:numPr>
        <w:ilvl w:val="2"/>
        <w:numId w:val="19"/>
      </w:numPr>
      <w:spacing w:after="120" w:line="300" w:lineRule="atLeast"/>
    </w:pPr>
    <w:rPr>
      <w:rFonts w:ascii="Arial" w:hAnsi="Arial"/>
      <w:sz w:val="22"/>
      <w:szCs w:val="24"/>
      <w:lang w:eastAsia="en-US"/>
    </w:rPr>
  </w:style>
  <w:style w:type="paragraph" w:customStyle="1" w:styleId="VLA1">
    <w:name w:val="VLA 1."/>
    <w:aliases w:val="2.,3."/>
    <w:rsid w:val="007E76DB"/>
    <w:pPr>
      <w:numPr>
        <w:numId w:val="22"/>
      </w:numPr>
      <w:spacing w:after="120" w:line="300" w:lineRule="atLeast"/>
    </w:pPr>
    <w:rPr>
      <w:rFonts w:ascii="Arial" w:hAnsi="Arial"/>
      <w:sz w:val="22"/>
      <w:szCs w:val="24"/>
      <w:lang w:eastAsia="en-US"/>
    </w:rPr>
  </w:style>
  <w:style w:type="paragraph" w:customStyle="1" w:styleId="VLAa">
    <w:name w:val="VLA a."/>
    <w:aliases w:val="b.,c."/>
    <w:rsid w:val="007E76DB"/>
    <w:pPr>
      <w:numPr>
        <w:ilvl w:val="1"/>
        <w:numId w:val="22"/>
      </w:numPr>
      <w:spacing w:after="120" w:line="300" w:lineRule="atLeast"/>
    </w:pPr>
    <w:rPr>
      <w:rFonts w:ascii="Arial" w:hAnsi="Arial"/>
      <w:sz w:val="22"/>
      <w:szCs w:val="24"/>
      <w:lang w:eastAsia="en-US"/>
    </w:rPr>
  </w:style>
  <w:style w:type="paragraph" w:customStyle="1" w:styleId="VLAi">
    <w:name w:val="VLA i."/>
    <w:aliases w:val="ii.,iii."/>
    <w:rsid w:val="007E76DB"/>
    <w:pPr>
      <w:numPr>
        <w:ilvl w:val="2"/>
        <w:numId w:val="22"/>
      </w:numPr>
      <w:spacing w:after="120" w:line="300" w:lineRule="atLeast"/>
    </w:pPr>
    <w:rPr>
      <w:rFonts w:ascii="Arial" w:hAnsi="Arial"/>
      <w:sz w:val="22"/>
      <w:szCs w:val="24"/>
      <w:lang w:eastAsia="en-US"/>
    </w:rPr>
  </w:style>
  <w:style w:type="paragraph" w:customStyle="1" w:styleId="VLAdate">
    <w:name w:val="VLA date"/>
    <w:basedOn w:val="VLAsubtitle"/>
    <w:qFormat/>
    <w:rsid w:val="007E76DB"/>
    <w:rPr>
      <w:b w:val="0"/>
      <w:sz w:val="24"/>
    </w:rPr>
  </w:style>
  <w:style w:type="paragraph" w:styleId="FootnoteText">
    <w:name w:val="footnote text"/>
    <w:basedOn w:val="Normal"/>
    <w:rsid w:val="007E76DB"/>
    <w:pPr>
      <w:ind w:left="284" w:hanging="284"/>
    </w:pPr>
    <w:rPr>
      <w:sz w:val="18"/>
      <w:szCs w:val="20"/>
    </w:rPr>
  </w:style>
  <w:style w:type="paragraph" w:styleId="Header">
    <w:name w:val="header"/>
    <w:rsid w:val="0094252E"/>
    <w:pPr>
      <w:pBdr>
        <w:bottom w:val="single" w:sz="4" w:space="1" w:color="971A4B"/>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94252E"/>
  </w:style>
  <w:style w:type="character" w:styleId="Hyperlink">
    <w:name w:val="Hyperlink"/>
    <w:uiPriority w:val="99"/>
    <w:rsid w:val="007E76DB"/>
    <w:rPr>
      <w:rFonts w:ascii="Arial" w:hAnsi="Arial"/>
      <w:color w:val="0000FF"/>
      <w:u w:val="single"/>
      <w:lang w:val="en-AU"/>
    </w:rPr>
  </w:style>
  <w:style w:type="paragraph" w:styleId="Title">
    <w:name w:val="Title"/>
    <w:qFormat/>
    <w:rsid w:val="0094252E"/>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7E76D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7E76D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7E76DB"/>
    <w:pPr>
      <w:spacing w:after="80"/>
    </w:pPr>
  </w:style>
  <w:style w:type="character" w:styleId="PageNumber">
    <w:name w:val="page number"/>
    <w:semiHidden/>
    <w:rsid w:val="007E76DB"/>
    <w:rPr>
      <w:rFonts w:ascii="Arial" w:hAnsi="Arial"/>
      <w:sz w:val="18"/>
    </w:rPr>
  </w:style>
  <w:style w:type="paragraph" w:customStyle="1" w:styleId="Appendix">
    <w:name w:val="Appendix"/>
    <w:next w:val="Normal"/>
    <w:rsid w:val="0094252E"/>
    <w:pPr>
      <w:numPr>
        <w:numId w:val="16"/>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94252E"/>
    <w:rPr>
      <w:rFonts w:ascii="Arial" w:hAnsi="Arial"/>
    </w:rPr>
  </w:style>
  <w:style w:type="paragraph" w:customStyle="1" w:styleId="VLAsubtitle">
    <w:name w:val="VLA subtitle"/>
    <w:basedOn w:val="Normal"/>
    <w:rsid w:val="007E76DB"/>
    <w:pPr>
      <w:spacing w:before="240" w:after="240" w:line="240" w:lineRule="atLeast"/>
    </w:pPr>
    <w:rPr>
      <w:b/>
      <w:bCs/>
      <w:sz w:val="28"/>
      <w:szCs w:val="28"/>
    </w:rPr>
  </w:style>
  <w:style w:type="paragraph" w:customStyle="1" w:styleId="VLAauthor">
    <w:name w:val="VLA author"/>
    <w:basedOn w:val="Normal"/>
    <w:next w:val="VLAdivision"/>
    <w:rsid w:val="0094252E"/>
    <w:pPr>
      <w:spacing w:before="240" w:after="60"/>
    </w:pPr>
    <w:rPr>
      <w:b/>
      <w:color w:val="971A4B"/>
      <w:sz w:val="28"/>
      <w:szCs w:val="28"/>
      <w:lang w:eastAsia="en-AU"/>
    </w:rPr>
  </w:style>
  <w:style w:type="paragraph" w:customStyle="1" w:styleId="VLAdivision">
    <w:name w:val="VLA division"/>
    <w:basedOn w:val="Normal"/>
    <w:next w:val="VLAauthor"/>
    <w:rsid w:val="0094252E"/>
    <w:pPr>
      <w:spacing w:before="60" w:after="240"/>
    </w:pPr>
    <w:rPr>
      <w:b/>
      <w:color w:val="971A4B"/>
      <w:sz w:val="28"/>
      <w:szCs w:val="28"/>
      <w:lang w:eastAsia="en-AU"/>
    </w:rPr>
  </w:style>
  <w:style w:type="paragraph" w:customStyle="1" w:styleId="VLApublicationdate">
    <w:name w:val="VLA publication date"/>
    <w:basedOn w:val="Normal"/>
    <w:rsid w:val="007E76DB"/>
    <w:pPr>
      <w:spacing w:before="1000"/>
    </w:pPr>
    <w:rPr>
      <w:b/>
      <w:sz w:val="28"/>
      <w:szCs w:val="20"/>
      <w:lang w:eastAsia="en-AU"/>
    </w:rPr>
  </w:style>
  <w:style w:type="paragraph" w:customStyle="1" w:styleId="VLAcaption">
    <w:name w:val="VLA caption"/>
    <w:basedOn w:val="Normal"/>
    <w:next w:val="Normal"/>
    <w:rsid w:val="007E76DB"/>
    <w:rPr>
      <w:i/>
      <w:sz w:val="20"/>
    </w:rPr>
  </w:style>
  <w:style w:type="paragraph" w:customStyle="1" w:styleId="Confidentialityclause">
    <w:name w:val="Confidentiality clause"/>
    <w:rsid w:val="007E76DB"/>
    <w:pPr>
      <w:spacing w:after="120"/>
    </w:pPr>
    <w:rPr>
      <w:rFonts w:ascii="Arial" w:hAnsi="Arial"/>
      <w:bCs/>
      <w:kern w:val="28"/>
      <w:sz w:val="18"/>
      <w:lang w:eastAsia="en-US"/>
    </w:rPr>
  </w:style>
  <w:style w:type="character" w:styleId="FootnoteReference">
    <w:name w:val="footnote reference"/>
    <w:rsid w:val="007E76DB"/>
    <w:rPr>
      <w:rFonts w:ascii="Arial" w:hAnsi="Arial"/>
      <w:sz w:val="18"/>
      <w:vertAlign w:val="superscript"/>
    </w:rPr>
  </w:style>
  <w:style w:type="paragraph" w:customStyle="1" w:styleId="Filename">
    <w:name w:val="Filename"/>
    <w:basedOn w:val="Normal"/>
    <w:rsid w:val="0094252E"/>
    <w:pPr>
      <w:pBdr>
        <w:top w:val="single" w:sz="4" w:space="1" w:color="971A4B"/>
      </w:pBdr>
      <w:tabs>
        <w:tab w:val="right" w:pos="9240"/>
      </w:tabs>
    </w:pPr>
    <w:rPr>
      <w:sz w:val="18"/>
    </w:rPr>
  </w:style>
  <w:style w:type="paragraph" w:styleId="TOC2">
    <w:name w:val="toc 2"/>
    <w:basedOn w:val="Normal"/>
    <w:next w:val="Normal"/>
    <w:uiPriority w:val="39"/>
    <w:rsid w:val="007E76DB"/>
    <w:pPr>
      <w:tabs>
        <w:tab w:val="right" w:leader="dot" w:pos="9790"/>
      </w:tabs>
      <w:spacing w:before="60" w:after="60"/>
      <w:ind w:left="330" w:right="650"/>
    </w:pPr>
    <w:rPr>
      <w:noProof/>
      <w:sz w:val="20"/>
    </w:rPr>
  </w:style>
  <w:style w:type="paragraph" w:styleId="TOC3">
    <w:name w:val="toc 3"/>
    <w:basedOn w:val="Normal"/>
    <w:next w:val="Normal"/>
    <w:uiPriority w:val="39"/>
    <w:rsid w:val="007E76DB"/>
    <w:pPr>
      <w:tabs>
        <w:tab w:val="right" w:leader="dot" w:pos="9790"/>
      </w:tabs>
      <w:spacing w:before="60" w:after="60"/>
      <w:ind w:left="550" w:right="760"/>
    </w:pPr>
    <w:rPr>
      <w:noProof/>
      <w:sz w:val="20"/>
    </w:rPr>
  </w:style>
  <w:style w:type="paragraph" w:styleId="Footer">
    <w:name w:val="footer"/>
    <w:basedOn w:val="Normal"/>
    <w:rsid w:val="007E76DB"/>
    <w:pPr>
      <w:tabs>
        <w:tab w:val="center" w:pos="4153"/>
        <w:tab w:val="right" w:pos="8306"/>
      </w:tabs>
    </w:pPr>
  </w:style>
  <w:style w:type="paragraph" w:customStyle="1" w:styleId="VLAquotation">
    <w:name w:val="VLA quotation"/>
    <w:basedOn w:val="VLApicture"/>
    <w:rsid w:val="007E76DB"/>
    <w:pPr>
      <w:ind w:left="720"/>
    </w:pPr>
    <w:rPr>
      <w:i/>
    </w:rPr>
  </w:style>
  <w:style w:type="paragraph" w:customStyle="1" w:styleId="VLAdefinition">
    <w:name w:val="VLA definition"/>
    <w:basedOn w:val="Normal"/>
    <w:rsid w:val="007E76DB"/>
    <w:pPr>
      <w:tabs>
        <w:tab w:val="left" w:pos="2268"/>
      </w:tabs>
      <w:spacing w:before="60"/>
      <w:ind w:left="2268" w:hanging="2268"/>
    </w:pPr>
    <w:rPr>
      <w:szCs w:val="22"/>
    </w:rPr>
  </w:style>
  <w:style w:type="character" w:styleId="Strong">
    <w:name w:val="Strong"/>
    <w:qFormat/>
    <w:rsid w:val="007E76DB"/>
    <w:rPr>
      <w:b/>
      <w:bCs/>
    </w:rPr>
  </w:style>
  <w:style w:type="paragraph" w:customStyle="1" w:styleId="NormalBold">
    <w:name w:val="Normal Bold"/>
    <w:basedOn w:val="Normal"/>
    <w:next w:val="Normal"/>
    <w:rsid w:val="00957221"/>
    <w:rPr>
      <w:b/>
      <w:lang w:eastAsia="en-AU"/>
    </w:rPr>
  </w:style>
  <w:style w:type="paragraph" w:customStyle="1" w:styleId="Normalbold0">
    <w:name w:val="Normal bold"/>
    <w:basedOn w:val="Normal"/>
    <w:next w:val="Normal"/>
    <w:rsid w:val="007E76DB"/>
    <w:rPr>
      <w:b/>
      <w:lang w:eastAsia="en-AU"/>
    </w:rPr>
  </w:style>
  <w:style w:type="paragraph" w:customStyle="1" w:styleId="Normalwithborder">
    <w:name w:val="Normal with border"/>
    <w:basedOn w:val="Heading5"/>
    <w:qFormat/>
    <w:rsid w:val="007E76DB"/>
  </w:style>
  <w:style w:type="paragraph" w:customStyle="1" w:styleId="AppendixH1">
    <w:name w:val="Appendix H1"/>
    <w:next w:val="Normal"/>
    <w:rsid w:val="0094252E"/>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94252E"/>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7E76DB"/>
    <w:pPr>
      <w:spacing w:before="120" w:after="40" w:line="300" w:lineRule="atLeast"/>
    </w:pPr>
    <w:rPr>
      <w:rFonts w:ascii="Arial" w:hAnsi="Arial" w:cs="Arial"/>
      <w:b/>
      <w:bCs/>
      <w:sz w:val="24"/>
      <w:szCs w:val="26"/>
    </w:rPr>
  </w:style>
  <w:style w:type="paragraph" w:customStyle="1" w:styleId="Normalwithgreyhighlightbox">
    <w:name w:val="Normal with grey highlight box"/>
    <w:basedOn w:val="Heading4"/>
    <w:qFormat/>
    <w:rsid w:val="007E76DB"/>
  </w:style>
  <w:style w:type="paragraph" w:styleId="ListParagraph">
    <w:name w:val="List Paragraph"/>
    <w:basedOn w:val="Normal"/>
    <w:uiPriority w:val="34"/>
    <w:qFormat/>
    <w:rsid w:val="007B5F8C"/>
    <w:pPr>
      <w:ind w:left="720"/>
      <w:contextualSpacing/>
    </w:pPr>
  </w:style>
  <w:style w:type="paragraph" w:customStyle="1" w:styleId="DHHSbody">
    <w:name w:val="DHHS body"/>
    <w:link w:val="DHHSbodyChar"/>
    <w:uiPriority w:val="99"/>
    <w:qFormat/>
    <w:rsid w:val="004E20F7"/>
    <w:pPr>
      <w:spacing w:after="120" w:line="270" w:lineRule="atLeast"/>
    </w:pPr>
    <w:rPr>
      <w:rFonts w:ascii="Arial" w:eastAsia="Times" w:hAnsi="Arial"/>
      <w:lang w:eastAsia="en-US"/>
    </w:rPr>
  </w:style>
  <w:style w:type="paragraph" w:customStyle="1" w:styleId="DHHStabletext">
    <w:name w:val="DHHS table text"/>
    <w:uiPriority w:val="3"/>
    <w:qFormat/>
    <w:rsid w:val="004E20F7"/>
    <w:pPr>
      <w:spacing w:before="80" w:after="60"/>
    </w:pPr>
    <w:rPr>
      <w:rFonts w:ascii="Arial" w:hAnsi="Arial"/>
      <w:lang w:eastAsia="en-US"/>
    </w:rPr>
  </w:style>
  <w:style w:type="paragraph" w:customStyle="1" w:styleId="DHHSbodyaftertablefigure">
    <w:name w:val="DHHS body after table/figure"/>
    <w:basedOn w:val="DHHSbody"/>
    <w:next w:val="DHHSbody"/>
    <w:uiPriority w:val="1"/>
    <w:rsid w:val="004E20F7"/>
    <w:pPr>
      <w:spacing w:before="240"/>
    </w:pPr>
  </w:style>
  <w:style w:type="character" w:customStyle="1" w:styleId="DHHSbodyChar">
    <w:name w:val="DHHS body Char"/>
    <w:link w:val="DHHSbody"/>
    <w:uiPriority w:val="99"/>
    <w:rsid w:val="004E20F7"/>
    <w:rPr>
      <w:rFonts w:ascii="Arial" w:eastAsia="Times" w:hAnsi="Arial"/>
      <w:lang w:eastAsia="en-US"/>
    </w:rPr>
  </w:style>
  <w:style w:type="character" w:styleId="CommentReference">
    <w:name w:val="annotation reference"/>
    <w:basedOn w:val="DefaultParagraphFont"/>
    <w:rsid w:val="00977834"/>
    <w:rPr>
      <w:sz w:val="16"/>
      <w:szCs w:val="16"/>
    </w:rPr>
  </w:style>
  <w:style w:type="paragraph" w:styleId="CommentText">
    <w:name w:val="annotation text"/>
    <w:basedOn w:val="Normal"/>
    <w:link w:val="CommentTextChar"/>
    <w:rsid w:val="00977834"/>
    <w:pPr>
      <w:spacing w:line="240" w:lineRule="auto"/>
    </w:pPr>
    <w:rPr>
      <w:sz w:val="20"/>
      <w:szCs w:val="20"/>
    </w:rPr>
  </w:style>
  <w:style w:type="character" w:customStyle="1" w:styleId="CommentTextChar">
    <w:name w:val="Comment Text Char"/>
    <w:basedOn w:val="DefaultParagraphFont"/>
    <w:link w:val="CommentText"/>
    <w:rsid w:val="00977834"/>
    <w:rPr>
      <w:rFonts w:ascii="Arial" w:hAnsi="Arial"/>
      <w:lang w:eastAsia="en-US"/>
    </w:rPr>
  </w:style>
  <w:style w:type="paragraph" w:styleId="CommentSubject">
    <w:name w:val="annotation subject"/>
    <w:basedOn w:val="CommentText"/>
    <w:next w:val="CommentText"/>
    <w:link w:val="CommentSubjectChar"/>
    <w:rsid w:val="00977834"/>
    <w:rPr>
      <w:b/>
      <w:bCs/>
    </w:rPr>
  </w:style>
  <w:style w:type="character" w:customStyle="1" w:styleId="CommentSubjectChar">
    <w:name w:val="Comment Subject Char"/>
    <w:basedOn w:val="CommentTextChar"/>
    <w:link w:val="CommentSubject"/>
    <w:rsid w:val="00977834"/>
    <w:rPr>
      <w:rFonts w:ascii="Arial" w:hAnsi="Arial"/>
      <w:b/>
      <w:bCs/>
      <w:lang w:eastAsia="en-US"/>
    </w:rPr>
  </w:style>
  <w:style w:type="paragraph" w:styleId="BalloonText">
    <w:name w:val="Balloon Text"/>
    <w:basedOn w:val="Normal"/>
    <w:link w:val="BalloonTextChar"/>
    <w:semiHidden/>
    <w:unhideWhenUsed/>
    <w:rsid w:val="0097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77834"/>
    <w:rPr>
      <w:rFonts w:ascii="Segoe UI" w:hAnsi="Segoe UI" w:cs="Segoe UI"/>
      <w:sz w:val="18"/>
      <w:szCs w:val="18"/>
      <w:lang w:eastAsia="en-US"/>
    </w:rPr>
  </w:style>
  <w:style w:type="paragraph" w:customStyle="1" w:styleId="VLALetterText">
    <w:name w:val="VLA Letter Text"/>
    <w:uiPriority w:val="1"/>
    <w:qFormat/>
    <w:rsid w:val="00515466"/>
    <w:pPr>
      <w:spacing w:after="120" w:line="300" w:lineRule="atLeast"/>
    </w:pPr>
    <w:rPr>
      <w:rFonts w:ascii="Arial" w:hAnsi="Arial"/>
      <w:sz w:val="22"/>
      <w:szCs w:val="24"/>
      <w:lang w:eastAsia="en-US"/>
    </w:rPr>
  </w:style>
  <w:style w:type="paragraph" w:styleId="NormalWeb">
    <w:name w:val="Normal (Web)"/>
    <w:basedOn w:val="Normal"/>
    <w:uiPriority w:val="99"/>
    <w:unhideWhenUsed/>
    <w:rsid w:val="00C82872"/>
    <w:pPr>
      <w:spacing w:before="100" w:beforeAutospacing="1" w:after="100" w:afterAutospacing="1" w:line="240" w:lineRule="auto"/>
    </w:pPr>
    <w:rPr>
      <w:rFonts w:ascii="Times New Roman" w:eastAsiaTheme="minorEastAsia" w:hAnsi="Times New Roman"/>
      <w:sz w:val="24"/>
      <w:lang w:eastAsia="en-AU"/>
    </w:rPr>
  </w:style>
  <w:style w:type="paragraph" w:styleId="Revision">
    <w:name w:val="Revision"/>
    <w:hidden/>
    <w:uiPriority w:val="99"/>
    <w:semiHidden/>
    <w:rsid w:val="007F13DC"/>
    <w:rPr>
      <w:rFonts w:ascii="Arial" w:hAnsi="Arial"/>
      <w:sz w:val="22"/>
      <w:szCs w:val="24"/>
      <w:lang w:eastAsia="en-US"/>
    </w:rPr>
  </w:style>
  <w:style w:type="character" w:customStyle="1" w:styleId="Heading3Char">
    <w:name w:val="Heading 3 Char"/>
    <w:basedOn w:val="DefaultParagraphFont"/>
    <w:link w:val="Heading3"/>
    <w:rsid w:val="00F800C0"/>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0471">
      <w:bodyDiv w:val="1"/>
      <w:marLeft w:val="0"/>
      <w:marRight w:val="0"/>
      <w:marTop w:val="0"/>
      <w:marBottom w:val="0"/>
      <w:divBdr>
        <w:top w:val="none" w:sz="0" w:space="0" w:color="auto"/>
        <w:left w:val="none" w:sz="0" w:space="0" w:color="auto"/>
        <w:bottom w:val="none" w:sz="0" w:space="0" w:color="auto"/>
        <w:right w:val="none" w:sz="0" w:space="0" w:color="auto"/>
      </w:divBdr>
    </w:div>
    <w:div w:id="174855235">
      <w:bodyDiv w:val="1"/>
      <w:marLeft w:val="0"/>
      <w:marRight w:val="0"/>
      <w:marTop w:val="0"/>
      <w:marBottom w:val="0"/>
      <w:divBdr>
        <w:top w:val="none" w:sz="0" w:space="0" w:color="auto"/>
        <w:left w:val="none" w:sz="0" w:space="0" w:color="auto"/>
        <w:bottom w:val="none" w:sz="0" w:space="0" w:color="auto"/>
        <w:right w:val="none" w:sz="0" w:space="0" w:color="auto"/>
      </w:divBdr>
    </w:div>
    <w:div w:id="523832804">
      <w:bodyDiv w:val="1"/>
      <w:marLeft w:val="0"/>
      <w:marRight w:val="0"/>
      <w:marTop w:val="0"/>
      <w:marBottom w:val="0"/>
      <w:divBdr>
        <w:top w:val="none" w:sz="0" w:space="0" w:color="auto"/>
        <w:left w:val="none" w:sz="0" w:space="0" w:color="auto"/>
        <w:bottom w:val="none" w:sz="0" w:space="0" w:color="auto"/>
        <w:right w:val="none" w:sz="0" w:space="0" w:color="auto"/>
      </w:divBdr>
    </w:div>
    <w:div w:id="719406221">
      <w:bodyDiv w:val="1"/>
      <w:marLeft w:val="0"/>
      <w:marRight w:val="0"/>
      <w:marTop w:val="0"/>
      <w:marBottom w:val="0"/>
      <w:divBdr>
        <w:top w:val="none" w:sz="0" w:space="0" w:color="auto"/>
        <w:left w:val="none" w:sz="0" w:space="0" w:color="auto"/>
        <w:bottom w:val="none" w:sz="0" w:space="0" w:color="auto"/>
        <w:right w:val="none" w:sz="0" w:space="0" w:color="auto"/>
      </w:divBdr>
    </w:div>
    <w:div w:id="855772115">
      <w:bodyDiv w:val="1"/>
      <w:marLeft w:val="0"/>
      <w:marRight w:val="0"/>
      <w:marTop w:val="0"/>
      <w:marBottom w:val="0"/>
      <w:divBdr>
        <w:top w:val="none" w:sz="0" w:space="0" w:color="auto"/>
        <w:left w:val="none" w:sz="0" w:space="0" w:color="auto"/>
        <w:bottom w:val="none" w:sz="0" w:space="0" w:color="auto"/>
        <w:right w:val="none" w:sz="0" w:space="0" w:color="auto"/>
      </w:divBdr>
    </w:div>
    <w:div w:id="1141534256">
      <w:bodyDiv w:val="1"/>
      <w:marLeft w:val="0"/>
      <w:marRight w:val="0"/>
      <w:marTop w:val="0"/>
      <w:marBottom w:val="0"/>
      <w:divBdr>
        <w:top w:val="none" w:sz="0" w:space="0" w:color="auto"/>
        <w:left w:val="none" w:sz="0" w:space="0" w:color="auto"/>
        <w:bottom w:val="none" w:sz="0" w:space="0" w:color="auto"/>
        <w:right w:val="none" w:sz="0" w:space="0" w:color="auto"/>
      </w:divBdr>
    </w:div>
    <w:div w:id="1165509649">
      <w:bodyDiv w:val="1"/>
      <w:marLeft w:val="0"/>
      <w:marRight w:val="0"/>
      <w:marTop w:val="0"/>
      <w:marBottom w:val="0"/>
      <w:divBdr>
        <w:top w:val="none" w:sz="0" w:space="0" w:color="auto"/>
        <w:left w:val="none" w:sz="0" w:space="0" w:color="auto"/>
        <w:bottom w:val="none" w:sz="0" w:space="0" w:color="auto"/>
        <w:right w:val="none" w:sz="0" w:space="0" w:color="auto"/>
      </w:divBdr>
    </w:div>
    <w:div w:id="1566918175">
      <w:bodyDiv w:val="1"/>
      <w:marLeft w:val="0"/>
      <w:marRight w:val="0"/>
      <w:marTop w:val="0"/>
      <w:marBottom w:val="0"/>
      <w:divBdr>
        <w:top w:val="none" w:sz="0" w:space="0" w:color="auto"/>
        <w:left w:val="none" w:sz="0" w:space="0" w:color="auto"/>
        <w:bottom w:val="none" w:sz="0" w:space="0" w:color="auto"/>
        <w:right w:val="none" w:sz="0" w:space="0" w:color="auto"/>
      </w:divBdr>
    </w:div>
    <w:div w:id="18268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cyp.vic.gov.au/assets/corporate-documents/CCYP-annual-report-2014-15.pdf" TargetMode="External"/><Relationship Id="rId2" Type="http://schemas.openxmlformats.org/officeDocument/2006/relationships/hyperlink" Target="http://www.eclc.org.au/what-we-do/partnerships-and-projects/mabels/" TargetMode="External"/><Relationship Id="rId1" Type="http://schemas.openxmlformats.org/officeDocument/2006/relationships/hyperlink" Target="http://www.legalaid.vic.gov.au/about-us/strategic-advocacy-and-law-reform/more-effective-responses-to-gender-inequality-including-sex-discrimination-and-family-violence/families-with-complex-nee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22A14-DAD0-4617-BDFA-77A1997E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5870</Words>
  <Characters>31818</Characters>
  <Application>Microsoft Office Word</Application>
  <DocSecurity>0</DocSecurity>
  <Lines>482</Lines>
  <Paragraphs>197</Paragraphs>
  <ScaleCrop>false</ScaleCrop>
  <HeadingPairs>
    <vt:vector size="2" baseType="variant">
      <vt:variant>
        <vt:lpstr>Title</vt:lpstr>
      </vt:variant>
      <vt:variant>
        <vt:i4>1</vt:i4>
      </vt:variant>
    </vt:vector>
  </HeadingPairs>
  <TitlesOfParts>
    <vt:vector size="1" baseType="lpstr">
      <vt:lpstr>(Title)</vt:lpstr>
    </vt:vector>
  </TitlesOfParts>
  <Manager/>
  <Company>Victoria Legal Aid</Company>
  <LinksUpToDate>false</LinksUpToDate>
  <CharactersWithSpaces>37491</CharactersWithSpaces>
  <SharedDoc>false</SharedDoc>
  <HyperlinkBase/>
  <HLinks>
    <vt:vector size="30" baseType="variant">
      <vt:variant>
        <vt:i4>1376260</vt:i4>
      </vt:variant>
      <vt:variant>
        <vt:i4>29</vt:i4>
      </vt:variant>
      <vt:variant>
        <vt:i4>0</vt:i4>
      </vt:variant>
      <vt:variant>
        <vt:i4>5</vt:i4>
      </vt:variant>
      <vt:variant>
        <vt:lpwstr/>
      </vt:variant>
      <vt:variant>
        <vt:lpwstr>_Toc354042750</vt:lpwstr>
      </vt:variant>
      <vt:variant>
        <vt:i4>1310733</vt:i4>
      </vt:variant>
      <vt:variant>
        <vt:i4>23</vt:i4>
      </vt:variant>
      <vt:variant>
        <vt:i4>0</vt:i4>
      </vt:variant>
      <vt:variant>
        <vt:i4>5</vt:i4>
      </vt:variant>
      <vt:variant>
        <vt:lpwstr/>
      </vt:variant>
      <vt:variant>
        <vt:lpwstr>_Toc354042749</vt:lpwstr>
      </vt:variant>
      <vt:variant>
        <vt:i4>1310732</vt:i4>
      </vt:variant>
      <vt:variant>
        <vt:i4>17</vt:i4>
      </vt:variant>
      <vt:variant>
        <vt:i4>0</vt:i4>
      </vt:variant>
      <vt:variant>
        <vt:i4>5</vt:i4>
      </vt:variant>
      <vt:variant>
        <vt:lpwstr/>
      </vt:variant>
      <vt:variant>
        <vt:lpwstr>_Toc354042748</vt:lpwstr>
      </vt:variant>
      <vt:variant>
        <vt:i4>3342364</vt:i4>
      </vt:variant>
      <vt:variant>
        <vt:i4>2977</vt:i4>
      </vt:variant>
      <vt:variant>
        <vt:i4>1026</vt:i4>
      </vt:variant>
      <vt:variant>
        <vt:i4>1</vt:i4>
      </vt:variant>
      <vt:variant>
        <vt:lpwstr>vla_logo</vt:lpwstr>
      </vt:variant>
      <vt:variant>
        <vt:lpwstr/>
      </vt:variant>
      <vt:variant>
        <vt:i4>2687020</vt:i4>
      </vt:variant>
      <vt:variant>
        <vt:i4>2984</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submission with other organisations in the legal assistance sector</dc:title>
  <dc:subject/>
  <dc:creator>Victoria Legal Aid</dc:creator>
  <cp:keywords/>
  <dc:description/>
  <cp:lastModifiedBy>Gabrielle Mundana</cp:lastModifiedBy>
  <cp:revision>2</cp:revision>
  <dcterms:created xsi:type="dcterms:W3CDTF">2022-03-30T00:02:00Z</dcterms:created>
  <dcterms:modified xsi:type="dcterms:W3CDTF">2022-03-30T00:02:00Z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