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31C4B" w14:textId="3EB70F51" w:rsidR="00E665D6" w:rsidRDefault="00E665D6" w:rsidP="00E665D6">
      <w:pPr>
        <w:pStyle w:val="Heading1"/>
      </w:pPr>
      <w:r>
        <w:t>Changes to our Child Protection Guidelines</w:t>
      </w:r>
      <w:r w:rsidR="00957E32">
        <w:t xml:space="preserve"> </w:t>
      </w:r>
      <w:r w:rsidR="000371E4">
        <w:t xml:space="preserve">– April 2022 </w:t>
      </w:r>
      <w:r w:rsidR="000371E4">
        <w:t>update</w:t>
      </w:r>
    </w:p>
    <w:p w14:paraId="7024F637" w14:textId="6CE082F6" w:rsidR="00E665D6" w:rsidRDefault="00957E32" w:rsidP="00531950">
      <w:r>
        <w:t xml:space="preserve">Since November 2021, </w:t>
      </w:r>
      <w:r w:rsidR="00E665D6">
        <w:t>Victoria Legal Aid’s (</w:t>
      </w:r>
      <w:r w:rsidR="00E665D6" w:rsidRPr="000D673D">
        <w:t>VLA’s</w:t>
      </w:r>
      <w:r w:rsidR="00E665D6">
        <w:t>)</w:t>
      </w:r>
      <w:r w:rsidR="00E665D6" w:rsidRPr="000D673D">
        <w:t xml:space="preserve"> Child Protection program </w:t>
      </w:r>
      <w:r w:rsidR="00531950">
        <w:t xml:space="preserve">has been consulting on possible changes to </w:t>
      </w:r>
      <w:r w:rsidR="00825645">
        <w:t>our child protection guidelines.</w:t>
      </w:r>
    </w:p>
    <w:p w14:paraId="734A7A0F" w14:textId="137C218C" w:rsidR="00D51517" w:rsidRDefault="00825645" w:rsidP="00531950">
      <w:r>
        <w:t xml:space="preserve">We have received helpful feedback from stakeholders on the proposals which we have </w:t>
      </w:r>
      <w:proofErr w:type="gramStart"/>
      <w:r>
        <w:t>taken into</w:t>
      </w:r>
      <w:r w:rsidR="009A2BE6">
        <w:t xml:space="preserve"> </w:t>
      </w:r>
      <w:r>
        <w:t>account</w:t>
      </w:r>
      <w:proofErr w:type="gramEnd"/>
      <w:r>
        <w:t xml:space="preserve"> in making decisions about our next steps.</w:t>
      </w:r>
      <w:r w:rsidR="00B968DC">
        <w:t xml:space="preserve"> This factsheet outlines how VLA intends to proceed in relation to each proposal</w:t>
      </w:r>
      <w:r w:rsidR="00A7031D">
        <w:t xml:space="preserve"> we have consulted on </w:t>
      </w:r>
      <w:r w:rsidR="00B968DC">
        <w:t xml:space="preserve">and outlines </w:t>
      </w:r>
      <w:r w:rsidR="008C4AA4">
        <w:t>one new</w:t>
      </w:r>
      <w:r w:rsidR="00B968DC">
        <w:t xml:space="preserve"> proposal </w:t>
      </w:r>
      <w:r w:rsidR="008C4AA4">
        <w:t>on</w:t>
      </w:r>
      <w:r w:rsidR="00B968DC">
        <w:t xml:space="preserve"> which we invite further feedback. After consultation on the </w:t>
      </w:r>
      <w:r w:rsidR="008C4AA4">
        <w:t>new</w:t>
      </w:r>
      <w:r w:rsidR="00B968DC">
        <w:t xml:space="preserve"> proposal, VLA will consult with the Legal Services Board and Commission on all proposals before making </w:t>
      </w:r>
      <w:r w:rsidR="008C4AA4">
        <w:t>final</w:t>
      </w:r>
      <w:r w:rsidR="00B968DC">
        <w:t xml:space="preserve"> recommendation</w:t>
      </w:r>
      <w:r w:rsidR="008C4AA4">
        <w:t>s</w:t>
      </w:r>
      <w:r w:rsidR="00B968DC">
        <w:t xml:space="preserve"> to the VLA Board.</w:t>
      </w:r>
    </w:p>
    <w:p w14:paraId="74B7F09B" w14:textId="170DA105" w:rsidR="008C4629" w:rsidRDefault="00D51517" w:rsidP="00531950">
      <w:r>
        <w:t>At th</w:t>
      </w:r>
      <w:r w:rsidR="00954AB7">
        <w:t>is</w:t>
      </w:r>
      <w:r>
        <w:t xml:space="preserve"> point we </w:t>
      </w:r>
      <w:r w:rsidR="008C4629">
        <w:t>are</w:t>
      </w:r>
      <w:r>
        <w:t xml:space="preserve"> </w:t>
      </w:r>
      <w:r w:rsidRPr="001F0689">
        <w:rPr>
          <w:u w:val="single"/>
        </w:rPr>
        <w:t>not</w:t>
      </w:r>
      <w:r>
        <w:t xml:space="preserve"> proceeding with cost saving measures</w:t>
      </w:r>
      <w:r w:rsidR="00E35E17">
        <w:t>, other than removing the ‘preparation upon settlement’ fee for late</w:t>
      </w:r>
      <w:r w:rsidR="00643710">
        <w:t>r</w:t>
      </w:r>
      <w:r w:rsidR="00E35E17">
        <w:t xml:space="preserve"> stage </w:t>
      </w:r>
      <w:r w:rsidR="00643710">
        <w:t>hearings</w:t>
      </w:r>
      <w:r w:rsidR="00B137C3">
        <w:t xml:space="preserve"> (readiness hearings</w:t>
      </w:r>
      <w:r w:rsidR="0007732F">
        <w:t xml:space="preserve"> </w:t>
      </w:r>
      <w:r w:rsidR="00B137C3">
        <w:t>and directions hearings)</w:t>
      </w:r>
      <w:r>
        <w:t>.</w:t>
      </w:r>
      <w:r w:rsidR="008C4629">
        <w:t xml:space="preserve"> </w:t>
      </w:r>
      <w:r w:rsidR="008C4629">
        <w:rPr>
          <w:lang w:eastAsia="en-AU"/>
        </w:rPr>
        <w:t xml:space="preserve">The cost savings were originally proposed to cover the shortfall in funding for readiness hearings. However, </w:t>
      </w:r>
      <w:r w:rsidR="00954AB7">
        <w:rPr>
          <w:lang w:eastAsia="en-AU"/>
        </w:rPr>
        <w:t>the recent</w:t>
      </w:r>
      <w:r w:rsidR="008C4629">
        <w:rPr>
          <w:lang w:eastAsia="en-AU"/>
        </w:rPr>
        <w:t xml:space="preserve"> reduction in the number of protection applications as a result of the COVID-19 pandemic means that we are </w:t>
      </w:r>
      <w:r w:rsidR="008A7010">
        <w:rPr>
          <w:lang w:eastAsia="en-AU"/>
        </w:rPr>
        <w:t>better</w:t>
      </w:r>
      <w:r w:rsidR="00954AB7">
        <w:rPr>
          <w:lang w:eastAsia="en-AU"/>
        </w:rPr>
        <w:t xml:space="preserve"> </w:t>
      </w:r>
      <w:r w:rsidR="008C4629">
        <w:rPr>
          <w:lang w:eastAsia="en-AU"/>
        </w:rPr>
        <w:t xml:space="preserve">able to </w:t>
      </w:r>
      <w:r w:rsidR="00954AB7">
        <w:rPr>
          <w:lang w:eastAsia="en-AU"/>
        </w:rPr>
        <w:t xml:space="preserve">meet the cost of </w:t>
      </w:r>
      <w:r w:rsidR="008C4629">
        <w:rPr>
          <w:lang w:eastAsia="en-AU"/>
        </w:rPr>
        <w:t xml:space="preserve">readiness hearings. Further decisions about cost savings measures may be required in future pending any change in demand.   </w:t>
      </w:r>
    </w:p>
    <w:p w14:paraId="3CF629C3" w14:textId="4BC1C097" w:rsidR="00E7573A" w:rsidRDefault="00E7573A" w:rsidP="00E665D6">
      <w:pPr>
        <w:pStyle w:val="Heading2"/>
      </w:pPr>
      <w:r>
        <w:t>Financially sustainable readiness hearings</w:t>
      </w:r>
    </w:p>
    <w:p w14:paraId="016CE725" w14:textId="2B11E3C9" w:rsidR="00380CF3" w:rsidRDefault="00825645" w:rsidP="001F0689">
      <w:pPr>
        <w:pStyle w:val="Heading3"/>
      </w:pPr>
      <w:r>
        <w:t>New guideline for</w:t>
      </w:r>
      <w:r w:rsidR="00E665D6">
        <w:t xml:space="preserve"> readiness hearings</w:t>
      </w:r>
      <w:r>
        <w:t xml:space="preserve"> and judicial resolution conferences</w:t>
      </w:r>
    </w:p>
    <w:p w14:paraId="04B1E6CE" w14:textId="368C8A80" w:rsidR="00380CF3" w:rsidRPr="001F0689" w:rsidRDefault="00380CF3" w:rsidP="00380CF3">
      <w:pPr>
        <w:rPr>
          <w:b/>
          <w:bCs/>
          <w:lang w:eastAsia="en-AU"/>
        </w:rPr>
      </w:pPr>
      <w:r w:rsidRPr="001F0689">
        <w:rPr>
          <w:b/>
          <w:bCs/>
          <w:lang w:eastAsia="en-AU"/>
        </w:rPr>
        <w:t>Original proposal</w:t>
      </w:r>
    </w:p>
    <w:p w14:paraId="54C3424F" w14:textId="6AD4D60A" w:rsidR="00B968DC" w:rsidRDefault="00B968DC" w:rsidP="00B968DC">
      <w:pPr>
        <w:rPr>
          <w:lang w:eastAsia="en-AU"/>
        </w:rPr>
      </w:pPr>
      <w:r>
        <w:rPr>
          <w:lang w:eastAsia="en-AU"/>
        </w:rPr>
        <w:t xml:space="preserve">We proposed to introduce a single guideline for readiness hearings </w:t>
      </w:r>
      <w:r w:rsidR="00611436">
        <w:rPr>
          <w:lang w:eastAsia="en-AU"/>
        </w:rPr>
        <w:t xml:space="preserve">(RH) </w:t>
      </w:r>
      <w:r>
        <w:rPr>
          <w:lang w:eastAsia="en-AU"/>
        </w:rPr>
        <w:t>and judicial resolution conferences</w:t>
      </w:r>
      <w:r w:rsidR="00611436">
        <w:rPr>
          <w:lang w:eastAsia="en-AU"/>
        </w:rPr>
        <w:t xml:space="preserve"> (JRC)</w:t>
      </w:r>
      <w:r w:rsidR="0094529D">
        <w:rPr>
          <w:lang w:eastAsia="en-AU"/>
        </w:rPr>
        <w:t xml:space="preserve"> as alternative hearing types on </w:t>
      </w:r>
      <w:r>
        <w:rPr>
          <w:lang w:eastAsia="en-AU"/>
        </w:rPr>
        <w:t>an extension to the broadband grant</w:t>
      </w:r>
      <w:r w:rsidR="0094529D">
        <w:rPr>
          <w:lang w:eastAsia="en-AU"/>
        </w:rPr>
        <w:t>. The guideline</w:t>
      </w:r>
      <w:r w:rsidR="00A7031D">
        <w:rPr>
          <w:lang w:eastAsia="en-AU"/>
        </w:rPr>
        <w:t xml:space="preserve"> </w:t>
      </w:r>
      <w:r w:rsidR="0094529D">
        <w:rPr>
          <w:lang w:eastAsia="en-AU"/>
        </w:rPr>
        <w:t>replace</w:t>
      </w:r>
      <w:r w:rsidR="00A7031D">
        <w:rPr>
          <w:lang w:eastAsia="en-AU"/>
        </w:rPr>
        <w:t>s</w:t>
      </w:r>
      <w:r w:rsidR="0094529D">
        <w:rPr>
          <w:lang w:eastAsia="en-AU"/>
        </w:rPr>
        <w:t xml:space="preserve"> the interim readiness hearing fees set in 2020 and 2021.</w:t>
      </w:r>
    </w:p>
    <w:p w14:paraId="61D3A5F7" w14:textId="77777777" w:rsidR="00B968DC" w:rsidRDefault="00B968DC" w:rsidP="00B968DC">
      <w:pPr>
        <w:rPr>
          <w:lang w:eastAsia="en-AU"/>
        </w:rPr>
      </w:pPr>
      <w:r>
        <w:rPr>
          <w:lang w:eastAsia="en-AU"/>
        </w:rPr>
        <w:t>Features:</w:t>
      </w:r>
    </w:p>
    <w:p w14:paraId="0F92E9B2" w14:textId="3EA80311" w:rsidR="00B968DC" w:rsidRDefault="00B968DC" w:rsidP="00B968DC">
      <w:pPr>
        <w:pStyle w:val="ListBullet"/>
        <w:rPr>
          <w:lang w:eastAsia="en-AU"/>
        </w:rPr>
      </w:pPr>
      <w:r>
        <w:rPr>
          <w:lang w:eastAsia="en-AU"/>
        </w:rPr>
        <w:t xml:space="preserve">Limit of one </w:t>
      </w:r>
      <w:r w:rsidR="00611436">
        <w:rPr>
          <w:lang w:eastAsia="en-AU"/>
        </w:rPr>
        <w:t>RH</w:t>
      </w:r>
      <w:r>
        <w:rPr>
          <w:lang w:eastAsia="en-AU"/>
        </w:rPr>
        <w:t xml:space="preserve"> or </w:t>
      </w:r>
      <w:r w:rsidR="00611436">
        <w:rPr>
          <w:lang w:eastAsia="en-AU"/>
        </w:rPr>
        <w:t>JRC</w:t>
      </w:r>
      <w:r>
        <w:rPr>
          <w:lang w:eastAsia="en-AU"/>
        </w:rPr>
        <w:t xml:space="preserve"> per grant</w:t>
      </w:r>
    </w:p>
    <w:p w14:paraId="121C19E6" w14:textId="5F4B3F3E" w:rsidR="00B968DC" w:rsidRDefault="00B968DC" w:rsidP="00B968DC">
      <w:pPr>
        <w:pStyle w:val="ListBullet"/>
        <w:rPr>
          <w:lang w:eastAsia="en-AU"/>
        </w:rPr>
      </w:pPr>
      <w:r>
        <w:rPr>
          <w:lang w:eastAsia="en-AU"/>
        </w:rPr>
        <w:t xml:space="preserve">Single preparation fee (current readiness hearing preparation fee rate) to support taking instructions, negotiation with other parties and preparation of the readiness certificate. For </w:t>
      </w:r>
      <w:r w:rsidR="00611436">
        <w:rPr>
          <w:lang w:eastAsia="en-AU"/>
        </w:rPr>
        <w:t>JRCs</w:t>
      </w:r>
      <w:r>
        <w:rPr>
          <w:lang w:eastAsia="en-AU"/>
        </w:rPr>
        <w:t xml:space="preserve"> preparation would include documenting a case strategy and other procedural requirements instead of the readiness certificate</w:t>
      </w:r>
      <w:r w:rsidR="0094529D">
        <w:rPr>
          <w:lang w:eastAsia="en-AU"/>
        </w:rPr>
        <w:t>.</w:t>
      </w:r>
    </w:p>
    <w:p w14:paraId="64C607A9" w14:textId="0A272F33" w:rsidR="00E05074" w:rsidRDefault="00E05074" w:rsidP="00E05074">
      <w:pPr>
        <w:pStyle w:val="ListBullet"/>
      </w:pPr>
      <w:r>
        <w:rPr>
          <w:lang w:eastAsia="en-AU"/>
        </w:rPr>
        <w:t>Remove the</w:t>
      </w:r>
      <w:r w:rsidRPr="0DB62E25">
        <w:rPr>
          <w:lang w:eastAsia="en-AU"/>
        </w:rPr>
        <w:t xml:space="preserve"> </w:t>
      </w:r>
      <w:r>
        <w:rPr>
          <w:lang w:eastAsia="en-AU"/>
        </w:rPr>
        <w:t>‘</w:t>
      </w:r>
      <w:r w:rsidRPr="0DB62E25">
        <w:rPr>
          <w:lang w:eastAsia="en-AU"/>
        </w:rPr>
        <w:t>preparation</w:t>
      </w:r>
      <w:r>
        <w:rPr>
          <w:lang w:eastAsia="en-AU"/>
        </w:rPr>
        <w:t xml:space="preserve"> upon settlement’</w:t>
      </w:r>
      <w:r w:rsidRPr="0DB62E25">
        <w:rPr>
          <w:lang w:eastAsia="en-AU"/>
        </w:rPr>
        <w:t xml:space="preserve"> fee for </w:t>
      </w:r>
      <w:r>
        <w:rPr>
          <w:lang w:eastAsia="en-AU"/>
        </w:rPr>
        <w:t>readiness</w:t>
      </w:r>
      <w:r w:rsidRPr="0DB62E25">
        <w:rPr>
          <w:lang w:eastAsia="en-AU"/>
        </w:rPr>
        <w:t xml:space="preserve"> hearings.</w:t>
      </w:r>
    </w:p>
    <w:p w14:paraId="34A23069" w14:textId="0D840B52" w:rsidR="0094529D" w:rsidRDefault="00B968DC" w:rsidP="0094529D">
      <w:pPr>
        <w:pStyle w:val="ListBullet"/>
        <w:rPr>
          <w:lang w:eastAsia="en-AU"/>
        </w:rPr>
      </w:pPr>
      <w:r>
        <w:rPr>
          <w:lang w:eastAsia="en-AU"/>
        </w:rPr>
        <w:t xml:space="preserve">Appearance fee (current </w:t>
      </w:r>
      <w:r w:rsidR="00611436">
        <w:rPr>
          <w:lang w:eastAsia="en-AU"/>
        </w:rPr>
        <w:t>RH</w:t>
      </w:r>
      <w:r>
        <w:rPr>
          <w:lang w:eastAsia="en-AU"/>
        </w:rPr>
        <w:t xml:space="preserve"> fee rate)</w:t>
      </w:r>
    </w:p>
    <w:p w14:paraId="3368B127" w14:textId="4F9D8DEB" w:rsidR="00B968DC" w:rsidRPr="001F0689" w:rsidRDefault="0094529D" w:rsidP="00380CF3">
      <w:pPr>
        <w:rPr>
          <w:b/>
          <w:bCs/>
          <w:lang w:eastAsia="en-AU"/>
        </w:rPr>
      </w:pPr>
      <w:r>
        <w:rPr>
          <w:b/>
          <w:bCs/>
          <w:lang w:eastAsia="en-AU"/>
        </w:rPr>
        <w:t>Revised</w:t>
      </w:r>
      <w:r w:rsidR="00380CF3" w:rsidRPr="001F0689">
        <w:rPr>
          <w:b/>
          <w:bCs/>
          <w:lang w:eastAsia="en-AU"/>
        </w:rPr>
        <w:t xml:space="preserve"> proposal</w:t>
      </w:r>
    </w:p>
    <w:p w14:paraId="5D114B32" w14:textId="479AA656" w:rsidR="00B968DC" w:rsidRDefault="00B968DC" w:rsidP="00B968DC">
      <w:pPr>
        <w:rPr>
          <w:lang w:eastAsia="en-AU"/>
        </w:rPr>
      </w:pPr>
      <w:r w:rsidRPr="001F0689">
        <w:rPr>
          <w:lang w:eastAsia="en-AU"/>
        </w:rPr>
        <w:t>VLA will proceed</w:t>
      </w:r>
      <w:r>
        <w:rPr>
          <w:b/>
          <w:bCs/>
          <w:lang w:eastAsia="en-AU"/>
        </w:rPr>
        <w:t xml:space="preserve"> </w:t>
      </w:r>
      <w:r>
        <w:rPr>
          <w:lang w:eastAsia="en-AU"/>
        </w:rPr>
        <w:t xml:space="preserve">with </w:t>
      </w:r>
      <w:r w:rsidR="00CB5B71">
        <w:rPr>
          <w:lang w:eastAsia="en-AU"/>
        </w:rPr>
        <w:t>the</w:t>
      </w:r>
      <w:r w:rsidR="00176D85">
        <w:rPr>
          <w:lang w:eastAsia="en-AU"/>
        </w:rPr>
        <w:t xml:space="preserve"> above</w:t>
      </w:r>
      <w:r w:rsidR="00CB5B71">
        <w:rPr>
          <w:lang w:eastAsia="en-AU"/>
        </w:rPr>
        <w:t xml:space="preserve"> proposal</w:t>
      </w:r>
      <w:r w:rsidR="00176D85">
        <w:rPr>
          <w:lang w:eastAsia="en-AU"/>
        </w:rPr>
        <w:t>s with the following amendments:</w:t>
      </w:r>
    </w:p>
    <w:p w14:paraId="04B6B6DD" w14:textId="08650F20" w:rsidR="00084EC1" w:rsidRPr="00A4052A" w:rsidRDefault="00D1419B" w:rsidP="00084EC1">
      <w:pPr>
        <w:pStyle w:val="ListBullet"/>
        <w:rPr>
          <w:lang w:eastAsia="en-AU"/>
        </w:rPr>
      </w:pPr>
      <w:r>
        <w:rPr>
          <w:lang w:eastAsia="en-AU"/>
        </w:rPr>
        <w:t>The</w:t>
      </w:r>
      <w:r w:rsidR="00B968DC">
        <w:rPr>
          <w:lang w:eastAsia="en-AU"/>
        </w:rPr>
        <w:t xml:space="preserve"> </w:t>
      </w:r>
      <w:r w:rsidR="00084EC1">
        <w:rPr>
          <w:lang w:eastAsia="en-AU"/>
        </w:rPr>
        <w:t xml:space="preserve">standard </w:t>
      </w:r>
      <w:r w:rsidR="00B968DC">
        <w:rPr>
          <w:lang w:eastAsia="en-AU"/>
        </w:rPr>
        <w:t>preparation fee</w:t>
      </w:r>
      <w:r w:rsidR="00611436">
        <w:rPr>
          <w:lang w:eastAsia="en-AU"/>
        </w:rPr>
        <w:t xml:space="preserve"> for both RH and JRC</w:t>
      </w:r>
      <w:r w:rsidR="00176D85">
        <w:rPr>
          <w:lang w:eastAsia="en-AU"/>
        </w:rPr>
        <w:t xml:space="preserve"> will </w:t>
      </w:r>
      <w:r w:rsidR="00176D85" w:rsidRPr="00A4052A">
        <w:rPr>
          <w:lang w:eastAsia="en-AU"/>
        </w:rPr>
        <w:t>be</w:t>
      </w:r>
      <w:r w:rsidR="00B968DC" w:rsidRPr="00A4052A">
        <w:rPr>
          <w:lang w:eastAsia="en-AU"/>
        </w:rPr>
        <w:t xml:space="preserve"> </w:t>
      </w:r>
      <w:r w:rsidR="00084EC1" w:rsidRPr="001F0689">
        <w:rPr>
          <w:lang w:eastAsia="en-AU"/>
        </w:rPr>
        <w:t>at a new higher rate of</w:t>
      </w:r>
      <w:r w:rsidR="0094529D" w:rsidRPr="00A4052A">
        <w:rPr>
          <w:lang w:eastAsia="en-AU"/>
        </w:rPr>
        <w:t xml:space="preserve"> $</w:t>
      </w:r>
      <w:r w:rsidR="006E6B7C" w:rsidRPr="001F0689">
        <w:rPr>
          <w:lang w:eastAsia="en-AU"/>
        </w:rPr>
        <w:t>340</w:t>
      </w:r>
      <w:r w:rsidR="00611436" w:rsidRPr="001F0689">
        <w:rPr>
          <w:lang w:eastAsia="en-AU"/>
        </w:rPr>
        <w:t>.</w:t>
      </w:r>
      <w:r w:rsidR="00176D85" w:rsidRPr="001F0689">
        <w:rPr>
          <w:lang w:eastAsia="en-AU"/>
        </w:rPr>
        <w:t xml:space="preserve"> This is</w:t>
      </w:r>
      <w:r w:rsidR="00B968DC" w:rsidRPr="00A4052A">
        <w:rPr>
          <w:lang w:eastAsia="en-AU"/>
        </w:rPr>
        <w:t xml:space="preserve"> to support taking instructions, negotiation with other parties and preparation of the readiness certificate</w:t>
      </w:r>
      <w:r w:rsidR="0020525A" w:rsidRPr="00A4052A">
        <w:rPr>
          <w:lang w:eastAsia="en-AU"/>
        </w:rPr>
        <w:t xml:space="preserve"> (or documentation of </w:t>
      </w:r>
      <w:r w:rsidR="00B968DC" w:rsidRPr="00A4052A">
        <w:rPr>
          <w:lang w:eastAsia="en-AU"/>
        </w:rPr>
        <w:t>a case strategy and other procedural requirements</w:t>
      </w:r>
      <w:r w:rsidR="0020525A" w:rsidRPr="00A4052A">
        <w:rPr>
          <w:lang w:eastAsia="en-AU"/>
        </w:rPr>
        <w:t xml:space="preserve"> in the case </w:t>
      </w:r>
      <w:r w:rsidR="00176D85" w:rsidRPr="00A4052A">
        <w:rPr>
          <w:lang w:eastAsia="en-AU"/>
        </w:rPr>
        <w:t>of a JRC)</w:t>
      </w:r>
    </w:p>
    <w:p w14:paraId="515E2228" w14:textId="4DB5C229" w:rsidR="00B968DC" w:rsidRDefault="00D1419B" w:rsidP="00B968DC">
      <w:pPr>
        <w:pStyle w:val="ListBullet"/>
        <w:rPr>
          <w:lang w:eastAsia="en-AU"/>
        </w:rPr>
      </w:pPr>
      <w:r w:rsidRPr="00A4052A">
        <w:rPr>
          <w:lang w:eastAsia="en-AU"/>
        </w:rPr>
        <w:t>The</w:t>
      </w:r>
      <w:r w:rsidR="0020525A" w:rsidRPr="00A4052A">
        <w:rPr>
          <w:lang w:eastAsia="en-AU"/>
        </w:rPr>
        <w:t xml:space="preserve"> </w:t>
      </w:r>
      <w:r w:rsidR="00B968DC" w:rsidRPr="00A4052A">
        <w:rPr>
          <w:lang w:eastAsia="en-AU"/>
        </w:rPr>
        <w:t>appearance fee</w:t>
      </w:r>
      <w:r w:rsidR="00611436" w:rsidRPr="00A4052A">
        <w:rPr>
          <w:lang w:eastAsia="en-AU"/>
        </w:rPr>
        <w:t xml:space="preserve"> for both RH and JRC</w:t>
      </w:r>
      <w:r w:rsidR="00B968DC" w:rsidRPr="00A4052A">
        <w:rPr>
          <w:lang w:eastAsia="en-AU"/>
        </w:rPr>
        <w:t xml:space="preserve"> </w:t>
      </w:r>
      <w:r w:rsidRPr="00A4052A">
        <w:rPr>
          <w:lang w:eastAsia="en-AU"/>
        </w:rPr>
        <w:t xml:space="preserve">will be </w:t>
      </w:r>
      <w:r w:rsidR="00084EC1" w:rsidRPr="001F0689">
        <w:rPr>
          <w:lang w:eastAsia="en-AU"/>
        </w:rPr>
        <w:t>at a higher rate of</w:t>
      </w:r>
      <w:r w:rsidR="0094529D" w:rsidRPr="00A4052A">
        <w:rPr>
          <w:lang w:eastAsia="en-AU"/>
        </w:rPr>
        <w:t xml:space="preserve"> $3</w:t>
      </w:r>
      <w:r w:rsidR="006E6B7C" w:rsidRPr="001F0689">
        <w:rPr>
          <w:lang w:eastAsia="en-AU"/>
        </w:rPr>
        <w:t>83</w:t>
      </w:r>
      <w:r w:rsidR="00611436" w:rsidRPr="001F0689">
        <w:rPr>
          <w:lang w:eastAsia="en-AU"/>
        </w:rPr>
        <w:t>, in line with the current mention fee</w:t>
      </w:r>
    </w:p>
    <w:p w14:paraId="1A39517C" w14:textId="08675214" w:rsidR="00B968DC" w:rsidRDefault="00B968DC" w:rsidP="00B968DC">
      <w:pPr>
        <w:pStyle w:val="ListBullet"/>
        <w:rPr>
          <w:lang w:eastAsia="en-AU"/>
        </w:rPr>
      </w:pPr>
      <w:r>
        <w:rPr>
          <w:lang w:eastAsia="en-AU"/>
        </w:rPr>
        <w:lastRenderedPageBreak/>
        <w:t>A post-readiness hearing mention</w:t>
      </w:r>
      <w:r w:rsidR="00D1419B">
        <w:rPr>
          <w:lang w:eastAsia="en-AU"/>
        </w:rPr>
        <w:t xml:space="preserve"> will</w:t>
      </w:r>
      <w:r w:rsidR="0020525A">
        <w:rPr>
          <w:lang w:eastAsia="en-AU"/>
        </w:rPr>
        <w:t xml:space="preserve"> </w:t>
      </w:r>
      <w:r>
        <w:rPr>
          <w:lang w:eastAsia="en-AU"/>
        </w:rPr>
        <w:t>be funded in exceptional circumstance</w:t>
      </w:r>
      <w:r w:rsidR="00611436">
        <w:rPr>
          <w:lang w:eastAsia="en-AU"/>
        </w:rPr>
        <w:t>s</w:t>
      </w:r>
      <w:r>
        <w:rPr>
          <w:lang w:eastAsia="en-AU"/>
        </w:rPr>
        <w:t xml:space="preserve"> </w:t>
      </w:r>
      <w:r w:rsidR="0094529D">
        <w:rPr>
          <w:lang w:eastAsia="en-AU"/>
        </w:rPr>
        <w:t>(</w:t>
      </w:r>
      <w:r>
        <w:rPr>
          <w:lang w:eastAsia="en-AU"/>
        </w:rPr>
        <w:t xml:space="preserve">at the </w:t>
      </w:r>
      <w:r w:rsidR="0094529D">
        <w:rPr>
          <w:lang w:eastAsia="en-AU"/>
        </w:rPr>
        <w:t xml:space="preserve">current </w:t>
      </w:r>
      <w:r>
        <w:rPr>
          <w:lang w:eastAsia="en-AU"/>
        </w:rPr>
        <w:t xml:space="preserve">mention rate </w:t>
      </w:r>
      <w:r w:rsidR="0094529D">
        <w:rPr>
          <w:lang w:eastAsia="en-AU"/>
        </w:rPr>
        <w:t xml:space="preserve">of </w:t>
      </w:r>
      <w:r>
        <w:rPr>
          <w:lang w:eastAsia="en-AU"/>
        </w:rPr>
        <w:t>$383</w:t>
      </w:r>
      <w:r w:rsidR="0094529D">
        <w:rPr>
          <w:lang w:eastAsia="en-AU"/>
        </w:rPr>
        <w:t>)</w:t>
      </w:r>
      <w:r>
        <w:rPr>
          <w:lang w:eastAsia="en-AU"/>
        </w:rPr>
        <w:t xml:space="preserve">. Exceptional circumstances will require a practitioner to certify that the matter is likely to resolve on a final basis at the post-readiness hearing mention and document on the file the reason(s) why. </w:t>
      </w:r>
      <w:r w:rsidR="00A7031D">
        <w:rPr>
          <w:lang w:eastAsia="en-AU"/>
        </w:rPr>
        <w:t>The</w:t>
      </w:r>
      <w:r>
        <w:rPr>
          <w:lang w:eastAsia="en-AU"/>
        </w:rPr>
        <w:t xml:space="preserve"> post-readiness hearing mention is </w:t>
      </w:r>
      <w:r w:rsidR="0094529D">
        <w:rPr>
          <w:lang w:eastAsia="en-AU"/>
        </w:rPr>
        <w:t xml:space="preserve">in addition to the </w:t>
      </w:r>
      <w:r w:rsidR="00A7031D">
        <w:rPr>
          <w:lang w:eastAsia="en-AU"/>
        </w:rPr>
        <w:t>four mentions</w:t>
      </w:r>
      <w:r>
        <w:rPr>
          <w:lang w:eastAsia="en-AU"/>
        </w:rPr>
        <w:t xml:space="preserve"> on the broadband grant</w:t>
      </w:r>
      <w:r w:rsidR="0094529D">
        <w:rPr>
          <w:lang w:eastAsia="en-AU"/>
        </w:rPr>
        <w:t>. P</w:t>
      </w:r>
      <w:r>
        <w:rPr>
          <w:lang w:eastAsia="en-AU"/>
        </w:rPr>
        <w:t>ractitioner</w:t>
      </w:r>
      <w:r w:rsidR="0094529D">
        <w:rPr>
          <w:lang w:eastAsia="en-AU"/>
        </w:rPr>
        <w:t>s</w:t>
      </w:r>
      <w:r>
        <w:rPr>
          <w:lang w:eastAsia="en-AU"/>
        </w:rPr>
        <w:t xml:space="preserve"> will be required to claim the </w:t>
      </w:r>
      <w:r w:rsidR="00D1419B">
        <w:rPr>
          <w:lang w:eastAsia="en-AU"/>
        </w:rPr>
        <w:t xml:space="preserve">specific </w:t>
      </w:r>
      <w:r>
        <w:rPr>
          <w:lang w:eastAsia="en-AU"/>
        </w:rPr>
        <w:t xml:space="preserve">post-readiness hearing mention fee, rather than the </w:t>
      </w:r>
      <w:r w:rsidR="0094529D">
        <w:rPr>
          <w:lang w:eastAsia="en-AU"/>
        </w:rPr>
        <w:t>ordinary</w:t>
      </w:r>
      <w:r>
        <w:rPr>
          <w:lang w:eastAsia="en-AU"/>
        </w:rPr>
        <w:t xml:space="preserve"> mention fee</w:t>
      </w:r>
      <w:r w:rsidR="0094529D">
        <w:rPr>
          <w:lang w:eastAsia="en-AU"/>
        </w:rPr>
        <w:t xml:space="preserve"> where a mention is held after a </w:t>
      </w:r>
      <w:r w:rsidR="00072F70">
        <w:rPr>
          <w:lang w:eastAsia="en-AU"/>
        </w:rPr>
        <w:t>RH</w:t>
      </w:r>
      <w:r w:rsidR="0094529D">
        <w:rPr>
          <w:lang w:eastAsia="en-AU"/>
        </w:rPr>
        <w:t>.</w:t>
      </w:r>
    </w:p>
    <w:p w14:paraId="79983B34" w14:textId="240533FB" w:rsidR="00380CF3" w:rsidRPr="001F0689" w:rsidRDefault="00191090" w:rsidP="001F0689">
      <w:pPr>
        <w:rPr>
          <w:b/>
          <w:bCs/>
        </w:rPr>
      </w:pPr>
      <w:r>
        <w:rPr>
          <w:b/>
          <w:bCs/>
          <w:lang w:eastAsia="en-AU"/>
        </w:rPr>
        <w:t>Rationale</w:t>
      </w:r>
    </w:p>
    <w:p w14:paraId="36D4D47A" w14:textId="7EC47D30" w:rsidR="008F2FB9" w:rsidRDefault="00825645" w:rsidP="00825645">
      <w:pPr>
        <w:rPr>
          <w:lang w:eastAsia="en-AU"/>
        </w:rPr>
      </w:pPr>
      <w:r>
        <w:rPr>
          <w:lang w:eastAsia="en-AU"/>
        </w:rPr>
        <w:t xml:space="preserve">We received feedback </w:t>
      </w:r>
      <w:r w:rsidR="008A6516">
        <w:rPr>
          <w:lang w:eastAsia="en-AU"/>
        </w:rPr>
        <w:t xml:space="preserve">from </w:t>
      </w:r>
      <w:proofErr w:type="gramStart"/>
      <w:r w:rsidR="008A6516">
        <w:rPr>
          <w:lang w:eastAsia="en-AU"/>
        </w:rPr>
        <w:t>a number of</w:t>
      </w:r>
      <w:proofErr w:type="gramEnd"/>
      <w:r w:rsidR="008A6516">
        <w:rPr>
          <w:lang w:eastAsia="en-AU"/>
        </w:rPr>
        <w:t xml:space="preserve"> stakeholders that there are some circumstances in which </w:t>
      </w:r>
      <w:r w:rsidR="003705DE">
        <w:rPr>
          <w:lang w:eastAsia="en-AU"/>
        </w:rPr>
        <w:t xml:space="preserve">an additional </w:t>
      </w:r>
      <w:r w:rsidR="008A6516">
        <w:rPr>
          <w:lang w:eastAsia="en-AU"/>
        </w:rPr>
        <w:t>hearing</w:t>
      </w:r>
      <w:r w:rsidR="00A7031D">
        <w:rPr>
          <w:lang w:eastAsia="en-AU"/>
        </w:rPr>
        <w:t xml:space="preserve"> after </w:t>
      </w:r>
      <w:r w:rsidR="007557DC">
        <w:rPr>
          <w:lang w:eastAsia="en-AU"/>
        </w:rPr>
        <w:t xml:space="preserve">a </w:t>
      </w:r>
      <w:r w:rsidR="00A7031D">
        <w:rPr>
          <w:lang w:eastAsia="en-AU"/>
        </w:rPr>
        <w:t>readiness hearing</w:t>
      </w:r>
      <w:r w:rsidR="008A6516">
        <w:rPr>
          <w:lang w:eastAsia="en-AU"/>
        </w:rPr>
        <w:t xml:space="preserve"> ha</w:t>
      </w:r>
      <w:r w:rsidR="003705DE">
        <w:rPr>
          <w:lang w:eastAsia="en-AU"/>
        </w:rPr>
        <w:t>s</w:t>
      </w:r>
      <w:r w:rsidR="008A6516">
        <w:rPr>
          <w:lang w:eastAsia="en-AU"/>
        </w:rPr>
        <w:t xml:space="preserve"> enabled parties </w:t>
      </w:r>
      <w:r w:rsidR="008F2FB9">
        <w:rPr>
          <w:lang w:eastAsia="en-AU"/>
        </w:rPr>
        <w:t xml:space="preserve">to </w:t>
      </w:r>
      <w:r w:rsidR="008A6516">
        <w:rPr>
          <w:lang w:eastAsia="en-AU"/>
        </w:rPr>
        <w:t xml:space="preserve">resolve matters on a final basis. Examples provided to VLA included </w:t>
      </w:r>
      <w:r w:rsidR="008F2FB9">
        <w:rPr>
          <w:lang w:eastAsia="en-AU"/>
        </w:rPr>
        <w:t>situations were:</w:t>
      </w:r>
    </w:p>
    <w:p w14:paraId="6D4F8477" w14:textId="1DDBFC88" w:rsidR="008F2FB9" w:rsidRDefault="008F2FB9" w:rsidP="008F2FB9">
      <w:pPr>
        <w:pStyle w:val="ListBullet"/>
        <w:rPr>
          <w:lang w:eastAsia="en-AU"/>
        </w:rPr>
      </w:pPr>
      <w:r>
        <w:rPr>
          <w:lang w:eastAsia="en-AU"/>
        </w:rPr>
        <w:t>A</w:t>
      </w:r>
      <w:r w:rsidR="008A6516">
        <w:rPr>
          <w:lang w:eastAsia="en-AU"/>
        </w:rPr>
        <w:t xml:space="preserve"> settlement was reached in principle at a readiness hearing, but parties needed to test the arrangements</w:t>
      </w:r>
      <w:r w:rsidR="009A2BE6">
        <w:rPr>
          <w:lang w:eastAsia="en-AU"/>
        </w:rPr>
        <w:t xml:space="preserve"> before a final order could be made</w:t>
      </w:r>
      <w:r w:rsidR="00A542B4">
        <w:rPr>
          <w:lang w:eastAsia="en-AU"/>
        </w:rPr>
        <w:t xml:space="preserve"> </w:t>
      </w:r>
    </w:p>
    <w:p w14:paraId="7C985B04" w14:textId="1B73A408" w:rsidR="00825645" w:rsidRDefault="008F2FB9" w:rsidP="001F0689">
      <w:pPr>
        <w:pStyle w:val="ListBullet"/>
        <w:rPr>
          <w:lang w:eastAsia="en-AU"/>
        </w:rPr>
      </w:pPr>
      <w:r>
        <w:rPr>
          <w:lang w:eastAsia="en-AU"/>
        </w:rPr>
        <w:t>A</w:t>
      </w:r>
      <w:r w:rsidR="00A542B4">
        <w:rPr>
          <w:lang w:eastAsia="en-AU"/>
        </w:rPr>
        <w:t>greement was reached but</w:t>
      </w:r>
      <w:r w:rsidR="00132910">
        <w:rPr>
          <w:lang w:eastAsia="en-AU"/>
        </w:rPr>
        <w:t xml:space="preserve"> a specific report was required before a final order could be made.</w:t>
      </w:r>
      <w:r w:rsidR="003705DE">
        <w:rPr>
          <w:lang w:eastAsia="en-AU"/>
        </w:rPr>
        <w:t xml:space="preserve"> </w:t>
      </w:r>
    </w:p>
    <w:p w14:paraId="680D896F" w14:textId="3E688A58" w:rsidR="00132910" w:rsidRDefault="00132910" w:rsidP="00825645">
      <w:pPr>
        <w:rPr>
          <w:lang w:eastAsia="en-AU"/>
        </w:rPr>
      </w:pPr>
      <w:r>
        <w:rPr>
          <w:lang w:eastAsia="en-AU"/>
        </w:rPr>
        <w:t xml:space="preserve">We have also </w:t>
      </w:r>
      <w:proofErr w:type="gramStart"/>
      <w:r>
        <w:rPr>
          <w:lang w:eastAsia="en-AU"/>
        </w:rPr>
        <w:t>take</w:t>
      </w:r>
      <w:r w:rsidR="009907CA">
        <w:rPr>
          <w:lang w:eastAsia="en-AU"/>
        </w:rPr>
        <w:t>n</w:t>
      </w:r>
      <w:r>
        <w:rPr>
          <w:lang w:eastAsia="en-AU"/>
        </w:rPr>
        <w:t xml:space="preserve"> into account</w:t>
      </w:r>
      <w:proofErr w:type="gramEnd"/>
      <w:r w:rsidR="001A7C04">
        <w:rPr>
          <w:lang w:eastAsia="en-AU"/>
        </w:rPr>
        <w:t xml:space="preserve"> that</w:t>
      </w:r>
      <w:r>
        <w:rPr>
          <w:lang w:eastAsia="en-AU"/>
        </w:rPr>
        <w:t xml:space="preserve"> Children’s Court Practice Direction</w:t>
      </w:r>
      <w:r w:rsidR="001A7C04">
        <w:rPr>
          <w:lang w:eastAsia="en-AU"/>
        </w:rPr>
        <w:t xml:space="preserve"> No.2 of 2022 embeds readiness hearings as the usual hearing if a matter does not resolve at conciliation conference. However, we </w:t>
      </w:r>
      <w:r w:rsidR="003705DE">
        <w:rPr>
          <w:lang w:eastAsia="en-AU"/>
        </w:rPr>
        <w:t xml:space="preserve">have </w:t>
      </w:r>
      <w:r w:rsidR="001A7C04">
        <w:rPr>
          <w:lang w:eastAsia="en-AU"/>
        </w:rPr>
        <w:t>recognise</w:t>
      </w:r>
      <w:r w:rsidR="008F2FB9">
        <w:rPr>
          <w:lang w:eastAsia="en-AU"/>
        </w:rPr>
        <w:t>d</w:t>
      </w:r>
      <w:r w:rsidR="001A7C04">
        <w:rPr>
          <w:lang w:eastAsia="en-AU"/>
        </w:rPr>
        <w:t xml:space="preserve"> that from </w:t>
      </w:r>
      <w:proofErr w:type="gramStart"/>
      <w:r w:rsidR="001A7C04">
        <w:rPr>
          <w:lang w:eastAsia="en-AU"/>
        </w:rPr>
        <w:t>time to time</w:t>
      </w:r>
      <w:proofErr w:type="gramEnd"/>
      <w:r w:rsidR="001A7C04">
        <w:rPr>
          <w:lang w:eastAsia="en-AU"/>
        </w:rPr>
        <w:t xml:space="preserve"> magistrates may direct </w:t>
      </w:r>
      <w:r w:rsidR="00B86CC8">
        <w:rPr>
          <w:lang w:eastAsia="en-AU"/>
        </w:rPr>
        <w:t xml:space="preserve">that </w:t>
      </w:r>
      <w:r w:rsidR="001A7C04">
        <w:rPr>
          <w:lang w:eastAsia="en-AU"/>
        </w:rPr>
        <w:t xml:space="preserve">a judicial resolution conference is </w:t>
      </w:r>
      <w:r w:rsidR="003705DE">
        <w:rPr>
          <w:lang w:eastAsia="en-AU"/>
        </w:rPr>
        <w:t xml:space="preserve">more appropriate, so flexibility to fund a readiness hearing or a judicial resolution conference is </w:t>
      </w:r>
      <w:r w:rsidR="00A7031D">
        <w:rPr>
          <w:lang w:eastAsia="en-AU"/>
        </w:rPr>
        <w:t>required</w:t>
      </w:r>
      <w:r w:rsidR="003705DE">
        <w:rPr>
          <w:lang w:eastAsia="en-AU"/>
        </w:rPr>
        <w:t>.</w:t>
      </w:r>
    </w:p>
    <w:p w14:paraId="0B00DC11" w14:textId="73DFE539" w:rsidR="00084EC1" w:rsidRDefault="008C4AA4" w:rsidP="00072F70">
      <w:pPr>
        <w:rPr>
          <w:lang w:eastAsia="en-AU"/>
        </w:rPr>
      </w:pPr>
      <w:r>
        <w:rPr>
          <w:lang w:eastAsia="en-AU"/>
        </w:rPr>
        <w:t xml:space="preserve">The revised proposal </w:t>
      </w:r>
      <w:r w:rsidR="00981397">
        <w:rPr>
          <w:lang w:eastAsia="en-AU"/>
        </w:rPr>
        <w:t xml:space="preserve">includes </w:t>
      </w:r>
      <w:r>
        <w:rPr>
          <w:lang w:eastAsia="en-AU"/>
        </w:rPr>
        <w:t>remov</w:t>
      </w:r>
      <w:r w:rsidR="00981397">
        <w:rPr>
          <w:lang w:eastAsia="en-AU"/>
        </w:rPr>
        <w:t>ing</w:t>
      </w:r>
      <w:r>
        <w:rPr>
          <w:lang w:eastAsia="en-AU"/>
        </w:rPr>
        <w:t xml:space="preserve"> the </w:t>
      </w:r>
      <w:r w:rsidR="0016128A">
        <w:rPr>
          <w:lang w:eastAsia="en-AU"/>
        </w:rPr>
        <w:t xml:space="preserve">‘preparation upon </w:t>
      </w:r>
      <w:r>
        <w:rPr>
          <w:lang w:eastAsia="en-AU"/>
        </w:rPr>
        <w:t>settlement</w:t>
      </w:r>
      <w:r w:rsidR="0016128A">
        <w:rPr>
          <w:lang w:eastAsia="en-AU"/>
        </w:rPr>
        <w:t xml:space="preserve">’ fee </w:t>
      </w:r>
      <w:r w:rsidR="00981397">
        <w:rPr>
          <w:lang w:eastAsia="en-AU"/>
        </w:rPr>
        <w:t xml:space="preserve">as originally proposed, but </w:t>
      </w:r>
      <w:r w:rsidR="008A7010">
        <w:rPr>
          <w:lang w:eastAsia="en-AU"/>
        </w:rPr>
        <w:t>due to the reduction in protection application</w:t>
      </w:r>
      <w:r w:rsidR="00A53E9B">
        <w:rPr>
          <w:lang w:eastAsia="en-AU"/>
        </w:rPr>
        <w:t>s</w:t>
      </w:r>
      <w:r w:rsidR="008A7010">
        <w:rPr>
          <w:lang w:eastAsia="en-AU"/>
        </w:rPr>
        <w:t xml:space="preserve">, the fee </w:t>
      </w:r>
      <w:r w:rsidR="00981397">
        <w:rPr>
          <w:lang w:eastAsia="en-AU"/>
        </w:rPr>
        <w:t xml:space="preserve">has been repurposed </w:t>
      </w:r>
      <w:r w:rsidR="0016128A">
        <w:rPr>
          <w:lang w:eastAsia="en-AU"/>
        </w:rPr>
        <w:t xml:space="preserve">to fund higher </w:t>
      </w:r>
      <w:r w:rsidR="00A4052A">
        <w:rPr>
          <w:lang w:eastAsia="en-AU"/>
        </w:rPr>
        <w:t xml:space="preserve">preparation and appearance </w:t>
      </w:r>
      <w:r w:rsidR="0016128A">
        <w:rPr>
          <w:lang w:eastAsia="en-AU"/>
        </w:rPr>
        <w:t>fee</w:t>
      </w:r>
      <w:r w:rsidR="00A4052A">
        <w:rPr>
          <w:lang w:eastAsia="en-AU"/>
        </w:rPr>
        <w:t xml:space="preserve">s for </w:t>
      </w:r>
      <w:r w:rsidR="00A4052A" w:rsidRPr="001F0689">
        <w:rPr>
          <w:u w:val="single"/>
          <w:lang w:eastAsia="en-AU"/>
        </w:rPr>
        <w:t>all</w:t>
      </w:r>
      <w:r w:rsidR="00A4052A">
        <w:rPr>
          <w:lang w:eastAsia="en-AU"/>
        </w:rPr>
        <w:t xml:space="preserve"> readiness hearings.</w:t>
      </w:r>
      <w:r w:rsidR="0016128A">
        <w:rPr>
          <w:lang w:eastAsia="en-AU"/>
        </w:rPr>
        <w:t xml:space="preserve"> </w:t>
      </w:r>
      <w:r w:rsidR="00A4052A">
        <w:rPr>
          <w:lang w:eastAsia="en-AU"/>
        </w:rPr>
        <w:t>This is</w:t>
      </w:r>
      <w:r w:rsidR="0016128A">
        <w:rPr>
          <w:lang w:eastAsia="en-AU"/>
        </w:rPr>
        <w:t xml:space="preserve"> based on an acknowledgement that funding should reflect </w:t>
      </w:r>
      <w:r w:rsidR="00131A81">
        <w:rPr>
          <w:lang w:eastAsia="en-AU"/>
        </w:rPr>
        <w:t>the</w:t>
      </w:r>
      <w:r w:rsidR="009E67DA">
        <w:rPr>
          <w:lang w:eastAsia="en-AU"/>
        </w:rPr>
        <w:t xml:space="preserve"> average</w:t>
      </w:r>
      <w:r w:rsidR="00131A81">
        <w:rPr>
          <w:lang w:eastAsia="en-AU"/>
        </w:rPr>
        <w:t xml:space="preserve"> </w:t>
      </w:r>
      <w:r w:rsidR="00787F58">
        <w:rPr>
          <w:lang w:eastAsia="en-AU"/>
        </w:rPr>
        <w:t xml:space="preserve">time that is required by practitioners to undertake </w:t>
      </w:r>
      <w:proofErr w:type="gramStart"/>
      <w:r w:rsidR="00787F58">
        <w:rPr>
          <w:lang w:eastAsia="en-AU"/>
        </w:rPr>
        <w:t xml:space="preserve">particular </w:t>
      </w:r>
      <w:r w:rsidR="00131A81">
        <w:rPr>
          <w:lang w:eastAsia="en-AU"/>
        </w:rPr>
        <w:t>work</w:t>
      </w:r>
      <w:proofErr w:type="gramEnd"/>
      <w:r w:rsidR="0016128A">
        <w:rPr>
          <w:lang w:eastAsia="en-AU"/>
        </w:rPr>
        <w:t xml:space="preserve">, and </w:t>
      </w:r>
      <w:r w:rsidR="00131A81">
        <w:rPr>
          <w:lang w:eastAsia="en-AU"/>
        </w:rPr>
        <w:t xml:space="preserve">that preparation for a readiness hearing </w:t>
      </w:r>
      <w:r w:rsidR="0016128A">
        <w:rPr>
          <w:lang w:eastAsia="en-AU"/>
        </w:rPr>
        <w:t>is often</w:t>
      </w:r>
      <w:r w:rsidR="00131A81">
        <w:rPr>
          <w:lang w:eastAsia="en-AU"/>
        </w:rPr>
        <w:t xml:space="preserve"> more complex than conciliation conference preparation.</w:t>
      </w:r>
    </w:p>
    <w:p w14:paraId="6C60A1AC" w14:textId="6F69A282" w:rsidR="00A4052A" w:rsidRPr="00072F70" w:rsidRDefault="00A4052A" w:rsidP="00072F70">
      <w:pPr>
        <w:rPr>
          <w:lang w:eastAsia="en-AU"/>
        </w:rPr>
      </w:pPr>
      <w:r>
        <w:rPr>
          <w:lang w:eastAsia="en-AU"/>
        </w:rPr>
        <w:t xml:space="preserve">The total readiness hearing fees </w:t>
      </w:r>
      <w:r w:rsidR="00A53E9B">
        <w:rPr>
          <w:lang w:eastAsia="en-AU"/>
        </w:rPr>
        <w:t>will increase</w:t>
      </w:r>
      <w:r>
        <w:rPr>
          <w:lang w:eastAsia="en-AU"/>
        </w:rPr>
        <w:t xml:space="preserve"> from $614 to $723 for all matters.</w:t>
      </w:r>
    </w:p>
    <w:p w14:paraId="13CD375A" w14:textId="6F4652E1" w:rsidR="00E665D6" w:rsidRDefault="00E665D6" w:rsidP="001F0689">
      <w:pPr>
        <w:rPr>
          <w:lang w:eastAsia="en-AU"/>
        </w:rPr>
      </w:pPr>
    </w:p>
    <w:p w14:paraId="6CFC2DF5" w14:textId="77777777" w:rsidR="00E665D6" w:rsidRPr="00CC4CB1" w:rsidRDefault="00E665D6" w:rsidP="00E665D6">
      <w:pPr>
        <w:pStyle w:val="Heading3"/>
      </w:pPr>
      <w:r w:rsidRPr="00CC4CB1">
        <w:t xml:space="preserve">Changes to </w:t>
      </w:r>
      <w:r>
        <w:t>directions hearings and final contest fees</w:t>
      </w:r>
    </w:p>
    <w:p w14:paraId="2C6F3721" w14:textId="61AF0550" w:rsidR="00AB6765" w:rsidRPr="001F0689" w:rsidRDefault="00AB6765" w:rsidP="00E665D6">
      <w:pPr>
        <w:rPr>
          <w:b/>
          <w:bCs/>
        </w:rPr>
      </w:pPr>
      <w:r w:rsidRPr="001F0689">
        <w:rPr>
          <w:b/>
          <w:bCs/>
        </w:rPr>
        <w:t>O</w:t>
      </w:r>
      <w:r w:rsidR="00991D04" w:rsidRPr="001F0689">
        <w:rPr>
          <w:b/>
          <w:bCs/>
        </w:rPr>
        <w:t xml:space="preserve">riginal proposal </w:t>
      </w:r>
    </w:p>
    <w:p w14:paraId="24F64969" w14:textId="126BB624" w:rsidR="00991D04" w:rsidRDefault="00AB6765" w:rsidP="00E665D6">
      <w:r>
        <w:t>VLA proposed to</w:t>
      </w:r>
      <w:r w:rsidR="00991D04">
        <w:t>:</w:t>
      </w:r>
    </w:p>
    <w:p w14:paraId="6134C37D" w14:textId="7350473D" w:rsidR="00E665D6" w:rsidRPr="00F4665A" w:rsidRDefault="00E665D6" w:rsidP="001F0689">
      <w:pPr>
        <w:pStyle w:val="VLAa"/>
        <w:numPr>
          <w:ilvl w:val="0"/>
          <w:numId w:val="17"/>
        </w:numPr>
      </w:pPr>
      <w:r w:rsidRPr="001B1400">
        <w:t>Mov</w:t>
      </w:r>
      <w:r w:rsidR="008F06E6">
        <w:t>e</w:t>
      </w:r>
      <w:r>
        <w:t xml:space="preserve"> the</w:t>
      </w:r>
      <w:r w:rsidRPr="001B1400">
        <w:t xml:space="preserve"> direction hearing fee from the broadband grant to the final contest extension guideline</w:t>
      </w:r>
      <w:r>
        <w:t xml:space="preserve">, </w:t>
      </w:r>
      <w:r w:rsidRPr="001B1400">
        <w:t>in recognition that directions hearings now only occur where a matter is listed for final contest</w:t>
      </w:r>
    </w:p>
    <w:p w14:paraId="397C5569" w14:textId="777C81A2" w:rsidR="00D754C0" w:rsidRPr="001B1400" w:rsidRDefault="00D754C0" w:rsidP="001F0689">
      <w:pPr>
        <w:pStyle w:val="VLAa"/>
        <w:numPr>
          <w:ilvl w:val="0"/>
          <w:numId w:val="17"/>
        </w:numPr>
      </w:pPr>
      <w:r w:rsidRPr="0DB62E25">
        <w:t xml:space="preserve">Limit directions hearings to one per grant and only where the final contest is </w:t>
      </w:r>
      <w:r w:rsidR="00347E75">
        <w:t>more</w:t>
      </w:r>
      <w:r w:rsidRPr="0DB62E25">
        <w:t xml:space="preserve"> than three months </w:t>
      </w:r>
      <w:r w:rsidR="00347E75">
        <w:t>after</w:t>
      </w:r>
      <w:r w:rsidRPr="0DB62E25">
        <w:t xml:space="preserve"> the readiness hearing. Additional direction</w:t>
      </w:r>
      <w:r>
        <w:t>s</w:t>
      </w:r>
      <w:r w:rsidRPr="0DB62E25">
        <w:t xml:space="preserve"> hearings will be funded in exceptional circumstances only</w:t>
      </w:r>
      <w:r>
        <w:t>.</w:t>
      </w:r>
    </w:p>
    <w:p w14:paraId="7DE89A2A" w14:textId="64FAAD78" w:rsidR="00E665D6" w:rsidRDefault="00E665D6" w:rsidP="001F0689">
      <w:pPr>
        <w:pStyle w:val="VLAa"/>
        <w:numPr>
          <w:ilvl w:val="0"/>
          <w:numId w:val="17"/>
        </w:numPr>
      </w:pPr>
      <w:r>
        <w:t>Strengthen</w:t>
      </w:r>
      <w:r w:rsidRPr="001B1400">
        <w:t xml:space="preserve"> </w:t>
      </w:r>
      <w:r>
        <w:t>the merits test</w:t>
      </w:r>
      <w:r w:rsidRPr="001B1400">
        <w:t xml:space="preserve"> for final contest</w:t>
      </w:r>
      <w:r>
        <w:t xml:space="preserve">s and limit funding </w:t>
      </w:r>
      <w:r w:rsidRPr="001B1400">
        <w:t xml:space="preserve">to only those who are seeking an order that is </w:t>
      </w:r>
      <w:r>
        <w:t xml:space="preserve">substantively </w:t>
      </w:r>
      <w:r w:rsidRPr="001B1400">
        <w:t xml:space="preserve">different from the order proposed by the DFFH. </w:t>
      </w:r>
    </w:p>
    <w:p w14:paraId="7FDDB3AD" w14:textId="710BED29" w:rsidR="00CB5B71" w:rsidRDefault="00CB5B71" w:rsidP="001F0689">
      <w:pPr>
        <w:pStyle w:val="VLAa"/>
        <w:numPr>
          <w:ilvl w:val="0"/>
          <w:numId w:val="17"/>
        </w:numPr>
      </w:pPr>
      <w:r>
        <w:t>Reduce the final contest preparation fee.</w:t>
      </w:r>
    </w:p>
    <w:p w14:paraId="71963EFE" w14:textId="77DA51E1" w:rsidR="00DE737B" w:rsidRDefault="00DE737B" w:rsidP="001F0689">
      <w:pPr>
        <w:pStyle w:val="VLAa"/>
        <w:numPr>
          <w:ilvl w:val="0"/>
          <w:numId w:val="17"/>
        </w:numPr>
      </w:pPr>
      <w:r>
        <w:rPr>
          <w:lang w:eastAsia="en-AU"/>
        </w:rPr>
        <w:t>Remove the</w:t>
      </w:r>
      <w:r w:rsidRPr="0DB62E25">
        <w:rPr>
          <w:lang w:eastAsia="en-AU"/>
        </w:rPr>
        <w:t xml:space="preserve"> </w:t>
      </w:r>
      <w:r w:rsidR="00244E1A">
        <w:rPr>
          <w:lang w:eastAsia="en-AU"/>
        </w:rPr>
        <w:t>‘</w:t>
      </w:r>
      <w:r w:rsidRPr="0DB62E25">
        <w:rPr>
          <w:lang w:eastAsia="en-AU"/>
        </w:rPr>
        <w:t>preparation</w:t>
      </w:r>
      <w:r w:rsidR="00244E1A">
        <w:rPr>
          <w:lang w:eastAsia="en-AU"/>
        </w:rPr>
        <w:t xml:space="preserve"> upon settlement’</w:t>
      </w:r>
      <w:r w:rsidRPr="0DB62E25">
        <w:rPr>
          <w:lang w:eastAsia="en-AU"/>
        </w:rPr>
        <w:t xml:space="preserve"> fee for directions hearings.</w:t>
      </w:r>
    </w:p>
    <w:p w14:paraId="47BC4A49" w14:textId="77777777" w:rsidR="00E05074" w:rsidRDefault="00E05074" w:rsidP="00991D04">
      <w:pPr>
        <w:pStyle w:val="VLAa"/>
        <w:numPr>
          <w:ilvl w:val="0"/>
          <w:numId w:val="0"/>
        </w:numPr>
        <w:rPr>
          <w:b/>
          <w:bCs/>
        </w:rPr>
      </w:pPr>
    </w:p>
    <w:p w14:paraId="4ED97DE5" w14:textId="239C8C3A" w:rsidR="00AB6765" w:rsidRDefault="00AB6765" w:rsidP="00991D04">
      <w:pPr>
        <w:pStyle w:val="VLAa"/>
        <w:numPr>
          <w:ilvl w:val="0"/>
          <w:numId w:val="0"/>
        </w:numPr>
        <w:rPr>
          <w:b/>
          <w:bCs/>
        </w:rPr>
      </w:pPr>
      <w:r>
        <w:rPr>
          <w:b/>
          <w:bCs/>
        </w:rPr>
        <w:t>Revised proposal</w:t>
      </w:r>
    </w:p>
    <w:p w14:paraId="656E42E0" w14:textId="77777777" w:rsidR="00A53E9B" w:rsidRDefault="00D754C0">
      <w:pPr>
        <w:pStyle w:val="VLAa"/>
        <w:numPr>
          <w:ilvl w:val="0"/>
          <w:numId w:val="17"/>
        </w:numPr>
      </w:pPr>
      <w:r>
        <w:lastRenderedPageBreak/>
        <w:t>We will proceed with</w:t>
      </w:r>
      <w:r w:rsidR="00A53E9B">
        <w:t>:</w:t>
      </w:r>
    </w:p>
    <w:p w14:paraId="39C7AE6A" w14:textId="77777777" w:rsidR="00A53E9B" w:rsidRDefault="00A53E9B" w:rsidP="00A53E9B">
      <w:pPr>
        <w:pStyle w:val="VLAa"/>
        <w:numPr>
          <w:ilvl w:val="1"/>
          <w:numId w:val="17"/>
        </w:numPr>
      </w:pPr>
      <w:r>
        <w:t xml:space="preserve">moving the direction hearing fee from the broadband </w:t>
      </w:r>
      <w:proofErr w:type="gramStart"/>
      <w:r>
        <w:t>grant, but</w:t>
      </w:r>
      <w:proofErr w:type="gramEnd"/>
      <w:r>
        <w:t xml:space="preserve"> will move it to the readiness hearing extension.</w:t>
      </w:r>
    </w:p>
    <w:p w14:paraId="41CC84C7" w14:textId="38AD5B3F" w:rsidR="00A53E9B" w:rsidRDefault="00E05074" w:rsidP="00A53E9B">
      <w:pPr>
        <w:pStyle w:val="VLAa"/>
        <w:numPr>
          <w:ilvl w:val="1"/>
          <w:numId w:val="17"/>
        </w:numPr>
      </w:pPr>
      <w:r>
        <w:t xml:space="preserve">removing the ‘preparation upon settlement’ fee for directions hearings </w:t>
      </w:r>
    </w:p>
    <w:p w14:paraId="220A8CA8" w14:textId="2D7DBEA2" w:rsidR="00D754C0" w:rsidRDefault="00D754C0" w:rsidP="00A53E9B">
      <w:pPr>
        <w:pStyle w:val="VLAa"/>
        <w:numPr>
          <w:ilvl w:val="1"/>
          <w:numId w:val="17"/>
        </w:numPr>
      </w:pPr>
      <w:r>
        <w:t>limiting</w:t>
      </w:r>
      <w:r w:rsidRPr="0DB62E25">
        <w:t xml:space="preserve"> directions hearings to one per grant and only where the </w:t>
      </w:r>
      <w:r>
        <w:t>application</w:t>
      </w:r>
      <w:r w:rsidRPr="0DB62E25">
        <w:t xml:space="preserve"> is </w:t>
      </w:r>
      <w:r>
        <w:t>adjourned to a final contest more</w:t>
      </w:r>
      <w:r w:rsidRPr="0DB62E25">
        <w:t xml:space="preserve"> than three months </w:t>
      </w:r>
      <w:r w:rsidR="00347E75">
        <w:t>after</w:t>
      </w:r>
      <w:r w:rsidRPr="0DB62E25">
        <w:t xml:space="preserve"> the readiness hearing</w:t>
      </w:r>
      <w:r>
        <w:t xml:space="preserve"> or judicial resolution conference</w:t>
      </w:r>
      <w:r w:rsidRPr="0DB62E25">
        <w:t xml:space="preserve">. </w:t>
      </w:r>
      <w:r w:rsidR="00A53E9B">
        <w:t>A</w:t>
      </w:r>
      <w:r>
        <w:t>dditional</w:t>
      </w:r>
      <w:r w:rsidRPr="0DB62E25">
        <w:t xml:space="preserve"> direction</w:t>
      </w:r>
      <w:r>
        <w:t>s</w:t>
      </w:r>
      <w:r w:rsidRPr="0DB62E25">
        <w:t xml:space="preserve"> </w:t>
      </w:r>
      <w:r>
        <w:t xml:space="preserve">hearings </w:t>
      </w:r>
      <w:r w:rsidR="00A53E9B">
        <w:t xml:space="preserve">will be funded only </w:t>
      </w:r>
      <w:r>
        <w:t>if there is a significant change in circumstances since the last directions hearing or the final contest has been adjourned to a date more than three months from the last directions hearing.</w:t>
      </w:r>
    </w:p>
    <w:p w14:paraId="1FDD4B61" w14:textId="3BB58FAF" w:rsidR="00244E1A" w:rsidRDefault="00D754C0" w:rsidP="00244E1A">
      <w:pPr>
        <w:pStyle w:val="VLAa"/>
        <w:numPr>
          <w:ilvl w:val="0"/>
          <w:numId w:val="17"/>
        </w:numPr>
      </w:pPr>
      <w:r>
        <w:t xml:space="preserve">We will amend the final contest merit test to limit funding to only those who are seeking a substantially different </w:t>
      </w:r>
      <w:r w:rsidRPr="001F0689">
        <w:rPr>
          <w:u w:val="single"/>
        </w:rPr>
        <w:t>outcome</w:t>
      </w:r>
      <w:r>
        <w:t xml:space="preserve"> from what is proposed by the DFFH. This will include seeking a different order to what is proposed by DFFH or different conditions t</w:t>
      </w:r>
      <w:r w:rsidR="00C41690">
        <w:t>o</w:t>
      </w:r>
      <w:r>
        <w:t xml:space="preserve"> what is proposed by DFFH, where the different conditions will result in a substantially different outcome </w:t>
      </w:r>
      <w:proofErr w:type="spellStart"/>
      <w:r>
        <w:t>eg.</w:t>
      </w:r>
      <w:proofErr w:type="spellEnd"/>
      <w:r>
        <w:t xml:space="preserve"> </w:t>
      </w:r>
      <w:r w:rsidR="00C41690">
        <w:t>s</w:t>
      </w:r>
      <w:r>
        <w:t>upervised vs unsupervised contact</w:t>
      </w:r>
      <w:r w:rsidR="008C4AA4">
        <w:t>.</w:t>
      </w:r>
      <w:r w:rsidR="003352D7">
        <w:t xml:space="preserve"> Practitioners will be required to document on file what outcome their client is seeking.</w:t>
      </w:r>
    </w:p>
    <w:p w14:paraId="3A6864AC" w14:textId="7B153656" w:rsidR="00D1419B" w:rsidRDefault="00D1419B">
      <w:pPr>
        <w:pStyle w:val="VLAa"/>
        <w:numPr>
          <w:ilvl w:val="0"/>
          <w:numId w:val="17"/>
        </w:numPr>
      </w:pPr>
      <w:r>
        <w:t>W</w:t>
      </w:r>
      <w:r w:rsidR="00CB5B71">
        <w:t xml:space="preserve">e </w:t>
      </w:r>
      <w:r>
        <w:t xml:space="preserve">will </w:t>
      </w:r>
      <w:r w:rsidR="00CB5B71">
        <w:t>retain the overall final contest preparation fee</w:t>
      </w:r>
      <w:r w:rsidR="00C41690">
        <w:t xml:space="preserve"> at its current level</w:t>
      </w:r>
      <w:r w:rsidR="008C4AA4">
        <w:t>.</w:t>
      </w:r>
      <w:r w:rsidR="00CB5B71">
        <w:t xml:space="preserve"> </w:t>
      </w:r>
    </w:p>
    <w:p w14:paraId="0945672E" w14:textId="7351F4B7" w:rsidR="00CB5B71" w:rsidRPr="001F0689" w:rsidRDefault="008C4AA4" w:rsidP="001F0689">
      <w:pPr>
        <w:pStyle w:val="VLAa"/>
        <w:numPr>
          <w:ilvl w:val="0"/>
          <w:numId w:val="17"/>
        </w:numPr>
      </w:pPr>
      <w:r>
        <w:t>We</w:t>
      </w:r>
      <w:r w:rsidR="00D1419B">
        <w:t xml:space="preserve"> propose to</w:t>
      </w:r>
      <w:r w:rsidR="00CB5B71">
        <w:t xml:space="preserve"> separate the </w:t>
      </w:r>
      <w:r>
        <w:t xml:space="preserve">preparation </w:t>
      </w:r>
      <w:r w:rsidR="00CB5B71">
        <w:t xml:space="preserve">fee into components of general preparation </w:t>
      </w:r>
      <w:r w:rsidR="00035D43">
        <w:t xml:space="preserve">($629) </w:t>
      </w:r>
      <w:r w:rsidR="00CB5B71">
        <w:t>and subpoena inspection</w:t>
      </w:r>
      <w:r w:rsidR="00035D43">
        <w:t xml:space="preserve"> ($400)</w:t>
      </w:r>
      <w:r w:rsidR="00CB5B71">
        <w:t>.</w:t>
      </w:r>
      <w:r w:rsidR="00C30468">
        <w:t xml:space="preserve"> </w:t>
      </w:r>
      <w:r w:rsidR="00C30468">
        <w:rPr>
          <w:b/>
          <w:bCs/>
          <w:i/>
          <w:iCs/>
        </w:rPr>
        <w:t xml:space="preserve">We are seeking </w:t>
      </w:r>
      <w:r w:rsidR="00D1419B">
        <w:rPr>
          <w:b/>
          <w:bCs/>
          <w:i/>
          <w:iCs/>
        </w:rPr>
        <w:t xml:space="preserve">your </w:t>
      </w:r>
      <w:r w:rsidR="00C30468">
        <w:rPr>
          <w:b/>
          <w:bCs/>
          <w:i/>
          <w:iCs/>
        </w:rPr>
        <w:t>feedback on this new proposal</w:t>
      </w:r>
      <w:r w:rsidR="00D1419B">
        <w:rPr>
          <w:b/>
          <w:bCs/>
          <w:i/>
          <w:iCs/>
        </w:rPr>
        <w:t xml:space="preserve"> by </w:t>
      </w:r>
      <w:r w:rsidR="00423A55">
        <w:rPr>
          <w:b/>
          <w:bCs/>
          <w:i/>
          <w:iCs/>
        </w:rPr>
        <w:t>29</w:t>
      </w:r>
      <w:r w:rsidR="00D1419B">
        <w:rPr>
          <w:b/>
          <w:bCs/>
          <w:i/>
          <w:iCs/>
        </w:rPr>
        <w:t xml:space="preserve"> </w:t>
      </w:r>
      <w:r w:rsidR="00423A55">
        <w:rPr>
          <w:b/>
          <w:bCs/>
          <w:i/>
          <w:iCs/>
        </w:rPr>
        <w:t>April</w:t>
      </w:r>
      <w:r w:rsidR="00D1419B">
        <w:rPr>
          <w:b/>
          <w:bCs/>
          <w:i/>
          <w:iCs/>
        </w:rPr>
        <w:t xml:space="preserve"> 2022.</w:t>
      </w:r>
    </w:p>
    <w:p w14:paraId="5CB45A07" w14:textId="64DE0D13" w:rsidR="00D754C0" w:rsidRPr="001F0689" w:rsidRDefault="00D754C0" w:rsidP="00991D04">
      <w:pPr>
        <w:pStyle w:val="VLAa"/>
        <w:numPr>
          <w:ilvl w:val="0"/>
          <w:numId w:val="0"/>
        </w:numPr>
        <w:rPr>
          <w:b/>
          <w:bCs/>
        </w:rPr>
      </w:pPr>
      <w:r>
        <w:rPr>
          <w:b/>
          <w:bCs/>
        </w:rPr>
        <w:t>Rationale</w:t>
      </w:r>
    </w:p>
    <w:p w14:paraId="7B833876" w14:textId="0A894788" w:rsidR="00D65B7B" w:rsidRDefault="00D65B7B" w:rsidP="00D65B7B">
      <w:pPr>
        <w:pStyle w:val="VLAa"/>
        <w:numPr>
          <w:ilvl w:val="0"/>
          <w:numId w:val="28"/>
        </w:numPr>
      </w:pPr>
      <w:r>
        <w:t>Feedback from stakeholders articulated that the main circumstances when an additional direction</w:t>
      </w:r>
      <w:r w:rsidR="00347E75">
        <w:t>s</w:t>
      </w:r>
      <w:r>
        <w:t xml:space="preserve"> hearing would be necessary were when there was a significant change in circumstances or there was a further long adjournment before the final contest hearing.</w:t>
      </w:r>
    </w:p>
    <w:p w14:paraId="31FE858D" w14:textId="5F441EDD" w:rsidR="00A5622C" w:rsidRDefault="00A5622C" w:rsidP="00A5622C">
      <w:pPr>
        <w:pStyle w:val="VLAa"/>
        <w:numPr>
          <w:ilvl w:val="0"/>
          <w:numId w:val="28"/>
        </w:numPr>
      </w:pPr>
      <w:r w:rsidRPr="001F0689">
        <w:t>The direction</w:t>
      </w:r>
      <w:r w:rsidR="00C30468">
        <w:t>s</w:t>
      </w:r>
      <w:r w:rsidRPr="001F0689">
        <w:t xml:space="preserve"> hearing fee will be included in the readiness hearing extension, rather than the final contest extension to give practitioners certainty of funding for the directions hearing when a matter </w:t>
      </w:r>
      <w:r w:rsidR="00C41690">
        <w:t xml:space="preserve">is </w:t>
      </w:r>
      <w:r w:rsidRPr="001F0689">
        <w:t>adjourned from readiness hearing or judicial resolution conference</w:t>
      </w:r>
      <w:r w:rsidR="00C30468">
        <w:t>.</w:t>
      </w:r>
    </w:p>
    <w:p w14:paraId="039A7438" w14:textId="1D6EAEE4" w:rsidR="00A5622C" w:rsidRDefault="00A5622C" w:rsidP="00A5622C">
      <w:pPr>
        <w:pStyle w:val="VLAa"/>
        <w:numPr>
          <w:ilvl w:val="0"/>
          <w:numId w:val="28"/>
        </w:numPr>
      </w:pPr>
      <w:r>
        <w:t xml:space="preserve">We heard feedback that the language ‘substantially different order’ was confusing, especially where substantially different conditions were sought on the same order. </w:t>
      </w:r>
      <w:r w:rsidR="00D65B7B">
        <w:t>To avoid this confusion, we</w:t>
      </w:r>
      <w:r>
        <w:t xml:space="preserve"> have adopted the </w:t>
      </w:r>
      <w:r w:rsidR="00353CBA">
        <w:t>term ‘substantially different outcome’ which was</w:t>
      </w:r>
      <w:r>
        <w:t xml:space="preserve"> recommended by </w:t>
      </w:r>
      <w:r w:rsidR="00353CBA">
        <w:t>some stakeholders.</w:t>
      </w:r>
    </w:p>
    <w:p w14:paraId="09BC1BB7" w14:textId="1ED60A44" w:rsidR="009849EF" w:rsidRDefault="00FB11F2" w:rsidP="008C4629">
      <w:pPr>
        <w:pStyle w:val="VLAa"/>
        <w:numPr>
          <w:ilvl w:val="0"/>
          <w:numId w:val="28"/>
        </w:numPr>
      </w:pPr>
      <w:r>
        <w:rPr>
          <w:lang w:eastAsia="en-AU"/>
        </w:rPr>
        <w:t>We received</w:t>
      </w:r>
      <w:r w:rsidR="00C72636">
        <w:t xml:space="preserve"> considerable feedback </w:t>
      </w:r>
      <w:r w:rsidR="006A677E">
        <w:t xml:space="preserve">opposing </w:t>
      </w:r>
      <w:r w:rsidR="00C72636">
        <w:t xml:space="preserve">the proposal to reduce the final contest preparation fee due </w:t>
      </w:r>
      <w:r w:rsidR="00347E75">
        <w:t>to</w:t>
      </w:r>
      <w:r w:rsidR="00C72636">
        <w:t xml:space="preserve"> the</w:t>
      </w:r>
      <w:r w:rsidR="006A677E">
        <w:t xml:space="preserve"> substantial preparation work still required at this stage of a matter</w:t>
      </w:r>
      <w:r>
        <w:t xml:space="preserve">. </w:t>
      </w:r>
      <w:proofErr w:type="gramStart"/>
      <w:r>
        <w:t>In light of</w:t>
      </w:r>
      <w:proofErr w:type="gramEnd"/>
      <w:r>
        <w:t xml:space="preserve"> this,</w:t>
      </w:r>
      <w:r w:rsidR="006A677E">
        <w:t xml:space="preserve"> we will not proceed with </w:t>
      </w:r>
      <w:r w:rsidR="00C72636">
        <w:t>th</w:t>
      </w:r>
      <w:r>
        <w:t>e original</w:t>
      </w:r>
      <w:r w:rsidR="00C72636">
        <w:t xml:space="preserve"> proposal</w:t>
      </w:r>
      <w:r w:rsidR="00C72636">
        <w:rPr>
          <w:lang w:eastAsia="en-AU"/>
        </w:rPr>
        <w:t>.</w:t>
      </w:r>
      <w:r w:rsidR="006A677E">
        <w:rPr>
          <w:lang w:eastAsia="en-AU"/>
        </w:rPr>
        <w:t xml:space="preserve"> </w:t>
      </w:r>
    </w:p>
    <w:p w14:paraId="115E75B7" w14:textId="5DE32581" w:rsidR="00991D04" w:rsidRDefault="00C30468" w:rsidP="00353CBA">
      <w:pPr>
        <w:pStyle w:val="VLAa"/>
        <w:numPr>
          <w:ilvl w:val="0"/>
          <w:numId w:val="28"/>
        </w:numPr>
      </w:pPr>
      <w:r>
        <w:t xml:space="preserve">The idea of </w:t>
      </w:r>
      <w:r w:rsidR="00353CBA" w:rsidRPr="00353CBA">
        <w:t>designating a proportion of the final contest preparation fee for subpoena inspection</w:t>
      </w:r>
      <w:r>
        <w:t xml:space="preserve"> was suggested by several practitioners in </w:t>
      </w:r>
      <w:r w:rsidR="00336E9E">
        <w:t xml:space="preserve">their </w:t>
      </w:r>
      <w:r>
        <w:t>feedback</w:t>
      </w:r>
      <w:r w:rsidR="00353CBA" w:rsidRPr="00353CBA">
        <w:t xml:space="preserve">. </w:t>
      </w:r>
      <w:r w:rsidR="003C3A60">
        <w:t xml:space="preserve">This would enable practitioners to </w:t>
      </w:r>
      <w:r w:rsidR="00D65B7B">
        <w:t>pay</w:t>
      </w:r>
      <w:r w:rsidR="003C3A60">
        <w:t xml:space="preserve"> counsel </w:t>
      </w:r>
      <w:r w:rsidR="00D65B7B">
        <w:t>where they are briefed to undertake</w:t>
      </w:r>
      <w:r w:rsidR="003C3A60">
        <w:t xml:space="preserve"> subpoena inspection.</w:t>
      </w:r>
      <w:r w:rsidR="00336E9E">
        <w:t xml:space="preserve"> The proposed general preparation fee is </w:t>
      </w:r>
      <w:proofErr w:type="gramStart"/>
      <w:r w:rsidR="00336E9E">
        <w:t>$629</w:t>
      </w:r>
      <w:proofErr w:type="gramEnd"/>
      <w:r w:rsidR="00336E9E">
        <w:t xml:space="preserve"> and the subpoena inspection fee is $4</w:t>
      </w:r>
      <w:r w:rsidR="009E67DA">
        <w:t>00</w:t>
      </w:r>
      <w:r w:rsidR="00336E9E">
        <w:t xml:space="preserve"> which is in line with the subpoena fee in Commonwealth family law matters</w:t>
      </w:r>
      <w:r w:rsidR="00142281" w:rsidRPr="00353CBA">
        <w:t>.</w:t>
      </w:r>
      <w:r w:rsidR="00991D04" w:rsidRPr="00353CBA">
        <w:t xml:space="preserve"> </w:t>
      </w:r>
      <w:r w:rsidR="00353CBA" w:rsidRPr="001F0689" w:rsidDel="00353CBA">
        <w:t xml:space="preserve"> </w:t>
      </w:r>
      <w:r w:rsidR="005D23B6">
        <w:t xml:space="preserve"> </w:t>
      </w:r>
    </w:p>
    <w:p w14:paraId="5F6F3D75" w14:textId="77777777" w:rsidR="00E665D6" w:rsidRPr="001B1400" w:rsidRDefault="00E665D6" w:rsidP="00E665D6">
      <w:pPr>
        <w:pStyle w:val="Heading2"/>
      </w:pPr>
      <w:r>
        <w:t>Changes to support high quality preparation and early resolution</w:t>
      </w:r>
    </w:p>
    <w:p w14:paraId="7DC2AEF8" w14:textId="35577DF7" w:rsidR="00E85CE5" w:rsidRDefault="00E85CE5" w:rsidP="00E85CE5">
      <w:pPr>
        <w:pStyle w:val="Heading3"/>
      </w:pPr>
      <w:r>
        <w:t>New case preparation requirements</w:t>
      </w:r>
    </w:p>
    <w:p w14:paraId="4A1A3FF8" w14:textId="1FCD133E" w:rsidR="00AB6765" w:rsidRDefault="00AB6765" w:rsidP="00E665D6">
      <w:pPr>
        <w:rPr>
          <w:b/>
          <w:bCs/>
          <w:lang w:eastAsia="en-AU"/>
        </w:rPr>
      </w:pPr>
      <w:r w:rsidRPr="001F0689">
        <w:rPr>
          <w:b/>
          <w:bCs/>
          <w:lang w:eastAsia="en-AU"/>
        </w:rPr>
        <w:t>Original proposal</w:t>
      </w:r>
    </w:p>
    <w:p w14:paraId="10ADF498" w14:textId="77777777" w:rsidR="00424DC5" w:rsidRDefault="00424DC5" w:rsidP="00424DC5">
      <w:r>
        <w:lastRenderedPageBreak/>
        <w:t>VLA proposed to:</w:t>
      </w:r>
    </w:p>
    <w:p w14:paraId="067D5BAD" w14:textId="687A784D" w:rsidR="00E85CE5" w:rsidRDefault="00424DC5" w:rsidP="001F0689">
      <w:pPr>
        <w:pStyle w:val="VLAa"/>
        <w:numPr>
          <w:ilvl w:val="0"/>
          <w:numId w:val="28"/>
        </w:numPr>
        <w:rPr>
          <w:lang w:eastAsia="en-AU"/>
        </w:rPr>
      </w:pPr>
      <w:r>
        <w:t>S</w:t>
      </w:r>
      <w:r w:rsidR="00E85CE5">
        <w:t>eparate</w:t>
      </w:r>
      <w:r w:rsidR="00E85CE5">
        <w:rPr>
          <w:lang w:eastAsia="en-AU"/>
        </w:rPr>
        <w:t xml:space="preserve"> the preparation fee in the broadband grant into components for:</w:t>
      </w:r>
    </w:p>
    <w:p w14:paraId="12329CE5" w14:textId="77777777" w:rsidR="00E85CE5" w:rsidRDefault="00E85CE5" w:rsidP="001F0689">
      <w:pPr>
        <w:pStyle w:val="VLAa"/>
        <w:numPr>
          <w:ilvl w:val="1"/>
          <w:numId w:val="28"/>
        </w:numPr>
      </w:pPr>
      <w:r>
        <w:t>Taking instructions, advice and work done between court events</w:t>
      </w:r>
    </w:p>
    <w:p w14:paraId="3AB9B4A4" w14:textId="77777777" w:rsidR="00E85CE5" w:rsidRDefault="00E85CE5" w:rsidP="001F0689">
      <w:pPr>
        <w:pStyle w:val="VLAa"/>
        <w:numPr>
          <w:ilvl w:val="1"/>
          <w:numId w:val="28"/>
        </w:numPr>
      </w:pPr>
      <w:r>
        <w:t>Preparation of a case strategy</w:t>
      </w:r>
    </w:p>
    <w:p w14:paraId="0153BAF1" w14:textId="3E28498F" w:rsidR="00E85CE5" w:rsidRDefault="00424DC5" w:rsidP="001F0689">
      <w:pPr>
        <w:pStyle w:val="VLAa"/>
        <w:numPr>
          <w:ilvl w:val="0"/>
          <w:numId w:val="28"/>
        </w:numPr>
        <w:rPr>
          <w:lang w:eastAsia="en-AU"/>
        </w:rPr>
      </w:pPr>
      <w:r>
        <w:t>Separate t</w:t>
      </w:r>
      <w:r w:rsidR="00E85CE5">
        <w:rPr>
          <w:lang w:eastAsia="en-AU"/>
        </w:rPr>
        <w:t>he conciliation conference preparation fee into:</w:t>
      </w:r>
    </w:p>
    <w:p w14:paraId="04376E58" w14:textId="77777777" w:rsidR="00E85CE5" w:rsidRDefault="00E85CE5" w:rsidP="001F0689">
      <w:pPr>
        <w:pStyle w:val="VLAa"/>
        <w:numPr>
          <w:ilvl w:val="1"/>
          <w:numId w:val="28"/>
        </w:numPr>
      </w:pPr>
      <w:r>
        <w:t>General preparation (including taking recent instructions)</w:t>
      </w:r>
    </w:p>
    <w:p w14:paraId="4C8431F5" w14:textId="0B187F7B" w:rsidR="00E85CE5" w:rsidRDefault="00E85CE5" w:rsidP="00424DC5">
      <w:pPr>
        <w:pStyle w:val="VLAa"/>
        <w:numPr>
          <w:ilvl w:val="1"/>
          <w:numId w:val="28"/>
        </w:numPr>
      </w:pPr>
      <w:r>
        <w:t>Preparation of court documentation (in accordance with procedural directions, orders and court guidelines)</w:t>
      </w:r>
    </w:p>
    <w:p w14:paraId="45DF5438" w14:textId="4BB64415" w:rsidR="00424DC5" w:rsidRDefault="00424DC5" w:rsidP="001F0689">
      <w:pPr>
        <w:pStyle w:val="VLAa"/>
        <w:numPr>
          <w:ilvl w:val="0"/>
          <w:numId w:val="28"/>
        </w:numPr>
      </w:pPr>
      <w:r>
        <w:rPr>
          <w:lang w:eastAsia="en-AU"/>
        </w:rPr>
        <w:t>Require practitioners to assess and certify that their client continues to meet the eligibility requirements of the grant and continues to satisfy the State Reasonableness Test prior to moving to the conciliation conference stage of proceedings.</w:t>
      </w:r>
    </w:p>
    <w:p w14:paraId="6DDEDA33" w14:textId="0D566E16" w:rsidR="00E85CE5" w:rsidRPr="00E85CE5" w:rsidRDefault="00E85CE5" w:rsidP="00E665D6">
      <w:pPr>
        <w:rPr>
          <w:lang w:eastAsia="en-AU"/>
        </w:rPr>
      </w:pPr>
      <w:r>
        <w:rPr>
          <w:lang w:eastAsia="en-AU"/>
        </w:rPr>
        <w:t xml:space="preserve">We </w:t>
      </w:r>
      <w:r>
        <w:rPr>
          <w:b/>
          <w:bCs/>
          <w:lang w:eastAsia="en-AU"/>
        </w:rPr>
        <w:t xml:space="preserve">will proceed with </w:t>
      </w:r>
      <w:r>
        <w:rPr>
          <w:lang w:eastAsia="en-AU"/>
        </w:rPr>
        <w:t>these proposal</w:t>
      </w:r>
      <w:r w:rsidR="002D624B">
        <w:rPr>
          <w:lang w:eastAsia="en-AU"/>
        </w:rPr>
        <w:t>s</w:t>
      </w:r>
      <w:r>
        <w:rPr>
          <w:lang w:eastAsia="en-AU"/>
        </w:rPr>
        <w:t xml:space="preserve"> and will make amendments to the </w:t>
      </w:r>
      <w:r w:rsidR="002D624B">
        <w:rPr>
          <w:lang w:eastAsia="en-AU"/>
        </w:rPr>
        <w:t xml:space="preserve">relevant </w:t>
      </w:r>
      <w:r>
        <w:rPr>
          <w:lang w:eastAsia="en-AU"/>
        </w:rPr>
        <w:t>Practice Standards to align with the changes.</w:t>
      </w:r>
    </w:p>
    <w:p w14:paraId="7F86708F" w14:textId="77777777" w:rsidR="00E665D6" w:rsidRPr="00FA6EDC" w:rsidRDefault="00E665D6" w:rsidP="00E665D6">
      <w:pPr>
        <w:pStyle w:val="Heading3"/>
      </w:pPr>
      <w:r w:rsidRPr="00FA6EDC">
        <w:t>Changes to conciliation conferences</w:t>
      </w:r>
    </w:p>
    <w:p w14:paraId="20C11721" w14:textId="047ED2AE" w:rsidR="00AB6765" w:rsidRDefault="00AB6765" w:rsidP="00E665D6">
      <w:pPr>
        <w:rPr>
          <w:b/>
          <w:bCs/>
          <w:lang w:eastAsia="en-AU"/>
        </w:rPr>
      </w:pPr>
      <w:r>
        <w:rPr>
          <w:b/>
          <w:bCs/>
          <w:lang w:eastAsia="en-AU"/>
        </w:rPr>
        <w:t>Original proposal</w:t>
      </w:r>
    </w:p>
    <w:p w14:paraId="7ED4693B" w14:textId="22A07D90" w:rsidR="00AB6765" w:rsidRPr="00FA6EDC" w:rsidRDefault="00AB6765" w:rsidP="001F0689">
      <w:pPr>
        <w:rPr>
          <w:lang w:eastAsia="en-AU"/>
        </w:rPr>
      </w:pPr>
      <w:r>
        <w:rPr>
          <w:lang w:eastAsia="en-AU"/>
        </w:rPr>
        <w:t>We</w:t>
      </w:r>
      <w:r w:rsidRPr="00FA6EDC">
        <w:rPr>
          <w:lang w:eastAsia="en-AU"/>
        </w:rPr>
        <w:t xml:space="preserve"> </w:t>
      </w:r>
      <w:r w:rsidR="00FA6EDC" w:rsidRPr="00FA6EDC">
        <w:rPr>
          <w:lang w:eastAsia="en-AU"/>
        </w:rPr>
        <w:t>proposed the following changes for conciliation conferences:</w:t>
      </w:r>
    </w:p>
    <w:p w14:paraId="6BDADA89" w14:textId="01FDC998" w:rsidR="003352D7" w:rsidRDefault="003352D7" w:rsidP="001F0689">
      <w:pPr>
        <w:pStyle w:val="VLAa"/>
        <w:numPr>
          <w:ilvl w:val="0"/>
          <w:numId w:val="28"/>
        </w:numPr>
        <w:rPr>
          <w:lang w:eastAsia="en-AU"/>
        </w:rPr>
      </w:pPr>
      <w:r>
        <w:rPr>
          <w:lang w:eastAsia="en-AU"/>
        </w:rPr>
        <w:t>Removing entitlement to the conciliation conference appearance fee</w:t>
      </w:r>
      <w:r w:rsidR="0036249D">
        <w:rPr>
          <w:lang w:eastAsia="en-AU"/>
        </w:rPr>
        <w:t>s</w:t>
      </w:r>
      <w:r>
        <w:rPr>
          <w:lang w:eastAsia="en-AU"/>
        </w:rPr>
        <w:t xml:space="preserve"> if preparation requirements are not met</w:t>
      </w:r>
    </w:p>
    <w:p w14:paraId="1494E5B0" w14:textId="6145CCA9" w:rsidR="00337D15" w:rsidRDefault="00337D15" w:rsidP="001F0689">
      <w:pPr>
        <w:pStyle w:val="VLAa"/>
        <w:numPr>
          <w:ilvl w:val="0"/>
          <w:numId w:val="28"/>
        </w:numPr>
        <w:rPr>
          <w:lang w:eastAsia="en-AU"/>
        </w:rPr>
      </w:pPr>
      <w:r w:rsidRPr="0DB62E25">
        <w:rPr>
          <w:lang w:eastAsia="en-AU"/>
        </w:rPr>
        <w:t xml:space="preserve">Replacing the ‘preparation on settlement’ fee with a single settlement bonus fee where a matter settles at conciliation. This would not change entitlement to claim the fee at conciliation conference but is intended </w:t>
      </w:r>
      <w:r>
        <w:rPr>
          <w:lang w:eastAsia="en-AU"/>
        </w:rPr>
        <w:t xml:space="preserve">to </w:t>
      </w:r>
      <w:r w:rsidRPr="0DB62E25">
        <w:rPr>
          <w:lang w:eastAsia="en-AU"/>
        </w:rPr>
        <w:t>make the claim process simpler and reduce confusion created by the current guideline wording</w:t>
      </w:r>
      <w:r>
        <w:rPr>
          <w:lang w:eastAsia="en-AU"/>
        </w:rPr>
        <w:t>.</w:t>
      </w:r>
      <w:r w:rsidRPr="0DB62E25">
        <w:rPr>
          <w:lang w:eastAsia="en-AU"/>
        </w:rPr>
        <w:t xml:space="preserve"> The current higher preparation fee would not be available for late</w:t>
      </w:r>
      <w:r>
        <w:rPr>
          <w:lang w:eastAsia="en-AU"/>
        </w:rPr>
        <w:t>-</w:t>
      </w:r>
      <w:r w:rsidRPr="0DB62E25">
        <w:rPr>
          <w:lang w:eastAsia="en-AU"/>
        </w:rPr>
        <w:t>stage hearings (readiness and directions hearings).</w:t>
      </w:r>
    </w:p>
    <w:p w14:paraId="07006FF0" w14:textId="1F4A674A" w:rsidR="00E665D6" w:rsidRPr="00FA6EDC" w:rsidRDefault="00E665D6" w:rsidP="001F0689">
      <w:pPr>
        <w:pStyle w:val="VLAa"/>
        <w:numPr>
          <w:ilvl w:val="0"/>
          <w:numId w:val="28"/>
        </w:numPr>
        <w:rPr>
          <w:lang w:eastAsia="en-AU"/>
        </w:rPr>
      </w:pPr>
      <w:r w:rsidRPr="00FA6EDC">
        <w:rPr>
          <w:lang w:eastAsia="en-AU"/>
        </w:rPr>
        <w:t>Reduc</w:t>
      </w:r>
      <w:r w:rsidR="00424DC5">
        <w:rPr>
          <w:lang w:eastAsia="en-AU"/>
        </w:rPr>
        <w:t>ing</w:t>
      </w:r>
      <w:r w:rsidRPr="00FA6EDC">
        <w:rPr>
          <w:lang w:eastAsia="en-AU"/>
        </w:rPr>
        <w:t xml:space="preserve"> the conciliation conference adjournment fee to align with other adjournment fees</w:t>
      </w:r>
    </w:p>
    <w:p w14:paraId="7A0AF08E" w14:textId="665071C6" w:rsidR="00AB6765" w:rsidRDefault="00AB6765" w:rsidP="00E665D6">
      <w:pPr>
        <w:rPr>
          <w:rFonts w:cs="Arial"/>
          <w:b/>
          <w:bCs/>
          <w:szCs w:val="22"/>
        </w:rPr>
      </w:pPr>
      <w:r>
        <w:rPr>
          <w:rFonts w:cs="Arial"/>
          <w:b/>
          <w:bCs/>
          <w:szCs w:val="22"/>
        </w:rPr>
        <w:t>Revised proposal</w:t>
      </w:r>
    </w:p>
    <w:p w14:paraId="37299817" w14:textId="13763437" w:rsidR="00AB6765" w:rsidRDefault="00AB6765" w:rsidP="00E665D6">
      <w:pPr>
        <w:rPr>
          <w:rFonts w:cs="Arial"/>
          <w:szCs w:val="22"/>
        </w:rPr>
      </w:pPr>
      <w:r>
        <w:rPr>
          <w:rFonts w:cs="Arial"/>
          <w:szCs w:val="22"/>
        </w:rPr>
        <w:t>We will proceed with:</w:t>
      </w:r>
    </w:p>
    <w:p w14:paraId="0F53DFE3" w14:textId="6004830D" w:rsidR="00AB6765" w:rsidRDefault="00AB6765" w:rsidP="00AB6765">
      <w:pPr>
        <w:pStyle w:val="VLAa"/>
        <w:numPr>
          <w:ilvl w:val="0"/>
          <w:numId w:val="14"/>
        </w:numPr>
        <w:rPr>
          <w:lang w:eastAsia="en-AU"/>
        </w:rPr>
      </w:pPr>
      <w:r w:rsidRPr="00FA6EDC">
        <w:rPr>
          <w:lang w:eastAsia="en-AU"/>
        </w:rPr>
        <w:t xml:space="preserve">Removing entitlement to </w:t>
      </w:r>
      <w:r>
        <w:rPr>
          <w:lang w:eastAsia="en-AU"/>
        </w:rPr>
        <w:t xml:space="preserve">the </w:t>
      </w:r>
      <w:r w:rsidRPr="00FA6EDC">
        <w:rPr>
          <w:lang w:eastAsia="en-AU"/>
        </w:rPr>
        <w:t xml:space="preserve">conciliation conference appearance fees if preparation requirements </w:t>
      </w:r>
      <w:r>
        <w:rPr>
          <w:lang w:eastAsia="en-AU"/>
        </w:rPr>
        <w:t>are</w:t>
      </w:r>
      <w:r w:rsidRPr="00FA6EDC">
        <w:rPr>
          <w:lang w:eastAsia="en-AU"/>
        </w:rPr>
        <w:t xml:space="preserve"> not met</w:t>
      </w:r>
    </w:p>
    <w:p w14:paraId="26B23454" w14:textId="5384FB3B" w:rsidR="00AB6765" w:rsidRPr="00C80280" w:rsidRDefault="00AB6765" w:rsidP="001F0689">
      <w:pPr>
        <w:pStyle w:val="ListBullet"/>
        <w:numPr>
          <w:ilvl w:val="0"/>
          <w:numId w:val="14"/>
        </w:numPr>
        <w:rPr>
          <w:lang w:eastAsia="en-AU"/>
        </w:rPr>
      </w:pPr>
      <w:r w:rsidRPr="00C80280">
        <w:rPr>
          <w:lang w:eastAsia="en-AU"/>
        </w:rPr>
        <w:t>Replacing the ‘preparation on settlement’ fee with a single settlement bonus fee where a matter settles</w:t>
      </w:r>
      <w:r w:rsidR="00D65B7B" w:rsidRPr="00C80280">
        <w:rPr>
          <w:lang w:eastAsia="en-AU"/>
        </w:rPr>
        <w:t xml:space="preserve"> at conciliation conference </w:t>
      </w:r>
      <w:r w:rsidR="00D51517">
        <w:rPr>
          <w:lang w:eastAsia="en-AU"/>
        </w:rPr>
        <w:t>at the same rate</w:t>
      </w:r>
    </w:p>
    <w:p w14:paraId="10E3CCDA" w14:textId="6FB761BC" w:rsidR="00AB6765" w:rsidRDefault="00AB6765" w:rsidP="00AB6765">
      <w:pPr>
        <w:pStyle w:val="VLAa"/>
        <w:numPr>
          <w:ilvl w:val="0"/>
          <w:numId w:val="0"/>
        </w:numPr>
        <w:rPr>
          <w:lang w:eastAsia="en-AU"/>
        </w:rPr>
      </w:pPr>
      <w:r>
        <w:rPr>
          <w:lang w:eastAsia="en-AU"/>
        </w:rPr>
        <w:t>We will not proceed with:</w:t>
      </w:r>
    </w:p>
    <w:p w14:paraId="692D5BDC" w14:textId="28247BFD" w:rsidR="00AB6765" w:rsidRPr="00FA6EDC" w:rsidRDefault="00AB6765" w:rsidP="001F0689">
      <w:pPr>
        <w:pStyle w:val="VLAa"/>
        <w:numPr>
          <w:ilvl w:val="0"/>
          <w:numId w:val="13"/>
        </w:numPr>
        <w:rPr>
          <w:lang w:eastAsia="en-AU"/>
        </w:rPr>
      </w:pPr>
      <w:r w:rsidRPr="00FA6EDC">
        <w:rPr>
          <w:lang w:eastAsia="en-AU"/>
        </w:rPr>
        <w:t>Reduc</w:t>
      </w:r>
      <w:r w:rsidR="00424DC5">
        <w:rPr>
          <w:lang w:eastAsia="en-AU"/>
        </w:rPr>
        <w:t>ing</w:t>
      </w:r>
      <w:r w:rsidRPr="00FA6EDC">
        <w:rPr>
          <w:lang w:eastAsia="en-AU"/>
        </w:rPr>
        <w:t xml:space="preserve"> the conciliation conference adjournment fee to align with other adjournment fees</w:t>
      </w:r>
    </w:p>
    <w:p w14:paraId="38BDD0D0" w14:textId="4BCD3B54" w:rsidR="00AB6765" w:rsidRPr="001F0689" w:rsidRDefault="00337D15" w:rsidP="00E665D6">
      <w:pPr>
        <w:rPr>
          <w:rFonts w:cs="Arial"/>
          <w:b/>
          <w:bCs/>
          <w:szCs w:val="22"/>
        </w:rPr>
      </w:pPr>
      <w:r>
        <w:rPr>
          <w:rFonts w:cs="Arial"/>
          <w:b/>
          <w:bCs/>
          <w:szCs w:val="22"/>
        </w:rPr>
        <w:t>Rationale</w:t>
      </w:r>
    </w:p>
    <w:p w14:paraId="47331FB9" w14:textId="56F528E6" w:rsidR="006F78BE" w:rsidRDefault="00337D15" w:rsidP="00E665D6">
      <w:pPr>
        <w:rPr>
          <w:rFonts w:cs="Arial"/>
          <w:szCs w:val="22"/>
        </w:rPr>
      </w:pPr>
      <w:r>
        <w:rPr>
          <w:rFonts w:cs="Arial"/>
          <w:szCs w:val="22"/>
        </w:rPr>
        <w:t xml:space="preserve">We </w:t>
      </w:r>
      <w:r w:rsidR="00FA6EDC" w:rsidRPr="00FA6EDC">
        <w:rPr>
          <w:rFonts w:cs="Arial"/>
          <w:szCs w:val="22"/>
        </w:rPr>
        <w:t>receiv</w:t>
      </w:r>
      <w:r>
        <w:rPr>
          <w:rFonts w:cs="Arial"/>
          <w:szCs w:val="22"/>
        </w:rPr>
        <w:t>ed</w:t>
      </w:r>
      <w:r w:rsidR="00FA6EDC" w:rsidRPr="00FA6EDC">
        <w:rPr>
          <w:rFonts w:cs="Arial"/>
          <w:szCs w:val="22"/>
        </w:rPr>
        <w:t xml:space="preserve"> feedback about the </w:t>
      </w:r>
      <w:r w:rsidR="002D624B">
        <w:rPr>
          <w:rFonts w:cs="Arial"/>
          <w:szCs w:val="22"/>
        </w:rPr>
        <w:t>likely impact it will have</w:t>
      </w:r>
      <w:r w:rsidR="00FA6EDC" w:rsidRPr="00FA6EDC">
        <w:rPr>
          <w:rFonts w:cs="Arial"/>
          <w:szCs w:val="22"/>
        </w:rPr>
        <w:t xml:space="preserve"> </w:t>
      </w:r>
      <w:r w:rsidR="002D624B">
        <w:rPr>
          <w:rFonts w:cs="Arial"/>
          <w:szCs w:val="22"/>
        </w:rPr>
        <w:t>on</w:t>
      </w:r>
      <w:r w:rsidR="00FA6EDC" w:rsidRPr="00FA6EDC">
        <w:rPr>
          <w:rFonts w:cs="Arial"/>
          <w:szCs w:val="22"/>
        </w:rPr>
        <w:t xml:space="preserve"> briefing counsel to appear, particularly in regional areas</w:t>
      </w:r>
      <w:r w:rsidR="0036249D">
        <w:rPr>
          <w:rFonts w:cs="Arial"/>
          <w:szCs w:val="22"/>
        </w:rPr>
        <w:t>,</w:t>
      </w:r>
      <w:r>
        <w:rPr>
          <w:rFonts w:cs="Arial"/>
          <w:szCs w:val="22"/>
        </w:rPr>
        <w:t xml:space="preserve"> if the adjournment fee was reduced.</w:t>
      </w:r>
    </w:p>
    <w:p w14:paraId="474A94DB" w14:textId="533CD019" w:rsidR="006F78BE" w:rsidRDefault="00FA6EDC" w:rsidP="006F78BE">
      <w:pPr>
        <w:rPr>
          <w:rFonts w:cs="Arial"/>
          <w:szCs w:val="22"/>
        </w:rPr>
      </w:pPr>
      <w:r>
        <w:rPr>
          <w:rFonts w:cs="Arial"/>
          <w:szCs w:val="22"/>
        </w:rPr>
        <w:t xml:space="preserve">We </w:t>
      </w:r>
      <w:r w:rsidR="00337D15">
        <w:rPr>
          <w:rFonts w:cs="Arial"/>
          <w:szCs w:val="22"/>
        </w:rPr>
        <w:t xml:space="preserve">did </w:t>
      </w:r>
      <w:r>
        <w:rPr>
          <w:rFonts w:cs="Arial"/>
          <w:szCs w:val="22"/>
        </w:rPr>
        <w:t>receive</w:t>
      </w:r>
      <w:r w:rsidR="006F78BE">
        <w:rPr>
          <w:rFonts w:cs="Arial"/>
          <w:szCs w:val="22"/>
        </w:rPr>
        <w:t xml:space="preserve"> </w:t>
      </w:r>
      <w:r>
        <w:rPr>
          <w:rFonts w:cs="Arial"/>
          <w:szCs w:val="22"/>
        </w:rPr>
        <w:t xml:space="preserve">feedback about the difficulty practitioners have in preparing for conciliation conference when DFFH has not filed an Addendum Report by the required time. </w:t>
      </w:r>
      <w:r w:rsidR="006F78BE">
        <w:rPr>
          <w:rFonts w:cs="Arial"/>
          <w:szCs w:val="22"/>
        </w:rPr>
        <w:t>We will provide information in the guideline notes</w:t>
      </w:r>
      <w:r w:rsidR="009062FD">
        <w:rPr>
          <w:rFonts w:cs="Arial"/>
          <w:szCs w:val="22"/>
        </w:rPr>
        <w:t xml:space="preserve"> for these situations</w:t>
      </w:r>
      <w:r w:rsidR="006F78BE">
        <w:rPr>
          <w:rFonts w:cs="Arial"/>
          <w:szCs w:val="22"/>
        </w:rPr>
        <w:t xml:space="preserve"> to make it clear that</w:t>
      </w:r>
      <w:r w:rsidR="001E01DE">
        <w:rPr>
          <w:rFonts w:cs="Arial"/>
          <w:szCs w:val="22"/>
        </w:rPr>
        <w:t>:</w:t>
      </w:r>
      <w:r w:rsidR="006F78BE">
        <w:rPr>
          <w:rFonts w:cs="Arial"/>
          <w:szCs w:val="22"/>
        </w:rPr>
        <w:t xml:space="preserve"> </w:t>
      </w:r>
    </w:p>
    <w:p w14:paraId="2C3F6CEA" w14:textId="5BC90F4E" w:rsidR="00FA6EDC" w:rsidRPr="006F78BE" w:rsidRDefault="009062FD" w:rsidP="006F78BE">
      <w:pPr>
        <w:pStyle w:val="ListParagraph"/>
        <w:numPr>
          <w:ilvl w:val="0"/>
          <w:numId w:val="6"/>
        </w:numPr>
        <w:rPr>
          <w:rFonts w:cs="Arial"/>
          <w:szCs w:val="22"/>
        </w:rPr>
      </w:pPr>
      <w:r>
        <w:rPr>
          <w:rFonts w:cs="Arial"/>
          <w:szCs w:val="22"/>
        </w:rPr>
        <w:lastRenderedPageBreak/>
        <w:t xml:space="preserve">if </w:t>
      </w:r>
      <w:r w:rsidRPr="006F78BE">
        <w:rPr>
          <w:rFonts w:cs="Arial"/>
          <w:szCs w:val="22"/>
        </w:rPr>
        <w:t xml:space="preserve">a practitioner assesses it is </w:t>
      </w:r>
      <w:r>
        <w:rPr>
          <w:rFonts w:cs="Arial"/>
          <w:szCs w:val="22"/>
        </w:rPr>
        <w:t>appropriate</w:t>
      </w:r>
      <w:r w:rsidRPr="006F78BE">
        <w:rPr>
          <w:rFonts w:cs="Arial"/>
          <w:szCs w:val="22"/>
        </w:rPr>
        <w:t xml:space="preserve"> for the conference to proceed</w:t>
      </w:r>
      <w:r>
        <w:rPr>
          <w:rFonts w:cs="Arial"/>
          <w:szCs w:val="22"/>
        </w:rPr>
        <w:t xml:space="preserve"> regardless, </w:t>
      </w:r>
      <w:r w:rsidR="006F78BE" w:rsidRPr="006F78BE">
        <w:rPr>
          <w:rFonts w:cs="Arial"/>
          <w:szCs w:val="22"/>
        </w:rPr>
        <w:t>preparation based on the DFFH reports</w:t>
      </w:r>
      <w:r w:rsidR="006F78BE">
        <w:rPr>
          <w:rFonts w:cs="Arial"/>
          <w:szCs w:val="22"/>
        </w:rPr>
        <w:t xml:space="preserve"> provided</w:t>
      </w:r>
      <w:r w:rsidR="006F78BE" w:rsidRPr="006F78BE">
        <w:rPr>
          <w:rFonts w:cs="Arial"/>
          <w:szCs w:val="22"/>
        </w:rPr>
        <w:t xml:space="preserve"> to date is sufficient</w:t>
      </w:r>
      <w:r w:rsidR="001E01DE">
        <w:rPr>
          <w:rFonts w:cs="Arial"/>
          <w:szCs w:val="22"/>
        </w:rPr>
        <w:t xml:space="preserve"> </w:t>
      </w:r>
      <w:r>
        <w:rPr>
          <w:rFonts w:cs="Arial"/>
          <w:szCs w:val="22"/>
        </w:rPr>
        <w:t xml:space="preserve">and the appearance fee will be </w:t>
      </w:r>
      <w:proofErr w:type="gramStart"/>
      <w:r>
        <w:rPr>
          <w:rFonts w:cs="Arial"/>
          <w:szCs w:val="22"/>
        </w:rPr>
        <w:t>paid;</w:t>
      </w:r>
      <w:proofErr w:type="gramEnd"/>
    </w:p>
    <w:p w14:paraId="3B74B48A" w14:textId="1BE53374" w:rsidR="00FA6EDC" w:rsidRDefault="009062FD" w:rsidP="00E665D6">
      <w:pPr>
        <w:pStyle w:val="ListParagraph"/>
        <w:numPr>
          <w:ilvl w:val="0"/>
          <w:numId w:val="6"/>
        </w:numPr>
        <w:rPr>
          <w:rFonts w:cs="Arial"/>
          <w:szCs w:val="22"/>
        </w:rPr>
      </w:pPr>
      <w:r>
        <w:rPr>
          <w:rFonts w:cs="Arial"/>
          <w:szCs w:val="22"/>
        </w:rPr>
        <w:t xml:space="preserve">if </w:t>
      </w:r>
      <w:r w:rsidR="001E01DE">
        <w:rPr>
          <w:rFonts w:cs="Arial"/>
          <w:szCs w:val="22"/>
        </w:rPr>
        <w:t>a practitioner assesses they cannot adequately prepare and/or it would not be appropriate for the conference to proceed in the absence of an addendum report,</w:t>
      </w:r>
      <w:r>
        <w:rPr>
          <w:rFonts w:cs="Arial"/>
          <w:szCs w:val="22"/>
        </w:rPr>
        <w:t xml:space="preserve"> they</w:t>
      </w:r>
      <w:r w:rsidR="00A06709">
        <w:rPr>
          <w:rFonts w:cs="Arial"/>
          <w:szCs w:val="22"/>
        </w:rPr>
        <w:t xml:space="preserve"> should notify the Court and parties</w:t>
      </w:r>
      <w:r>
        <w:rPr>
          <w:rFonts w:cs="Arial"/>
          <w:szCs w:val="22"/>
        </w:rPr>
        <w:t xml:space="preserve"> before the day</w:t>
      </w:r>
      <w:r w:rsidR="00A06709">
        <w:rPr>
          <w:rFonts w:cs="Arial"/>
          <w:szCs w:val="22"/>
        </w:rPr>
        <w:t xml:space="preserve"> so that the matter can be adjourned. If a hearing is required for DFFH to request </w:t>
      </w:r>
      <w:r w:rsidR="002D624B">
        <w:rPr>
          <w:rFonts w:cs="Arial"/>
          <w:szCs w:val="22"/>
        </w:rPr>
        <w:t>this</w:t>
      </w:r>
      <w:r w:rsidR="00A06709">
        <w:rPr>
          <w:rFonts w:cs="Arial"/>
          <w:szCs w:val="22"/>
        </w:rPr>
        <w:t xml:space="preserve"> adjournment, costs should be sought.</w:t>
      </w:r>
    </w:p>
    <w:p w14:paraId="7C3579F7" w14:textId="77777777" w:rsidR="006E6B7C" w:rsidRPr="006E6B7C" w:rsidRDefault="006E6B7C" w:rsidP="001F0689">
      <w:pPr>
        <w:ind w:left="360"/>
        <w:rPr>
          <w:rFonts w:cs="Arial"/>
          <w:szCs w:val="22"/>
        </w:rPr>
      </w:pPr>
    </w:p>
    <w:p w14:paraId="38B3554A" w14:textId="77777777" w:rsidR="00E665D6" w:rsidRDefault="00E665D6" w:rsidP="00E665D6">
      <w:pPr>
        <w:pStyle w:val="Heading2"/>
      </w:pPr>
      <w:r>
        <w:t>Expanding eligibility for IAO appeals and revocation applications</w:t>
      </w:r>
    </w:p>
    <w:p w14:paraId="52468334" w14:textId="623261E5" w:rsidR="00E665D6" w:rsidRDefault="00E665D6" w:rsidP="00E665D6">
      <w:pPr>
        <w:pStyle w:val="Heading3"/>
      </w:pPr>
      <w:r>
        <w:t>Changes to IAO appeals</w:t>
      </w:r>
      <w:r w:rsidR="00236754">
        <w:t xml:space="preserve"> and revocation applications</w:t>
      </w:r>
    </w:p>
    <w:p w14:paraId="64F5EF29" w14:textId="77777777" w:rsidR="00337D15" w:rsidRPr="001F0689" w:rsidRDefault="00337D15" w:rsidP="00E665D6">
      <w:pPr>
        <w:rPr>
          <w:b/>
          <w:bCs/>
          <w:lang w:eastAsia="en-AU"/>
        </w:rPr>
      </w:pPr>
      <w:r w:rsidRPr="001F0689">
        <w:rPr>
          <w:b/>
          <w:bCs/>
          <w:lang w:eastAsia="en-AU"/>
        </w:rPr>
        <w:t>Original proposal</w:t>
      </w:r>
    </w:p>
    <w:p w14:paraId="4407ED8A" w14:textId="77777777" w:rsidR="00337D15" w:rsidRDefault="00E665D6" w:rsidP="00E665D6">
      <w:pPr>
        <w:rPr>
          <w:lang w:eastAsia="en-AU"/>
        </w:rPr>
      </w:pPr>
      <w:r>
        <w:rPr>
          <w:lang w:eastAsia="en-AU"/>
        </w:rPr>
        <w:t>We propose</w:t>
      </w:r>
      <w:r w:rsidR="00236754">
        <w:rPr>
          <w:lang w:eastAsia="en-AU"/>
        </w:rPr>
        <w:t>d</w:t>
      </w:r>
      <w:r w:rsidR="00337D15">
        <w:rPr>
          <w:lang w:eastAsia="en-AU"/>
        </w:rPr>
        <w:t>:</w:t>
      </w:r>
    </w:p>
    <w:p w14:paraId="5FAC7262" w14:textId="141CCA53" w:rsidR="00337D15" w:rsidRDefault="00337D15" w:rsidP="001F0689">
      <w:pPr>
        <w:pStyle w:val="ListParagraph"/>
        <w:numPr>
          <w:ilvl w:val="0"/>
          <w:numId w:val="19"/>
        </w:numPr>
        <w:rPr>
          <w:lang w:eastAsia="en-AU"/>
        </w:rPr>
      </w:pPr>
      <w:r>
        <w:rPr>
          <w:lang w:eastAsia="en-AU"/>
        </w:rPr>
        <w:t>C</w:t>
      </w:r>
      <w:r w:rsidR="00E665D6">
        <w:rPr>
          <w:lang w:eastAsia="en-AU"/>
        </w:rPr>
        <w:t>hange</w:t>
      </w:r>
      <w:r w:rsidR="00236754">
        <w:rPr>
          <w:lang w:eastAsia="en-AU"/>
        </w:rPr>
        <w:t>s to</w:t>
      </w:r>
      <w:r w:rsidR="00E665D6">
        <w:rPr>
          <w:lang w:eastAsia="en-AU"/>
        </w:rPr>
        <w:t xml:space="preserve"> the IAO appeal guideline so that a party who has an IAO made in their favour in the Children’s Court will be funded to respond to a DFFH appeal of that decision.</w:t>
      </w:r>
    </w:p>
    <w:p w14:paraId="76522131" w14:textId="69F922CC" w:rsidR="00E665D6" w:rsidRDefault="00337D15" w:rsidP="001F0689">
      <w:pPr>
        <w:pStyle w:val="ListParagraph"/>
        <w:numPr>
          <w:ilvl w:val="0"/>
          <w:numId w:val="19"/>
        </w:numPr>
        <w:rPr>
          <w:lang w:eastAsia="en-AU"/>
        </w:rPr>
      </w:pPr>
      <w:r>
        <w:rPr>
          <w:lang w:eastAsia="en-AU"/>
        </w:rPr>
        <w:t xml:space="preserve">Expanding </w:t>
      </w:r>
      <w:r w:rsidR="00E665D6">
        <w:rPr>
          <w:lang w:eastAsia="en-AU"/>
        </w:rPr>
        <w:t xml:space="preserve">eligibility for </w:t>
      </w:r>
      <w:r w:rsidR="00E665D6" w:rsidRPr="00337D15">
        <w:rPr>
          <w:b/>
          <w:bCs/>
          <w:lang w:eastAsia="en-AU"/>
        </w:rPr>
        <w:t>children</w:t>
      </w:r>
      <w:r w:rsidR="00E665D6">
        <w:rPr>
          <w:lang w:eastAsia="en-AU"/>
        </w:rPr>
        <w:t xml:space="preserve"> to apply to revoke long term care orders and care by secretary orders, in addition to family reunification orders.</w:t>
      </w:r>
    </w:p>
    <w:p w14:paraId="069DD280" w14:textId="573B409A" w:rsidR="00337D15" w:rsidRDefault="00337D15" w:rsidP="00B81F3E">
      <w:pPr>
        <w:spacing w:before="240"/>
        <w:rPr>
          <w:b/>
          <w:bCs/>
          <w:lang w:eastAsia="en-AU"/>
        </w:rPr>
      </w:pPr>
      <w:r>
        <w:rPr>
          <w:b/>
          <w:bCs/>
          <w:lang w:eastAsia="en-AU"/>
        </w:rPr>
        <w:t>Revised proposal</w:t>
      </w:r>
    </w:p>
    <w:p w14:paraId="172A476A" w14:textId="473E5B22" w:rsidR="00337D15" w:rsidRPr="001F0689" w:rsidRDefault="00337D15" w:rsidP="00B81F3E">
      <w:pPr>
        <w:spacing w:before="240"/>
        <w:rPr>
          <w:lang w:eastAsia="en-AU"/>
        </w:rPr>
      </w:pPr>
      <w:r>
        <w:rPr>
          <w:lang w:eastAsia="en-AU"/>
        </w:rPr>
        <w:t>We will proceed with both the original proposal</w:t>
      </w:r>
      <w:r w:rsidR="0036249D">
        <w:rPr>
          <w:lang w:eastAsia="en-AU"/>
        </w:rPr>
        <w:t>s</w:t>
      </w:r>
      <w:r>
        <w:rPr>
          <w:lang w:eastAsia="en-AU"/>
        </w:rPr>
        <w:t xml:space="preserve"> AND we will expand eligibility for children</w:t>
      </w:r>
      <w:r>
        <w:rPr>
          <w:b/>
          <w:bCs/>
          <w:lang w:eastAsia="en-AU"/>
        </w:rPr>
        <w:t xml:space="preserve"> </w:t>
      </w:r>
      <w:r>
        <w:rPr>
          <w:lang w:eastAsia="en-AU"/>
        </w:rPr>
        <w:t xml:space="preserve">to Guideline 4.1 to </w:t>
      </w:r>
      <w:r w:rsidRPr="00B81F3E">
        <w:rPr>
          <w:lang w:eastAsia="en-AU"/>
        </w:rPr>
        <w:t>fund</w:t>
      </w:r>
      <w:r>
        <w:rPr>
          <w:lang w:eastAsia="en-AU"/>
        </w:rPr>
        <w:t xml:space="preserve"> a</w:t>
      </w:r>
      <w:r w:rsidRPr="00B81F3E">
        <w:rPr>
          <w:lang w:eastAsia="en-AU"/>
        </w:rPr>
        <w:t xml:space="preserve"> case plan </w:t>
      </w:r>
      <w:r>
        <w:rPr>
          <w:lang w:eastAsia="en-AU"/>
        </w:rPr>
        <w:t xml:space="preserve">review under s305 (2)(a) to </w:t>
      </w:r>
      <w:r>
        <w:rPr>
          <w:color w:val="000000"/>
        </w:rPr>
        <w:t>revoke a care by secretary order.</w:t>
      </w:r>
    </w:p>
    <w:p w14:paraId="5F4A8634" w14:textId="065EBBC3" w:rsidR="00337D15" w:rsidRPr="001F0689" w:rsidRDefault="00337D15" w:rsidP="00B81F3E">
      <w:pPr>
        <w:spacing w:before="240"/>
        <w:rPr>
          <w:b/>
          <w:bCs/>
          <w:lang w:eastAsia="en-AU"/>
        </w:rPr>
      </w:pPr>
      <w:r w:rsidRPr="001F0689">
        <w:rPr>
          <w:b/>
          <w:bCs/>
          <w:lang w:eastAsia="en-AU"/>
        </w:rPr>
        <w:t>Rationale</w:t>
      </w:r>
    </w:p>
    <w:p w14:paraId="47D04B7D" w14:textId="3B8CB711" w:rsidR="00E665D6" w:rsidRPr="00236754" w:rsidRDefault="00236754" w:rsidP="00B81F3E">
      <w:pPr>
        <w:spacing w:before="240"/>
        <w:rPr>
          <w:lang w:eastAsia="en-AU"/>
        </w:rPr>
      </w:pPr>
      <w:r>
        <w:rPr>
          <w:lang w:eastAsia="en-AU"/>
        </w:rPr>
        <w:t>We</w:t>
      </w:r>
      <w:r w:rsidR="00492919">
        <w:rPr>
          <w:lang w:eastAsia="en-AU"/>
        </w:rPr>
        <w:t xml:space="preserve"> received feedback in support of </w:t>
      </w:r>
      <w:r w:rsidR="0036249D">
        <w:rPr>
          <w:lang w:eastAsia="en-AU"/>
        </w:rPr>
        <w:t xml:space="preserve">the original </w:t>
      </w:r>
      <w:r w:rsidR="00492919">
        <w:rPr>
          <w:lang w:eastAsia="en-AU"/>
        </w:rPr>
        <w:t>proposals</w:t>
      </w:r>
      <w:r w:rsidR="00337D15">
        <w:rPr>
          <w:lang w:eastAsia="en-AU"/>
        </w:rPr>
        <w:t xml:space="preserve">. Consultation also identified the need to make commensurate changes </w:t>
      </w:r>
      <w:r w:rsidR="00F45118">
        <w:rPr>
          <w:lang w:eastAsia="en-AU"/>
        </w:rPr>
        <w:t>to Guideline 4.1</w:t>
      </w:r>
      <w:r>
        <w:rPr>
          <w:lang w:eastAsia="en-AU"/>
        </w:rPr>
        <w:t xml:space="preserve"> </w:t>
      </w:r>
      <w:r w:rsidR="00337D15">
        <w:rPr>
          <w:lang w:eastAsia="en-AU"/>
        </w:rPr>
        <w:t xml:space="preserve">so that children are </w:t>
      </w:r>
      <w:r w:rsidRPr="00B81F3E">
        <w:rPr>
          <w:lang w:eastAsia="en-AU"/>
        </w:rPr>
        <w:t>fund</w:t>
      </w:r>
      <w:r w:rsidR="00337D15">
        <w:rPr>
          <w:lang w:eastAsia="en-AU"/>
        </w:rPr>
        <w:t>ed to seek</w:t>
      </w:r>
      <w:r w:rsidR="00B81F3E">
        <w:rPr>
          <w:lang w:eastAsia="en-AU"/>
        </w:rPr>
        <w:t xml:space="preserve"> </w:t>
      </w:r>
      <w:r w:rsidR="00BA58E4">
        <w:rPr>
          <w:lang w:eastAsia="en-AU"/>
        </w:rPr>
        <w:t xml:space="preserve">a </w:t>
      </w:r>
      <w:r w:rsidRPr="00B81F3E">
        <w:rPr>
          <w:lang w:eastAsia="en-AU"/>
        </w:rPr>
        <w:t xml:space="preserve">case plan </w:t>
      </w:r>
      <w:r w:rsidR="00B81F3E">
        <w:rPr>
          <w:lang w:eastAsia="en-AU"/>
        </w:rPr>
        <w:t>review</w:t>
      </w:r>
      <w:r w:rsidR="00BA58E4">
        <w:rPr>
          <w:lang w:eastAsia="en-AU"/>
        </w:rPr>
        <w:t xml:space="preserve">, as required by </w:t>
      </w:r>
      <w:r w:rsidR="00B81F3E">
        <w:rPr>
          <w:lang w:eastAsia="en-AU"/>
        </w:rPr>
        <w:t xml:space="preserve">s305 (2)(a) </w:t>
      </w:r>
      <w:r w:rsidR="00BA58E4">
        <w:rPr>
          <w:lang w:eastAsia="en-AU"/>
        </w:rPr>
        <w:t xml:space="preserve">prior to applying to </w:t>
      </w:r>
      <w:r w:rsidR="00B81F3E">
        <w:rPr>
          <w:color w:val="000000"/>
        </w:rPr>
        <w:t xml:space="preserve">revoke a </w:t>
      </w:r>
      <w:r w:rsidR="00572ADB">
        <w:rPr>
          <w:color w:val="000000"/>
        </w:rPr>
        <w:t>care by secretary order</w:t>
      </w:r>
      <w:r w:rsidR="0036249D">
        <w:rPr>
          <w:color w:val="000000"/>
        </w:rPr>
        <w:t>.</w:t>
      </w:r>
    </w:p>
    <w:p w14:paraId="1CECC976" w14:textId="77777777" w:rsidR="00E665D6" w:rsidRPr="00ED57B3" w:rsidRDefault="00E665D6" w:rsidP="00E665D6">
      <w:pPr>
        <w:pStyle w:val="Heading2"/>
      </w:pPr>
      <w:r w:rsidRPr="00ED57B3">
        <w:t xml:space="preserve">Clarifying eligibility for parents </w:t>
      </w:r>
    </w:p>
    <w:p w14:paraId="789EE2DD" w14:textId="77777777" w:rsidR="00E665D6" w:rsidRPr="00ED57B3" w:rsidRDefault="00E665D6" w:rsidP="00E665D6">
      <w:pPr>
        <w:pStyle w:val="Heading3"/>
      </w:pPr>
      <w:r w:rsidRPr="00ED57B3">
        <w:t>Clarifying eligibility for broadband grant of assistance</w:t>
      </w:r>
    </w:p>
    <w:p w14:paraId="027243A8" w14:textId="5CDE11CB" w:rsidR="00E665D6" w:rsidRPr="00ED57B3" w:rsidRDefault="00C26B6E" w:rsidP="00E665D6">
      <w:r w:rsidRPr="00ED57B3">
        <w:t>We proposed to clarify and</w:t>
      </w:r>
      <w:r w:rsidR="002A3776">
        <w:t>,</w:t>
      </w:r>
      <w:r w:rsidRPr="00ED57B3">
        <w:t xml:space="preserve"> in some circumstances, amend the</w:t>
      </w:r>
      <w:r w:rsidR="00E665D6" w:rsidRPr="00ED57B3">
        <w:t xml:space="preserve"> eligibility criteria for parents </w:t>
      </w:r>
      <w:r w:rsidRPr="00ED57B3">
        <w:t>responding to</w:t>
      </w:r>
      <w:r w:rsidR="00E665D6" w:rsidRPr="00ED57B3">
        <w:t xml:space="preserve"> different court applications</w:t>
      </w:r>
      <w:r w:rsidRPr="00ED57B3">
        <w:t>.</w:t>
      </w:r>
    </w:p>
    <w:p w14:paraId="749A31CF" w14:textId="4C9395FB" w:rsidR="00E665D6" w:rsidRPr="00ED57B3" w:rsidRDefault="00E665D6" w:rsidP="00E665D6">
      <w:r w:rsidRPr="00ED57B3">
        <w:t>The propos</w:t>
      </w:r>
      <w:r w:rsidR="00C26B6E" w:rsidRPr="00ED57B3">
        <w:t>al</w:t>
      </w:r>
      <w:r w:rsidR="0036249D">
        <w:t>s</w:t>
      </w:r>
      <w:r w:rsidR="00C26B6E" w:rsidRPr="00ED57B3">
        <w:t xml:space="preserve"> were</w:t>
      </w:r>
      <w:r w:rsidRPr="00ED57B3">
        <w:t>:</w:t>
      </w:r>
    </w:p>
    <w:p w14:paraId="5A75D1BA" w14:textId="2F3D52BB" w:rsidR="00E665D6" w:rsidRPr="00ED57B3" w:rsidRDefault="00E665D6" w:rsidP="001F0689">
      <w:pPr>
        <w:pStyle w:val="VLAa"/>
        <w:numPr>
          <w:ilvl w:val="0"/>
          <w:numId w:val="20"/>
        </w:numPr>
      </w:pPr>
      <w:r w:rsidRPr="00ED57B3">
        <w:t xml:space="preserve">For breach, variation and extension of protection applications and applications for Care </w:t>
      </w:r>
      <w:proofErr w:type="gramStart"/>
      <w:r w:rsidRPr="00ED57B3">
        <w:t>By</w:t>
      </w:r>
      <w:proofErr w:type="gramEnd"/>
      <w:r w:rsidRPr="00ED57B3">
        <w:t xml:space="preserve"> Secretary Orders (CBSO), Long Term Care Orders (LTCOs) and Permanent Care Orders (PCOs), eligibility</w:t>
      </w:r>
      <w:r w:rsidR="00492919">
        <w:t xml:space="preserve"> to be</w:t>
      </w:r>
      <w:r w:rsidRPr="00ED57B3">
        <w:t xml:space="preserve"> limited to parties who seek an order substantively different to the order recommended by DFFH </w:t>
      </w:r>
    </w:p>
    <w:p w14:paraId="74FBC354" w14:textId="1FB82D8F" w:rsidR="00E665D6" w:rsidRDefault="00E665D6">
      <w:pPr>
        <w:pStyle w:val="VLAa"/>
        <w:numPr>
          <w:ilvl w:val="0"/>
          <w:numId w:val="20"/>
        </w:numPr>
      </w:pPr>
      <w:r w:rsidRPr="00ED57B3">
        <w:t>For breach applications, the recommendation proposed by DFFH must also be substantively different from the original order</w:t>
      </w:r>
    </w:p>
    <w:p w14:paraId="599ACF4D" w14:textId="77777777" w:rsidR="00E35471" w:rsidRPr="00ED57B3" w:rsidRDefault="00E35471" w:rsidP="00E35471">
      <w:pPr>
        <w:pStyle w:val="VLAa"/>
        <w:numPr>
          <w:ilvl w:val="0"/>
          <w:numId w:val="20"/>
        </w:numPr>
      </w:pPr>
      <w:r w:rsidRPr="00ED57B3">
        <w:t>For extension or variation of protection order applications, the parent also has reasonable prospects of the child being placed in their care during the period of the alternative order they seek</w:t>
      </w:r>
    </w:p>
    <w:p w14:paraId="43578265" w14:textId="40D76224" w:rsidR="00E35471" w:rsidRDefault="002A3776" w:rsidP="00E35471">
      <w:pPr>
        <w:pStyle w:val="VLAa"/>
        <w:numPr>
          <w:ilvl w:val="0"/>
          <w:numId w:val="20"/>
        </w:numPr>
      </w:pPr>
      <w:r>
        <w:lastRenderedPageBreak/>
        <w:t>To i</w:t>
      </w:r>
      <w:r w:rsidR="00E35471" w:rsidRPr="00ED57B3">
        <w:t xml:space="preserve">mproving the readability </w:t>
      </w:r>
      <w:r>
        <w:t>of guidelines (</w:t>
      </w:r>
      <w:r w:rsidR="00E35471" w:rsidRPr="00ED57B3">
        <w:t>with no change in eligibility</w:t>
      </w:r>
      <w:r>
        <w:t>)</w:t>
      </w:r>
      <w:r w:rsidR="00E35471" w:rsidRPr="00ED57B3">
        <w:t xml:space="preserve"> for protection applications, irreconcilable differences, therapeutic treatment orders, therapeutic treatment placement orders (TTOs and TTPOs) and temporary assessment orders (TAOs)</w:t>
      </w:r>
    </w:p>
    <w:p w14:paraId="04961F48" w14:textId="46B33AD5" w:rsidR="00BA58E4" w:rsidRPr="00EC1A2F" w:rsidRDefault="00BA58E4" w:rsidP="00C26B6E">
      <w:pPr>
        <w:pStyle w:val="VLAa"/>
        <w:numPr>
          <w:ilvl w:val="0"/>
          <w:numId w:val="0"/>
        </w:numPr>
        <w:rPr>
          <w:b/>
          <w:bCs/>
        </w:rPr>
      </w:pPr>
      <w:r w:rsidRPr="00EC1A2F">
        <w:rPr>
          <w:b/>
          <w:bCs/>
        </w:rPr>
        <w:t>Revised proposals</w:t>
      </w:r>
    </w:p>
    <w:p w14:paraId="6ACDC666" w14:textId="3FB0F91D" w:rsidR="00BA58E4" w:rsidRPr="00EC1A2F" w:rsidRDefault="00BA58E4" w:rsidP="00C26B6E">
      <w:pPr>
        <w:pStyle w:val="VLAa"/>
        <w:numPr>
          <w:ilvl w:val="0"/>
          <w:numId w:val="0"/>
        </w:numPr>
      </w:pPr>
      <w:r w:rsidRPr="00EC1A2F">
        <w:t xml:space="preserve">We will proceed with </w:t>
      </w:r>
      <w:r w:rsidR="00E35471" w:rsidRPr="00EC1A2F">
        <w:t xml:space="preserve">the </w:t>
      </w:r>
      <w:r w:rsidRPr="00EC1A2F">
        <w:t xml:space="preserve">proposals </w:t>
      </w:r>
      <w:r w:rsidR="00E35471" w:rsidRPr="00EC1A2F">
        <w:t>above, with the following amendments:</w:t>
      </w:r>
    </w:p>
    <w:p w14:paraId="5A9296CA" w14:textId="5DD32941" w:rsidR="00BA58E4" w:rsidRPr="00EC1A2F" w:rsidRDefault="00E35471" w:rsidP="00BA58E4">
      <w:pPr>
        <w:pStyle w:val="VLAa"/>
        <w:numPr>
          <w:ilvl w:val="0"/>
          <w:numId w:val="21"/>
        </w:numPr>
      </w:pPr>
      <w:r w:rsidRPr="00EC1A2F">
        <w:t>For</w:t>
      </w:r>
      <w:r w:rsidR="00211B79" w:rsidRPr="00EC1A2F">
        <w:t xml:space="preserve"> CBSO and LTCO </w:t>
      </w:r>
      <w:r w:rsidR="00BA58E4" w:rsidRPr="00EC1A2F">
        <w:t>applications</w:t>
      </w:r>
      <w:r w:rsidRPr="00EC1A2F">
        <w:t>, eligibility to be limited</w:t>
      </w:r>
      <w:r w:rsidR="00BA58E4" w:rsidRPr="00EC1A2F">
        <w:t xml:space="preserve"> to</w:t>
      </w:r>
      <w:r w:rsidR="00211B79" w:rsidRPr="00EC1A2F">
        <w:t xml:space="preserve"> parties who seek a substantively different </w:t>
      </w:r>
      <w:r w:rsidR="00211B79" w:rsidRPr="001F0689">
        <w:rPr>
          <w:u w:val="single"/>
        </w:rPr>
        <w:t>outcome</w:t>
      </w:r>
      <w:r w:rsidR="00211B79" w:rsidRPr="00EC1A2F">
        <w:t xml:space="preserve"> to the order sought by DFFH. An outcome will be substantively different if it relates to a significant </w:t>
      </w:r>
      <w:r w:rsidR="005D60A3" w:rsidRPr="00EC1A2F">
        <w:t>impact on the child or the party’s lifestyle</w:t>
      </w:r>
      <w:r w:rsidR="00EC1A2F">
        <w:t>,</w:t>
      </w:r>
      <w:r w:rsidR="005D60A3" w:rsidRPr="00EC1A2F" w:rsidDel="005D60A3">
        <w:t xml:space="preserve"> </w:t>
      </w:r>
      <w:r w:rsidR="00211B79" w:rsidRPr="00EC1A2F">
        <w:t xml:space="preserve">contact or cultural support. </w:t>
      </w:r>
    </w:p>
    <w:p w14:paraId="72533103" w14:textId="77777777" w:rsidR="006A643B" w:rsidRPr="00EC1A2F" w:rsidRDefault="006A643B" w:rsidP="006A643B">
      <w:pPr>
        <w:pStyle w:val="VLAa"/>
        <w:numPr>
          <w:ilvl w:val="0"/>
          <w:numId w:val="21"/>
        </w:numPr>
      </w:pPr>
      <w:r w:rsidRPr="00EC1A2F">
        <w:t xml:space="preserve">We will proceed with the proposal to limit funding for breach of protection order applications to applications where DFFH recommend a substantively different order </w:t>
      </w:r>
      <w:r w:rsidRPr="00EC1A2F">
        <w:rPr>
          <w:u w:val="single"/>
        </w:rPr>
        <w:t>or conditions</w:t>
      </w:r>
      <w:r w:rsidRPr="00EC1A2F">
        <w:t xml:space="preserve">. </w:t>
      </w:r>
    </w:p>
    <w:p w14:paraId="529B5EB1" w14:textId="59B02076" w:rsidR="00211B79" w:rsidRPr="00EC1A2F" w:rsidRDefault="00637CAD" w:rsidP="001F0689">
      <w:pPr>
        <w:pStyle w:val="VLAa"/>
        <w:numPr>
          <w:ilvl w:val="0"/>
          <w:numId w:val="0"/>
        </w:numPr>
        <w:ind w:left="780"/>
      </w:pPr>
      <w:r w:rsidRPr="00EC1A2F">
        <w:t>We will clarify in the guideline notes that if DFFH has not provided a report at the time the practitioner applies for aid, their certification that DFFH is recommending a substantively different order is based on the information known at the time, including orders sought by DFFH at a first hearing of the breach application and that the practitioner will re-assess their client’s eligibility upon receiving the DFFH report</w:t>
      </w:r>
      <w:r w:rsidR="00ED57B3" w:rsidRPr="00EC1A2F">
        <w:t>.</w:t>
      </w:r>
    </w:p>
    <w:p w14:paraId="052D9293" w14:textId="7795F0C2" w:rsidR="00EC1A2F" w:rsidRPr="00EC1A2F" w:rsidRDefault="00EC1A2F" w:rsidP="00BA58E4">
      <w:pPr>
        <w:pStyle w:val="VLAa"/>
        <w:numPr>
          <w:ilvl w:val="0"/>
          <w:numId w:val="21"/>
        </w:numPr>
      </w:pPr>
      <w:r w:rsidRPr="001F0689">
        <w:t>We will fund parties opposing permanent care orders only if there are reasonable prospects of the Court making a different order or making different conditions on these orders. Documentation will be required on file to show what outcome is sought.</w:t>
      </w:r>
    </w:p>
    <w:p w14:paraId="55CF9367" w14:textId="6A0EE011" w:rsidR="00BA58E4" w:rsidRDefault="00BA58E4" w:rsidP="00BA58E4">
      <w:pPr>
        <w:pStyle w:val="VLAa"/>
        <w:numPr>
          <w:ilvl w:val="0"/>
          <w:numId w:val="0"/>
        </w:numPr>
        <w:rPr>
          <w:b/>
          <w:bCs/>
        </w:rPr>
      </w:pPr>
      <w:r>
        <w:rPr>
          <w:b/>
          <w:bCs/>
        </w:rPr>
        <w:t>Rationale</w:t>
      </w:r>
    </w:p>
    <w:p w14:paraId="57B6DC58" w14:textId="451C63E4" w:rsidR="00BA58E4" w:rsidRDefault="00BA58E4" w:rsidP="00BA58E4">
      <w:pPr>
        <w:pStyle w:val="VLAa"/>
        <w:numPr>
          <w:ilvl w:val="0"/>
          <w:numId w:val="0"/>
        </w:numPr>
      </w:pPr>
      <w:r>
        <w:t xml:space="preserve">We received feedback that the language ‘substantively different order’ </w:t>
      </w:r>
      <w:r w:rsidR="00E35471">
        <w:t xml:space="preserve">could </w:t>
      </w:r>
      <w:r>
        <w:t xml:space="preserve">lead to uncertainty about whether different conditions on the same order type </w:t>
      </w:r>
      <w:r w:rsidR="005D60A3">
        <w:t xml:space="preserve">are deemed to be a substantively different order. The language ‘substantively different </w:t>
      </w:r>
      <w:r w:rsidR="005D60A3" w:rsidRPr="001F0689">
        <w:rPr>
          <w:u w:val="single"/>
        </w:rPr>
        <w:t>outcome’</w:t>
      </w:r>
      <w:r w:rsidR="005D60A3">
        <w:t xml:space="preserve"> makes it clearer that different conditions, even on the same order type, will be considered substantively different where they will have a significant impact on the child or the party’s lifestyle.</w:t>
      </w:r>
    </w:p>
    <w:p w14:paraId="52B01AE0" w14:textId="406BF15D" w:rsidR="005D60A3" w:rsidRPr="00BA58E4" w:rsidRDefault="005D60A3" w:rsidP="00BA58E4">
      <w:pPr>
        <w:pStyle w:val="VLAa"/>
        <w:numPr>
          <w:ilvl w:val="0"/>
          <w:numId w:val="0"/>
        </w:numPr>
      </w:pPr>
      <w:r>
        <w:t>We received feedback that practitioners are often unable to determine what application is sought by DFFH, especially where reports are not filed and served within legislated timeframes. We</w:t>
      </w:r>
      <w:r w:rsidRPr="00ED57B3">
        <w:t xml:space="preserve"> will clarify in the guideline notes that if DFFH has not provided a report at the time the practitioner applies for aid, their certification that DFFH is recommending a substantively different </w:t>
      </w:r>
      <w:r>
        <w:t>order or conditions</w:t>
      </w:r>
      <w:r w:rsidRPr="00ED57B3">
        <w:t xml:space="preserve"> is based on the information known at the time, including </w:t>
      </w:r>
      <w:r>
        <w:t>the nature of interim orders</w:t>
      </w:r>
      <w:r w:rsidRPr="00ED57B3">
        <w:t xml:space="preserve"> sought by DFFH at a first hearing of the breach application</w:t>
      </w:r>
      <w:r>
        <w:t>. P</w:t>
      </w:r>
      <w:r w:rsidRPr="00ED57B3">
        <w:t>ractitioner</w:t>
      </w:r>
      <w:r w:rsidR="006A643B">
        <w:t>s</w:t>
      </w:r>
      <w:r w:rsidRPr="00ED57B3">
        <w:t xml:space="preserve"> will </w:t>
      </w:r>
      <w:r>
        <w:t xml:space="preserve">be required to </w:t>
      </w:r>
      <w:r w:rsidRPr="00ED57B3">
        <w:t>re-assess their client’s eligibility upon receiving the DFFH report.</w:t>
      </w:r>
    </w:p>
    <w:p w14:paraId="39E305CD" w14:textId="77777777" w:rsidR="00E665D6" w:rsidRPr="004A2234" w:rsidRDefault="00E665D6" w:rsidP="00E665D6">
      <w:pPr>
        <w:pStyle w:val="Heading3"/>
      </w:pPr>
      <w:r w:rsidRPr="004A2234">
        <w:t xml:space="preserve">New definitions for additional hearings and fee claims </w:t>
      </w:r>
    </w:p>
    <w:p w14:paraId="72AD1411" w14:textId="77777777" w:rsidR="005D60A3" w:rsidRDefault="005D60A3" w:rsidP="00E665D6">
      <w:pPr>
        <w:rPr>
          <w:b/>
          <w:bCs/>
        </w:rPr>
      </w:pPr>
      <w:r>
        <w:rPr>
          <w:b/>
          <w:bCs/>
        </w:rPr>
        <w:t>Original proposal</w:t>
      </w:r>
    </w:p>
    <w:p w14:paraId="57FF1EE8" w14:textId="6CD641F4" w:rsidR="00E665D6" w:rsidRPr="0090479E" w:rsidRDefault="0090479E" w:rsidP="00E665D6">
      <w:r w:rsidRPr="0090479E">
        <w:t xml:space="preserve">We </w:t>
      </w:r>
      <w:r w:rsidR="00E665D6" w:rsidRPr="0090479E">
        <w:t xml:space="preserve">proposed changes </w:t>
      </w:r>
      <w:r w:rsidRPr="0090479E">
        <w:t xml:space="preserve">to </w:t>
      </w:r>
      <w:r w:rsidR="00492919">
        <w:t xml:space="preserve">the </w:t>
      </w:r>
      <w:r w:rsidRPr="0090479E">
        <w:t>definition of extraordinary circumstances and to the fees claimable for mentions and adjournments</w:t>
      </w:r>
      <w:r w:rsidR="00E665D6" w:rsidRPr="0090479E">
        <w:t>:</w:t>
      </w:r>
    </w:p>
    <w:p w14:paraId="71519CB2" w14:textId="77777777" w:rsidR="00E665D6" w:rsidRPr="0090479E" w:rsidRDefault="00E665D6" w:rsidP="001F0689">
      <w:pPr>
        <w:pStyle w:val="VLAa"/>
        <w:numPr>
          <w:ilvl w:val="0"/>
          <w:numId w:val="23"/>
        </w:numPr>
      </w:pPr>
      <w:r w:rsidRPr="0090479E">
        <w:t>A new definition of extraordinary circumstances as being ‘unusual, rare and significant’ impact on the duration of proceedings, with appropriate examples.</w:t>
      </w:r>
    </w:p>
    <w:p w14:paraId="62F54083" w14:textId="5D1F25B5" w:rsidR="00E665D6" w:rsidRDefault="00E665D6" w:rsidP="001F0689">
      <w:pPr>
        <w:pStyle w:val="VLAa"/>
        <w:numPr>
          <w:ilvl w:val="0"/>
          <w:numId w:val="23"/>
        </w:numPr>
      </w:pPr>
      <w:r w:rsidRPr="0090479E">
        <w:t>Replacing the ‘substantial negotiation’ test with specific criteria for the higher fee at mention.</w:t>
      </w:r>
    </w:p>
    <w:p w14:paraId="72E5A86B" w14:textId="4BD0E7B6" w:rsidR="005D60A3" w:rsidRDefault="005D60A3" w:rsidP="0090479E">
      <w:pPr>
        <w:pStyle w:val="VLAa"/>
        <w:numPr>
          <w:ilvl w:val="0"/>
          <w:numId w:val="0"/>
        </w:numPr>
        <w:rPr>
          <w:b/>
          <w:bCs/>
        </w:rPr>
      </w:pPr>
      <w:r>
        <w:rPr>
          <w:b/>
          <w:bCs/>
        </w:rPr>
        <w:t>Revised proposal</w:t>
      </w:r>
    </w:p>
    <w:p w14:paraId="4AF1C719" w14:textId="69378AA1" w:rsidR="00356DE3" w:rsidRDefault="00356DE3" w:rsidP="001F0689">
      <w:pPr>
        <w:pStyle w:val="VLAa"/>
        <w:numPr>
          <w:ilvl w:val="0"/>
          <w:numId w:val="0"/>
        </w:numPr>
        <w:ind w:left="426" w:hanging="360"/>
      </w:pPr>
      <w:r>
        <w:t>We will:</w:t>
      </w:r>
    </w:p>
    <w:p w14:paraId="2855FF0B" w14:textId="5C786EA6" w:rsidR="005D60A3" w:rsidRDefault="00356DE3" w:rsidP="001F0689">
      <w:pPr>
        <w:pStyle w:val="VLAa"/>
        <w:numPr>
          <w:ilvl w:val="0"/>
          <w:numId w:val="24"/>
        </w:numPr>
      </w:pPr>
      <w:r>
        <w:lastRenderedPageBreak/>
        <w:t>P</w:t>
      </w:r>
      <w:r w:rsidR="005D60A3">
        <w:t>roceed with the proposed definition of extraordinary circumstances.</w:t>
      </w:r>
    </w:p>
    <w:p w14:paraId="5EA276BF" w14:textId="4172A771" w:rsidR="005D60A3" w:rsidRDefault="00356DE3" w:rsidP="005D60A3">
      <w:pPr>
        <w:pStyle w:val="VLAa"/>
        <w:numPr>
          <w:ilvl w:val="0"/>
          <w:numId w:val="24"/>
        </w:numPr>
      </w:pPr>
      <w:r>
        <w:t>I</w:t>
      </w:r>
      <w:r w:rsidR="005D60A3">
        <w:t xml:space="preserve">nclude </w:t>
      </w:r>
      <w:r w:rsidR="008400CF">
        <w:t xml:space="preserve">the following </w:t>
      </w:r>
      <w:r w:rsidR="005D60A3">
        <w:t xml:space="preserve">expanded criteria </w:t>
      </w:r>
      <w:r w:rsidR="008400CF">
        <w:t>for</w:t>
      </w:r>
      <w:r w:rsidR="005D60A3">
        <w:t xml:space="preserve"> the higher mention fee:</w:t>
      </w:r>
    </w:p>
    <w:p w14:paraId="2E32D1BB" w14:textId="77777777" w:rsidR="005D60A3" w:rsidRPr="00D97055" w:rsidRDefault="005D60A3" w:rsidP="001F0689">
      <w:pPr>
        <w:pStyle w:val="VLAa"/>
        <w:numPr>
          <w:ilvl w:val="0"/>
          <w:numId w:val="25"/>
        </w:numPr>
        <w:ind w:left="1080"/>
      </w:pPr>
      <w:r w:rsidRPr="00D97055">
        <w:t>Settlement on final order</w:t>
      </w:r>
    </w:p>
    <w:p w14:paraId="6EA4B193" w14:textId="77777777" w:rsidR="005D60A3" w:rsidRPr="00D97055" w:rsidRDefault="005D60A3" w:rsidP="001F0689">
      <w:pPr>
        <w:pStyle w:val="VLAa"/>
        <w:numPr>
          <w:ilvl w:val="0"/>
          <w:numId w:val="25"/>
        </w:numPr>
        <w:ind w:left="1080"/>
      </w:pPr>
      <w:r w:rsidRPr="00D97055">
        <w:t>The matter proceeded as a submissions contest</w:t>
      </w:r>
    </w:p>
    <w:p w14:paraId="3F3D3F8D" w14:textId="77777777" w:rsidR="005D60A3" w:rsidRPr="00D97055" w:rsidRDefault="005D60A3" w:rsidP="001F0689">
      <w:pPr>
        <w:pStyle w:val="VLAa"/>
        <w:numPr>
          <w:ilvl w:val="0"/>
          <w:numId w:val="25"/>
        </w:numPr>
        <w:ind w:left="1080"/>
      </w:pPr>
      <w:r w:rsidRPr="00D97055">
        <w:t>A new interim accommodation order was made or varied which changes the child’s placement</w:t>
      </w:r>
    </w:p>
    <w:p w14:paraId="2BBBD479" w14:textId="77777777" w:rsidR="005D60A3" w:rsidRPr="00D97055" w:rsidRDefault="005D60A3" w:rsidP="001F0689">
      <w:pPr>
        <w:pStyle w:val="VLAa"/>
        <w:numPr>
          <w:ilvl w:val="0"/>
          <w:numId w:val="25"/>
        </w:numPr>
        <w:ind w:left="1080"/>
      </w:pPr>
      <w:r w:rsidRPr="00D97055">
        <w:t>An interim accommodation order contact condition is varied to change supervision requirements or to include or vary a progressive contact schedule or plan</w:t>
      </w:r>
    </w:p>
    <w:p w14:paraId="5FD2EE09" w14:textId="77777777" w:rsidR="005D60A3" w:rsidRPr="00D97055" w:rsidRDefault="005D60A3" w:rsidP="001F0689">
      <w:pPr>
        <w:pStyle w:val="VLAa"/>
        <w:numPr>
          <w:ilvl w:val="0"/>
          <w:numId w:val="25"/>
        </w:numPr>
        <w:ind w:left="1080"/>
      </w:pPr>
      <w:r>
        <w:t>A c</w:t>
      </w:r>
      <w:r w:rsidRPr="00D97055">
        <w:t>osts application is made</w:t>
      </w:r>
    </w:p>
    <w:p w14:paraId="3A02C56F" w14:textId="77777777" w:rsidR="005D60A3" w:rsidRDefault="005D60A3" w:rsidP="001F0689">
      <w:pPr>
        <w:pStyle w:val="ListParagraph"/>
        <w:numPr>
          <w:ilvl w:val="0"/>
          <w:numId w:val="25"/>
        </w:numPr>
        <w:spacing w:line="240" w:lineRule="auto"/>
        <w:ind w:left="1080"/>
        <w:rPr>
          <w:szCs w:val="20"/>
        </w:rPr>
      </w:pPr>
      <w:r>
        <w:rPr>
          <w:szCs w:val="20"/>
        </w:rPr>
        <w:t>It is the first hearing of a new</w:t>
      </w:r>
      <w:r w:rsidRPr="0092021A">
        <w:rPr>
          <w:szCs w:val="20"/>
        </w:rPr>
        <w:t xml:space="preserve"> interim </w:t>
      </w:r>
      <w:r>
        <w:rPr>
          <w:szCs w:val="20"/>
        </w:rPr>
        <w:t xml:space="preserve">breach or variation </w:t>
      </w:r>
      <w:r w:rsidRPr="0092021A">
        <w:rPr>
          <w:szCs w:val="20"/>
        </w:rPr>
        <w:t xml:space="preserve">application </w:t>
      </w:r>
      <w:r>
        <w:rPr>
          <w:szCs w:val="20"/>
        </w:rPr>
        <w:t>or an application for a new IAO</w:t>
      </w:r>
    </w:p>
    <w:p w14:paraId="175CF7F6" w14:textId="77777777" w:rsidR="005D60A3" w:rsidRDefault="005D60A3" w:rsidP="001F0689">
      <w:pPr>
        <w:pStyle w:val="ListParagraph"/>
        <w:spacing w:line="240" w:lineRule="auto"/>
        <w:ind w:left="1800"/>
        <w:rPr>
          <w:szCs w:val="20"/>
        </w:rPr>
      </w:pPr>
    </w:p>
    <w:p w14:paraId="64A15A87" w14:textId="77777777" w:rsidR="005D60A3" w:rsidRDefault="005D60A3" w:rsidP="001F0689">
      <w:pPr>
        <w:pStyle w:val="ListParagraph"/>
        <w:numPr>
          <w:ilvl w:val="0"/>
          <w:numId w:val="25"/>
        </w:numPr>
        <w:spacing w:line="240" w:lineRule="auto"/>
        <w:ind w:left="1080"/>
        <w:rPr>
          <w:szCs w:val="20"/>
        </w:rPr>
      </w:pPr>
      <w:r>
        <w:rPr>
          <w:szCs w:val="20"/>
        </w:rPr>
        <w:t xml:space="preserve">Issues in dispute are narrowed or resolved and included in conditions or notations on the court file </w:t>
      </w:r>
    </w:p>
    <w:p w14:paraId="30D02738" w14:textId="552152CD" w:rsidR="005D60A3" w:rsidRPr="001F0689" w:rsidRDefault="005D60A3" w:rsidP="0090479E">
      <w:pPr>
        <w:pStyle w:val="VLAa"/>
        <w:numPr>
          <w:ilvl w:val="0"/>
          <w:numId w:val="0"/>
        </w:numPr>
        <w:rPr>
          <w:b/>
          <w:bCs/>
        </w:rPr>
      </w:pPr>
      <w:r>
        <w:rPr>
          <w:b/>
          <w:bCs/>
        </w:rPr>
        <w:t>Rationale</w:t>
      </w:r>
    </w:p>
    <w:p w14:paraId="0EF66FC4" w14:textId="0B7E611D" w:rsidR="0090479E" w:rsidRDefault="00A41A9A" w:rsidP="0090479E">
      <w:pPr>
        <w:pStyle w:val="VLAa"/>
        <w:numPr>
          <w:ilvl w:val="0"/>
          <w:numId w:val="0"/>
        </w:numPr>
      </w:pPr>
      <w:r>
        <w:t>The</w:t>
      </w:r>
      <w:r w:rsidR="004779C4">
        <w:t xml:space="preserve"> feedback</w:t>
      </w:r>
      <w:r>
        <w:t xml:space="preserve"> VLA received</w:t>
      </w:r>
      <w:r w:rsidR="004779C4">
        <w:t xml:space="preserve"> </w:t>
      </w:r>
      <w:r w:rsidR="009B42E1">
        <w:t xml:space="preserve">in relation to </w:t>
      </w:r>
      <w:r w:rsidR="005D60A3">
        <w:t>the extraordinary circumstances definition</w:t>
      </w:r>
      <w:r w:rsidR="009B42E1">
        <w:t xml:space="preserve"> </w:t>
      </w:r>
      <w:r w:rsidR="00492919">
        <w:t>largely</w:t>
      </w:r>
      <w:r w:rsidR="003928B8">
        <w:t xml:space="preserve"> identified the </w:t>
      </w:r>
      <w:r w:rsidR="009B42E1">
        <w:t>importance</w:t>
      </w:r>
      <w:r w:rsidR="003928B8">
        <w:t xml:space="preserve"> </w:t>
      </w:r>
      <w:r w:rsidR="009B42E1">
        <w:t>of funding for</w:t>
      </w:r>
      <w:r w:rsidR="003928B8">
        <w:t xml:space="preserve"> additional hearings where DFFH make an interim breach or </w:t>
      </w:r>
      <w:r w:rsidR="009B42E1">
        <w:t>an</w:t>
      </w:r>
      <w:r w:rsidR="003928B8">
        <w:t xml:space="preserve"> interim variation application</w:t>
      </w:r>
      <w:r w:rsidR="009B42E1">
        <w:t xml:space="preserve"> instead of a breach</w:t>
      </w:r>
      <w:r w:rsidR="003928B8">
        <w:t xml:space="preserve">. </w:t>
      </w:r>
      <w:r w:rsidR="009B42E1">
        <w:t xml:space="preserve">VLA is not proposing to restrict the </w:t>
      </w:r>
      <w:r w:rsidR="008400CF">
        <w:t>avail</w:t>
      </w:r>
      <w:r w:rsidR="009B42E1">
        <w:t xml:space="preserve">ability of additional hearings where there is a breach or where DFFH make an interim variation application erroneously </w:t>
      </w:r>
      <w:proofErr w:type="spellStart"/>
      <w:r w:rsidR="00492919">
        <w:t>ie</w:t>
      </w:r>
      <w:proofErr w:type="spellEnd"/>
      <w:r w:rsidR="00492919">
        <w:t xml:space="preserve">. </w:t>
      </w:r>
      <w:r w:rsidR="009B42E1">
        <w:t xml:space="preserve">instead of a breach application. Additional hearings in those circumstances will continue to be funded in the same terms. We </w:t>
      </w:r>
      <w:r w:rsidR="005D60A3">
        <w:t>will review</w:t>
      </w:r>
      <w:r w:rsidR="009B42E1">
        <w:t xml:space="preserve"> the language in the guideline notes to ensure the entitlement to funding for additional hearings upon breach or erroneous variation application is clear.</w:t>
      </w:r>
    </w:p>
    <w:p w14:paraId="231A032B" w14:textId="5B5FB4B9" w:rsidR="00A41A9A" w:rsidRPr="00A41A9A" w:rsidRDefault="005D60A3" w:rsidP="00D97055">
      <w:pPr>
        <w:pStyle w:val="VLAa"/>
        <w:numPr>
          <w:ilvl w:val="0"/>
          <w:numId w:val="0"/>
        </w:numPr>
        <w:rPr>
          <w:b/>
          <w:bCs/>
        </w:rPr>
      </w:pPr>
      <w:r>
        <w:t>We</w:t>
      </w:r>
      <w:r w:rsidR="009B42E1">
        <w:t xml:space="preserve"> received</w:t>
      </w:r>
      <w:r w:rsidR="00A41A9A">
        <w:t xml:space="preserve"> helpful feedback about specific circumstances where the higher fee should be paid rather than an adjournment fee. </w:t>
      </w:r>
      <w:r w:rsidR="00FE37B4">
        <w:t xml:space="preserve">Feedback included examples of when extensive negotiation is attempted, but the DFFH does not respond or is unwilling to negotiate. The expanded criteria </w:t>
      </w:r>
      <w:proofErr w:type="gramStart"/>
      <w:r w:rsidR="00FE37B4">
        <w:t>enables</w:t>
      </w:r>
      <w:proofErr w:type="gramEnd"/>
      <w:r w:rsidR="00FE37B4">
        <w:t xml:space="preserve"> a practitioner to claim the higher fee where their client’s instructions are able to narrow issues in dispute, even if DFFH does not agree to resolve the issue at that hearing.</w:t>
      </w:r>
    </w:p>
    <w:p w14:paraId="75B8D880" w14:textId="77777777" w:rsidR="00E665D6" w:rsidRPr="00C4096F" w:rsidRDefault="00E665D6" w:rsidP="00E665D6">
      <w:pPr>
        <w:pStyle w:val="Heading2"/>
      </w:pPr>
      <w:r w:rsidRPr="00C4096F">
        <w:t>Modernising language</w:t>
      </w:r>
    </w:p>
    <w:p w14:paraId="4F568A74" w14:textId="4F1FF98B" w:rsidR="00E665D6" w:rsidRPr="00C4096F" w:rsidRDefault="00236754" w:rsidP="00E665D6">
      <w:pPr>
        <w:rPr>
          <w:lang w:eastAsia="en-AU"/>
        </w:rPr>
      </w:pPr>
      <w:r>
        <w:rPr>
          <w:lang w:eastAsia="en-AU"/>
        </w:rPr>
        <w:t xml:space="preserve">We </w:t>
      </w:r>
      <w:r w:rsidR="00FE37B4">
        <w:rPr>
          <w:lang w:eastAsia="en-AU"/>
        </w:rPr>
        <w:t xml:space="preserve">proposed and </w:t>
      </w:r>
      <w:r w:rsidRPr="001F0689">
        <w:rPr>
          <w:lang w:eastAsia="en-AU"/>
        </w:rPr>
        <w:t>will proceed</w:t>
      </w:r>
      <w:r w:rsidRPr="00FE37B4">
        <w:rPr>
          <w:lang w:eastAsia="en-AU"/>
        </w:rPr>
        <w:t xml:space="preserve"> with</w:t>
      </w:r>
      <w:r>
        <w:rPr>
          <w:lang w:eastAsia="en-AU"/>
        </w:rPr>
        <w:t xml:space="preserve"> changes to:</w:t>
      </w:r>
    </w:p>
    <w:p w14:paraId="460A69F8" w14:textId="059C7285" w:rsidR="00E665D6" w:rsidRPr="00C4096F" w:rsidRDefault="00E665D6" w:rsidP="00E665D6">
      <w:pPr>
        <w:pStyle w:val="ListBullet"/>
        <w:rPr>
          <w:lang w:eastAsia="en-AU"/>
        </w:rPr>
      </w:pPr>
      <w:r w:rsidRPr="00C4096F">
        <w:rPr>
          <w:lang w:eastAsia="en-AU"/>
        </w:rPr>
        <w:t>Update reference</w:t>
      </w:r>
      <w:r>
        <w:rPr>
          <w:lang w:eastAsia="en-AU"/>
        </w:rPr>
        <w:t>s</w:t>
      </w:r>
      <w:r w:rsidRPr="00C4096F">
        <w:rPr>
          <w:lang w:eastAsia="en-AU"/>
        </w:rPr>
        <w:t xml:space="preserve"> from DHHS to DFFH</w:t>
      </w:r>
    </w:p>
    <w:p w14:paraId="1890232B" w14:textId="2A9FAE0B" w:rsidR="00E665D6" w:rsidRPr="00C4096F" w:rsidRDefault="00E665D6" w:rsidP="00E665D6">
      <w:pPr>
        <w:pStyle w:val="ListBullet"/>
        <w:rPr>
          <w:lang w:eastAsia="en-AU"/>
        </w:rPr>
      </w:pPr>
      <w:r w:rsidRPr="00C4096F">
        <w:rPr>
          <w:lang w:eastAsia="en-AU"/>
        </w:rPr>
        <w:t>Replac</w:t>
      </w:r>
      <w:r w:rsidR="00492919">
        <w:rPr>
          <w:lang w:eastAsia="en-AU"/>
        </w:rPr>
        <w:t>e</w:t>
      </w:r>
      <w:r w:rsidRPr="00C4096F">
        <w:rPr>
          <w:lang w:eastAsia="en-AU"/>
        </w:rPr>
        <w:t xml:space="preserve"> references to</w:t>
      </w:r>
      <w:r>
        <w:rPr>
          <w:lang w:eastAsia="en-AU"/>
        </w:rPr>
        <w:t xml:space="preserve"> ‘</w:t>
      </w:r>
      <w:r w:rsidRPr="00C4096F">
        <w:rPr>
          <w:lang w:eastAsia="en-AU"/>
        </w:rPr>
        <w:t>IAO appearances’ and ‘adjourned IAOs’ to ‘mention’ and ‘adjournment’</w:t>
      </w:r>
      <w:r>
        <w:rPr>
          <w:lang w:eastAsia="en-AU"/>
        </w:rPr>
        <w:t xml:space="preserve"> respectively</w:t>
      </w:r>
      <w:r w:rsidRPr="00C4096F">
        <w:rPr>
          <w:lang w:eastAsia="en-AU"/>
        </w:rPr>
        <w:t xml:space="preserve"> to better reflect </w:t>
      </w:r>
      <w:r w:rsidR="00492919">
        <w:rPr>
          <w:lang w:eastAsia="en-AU"/>
        </w:rPr>
        <w:t xml:space="preserve">the language current used in </w:t>
      </w:r>
      <w:r w:rsidRPr="00C4096F">
        <w:rPr>
          <w:lang w:eastAsia="en-AU"/>
        </w:rPr>
        <w:t>Children’s Court hearings</w:t>
      </w:r>
    </w:p>
    <w:p w14:paraId="72C19A9A" w14:textId="78DEC7B9" w:rsidR="008C4629" w:rsidRDefault="008C4629" w:rsidP="00E665D6">
      <w:pPr>
        <w:pStyle w:val="Heading2"/>
      </w:pPr>
      <w:r>
        <w:t>Approach to cost savings</w:t>
      </w:r>
    </w:p>
    <w:p w14:paraId="7F0FA971" w14:textId="4C071502" w:rsidR="008C4629" w:rsidRDefault="008C4629" w:rsidP="00810FB5">
      <w:pPr>
        <w:pStyle w:val="VLAa"/>
        <w:numPr>
          <w:ilvl w:val="0"/>
          <w:numId w:val="0"/>
        </w:numPr>
      </w:pPr>
      <w:r>
        <w:t>In the context of child protection case expenditure exceeding current funding to VLA for number of years, we had proposed to fund the shortfall in funding for readiness hearings by reducing the final contest preparation fee.</w:t>
      </w:r>
    </w:p>
    <w:p w14:paraId="75557670" w14:textId="69685E6D" w:rsidR="008C4629" w:rsidRDefault="008C4629" w:rsidP="000761D7">
      <w:pPr>
        <w:pStyle w:val="VLAa"/>
        <w:numPr>
          <w:ilvl w:val="0"/>
          <w:numId w:val="0"/>
        </w:numPr>
      </w:pPr>
      <w:r>
        <w:t>The sustainability of VLA’s overall child protection expenditure is still anticipated to worsen when the impacts of the COVID-19 pandemic and public health restrictions ease, if the number of protection applications issued by DFFH each year resume growth at the expected pre-pandemic rate of 8 – 10% per year. However, the impacts of the pandemic</w:t>
      </w:r>
      <w:r w:rsidR="00810FB5">
        <w:t xml:space="preserve"> and</w:t>
      </w:r>
      <w:r>
        <w:t xml:space="preserve"> particularly the</w:t>
      </w:r>
      <w:r w:rsidR="00810FB5">
        <w:t xml:space="preserve"> recent</w:t>
      </w:r>
      <w:r>
        <w:t xml:space="preserve"> Omicron variant have </w:t>
      </w:r>
      <w:r w:rsidR="00810FB5">
        <w:t>seen</w:t>
      </w:r>
      <w:r>
        <w:t xml:space="preserve"> the number of protection applications remaining lower than ex</w:t>
      </w:r>
      <w:r>
        <w:rPr>
          <w:lang w:eastAsia="en-AU"/>
        </w:rPr>
        <w:t xml:space="preserve">pected for longer. On this basis, we have </w:t>
      </w:r>
      <w:r>
        <w:rPr>
          <w:lang w:eastAsia="en-AU"/>
        </w:rPr>
        <w:lastRenderedPageBreak/>
        <w:t xml:space="preserve">decided that cost savings measures </w:t>
      </w:r>
      <w:r w:rsidR="000761D7">
        <w:rPr>
          <w:lang w:eastAsia="en-AU"/>
        </w:rPr>
        <w:t xml:space="preserve">will not proceed apart </w:t>
      </w:r>
      <w:proofErr w:type="gramStart"/>
      <w:r w:rsidR="000761D7">
        <w:rPr>
          <w:lang w:eastAsia="en-AU"/>
        </w:rPr>
        <w:t>from  the</w:t>
      </w:r>
      <w:proofErr w:type="gramEnd"/>
      <w:r w:rsidR="000761D7">
        <w:rPr>
          <w:lang w:eastAsia="en-AU"/>
        </w:rPr>
        <w:t xml:space="preserve"> </w:t>
      </w:r>
      <w:r w:rsidR="00CF7817">
        <w:rPr>
          <w:lang w:eastAsia="en-AU"/>
        </w:rPr>
        <w:t>changes the ‘preparation upon settlement’</w:t>
      </w:r>
      <w:r>
        <w:rPr>
          <w:lang w:eastAsia="en-AU"/>
        </w:rPr>
        <w:t xml:space="preserve"> </w:t>
      </w:r>
      <w:r w:rsidR="00CF7817">
        <w:rPr>
          <w:lang w:eastAsia="en-AU"/>
        </w:rPr>
        <w:t xml:space="preserve">fee for readiness and directions hearings. </w:t>
      </w:r>
      <w:r>
        <w:rPr>
          <w:lang w:eastAsia="en-AU"/>
        </w:rPr>
        <w:t xml:space="preserve">The </w:t>
      </w:r>
      <w:r w:rsidR="00810FB5">
        <w:rPr>
          <w:lang w:eastAsia="en-AU"/>
        </w:rPr>
        <w:t xml:space="preserve">volume </w:t>
      </w:r>
      <w:r>
        <w:rPr>
          <w:lang w:eastAsia="en-AU"/>
        </w:rPr>
        <w:t xml:space="preserve">of protection applications will be monitored and </w:t>
      </w:r>
      <w:r w:rsidR="00CF7817">
        <w:rPr>
          <w:lang w:eastAsia="en-AU"/>
        </w:rPr>
        <w:t xml:space="preserve">other </w:t>
      </w:r>
      <w:r>
        <w:rPr>
          <w:lang w:eastAsia="en-AU"/>
        </w:rPr>
        <w:t xml:space="preserve">cost savings measures may be </w:t>
      </w:r>
      <w:proofErr w:type="gramStart"/>
      <w:r w:rsidR="00810FB5">
        <w:rPr>
          <w:lang w:eastAsia="en-AU"/>
        </w:rPr>
        <w:t xml:space="preserve">considered </w:t>
      </w:r>
      <w:r>
        <w:rPr>
          <w:lang w:eastAsia="en-AU"/>
        </w:rPr>
        <w:t xml:space="preserve"> in</w:t>
      </w:r>
      <w:proofErr w:type="gramEnd"/>
      <w:r>
        <w:rPr>
          <w:lang w:eastAsia="en-AU"/>
        </w:rPr>
        <w:t xml:space="preserve"> the future</w:t>
      </w:r>
      <w:r w:rsidR="00810FB5">
        <w:rPr>
          <w:lang w:eastAsia="en-AU"/>
        </w:rPr>
        <w:t xml:space="preserve"> if necessary</w:t>
      </w:r>
      <w:r>
        <w:rPr>
          <w:lang w:eastAsia="en-AU"/>
        </w:rPr>
        <w:t xml:space="preserve">. </w:t>
      </w:r>
    </w:p>
    <w:p w14:paraId="6CA1D474" w14:textId="6E740E4C" w:rsidR="00E665D6" w:rsidRPr="00C4096F" w:rsidRDefault="00236754" w:rsidP="00E665D6">
      <w:pPr>
        <w:pStyle w:val="Heading2"/>
      </w:pPr>
      <w:r>
        <w:t>Further c</w:t>
      </w:r>
      <w:r w:rsidR="00E665D6" w:rsidRPr="00C4096F">
        <w:t>onsultation processes</w:t>
      </w:r>
    </w:p>
    <w:p w14:paraId="176049F3" w14:textId="4F43FECF" w:rsidR="00E665D6" w:rsidRPr="009C07C1" w:rsidRDefault="00E665D6" w:rsidP="00F53412">
      <w:r w:rsidRPr="00C4096F">
        <w:t xml:space="preserve">VLA </w:t>
      </w:r>
      <w:r w:rsidR="00F53412">
        <w:t>seeks feedback from</w:t>
      </w:r>
      <w:r w:rsidRPr="00C4096F">
        <w:t xml:space="preserve"> practitioners, Courts</w:t>
      </w:r>
      <w:r>
        <w:t xml:space="preserve">, </w:t>
      </w:r>
      <w:r w:rsidRPr="00C4096F">
        <w:t>DFFH</w:t>
      </w:r>
      <w:r>
        <w:t xml:space="preserve"> and other key stakeholders</w:t>
      </w:r>
      <w:r w:rsidRPr="00C4096F">
        <w:t xml:space="preserve"> </w:t>
      </w:r>
      <w:r w:rsidR="008400CF">
        <w:t>by</w:t>
      </w:r>
      <w:r w:rsidRPr="00BF61DF">
        <w:rPr>
          <w:b/>
          <w:bCs/>
        </w:rPr>
        <w:t xml:space="preserve"> </w:t>
      </w:r>
      <w:r w:rsidR="000C63B6">
        <w:rPr>
          <w:b/>
          <w:bCs/>
        </w:rPr>
        <w:t xml:space="preserve">29 April </w:t>
      </w:r>
      <w:r w:rsidRPr="00BF61DF">
        <w:rPr>
          <w:b/>
          <w:bCs/>
        </w:rPr>
        <w:t>20</w:t>
      </w:r>
      <w:r w:rsidR="00236754">
        <w:rPr>
          <w:b/>
          <w:bCs/>
        </w:rPr>
        <w:t>2</w:t>
      </w:r>
      <w:r w:rsidR="008400CF">
        <w:rPr>
          <w:b/>
          <w:bCs/>
        </w:rPr>
        <w:t>2</w:t>
      </w:r>
      <w:r w:rsidR="00236754">
        <w:t xml:space="preserve"> in relation to the</w:t>
      </w:r>
      <w:r w:rsidR="00FE37B4">
        <w:t xml:space="preserve"> </w:t>
      </w:r>
      <w:r w:rsidR="008400CF" w:rsidRPr="000761D7">
        <w:rPr>
          <w:u w:val="single"/>
        </w:rPr>
        <w:t>new</w:t>
      </w:r>
      <w:r w:rsidR="00236754" w:rsidRPr="000761D7">
        <w:rPr>
          <w:u w:val="single"/>
        </w:rPr>
        <w:t xml:space="preserve"> proposal</w:t>
      </w:r>
      <w:r w:rsidR="00F53412" w:rsidRPr="000761D7">
        <w:rPr>
          <w:u w:val="single"/>
        </w:rPr>
        <w:t xml:space="preserve"> t</w:t>
      </w:r>
      <w:r w:rsidR="009C07C1" w:rsidRPr="000761D7">
        <w:rPr>
          <w:u w:val="single"/>
        </w:rPr>
        <w:t>o separate</w:t>
      </w:r>
      <w:r w:rsidR="009C07C1" w:rsidRPr="001F0689">
        <w:rPr>
          <w:u w:val="single"/>
        </w:rPr>
        <w:t xml:space="preserve"> the final contest preparation fee into general preparation and subpoena inspection components</w:t>
      </w:r>
      <w:r w:rsidR="009C07C1" w:rsidRPr="001F0689">
        <w:t>, whilst retaining the same total fee</w:t>
      </w:r>
      <w:r w:rsidR="008400CF">
        <w:t>.</w:t>
      </w:r>
      <w:r w:rsidRPr="009C07C1">
        <w:t xml:space="preserve"> </w:t>
      </w:r>
    </w:p>
    <w:p w14:paraId="6401A0A7" w14:textId="38D4A38F" w:rsidR="00E665D6" w:rsidRDefault="00E665D6" w:rsidP="00E665D6">
      <w:r>
        <w:t xml:space="preserve">We will consider </w:t>
      </w:r>
      <w:r w:rsidR="00236754">
        <w:t xml:space="preserve">feedback in relation to </w:t>
      </w:r>
      <w:r w:rsidR="007E3075">
        <w:t>th</w:t>
      </w:r>
      <w:r w:rsidR="008400CF">
        <w:t>is</w:t>
      </w:r>
      <w:r w:rsidR="007E3075">
        <w:t xml:space="preserve"> </w:t>
      </w:r>
      <w:r w:rsidR="00236754">
        <w:t xml:space="preserve">proposal </w:t>
      </w:r>
      <w:r w:rsidR="00B81F3E">
        <w:t xml:space="preserve">in </w:t>
      </w:r>
      <w:r w:rsidR="006730D9">
        <w:t>early May</w:t>
      </w:r>
      <w:r w:rsidR="007E3075">
        <w:t xml:space="preserve"> </w:t>
      </w:r>
      <w:r w:rsidR="004F721A">
        <w:t>and consult with the Legal Services Board and Commission</w:t>
      </w:r>
      <w:r w:rsidR="00B81F3E">
        <w:t>. A final decision about all proposal</w:t>
      </w:r>
      <w:r w:rsidR="008400CF">
        <w:t>s</w:t>
      </w:r>
      <w:r w:rsidR="00B81F3E">
        <w:t xml:space="preserve"> will be made by the VLA Board in the following months.</w:t>
      </w:r>
    </w:p>
    <w:p w14:paraId="29928EED" w14:textId="7CE5C825" w:rsidR="00B81F3E" w:rsidRPr="00C4096F" w:rsidRDefault="00B81F3E" w:rsidP="00E665D6">
      <w:r>
        <w:t xml:space="preserve">Feedback can be provided by emailing Elicia Savvas, Associate Director Child Protection on </w:t>
      </w:r>
      <w:hyperlink r:id="rId8" w:history="1">
        <w:r w:rsidRPr="007D2C4D">
          <w:rPr>
            <w:rStyle w:val="Hyperlink"/>
          </w:rPr>
          <w:t>elicia.savvas@vla.vic.gov.au</w:t>
        </w:r>
      </w:hyperlink>
      <w:r>
        <w:t xml:space="preserve"> by </w:t>
      </w:r>
      <w:r w:rsidR="007715C2">
        <w:t>Friday</w:t>
      </w:r>
      <w:r w:rsidR="004F721A">
        <w:t xml:space="preserve"> </w:t>
      </w:r>
      <w:r w:rsidR="007715C2">
        <w:t>29</w:t>
      </w:r>
      <w:r w:rsidR="007715C2" w:rsidRPr="007715C2">
        <w:rPr>
          <w:vertAlign w:val="superscript"/>
        </w:rPr>
        <w:t>th</w:t>
      </w:r>
      <w:r w:rsidR="007715C2">
        <w:t xml:space="preserve"> April</w:t>
      </w:r>
      <w:r w:rsidR="008400CF">
        <w:t xml:space="preserve"> 2022</w:t>
      </w:r>
      <w:r>
        <w:t xml:space="preserve">. </w:t>
      </w:r>
    </w:p>
    <w:p w14:paraId="2D7D1B68" w14:textId="77777777" w:rsidR="00E665D6" w:rsidRPr="000A2FBE" w:rsidRDefault="00E665D6" w:rsidP="00E665D6">
      <w:pPr>
        <w:pStyle w:val="ListBullet"/>
        <w:numPr>
          <w:ilvl w:val="0"/>
          <w:numId w:val="0"/>
        </w:numPr>
      </w:pPr>
      <w:r w:rsidRPr="000A2FBE">
        <w:t xml:space="preserve"> </w:t>
      </w:r>
    </w:p>
    <w:p w14:paraId="219829CD" w14:textId="77777777" w:rsidR="00661F06" w:rsidRDefault="00661F06"/>
    <w:sectPr w:rsidR="00661F06" w:rsidSect="00E365A9">
      <w:headerReference w:type="even" r:id="rId9"/>
      <w:headerReference w:type="default" r:id="rId10"/>
      <w:footerReference w:type="even" r:id="rId11"/>
      <w:footerReference w:type="default" r:id="rId12"/>
      <w:headerReference w:type="first" r:id="rId13"/>
      <w:footerReference w:type="first" r:id="rId14"/>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56E4C" w14:textId="77777777" w:rsidR="00DF1C13" w:rsidRDefault="00DF1C13">
      <w:pPr>
        <w:spacing w:after="0" w:line="240" w:lineRule="auto"/>
      </w:pPr>
      <w:r>
        <w:separator/>
      </w:r>
    </w:p>
  </w:endnote>
  <w:endnote w:type="continuationSeparator" w:id="0">
    <w:p w14:paraId="29F41B3B" w14:textId="77777777" w:rsidR="00DF1C13" w:rsidRDefault="00DF1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E079B" w14:textId="77777777" w:rsidR="00E365A9" w:rsidRDefault="00D02A7A" w:rsidP="00E365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EC682FA" w14:textId="77777777" w:rsidR="00E365A9" w:rsidRDefault="00E365A9" w:rsidP="00E365A9">
    <w:pPr>
      <w:pStyle w:val="Footer"/>
      <w:ind w:right="360" w:firstLine="360"/>
    </w:pPr>
  </w:p>
  <w:p w14:paraId="609B771A" w14:textId="77777777" w:rsidR="00E365A9" w:rsidRDefault="00E365A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03B1A" w14:textId="44D3BC95" w:rsidR="00E365A9" w:rsidRDefault="00D02A7A" w:rsidP="00E365A9">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sidR="00787F58">
      <w:rPr>
        <w:noProof/>
      </w:rPr>
      <mc:AlternateContent>
        <mc:Choice Requires="wps">
          <w:drawing>
            <wp:anchor distT="4294967295" distB="4294967295" distL="114300" distR="114300" simplePos="0" relativeHeight="251660288" behindDoc="0" locked="1" layoutInCell="1" allowOverlap="1" wp14:anchorId="40592BE2" wp14:editId="4DD022CC">
              <wp:simplePos x="0" y="0"/>
              <wp:positionH relativeFrom="page">
                <wp:posOffset>180340</wp:posOffset>
              </wp:positionH>
              <wp:positionV relativeFrom="page">
                <wp:posOffset>10235564</wp:posOffset>
              </wp:positionV>
              <wp:extent cx="720026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2770E6C8"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16757" w14:textId="6638E54C" w:rsidR="00E365A9" w:rsidRPr="008636E1" w:rsidRDefault="00D02A7A" w:rsidP="00E365A9">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00787F58">
      <w:rPr>
        <w:noProof/>
      </w:rPr>
      <mc:AlternateContent>
        <mc:Choice Requires="wps">
          <w:drawing>
            <wp:anchor distT="4294967295" distB="4294967295" distL="114300" distR="114300" simplePos="0" relativeHeight="251661312" behindDoc="0" locked="1" layoutInCell="1" allowOverlap="1" wp14:anchorId="4A0A82F3" wp14:editId="2A219AB5">
              <wp:simplePos x="0" y="0"/>
              <wp:positionH relativeFrom="page">
                <wp:posOffset>180340</wp:posOffset>
              </wp:positionH>
              <wp:positionV relativeFrom="page">
                <wp:posOffset>10235564</wp:posOffset>
              </wp:positionV>
              <wp:extent cx="720026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7FF2E639"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1EB8C" w14:textId="77777777" w:rsidR="00DF1C13" w:rsidRDefault="00DF1C13">
      <w:pPr>
        <w:spacing w:after="0" w:line="240" w:lineRule="auto"/>
      </w:pPr>
      <w:r>
        <w:separator/>
      </w:r>
    </w:p>
  </w:footnote>
  <w:footnote w:type="continuationSeparator" w:id="0">
    <w:p w14:paraId="244D83B3" w14:textId="77777777" w:rsidR="00DF1C13" w:rsidRDefault="00DF1C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13E79" w14:textId="77777777" w:rsidR="00E365A9" w:rsidRDefault="00D02A7A" w:rsidP="00E365A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6166BB1" w14:textId="77777777" w:rsidR="00E365A9" w:rsidRDefault="00E365A9" w:rsidP="00E365A9">
    <w:pPr>
      <w:pStyle w:val="Header"/>
      <w:ind w:right="360"/>
    </w:pPr>
  </w:p>
  <w:p w14:paraId="052E46F0" w14:textId="77777777" w:rsidR="00E365A9" w:rsidRDefault="00E365A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8B8C5" w14:textId="77777777" w:rsidR="00E365A9" w:rsidRPr="006A6FC6" w:rsidRDefault="00D02A7A" w:rsidP="00E365A9">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r>
      <w:rPr>
        <w:rFonts w:cs="Arial"/>
        <w:color w:val="B1005D"/>
        <w:sz w:val="18"/>
        <w:szCs w:val="18"/>
      </w:rPr>
      <w:tab/>
    </w:r>
  </w:p>
  <w:p w14:paraId="23152C65" w14:textId="2CA68F84" w:rsidR="00E365A9" w:rsidRPr="00EF7C5C" w:rsidRDefault="00D02A7A" w:rsidP="00E365A9">
    <w:pPr>
      <w:spacing w:line="240" w:lineRule="auto"/>
      <w:ind w:left="-330"/>
      <w:rPr>
        <w:rFonts w:ascii="Arial Bold" w:hAnsi="Arial Bold" w:cs="Arial"/>
        <w:color w:val="B1005D"/>
      </w:rPr>
    </w:pPr>
    <w:r>
      <w:rPr>
        <w:rFonts w:ascii="Arial Bold" w:hAnsi="Arial Bold" w:cs="Arial"/>
        <w:b/>
        <w:color w:val="B1005D"/>
        <w:sz w:val="18"/>
        <w:szCs w:val="18"/>
      </w:rPr>
      <w:t>Changes to our Child Protection Guidelines</w:t>
    </w:r>
    <w:r>
      <w:rPr>
        <w:rFonts w:ascii="Arial Bold" w:hAnsi="Arial Bold" w:cs="Arial"/>
        <w:b/>
        <w:noProof/>
        <w:color w:val="B1005D"/>
        <w:sz w:val="18"/>
        <w:szCs w:val="18"/>
        <w:lang w:val="en-US"/>
      </w:rPr>
      <w:t xml:space="preserve"> </w:t>
    </w:r>
    <w:r w:rsidR="00787F58">
      <w:rPr>
        <w:noProof/>
      </w:rPr>
      <mc:AlternateContent>
        <mc:Choice Requires="wps">
          <w:drawing>
            <wp:anchor distT="4294967295" distB="4294967295" distL="114300" distR="114300" simplePos="0" relativeHeight="251659264" behindDoc="1" locked="1" layoutInCell="1" allowOverlap="1" wp14:anchorId="255F2728" wp14:editId="493485F6">
              <wp:simplePos x="0" y="0"/>
              <wp:positionH relativeFrom="page">
                <wp:posOffset>180340</wp:posOffset>
              </wp:positionH>
              <wp:positionV relativeFrom="page">
                <wp:posOffset>684529</wp:posOffset>
              </wp:positionV>
              <wp:extent cx="720026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83934EA" id="Straight Connector 3" o:spid="_x0000_s1026"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" strokecolor="#b1005d" strokeweight=".5pt">
              <w10:wrap anchorx="page" anchory="page"/>
              <w10:anchorlock/>
            </v:line>
          </w:pict>
        </mc:Fallback>
      </mc:AlternateContent>
    </w:r>
    <w:r w:rsidR="000371E4">
      <w:rPr>
        <w:rFonts w:ascii="Arial Bold" w:hAnsi="Arial Bold" w:cs="Arial"/>
        <w:b/>
        <w:noProof/>
        <w:color w:val="B1005D"/>
        <w:sz w:val="18"/>
        <w:szCs w:val="18"/>
        <w:lang w:val="en-US"/>
      </w:rPr>
      <w:t>– April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EEE5D" w14:textId="77777777" w:rsidR="00E365A9" w:rsidRPr="00833658" w:rsidRDefault="00D02A7A" w:rsidP="00E365A9">
    <w:pPr>
      <w:pStyle w:val="VLAProgram"/>
      <w:pBdr>
        <w:bottom w:val="none" w:sz="0" w:space="0" w:color="auto"/>
      </w:pBdr>
      <w:rPr>
        <w:color w:val="FFFFFF" w:themeColor="background1"/>
      </w:rPr>
    </w:pPr>
    <w:r>
      <w:rPr>
        <w:noProof/>
        <w:lang w:val="en-US"/>
      </w:rPr>
      <w:drawing>
        <wp:anchor distT="0" distB="0" distL="114300" distR="114300" simplePos="0" relativeHeight="251662336" behindDoc="1" locked="0" layoutInCell="1" allowOverlap="1" wp14:anchorId="7783FE3E" wp14:editId="1DBD8304">
          <wp:simplePos x="0" y="0"/>
          <wp:positionH relativeFrom="column">
            <wp:posOffset>-389129</wp:posOffset>
          </wp:positionH>
          <wp:positionV relativeFrom="paragraph">
            <wp:posOffset>-3359</wp:posOffset>
          </wp:positionV>
          <wp:extent cx="7199983" cy="1257140"/>
          <wp:effectExtent l="0" t="0" r="127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stretch>
                    <a:fillRect/>
                  </a:stretch>
                </pic:blipFill>
                <pic:spPr>
                  <a:xfrm>
                    <a:off x="0" y="0"/>
                    <a:ext cx="7199983" cy="12571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p w14:paraId="5ECB38E1" w14:textId="77777777" w:rsidR="00E365A9" w:rsidRPr="00D82005" w:rsidRDefault="00E365A9" w:rsidP="00E365A9">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7E24F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AF5760"/>
    <w:multiLevelType w:val="hybridMultilevel"/>
    <w:tmpl w:val="9BD813BC"/>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 w15:restartNumberingAfterBreak="0">
    <w:nsid w:val="02AC1E30"/>
    <w:multiLevelType w:val="hybridMultilevel"/>
    <w:tmpl w:val="BC1AE8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F3562A"/>
    <w:multiLevelType w:val="hybridMultilevel"/>
    <w:tmpl w:val="8BB2B4A6"/>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05C39C5"/>
    <w:multiLevelType w:val="hybridMultilevel"/>
    <w:tmpl w:val="E3DAB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FA0B9C"/>
    <w:multiLevelType w:val="hybridMultilevel"/>
    <w:tmpl w:val="281E5910"/>
    <w:lvl w:ilvl="0" w:tplc="0C090001">
      <w:start w:val="1"/>
      <w:numFmt w:val="bullet"/>
      <w:lvlText w:val=""/>
      <w:lvlJc w:val="left"/>
      <w:pPr>
        <w:ind w:left="1125" w:hanging="360"/>
      </w:pPr>
      <w:rPr>
        <w:rFonts w:ascii="Symbol" w:hAnsi="Symbol" w:cs="Symbol" w:hint="default"/>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6" w15:restartNumberingAfterBreak="0">
    <w:nsid w:val="1A6418A2"/>
    <w:multiLevelType w:val="hybridMultilevel"/>
    <w:tmpl w:val="5EE044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73646E"/>
    <w:multiLevelType w:val="hybridMultilevel"/>
    <w:tmpl w:val="3FBA329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243543D6"/>
    <w:multiLevelType w:val="hybridMultilevel"/>
    <w:tmpl w:val="6A0810F8"/>
    <w:lvl w:ilvl="0" w:tplc="0C090001">
      <w:start w:val="1"/>
      <w:numFmt w:val="bullet"/>
      <w:lvlText w:val=""/>
      <w:lvlJc w:val="left"/>
      <w:pPr>
        <w:ind w:left="1077" w:hanging="360"/>
      </w:pPr>
      <w:rPr>
        <w:rFonts w:ascii="Symbol" w:hAnsi="Symbol"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9" w15:restartNumberingAfterBreak="0">
    <w:nsid w:val="308B06E4"/>
    <w:multiLevelType w:val="hybridMultilevel"/>
    <w:tmpl w:val="0C8CC070"/>
    <w:lvl w:ilvl="0" w:tplc="0C090001">
      <w:start w:val="1"/>
      <w:numFmt w:val="bullet"/>
      <w:lvlText w:val=""/>
      <w:lvlJc w:val="left"/>
      <w:pPr>
        <w:ind w:left="1077" w:hanging="360"/>
      </w:pPr>
      <w:rPr>
        <w:rFonts w:ascii="Symbol" w:hAnsi="Symbol"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0"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31B70462"/>
    <w:multiLevelType w:val="hybridMultilevel"/>
    <w:tmpl w:val="C05072B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340E426B"/>
    <w:multiLevelType w:val="hybridMultilevel"/>
    <w:tmpl w:val="9B440F68"/>
    <w:lvl w:ilvl="0" w:tplc="0C090001">
      <w:start w:val="1"/>
      <w:numFmt w:val="bullet"/>
      <w:lvlText w:val=""/>
      <w:lvlJc w:val="left"/>
      <w:pPr>
        <w:ind w:left="1077" w:hanging="360"/>
      </w:pPr>
      <w:rPr>
        <w:rFonts w:ascii="Symbol" w:hAnsi="Symbol"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3" w15:restartNumberingAfterBreak="0">
    <w:nsid w:val="39D553A4"/>
    <w:multiLevelType w:val="hybridMultilevel"/>
    <w:tmpl w:val="F3883632"/>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4" w15:restartNumberingAfterBreak="0">
    <w:nsid w:val="4A141600"/>
    <w:multiLevelType w:val="hybridMultilevel"/>
    <w:tmpl w:val="69B4B996"/>
    <w:lvl w:ilvl="0" w:tplc="0C090001">
      <w:start w:val="1"/>
      <w:numFmt w:val="bullet"/>
      <w:lvlText w:val=""/>
      <w:lvlJc w:val="left"/>
      <w:pPr>
        <w:ind w:left="1077" w:hanging="360"/>
      </w:pPr>
      <w:rPr>
        <w:rFonts w:ascii="Symbol" w:hAnsi="Symbol"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5" w15:restartNumberingAfterBreak="0">
    <w:nsid w:val="539E298C"/>
    <w:multiLevelType w:val="hybridMultilevel"/>
    <w:tmpl w:val="12B63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F61135"/>
    <w:multiLevelType w:val="hybridMultilevel"/>
    <w:tmpl w:val="9DAAFA62"/>
    <w:lvl w:ilvl="0" w:tplc="0C090001">
      <w:start w:val="1"/>
      <w:numFmt w:val="bullet"/>
      <w:lvlText w:val=""/>
      <w:lvlJc w:val="left"/>
      <w:pPr>
        <w:ind w:left="1077" w:hanging="360"/>
      </w:pPr>
      <w:rPr>
        <w:rFonts w:ascii="Symbol" w:hAnsi="Symbol"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7" w15:restartNumberingAfterBreak="0">
    <w:nsid w:val="5C86429D"/>
    <w:multiLevelType w:val="hybridMultilevel"/>
    <w:tmpl w:val="782475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16649DE"/>
    <w:multiLevelType w:val="hybridMultilevel"/>
    <w:tmpl w:val="2B26C292"/>
    <w:lvl w:ilvl="0" w:tplc="0C090001">
      <w:start w:val="1"/>
      <w:numFmt w:val="bullet"/>
      <w:lvlText w:val=""/>
      <w:lvlJc w:val="left"/>
      <w:pPr>
        <w:ind w:left="1077" w:hanging="360"/>
      </w:pPr>
      <w:rPr>
        <w:rFonts w:ascii="Symbol" w:hAnsi="Symbol"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9" w15:restartNumberingAfterBreak="0">
    <w:nsid w:val="678A555E"/>
    <w:multiLevelType w:val="hybridMultilevel"/>
    <w:tmpl w:val="A00202E0"/>
    <w:lvl w:ilvl="0" w:tplc="968AC750">
      <w:start w:val="1"/>
      <w:numFmt w:val="upperLetter"/>
      <w:pStyle w:val="VLAa"/>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0" w15:restartNumberingAfterBreak="0">
    <w:nsid w:val="6A30059F"/>
    <w:multiLevelType w:val="hybridMultilevel"/>
    <w:tmpl w:val="A2C8650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C0C4F5C"/>
    <w:multiLevelType w:val="hybridMultilevel"/>
    <w:tmpl w:val="FC62F6A4"/>
    <w:lvl w:ilvl="0" w:tplc="3CBC7910">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7927EE"/>
    <w:multiLevelType w:val="hybridMultilevel"/>
    <w:tmpl w:val="FC0C01B6"/>
    <w:lvl w:ilvl="0" w:tplc="DD3CF114">
      <w:start w:val="1"/>
      <w:numFmt w:val="bullet"/>
      <w:lvlText w:val="•"/>
      <w:lvlJc w:val="left"/>
      <w:pPr>
        <w:tabs>
          <w:tab w:val="num" w:pos="720"/>
        </w:tabs>
        <w:ind w:left="720" w:hanging="360"/>
      </w:pPr>
      <w:rPr>
        <w:rFonts w:ascii="Arial" w:hAnsi="Arial" w:hint="default"/>
      </w:rPr>
    </w:lvl>
    <w:lvl w:ilvl="1" w:tplc="4F585924">
      <w:start w:val="1"/>
      <w:numFmt w:val="bullet"/>
      <w:lvlText w:val="•"/>
      <w:lvlJc w:val="left"/>
      <w:pPr>
        <w:tabs>
          <w:tab w:val="num" w:pos="1440"/>
        </w:tabs>
        <w:ind w:left="1440" w:hanging="360"/>
      </w:pPr>
      <w:rPr>
        <w:rFonts w:ascii="Arial" w:hAnsi="Arial" w:hint="default"/>
      </w:rPr>
    </w:lvl>
    <w:lvl w:ilvl="2" w:tplc="4384964C" w:tentative="1">
      <w:start w:val="1"/>
      <w:numFmt w:val="bullet"/>
      <w:lvlText w:val="•"/>
      <w:lvlJc w:val="left"/>
      <w:pPr>
        <w:tabs>
          <w:tab w:val="num" w:pos="2160"/>
        </w:tabs>
        <w:ind w:left="2160" w:hanging="360"/>
      </w:pPr>
      <w:rPr>
        <w:rFonts w:ascii="Arial" w:hAnsi="Arial" w:hint="default"/>
      </w:rPr>
    </w:lvl>
    <w:lvl w:ilvl="3" w:tplc="90C67370" w:tentative="1">
      <w:start w:val="1"/>
      <w:numFmt w:val="bullet"/>
      <w:lvlText w:val="•"/>
      <w:lvlJc w:val="left"/>
      <w:pPr>
        <w:tabs>
          <w:tab w:val="num" w:pos="2880"/>
        </w:tabs>
        <w:ind w:left="2880" w:hanging="360"/>
      </w:pPr>
      <w:rPr>
        <w:rFonts w:ascii="Arial" w:hAnsi="Arial" w:hint="default"/>
      </w:rPr>
    </w:lvl>
    <w:lvl w:ilvl="4" w:tplc="EB9C5412" w:tentative="1">
      <w:start w:val="1"/>
      <w:numFmt w:val="bullet"/>
      <w:lvlText w:val="•"/>
      <w:lvlJc w:val="left"/>
      <w:pPr>
        <w:tabs>
          <w:tab w:val="num" w:pos="3600"/>
        </w:tabs>
        <w:ind w:left="3600" w:hanging="360"/>
      </w:pPr>
      <w:rPr>
        <w:rFonts w:ascii="Arial" w:hAnsi="Arial" w:hint="default"/>
      </w:rPr>
    </w:lvl>
    <w:lvl w:ilvl="5" w:tplc="BEF8C5E6" w:tentative="1">
      <w:start w:val="1"/>
      <w:numFmt w:val="bullet"/>
      <w:lvlText w:val="•"/>
      <w:lvlJc w:val="left"/>
      <w:pPr>
        <w:tabs>
          <w:tab w:val="num" w:pos="4320"/>
        </w:tabs>
        <w:ind w:left="4320" w:hanging="360"/>
      </w:pPr>
      <w:rPr>
        <w:rFonts w:ascii="Arial" w:hAnsi="Arial" w:hint="default"/>
      </w:rPr>
    </w:lvl>
    <w:lvl w:ilvl="6" w:tplc="BEDCB374" w:tentative="1">
      <w:start w:val="1"/>
      <w:numFmt w:val="bullet"/>
      <w:lvlText w:val="•"/>
      <w:lvlJc w:val="left"/>
      <w:pPr>
        <w:tabs>
          <w:tab w:val="num" w:pos="5040"/>
        </w:tabs>
        <w:ind w:left="5040" w:hanging="360"/>
      </w:pPr>
      <w:rPr>
        <w:rFonts w:ascii="Arial" w:hAnsi="Arial" w:hint="default"/>
      </w:rPr>
    </w:lvl>
    <w:lvl w:ilvl="7" w:tplc="1ED4ED3E" w:tentative="1">
      <w:start w:val="1"/>
      <w:numFmt w:val="bullet"/>
      <w:lvlText w:val="•"/>
      <w:lvlJc w:val="left"/>
      <w:pPr>
        <w:tabs>
          <w:tab w:val="num" w:pos="5760"/>
        </w:tabs>
        <w:ind w:left="5760" w:hanging="360"/>
      </w:pPr>
      <w:rPr>
        <w:rFonts w:ascii="Arial" w:hAnsi="Arial" w:hint="default"/>
      </w:rPr>
    </w:lvl>
    <w:lvl w:ilvl="8" w:tplc="02000E6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5576D85"/>
    <w:multiLevelType w:val="hybridMultilevel"/>
    <w:tmpl w:val="A85EBCAC"/>
    <w:lvl w:ilvl="0" w:tplc="0C090001">
      <w:start w:val="1"/>
      <w:numFmt w:val="bullet"/>
      <w:lvlText w:val=""/>
      <w:lvlJc w:val="left"/>
      <w:pPr>
        <w:ind w:left="1437" w:hanging="360"/>
      </w:pPr>
      <w:rPr>
        <w:rFonts w:ascii="Symbol" w:hAnsi="Symbol" w:hint="default"/>
      </w:rPr>
    </w:lvl>
    <w:lvl w:ilvl="1" w:tplc="0C090003" w:tentative="1">
      <w:start w:val="1"/>
      <w:numFmt w:val="bullet"/>
      <w:lvlText w:val="o"/>
      <w:lvlJc w:val="left"/>
      <w:pPr>
        <w:ind w:left="2157" w:hanging="360"/>
      </w:pPr>
      <w:rPr>
        <w:rFonts w:ascii="Courier New" w:hAnsi="Courier New" w:cs="Courier New" w:hint="default"/>
      </w:rPr>
    </w:lvl>
    <w:lvl w:ilvl="2" w:tplc="0C090005" w:tentative="1">
      <w:start w:val="1"/>
      <w:numFmt w:val="bullet"/>
      <w:lvlText w:val=""/>
      <w:lvlJc w:val="left"/>
      <w:pPr>
        <w:ind w:left="2877" w:hanging="360"/>
      </w:pPr>
      <w:rPr>
        <w:rFonts w:ascii="Wingdings" w:hAnsi="Wingdings" w:hint="default"/>
      </w:rPr>
    </w:lvl>
    <w:lvl w:ilvl="3" w:tplc="0C090001" w:tentative="1">
      <w:start w:val="1"/>
      <w:numFmt w:val="bullet"/>
      <w:lvlText w:val=""/>
      <w:lvlJc w:val="left"/>
      <w:pPr>
        <w:ind w:left="3597" w:hanging="360"/>
      </w:pPr>
      <w:rPr>
        <w:rFonts w:ascii="Symbol" w:hAnsi="Symbol" w:hint="default"/>
      </w:rPr>
    </w:lvl>
    <w:lvl w:ilvl="4" w:tplc="0C090003" w:tentative="1">
      <w:start w:val="1"/>
      <w:numFmt w:val="bullet"/>
      <w:lvlText w:val="o"/>
      <w:lvlJc w:val="left"/>
      <w:pPr>
        <w:ind w:left="4317" w:hanging="360"/>
      </w:pPr>
      <w:rPr>
        <w:rFonts w:ascii="Courier New" w:hAnsi="Courier New" w:cs="Courier New" w:hint="default"/>
      </w:rPr>
    </w:lvl>
    <w:lvl w:ilvl="5" w:tplc="0C090005" w:tentative="1">
      <w:start w:val="1"/>
      <w:numFmt w:val="bullet"/>
      <w:lvlText w:val=""/>
      <w:lvlJc w:val="left"/>
      <w:pPr>
        <w:ind w:left="5037" w:hanging="360"/>
      </w:pPr>
      <w:rPr>
        <w:rFonts w:ascii="Wingdings" w:hAnsi="Wingdings" w:hint="default"/>
      </w:rPr>
    </w:lvl>
    <w:lvl w:ilvl="6" w:tplc="0C090001" w:tentative="1">
      <w:start w:val="1"/>
      <w:numFmt w:val="bullet"/>
      <w:lvlText w:val=""/>
      <w:lvlJc w:val="left"/>
      <w:pPr>
        <w:ind w:left="5757" w:hanging="360"/>
      </w:pPr>
      <w:rPr>
        <w:rFonts w:ascii="Symbol" w:hAnsi="Symbol" w:hint="default"/>
      </w:rPr>
    </w:lvl>
    <w:lvl w:ilvl="7" w:tplc="0C090003" w:tentative="1">
      <w:start w:val="1"/>
      <w:numFmt w:val="bullet"/>
      <w:lvlText w:val="o"/>
      <w:lvlJc w:val="left"/>
      <w:pPr>
        <w:ind w:left="6477" w:hanging="360"/>
      </w:pPr>
      <w:rPr>
        <w:rFonts w:ascii="Courier New" w:hAnsi="Courier New" w:cs="Courier New" w:hint="default"/>
      </w:rPr>
    </w:lvl>
    <w:lvl w:ilvl="8" w:tplc="0C090005" w:tentative="1">
      <w:start w:val="1"/>
      <w:numFmt w:val="bullet"/>
      <w:lvlText w:val=""/>
      <w:lvlJc w:val="left"/>
      <w:pPr>
        <w:ind w:left="7197" w:hanging="360"/>
      </w:pPr>
      <w:rPr>
        <w:rFonts w:ascii="Wingdings" w:hAnsi="Wingdings" w:hint="default"/>
      </w:rPr>
    </w:lvl>
  </w:abstractNum>
  <w:abstractNum w:abstractNumId="24" w15:restartNumberingAfterBreak="0">
    <w:nsid w:val="7AEE3E12"/>
    <w:multiLevelType w:val="hybridMultilevel"/>
    <w:tmpl w:val="267A7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E957651"/>
    <w:multiLevelType w:val="hybridMultilevel"/>
    <w:tmpl w:val="A7E0F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19"/>
    <w:lvlOverride w:ilvl="0">
      <w:startOverride w:val="1"/>
    </w:lvlOverride>
  </w:num>
  <w:num w:numId="4">
    <w:abstractNumId w:val="19"/>
    <w:lvlOverride w:ilvl="0">
      <w:startOverride w:val="1"/>
    </w:lvlOverride>
  </w:num>
  <w:num w:numId="5">
    <w:abstractNumId w:val="19"/>
    <w:lvlOverride w:ilvl="0">
      <w:startOverride w:val="1"/>
    </w:lvlOverride>
  </w:num>
  <w:num w:numId="6">
    <w:abstractNumId w:val="24"/>
  </w:num>
  <w:num w:numId="7">
    <w:abstractNumId w:val="6"/>
  </w:num>
  <w:num w:numId="8">
    <w:abstractNumId w:val="22"/>
  </w:num>
  <w:num w:numId="9">
    <w:abstractNumId w:val="21"/>
  </w:num>
  <w:num w:numId="10">
    <w:abstractNumId w:val="10"/>
  </w:num>
  <w:num w:numId="11">
    <w:abstractNumId w:val="19"/>
    <w:lvlOverride w:ilvl="0">
      <w:startOverride w:val="1"/>
    </w:lvlOverride>
  </w:num>
  <w:num w:numId="12">
    <w:abstractNumId w:val="19"/>
    <w:lvlOverride w:ilvl="0">
      <w:startOverride w:val="1"/>
    </w:lvlOverride>
  </w:num>
  <w:num w:numId="13">
    <w:abstractNumId w:val="18"/>
  </w:num>
  <w:num w:numId="14">
    <w:abstractNumId w:val="9"/>
  </w:num>
  <w:num w:numId="15">
    <w:abstractNumId w:val="16"/>
  </w:num>
  <w:num w:numId="16">
    <w:abstractNumId w:val="8"/>
  </w:num>
  <w:num w:numId="17">
    <w:abstractNumId w:val="2"/>
  </w:num>
  <w:num w:numId="18">
    <w:abstractNumId w:val="4"/>
  </w:num>
  <w:num w:numId="19">
    <w:abstractNumId w:val="25"/>
  </w:num>
  <w:num w:numId="20">
    <w:abstractNumId w:val="12"/>
  </w:num>
  <w:num w:numId="21">
    <w:abstractNumId w:val="7"/>
  </w:num>
  <w:num w:numId="22">
    <w:abstractNumId w:val="11"/>
  </w:num>
  <w:num w:numId="23">
    <w:abstractNumId w:val="14"/>
  </w:num>
  <w:num w:numId="24">
    <w:abstractNumId w:val="20"/>
  </w:num>
  <w:num w:numId="25">
    <w:abstractNumId w:val="3"/>
  </w:num>
  <w:num w:numId="26">
    <w:abstractNumId w:val="15"/>
  </w:num>
  <w:num w:numId="27">
    <w:abstractNumId w:val="23"/>
  </w:num>
  <w:num w:numId="28">
    <w:abstractNumId w:val="17"/>
  </w:num>
  <w:num w:numId="29">
    <w:abstractNumId w:val="1"/>
  </w:num>
  <w:num w:numId="30">
    <w:abstractNumId w:val="13"/>
  </w:num>
  <w:num w:numId="31">
    <w:abstractNumId w:val="0"/>
  </w:num>
  <w:num w:numId="32">
    <w:abstractNumId w:val="5"/>
  </w:num>
  <w:num w:numId="33">
    <w:abstractNumId w:val="10"/>
  </w:num>
  <w:num w:numId="34">
    <w:abstractNumId w:val="19"/>
  </w:num>
  <w:num w:numId="35">
    <w:abstractNumId w:val="10"/>
  </w:num>
  <w:num w:numId="36">
    <w:abstractNumId w:val="10"/>
  </w:num>
  <w:num w:numId="37">
    <w:abstractNumId w:val="19"/>
  </w:num>
  <w:num w:numId="38">
    <w:abstractNumId w:val="19"/>
  </w:num>
  <w:num w:numId="39">
    <w:abstractNumId w:val="19"/>
  </w:num>
  <w:num w:numId="40">
    <w:abstractNumId w:val="19"/>
  </w:num>
  <w:num w:numId="41">
    <w:abstractNumId w:val="19"/>
  </w:num>
  <w:num w:numId="42">
    <w:abstractNumId w:val="10"/>
  </w:num>
  <w:num w:numId="43">
    <w:abstractNumId w:val="19"/>
  </w:num>
  <w:num w:numId="44">
    <w:abstractNumId w:val="19"/>
  </w:num>
  <w:num w:numId="45">
    <w:abstractNumId w:val="19"/>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D6"/>
    <w:rsid w:val="00023235"/>
    <w:rsid w:val="00035D43"/>
    <w:rsid w:val="000371E4"/>
    <w:rsid w:val="00041407"/>
    <w:rsid w:val="00072F70"/>
    <w:rsid w:val="000761D7"/>
    <w:rsid w:val="0007732F"/>
    <w:rsid w:val="00084EC1"/>
    <w:rsid w:val="000A7A4A"/>
    <w:rsid w:val="000B1396"/>
    <w:rsid w:val="000C63B6"/>
    <w:rsid w:val="000E03A7"/>
    <w:rsid w:val="00131A81"/>
    <w:rsid w:val="00132910"/>
    <w:rsid w:val="00134F68"/>
    <w:rsid w:val="00142281"/>
    <w:rsid w:val="001510CE"/>
    <w:rsid w:val="0016128A"/>
    <w:rsid w:val="00176D85"/>
    <w:rsid w:val="00191090"/>
    <w:rsid w:val="001A7C04"/>
    <w:rsid w:val="001E01DE"/>
    <w:rsid w:val="001E6A4F"/>
    <w:rsid w:val="001F0689"/>
    <w:rsid w:val="00201310"/>
    <w:rsid w:val="0020525A"/>
    <w:rsid w:val="00211B79"/>
    <w:rsid w:val="00236754"/>
    <w:rsid w:val="00244E1A"/>
    <w:rsid w:val="002A0072"/>
    <w:rsid w:val="002A1D96"/>
    <w:rsid w:val="002A337A"/>
    <w:rsid w:val="002A3776"/>
    <w:rsid w:val="002A5D00"/>
    <w:rsid w:val="002D624B"/>
    <w:rsid w:val="003352D7"/>
    <w:rsid w:val="00336E9E"/>
    <w:rsid w:val="00337D15"/>
    <w:rsid w:val="00347E75"/>
    <w:rsid w:val="00353CBA"/>
    <w:rsid w:val="00356DE3"/>
    <w:rsid w:val="0036249D"/>
    <w:rsid w:val="003634F8"/>
    <w:rsid w:val="003705DE"/>
    <w:rsid w:val="00373A44"/>
    <w:rsid w:val="003770D9"/>
    <w:rsid w:val="00380CF3"/>
    <w:rsid w:val="003928B8"/>
    <w:rsid w:val="003A56EB"/>
    <w:rsid w:val="003C3A60"/>
    <w:rsid w:val="003F1A49"/>
    <w:rsid w:val="0042301A"/>
    <w:rsid w:val="00423A55"/>
    <w:rsid w:val="00424DC5"/>
    <w:rsid w:val="00466C69"/>
    <w:rsid w:val="004779C4"/>
    <w:rsid w:val="00492919"/>
    <w:rsid w:val="004A2234"/>
    <w:rsid w:val="004F721A"/>
    <w:rsid w:val="00511D4A"/>
    <w:rsid w:val="00531950"/>
    <w:rsid w:val="005468C0"/>
    <w:rsid w:val="00572ADB"/>
    <w:rsid w:val="005827EC"/>
    <w:rsid w:val="0059101F"/>
    <w:rsid w:val="005C67A6"/>
    <w:rsid w:val="005D23B6"/>
    <w:rsid w:val="005D4A6D"/>
    <w:rsid w:val="005D60A3"/>
    <w:rsid w:val="00603198"/>
    <w:rsid w:val="00611436"/>
    <w:rsid w:val="00637CAD"/>
    <w:rsid w:val="00643710"/>
    <w:rsid w:val="00651D01"/>
    <w:rsid w:val="00661F06"/>
    <w:rsid w:val="006730D9"/>
    <w:rsid w:val="006A58A8"/>
    <w:rsid w:val="006A643B"/>
    <w:rsid w:val="006A677E"/>
    <w:rsid w:val="006E6B7C"/>
    <w:rsid w:val="006F00F5"/>
    <w:rsid w:val="006F78BE"/>
    <w:rsid w:val="00743950"/>
    <w:rsid w:val="007557DC"/>
    <w:rsid w:val="007715C2"/>
    <w:rsid w:val="00787F58"/>
    <w:rsid w:val="007926CB"/>
    <w:rsid w:val="007D04BC"/>
    <w:rsid w:val="007E3075"/>
    <w:rsid w:val="007F10EB"/>
    <w:rsid w:val="00810FB5"/>
    <w:rsid w:val="0081252B"/>
    <w:rsid w:val="00825645"/>
    <w:rsid w:val="008400CF"/>
    <w:rsid w:val="00884418"/>
    <w:rsid w:val="008A6516"/>
    <w:rsid w:val="008A7010"/>
    <w:rsid w:val="008C4629"/>
    <w:rsid w:val="008C4AA4"/>
    <w:rsid w:val="008F06E6"/>
    <w:rsid w:val="008F2F71"/>
    <w:rsid w:val="008F2FB9"/>
    <w:rsid w:val="0090479E"/>
    <w:rsid w:val="009062FD"/>
    <w:rsid w:val="0094529D"/>
    <w:rsid w:val="00954AB7"/>
    <w:rsid w:val="00957E32"/>
    <w:rsid w:val="00981397"/>
    <w:rsid w:val="009849EF"/>
    <w:rsid w:val="009907CA"/>
    <w:rsid w:val="00991D04"/>
    <w:rsid w:val="009A2BE6"/>
    <w:rsid w:val="009A30BE"/>
    <w:rsid w:val="009B42E1"/>
    <w:rsid w:val="009C07C1"/>
    <w:rsid w:val="009D6346"/>
    <w:rsid w:val="009E547F"/>
    <w:rsid w:val="009E67DA"/>
    <w:rsid w:val="009F4C65"/>
    <w:rsid w:val="00A06709"/>
    <w:rsid w:val="00A4052A"/>
    <w:rsid w:val="00A41A9A"/>
    <w:rsid w:val="00A53E9B"/>
    <w:rsid w:val="00A542B4"/>
    <w:rsid w:val="00A548C7"/>
    <w:rsid w:val="00A5622C"/>
    <w:rsid w:val="00A7031D"/>
    <w:rsid w:val="00AB6765"/>
    <w:rsid w:val="00AC341A"/>
    <w:rsid w:val="00AD792A"/>
    <w:rsid w:val="00B137C3"/>
    <w:rsid w:val="00B55CEC"/>
    <w:rsid w:val="00B81F3E"/>
    <w:rsid w:val="00B86CC8"/>
    <w:rsid w:val="00B968DC"/>
    <w:rsid w:val="00BA58E4"/>
    <w:rsid w:val="00C26B6E"/>
    <w:rsid w:val="00C30468"/>
    <w:rsid w:val="00C325E5"/>
    <w:rsid w:val="00C41690"/>
    <w:rsid w:val="00C652E5"/>
    <w:rsid w:val="00C72636"/>
    <w:rsid w:val="00C80280"/>
    <w:rsid w:val="00CB5B71"/>
    <w:rsid w:val="00CE27DF"/>
    <w:rsid w:val="00CE7A92"/>
    <w:rsid w:val="00CF7817"/>
    <w:rsid w:val="00D02A7A"/>
    <w:rsid w:val="00D079AA"/>
    <w:rsid w:val="00D1419B"/>
    <w:rsid w:val="00D51517"/>
    <w:rsid w:val="00D65B7B"/>
    <w:rsid w:val="00D754C0"/>
    <w:rsid w:val="00D97055"/>
    <w:rsid w:val="00DE737B"/>
    <w:rsid w:val="00DF1C13"/>
    <w:rsid w:val="00E05074"/>
    <w:rsid w:val="00E07152"/>
    <w:rsid w:val="00E07F91"/>
    <w:rsid w:val="00E34A7D"/>
    <w:rsid w:val="00E35471"/>
    <w:rsid w:val="00E35E17"/>
    <w:rsid w:val="00E365A9"/>
    <w:rsid w:val="00E6187F"/>
    <w:rsid w:val="00E665D6"/>
    <w:rsid w:val="00E7573A"/>
    <w:rsid w:val="00E85CE5"/>
    <w:rsid w:val="00E954EF"/>
    <w:rsid w:val="00EC1A2F"/>
    <w:rsid w:val="00ED57B3"/>
    <w:rsid w:val="00F02C42"/>
    <w:rsid w:val="00F3141C"/>
    <w:rsid w:val="00F45118"/>
    <w:rsid w:val="00F51B54"/>
    <w:rsid w:val="00F53412"/>
    <w:rsid w:val="00F56304"/>
    <w:rsid w:val="00FA6E27"/>
    <w:rsid w:val="00FA6EDC"/>
    <w:rsid w:val="00FB11F2"/>
    <w:rsid w:val="00FE37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18F5E"/>
  <w15:docId w15:val="{8C4D1022-B7E6-4F5D-809F-F08C9190E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DC5"/>
    <w:pPr>
      <w:spacing w:after="120" w:line="300" w:lineRule="atLeast"/>
    </w:pPr>
    <w:rPr>
      <w:rFonts w:ascii="Arial" w:eastAsia="Times New Roman" w:hAnsi="Arial" w:cs="Times New Roman"/>
      <w:szCs w:val="24"/>
    </w:rPr>
  </w:style>
  <w:style w:type="paragraph" w:styleId="Heading1">
    <w:name w:val="heading 1"/>
    <w:next w:val="Normal"/>
    <w:link w:val="Heading1Char"/>
    <w:qFormat/>
    <w:rsid w:val="00E665D6"/>
    <w:pPr>
      <w:keepNext/>
      <w:spacing w:before="240" w:after="120" w:line="300" w:lineRule="atLeast"/>
      <w:outlineLvl w:val="0"/>
    </w:pPr>
    <w:rPr>
      <w:rFonts w:ascii="Arial" w:eastAsia="Times New Roman" w:hAnsi="Arial" w:cs="Arial"/>
      <w:b/>
      <w:bCs/>
      <w:color w:val="971A4B"/>
      <w:kern w:val="32"/>
      <w:sz w:val="32"/>
      <w:szCs w:val="32"/>
      <w:lang w:eastAsia="en-AU"/>
    </w:rPr>
  </w:style>
  <w:style w:type="paragraph" w:styleId="Heading2">
    <w:name w:val="heading 2"/>
    <w:next w:val="Normal"/>
    <w:link w:val="Heading2Char"/>
    <w:qFormat/>
    <w:rsid w:val="00E665D6"/>
    <w:pPr>
      <w:keepNext/>
      <w:spacing w:before="240" w:after="120" w:line="300" w:lineRule="atLeast"/>
      <w:outlineLvl w:val="1"/>
    </w:pPr>
    <w:rPr>
      <w:rFonts w:ascii="Arial" w:eastAsia="Times New Roman" w:hAnsi="Arial" w:cs="Arial"/>
      <w:b/>
      <w:bCs/>
      <w:iCs/>
      <w:color w:val="971A4B"/>
      <w:sz w:val="28"/>
      <w:szCs w:val="28"/>
      <w:lang w:eastAsia="en-AU"/>
    </w:rPr>
  </w:style>
  <w:style w:type="paragraph" w:styleId="Heading3">
    <w:name w:val="heading 3"/>
    <w:next w:val="Normal"/>
    <w:link w:val="Heading3Char"/>
    <w:qFormat/>
    <w:rsid w:val="00E665D6"/>
    <w:pPr>
      <w:keepNext/>
      <w:spacing w:before="240" w:after="120" w:line="300" w:lineRule="atLeast"/>
      <w:outlineLvl w:val="2"/>
    </w:pPr>
    <w:rPr>
      <w:rFonts w:ascii="Arial" w:eastAsia="Times New Roman" w:hAnsi="Arial"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65D6"/>
    <w:rPr>
      <w:rFonts w:ascii="Arial" w:eastAsia="Times New Roman" w:hAnsi="Arial" w:cs="Arial"/>
      <w:b/>
      <w:bCs/>
      <w:color w:val="971A4B"/>
      <w:kern w:val="32"/>
      <w:sz w:val="32"/>
      <w:szCs w:val="32"/>
      <w:lang w:eastAsia="en-AU"/>
    </w:rPr>
  </w:style>
  <w:style w:type="character" w:customStyle="1" w:styleId="Heading2Char">
    <w:name w:val="Heading 2 Char"/>
    <w:basedOn w:val="DefaultParagraphFont"/>
    <w:link w:val="Heading2"/>
    <w:rsid w:val="00E665D6"/>
    <w:rPr>
      <w:rFonts w:ascii="Arial" w:eastAsia="Times New Roman" w:hAnsi="Arial" w:cs="Arial"/>
      <w:b/>
      <w:bCs/>
      <w:iCs/>
      <w:color w:val="971A4B"/>
      <w:sz w:val="28"/>
      <w:szCs w:val="28"/>
      <w:lang w:eastAsia="en-AU"/>
    </w:rPr>
  </w:style>
  <w:style w:type="character" w:customStyle="1" w:styleId="Heading3Char">
    <w:name w:val="Heading 3 Char"/>
    <w:basedOn w:val="DefaultParagraphFont"/>
    <w:link w:val="Heading3"/>
    <w:rsid w:val="00E665D6"/>
    <w:rPr>
      <w:rFonts w:ascii="Arial" w:eastAsia="Times New Roman" w:hAnsi="Arial" w:cs="Arial"/>
      <w:b/>
      <w:bCs/>
      <w:sz w:val="26"/>
      <w:szCs w:val="26"/>
      <w:lang w:eastAsia="en-AU"/>
    </w:rPr>
  </w:style>
  <w:style w:type="paragraph" w:styleId="Footer">
    <w:name w:val="footer"/>
    <w:basedOn w:val="Normal"/>
    <w:link w:val="FooterChar"/>
    <w:rsid w:val="00E665D6"/>
    <w:pPr>
      <w:tabs>
        <w:tab w:val="center" w:pos="4153"/>
        <w:tab w:val="right" w:pos="8306"/>
      </w:tabs>
    </w:pPr>
  </w:style>
  <w:style w:type="character" w:customStyle="1" w:styleId="FooterChar">
    <w:name w:val="Footer Char"/>
    <w:basedOn w:val="DefaultParagraphFont"/>
    <w:link w:val="Footer"/>
    <w:rsid w:val="00E665D6"/>
    <w:rPr>
      <w:rFonts w:ascii="Arial" w:eastAsia="Times New Roman" w:hAnsi="Arial" w:cs="Times New Roman"/>
      <w:szCs w:val="24"/>
    </w:rPr>
  </w:style>
  <w:style w:type="paragraph" w:styleId="Header">
    <w:name w:val="header"/>
    <w:link w:val="HeaderChar"/>
    <w:rsid w:val="00E665D6"/>
    <w:pPr>
      <w:pBdr>
        <w:bottom w:val="single" w:sz="4" w:space="1" w:color="B1005D"/>
      </w:pBdr>
      <w:tabs>
        <w:tab w:val="center" w:pos="4604"/>
        <w:tab w:val="right" w:pos="9214"/>
      </w:tabs>
      <w:spacing w:after="0" w:line="240" w:lineRule="atLeast"/>
    </w:pPr>
    <w:rPr>
      <w:rFonts w:ascii="Arial" w:eastAsia="Times New Roman" w:hAnsi="Arial" w:cs="Times New Roman"/>
      <w:szCs w:val="24"/>
    </w:rPr>
  </w:style>
  <w:style w:type="character" w:customStyle="1" w:styleId="HeaderChar">
    <w:name w:val="Header Char"/>
    <w:basedOn w:val="DefaultParagraphFont"/>
    <w:link w:val="Header"/>
    <w:rsid w:val="00E665D6"/>
    <w:rPr>
      <w:rFonts w:ascii="Arial" w:eastAsia="Times New Roman" w:hAnsi="Arial" w:cs="Times New Roman"/>
      <w:szCs w:val="24"/>
    </w:rPr>
  </w:style>
  <w:style w:type="character" w:styleId="PageNumber">
    <w:name w:val="page number"/>
    <w:semiHidden/>
    <w:rsid w:val="00E665D6"/>
    <w:rPr>
      <w:rFonts w:ascii="Arial" w:hAnsi="Arial"/>
      <w:sz w:val="18"/>
    </w:rPr>
  </w:style>
  <w:style w:type="paragraph" w:customStyle="1" w:styleId="VLAProgram">
    <w:name w:val="VLA Program"/>
    <w:basedOn w:val="Header"/>
    <w:next w:val="Normal"/>
    <w:rsid w:val="00E665D6"/>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E665D6"/>
    <w:pPr>
      <w:spacing w:before="120" w:after="960" w:line="240" w:lineRule="auto"/>
      <w:ind w:left="-329"/>
    </w:pPr>
    <w:rPr>
      <w:color w:val="FFFFFF"/>
      <w:sz w:val="18"/>
      <w:szCs w:val="18"/>
    </w:rPr>
  </w:style>
  <w:style w:type="character" w:styleId="Hyperlink">
    <w:name w:val="Hyperlink"/>
    <w:uiPriority w:val="99"/>
    <w:rsid w:val="00E665D6"/>
    <w:rPr>
      <w:rFonts w:ascii="Arial" w:hAnsi="Arial"/>
      <w:color w:val="0000FF"/>
      <w:u w:val="single"/>
      <w:lang w:val="en-AU"/>
    </w:rPr>
  </w:style>
  <w:style w:type="paragraph" w:styleId="ListBullet">
    <w:name w:val="List Bullet"/>
    <w:rsid w:val="00E665D6"/>
    <w:pPr>
      <w:numPr>
        <w:numId w:val="1"/>
      </w:numPr>
      <w:spacing w:before="120" w:after="120" w:line="300" w:lineRule="atLeast"/>
    </w:pPr>
    <w:rPr>
      <w:rFonts w:ascii="Arial" w:eastAsia="Times New Roman" w:hAnsi="Arial" w:cs="Times New Roman"/>
      <w:szCs w:val="24"/>
    </w:rPr>
  </w:style>
  <w:style w:type="paragraph" w:customStyle="1" w:styleId="VLAa">
    <w:name w:val="VLA a."/>
    <w:aliases w:val="b.,c."/>
    <w:rsid w:val="00E665D6"/>
    <w:pPr>
      <w:numPr>
        <w:numId w:val="2"/>
      </w:numPr>
      <w:spacing w:after="120" w:line="300" w:lineRule="atLeast"/>
    </w:pPr>
    <w:rPr>
      <w:rFonts w:ascii="Arial" w:eastAsia="Times New Roman" w:hAnsi="Arial" w:cs="Times New Roman"/>
      <w:szCs w:val="24"/>
    </w:rPr>
  </w:style>
  <w:style w:type="character" w:styleId="CommentReference">
    <w:name w:val="annotation reference"/>
    <w:basedOn w:val="DefaultParagraphFont"/>
    <w:uiPriority w:val="99"/>
    <w:semiHidden/>
    <w:unhideWhenUsed/>
    <w:rsid w:val="009907CA"/>
    <w:rPr>
      <w:sz w:val="16"/>
      <w:szCs w:val="16"/>
    </w:rPr>
  </w:style>
  <w:style w:type="paragraph" w:styleId="CommentText">
    <w:name w:val="annotation text"/>
    <w:basedOn w:val="Normal"/>
    <w:link w:val="CommentTextChar"/>
    <w:uiPriority w:val="99"/>
    <w:unhideWhenUsed/>
    <w:rsid w:val="009907CA"/>
    <w:pPr>
      <w:spacing w:line="240" w:lineRule="auto"/>
    </w:pPr>
    <w:rPr>
      <w:sz w:val="20"/>
      <w:szCs w:val="20"/>
    </w:rPr>
  </w:style>
  <w:style w:type="character" w:customStyle="1" w:styleId="CommentTextChar">
    <w:name w:val="Comment Text Char"/>
    <w:basedOn w:val="DefaultParagraphFont"/>
    <w:link w:val="CommentText"/>
    <w:uiPriority w:val="99"/>
    <w:rsid w:val="009907C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907CA"/>
    <w:rPr>
      <w:b/>
      <w:bCs/>
    </w:rPr>
  </w:style>
  <w:style w:type="character" w:customStyle="1" w:styleId="CommentSubjectChar">
    <w:name w:val="Comment Subject Char"/>
    <w:basedOn w:val="CommentTextChar"/>
    <w:link w:val="CommentSubject"/>
    <w:uiPriority w:val="99"/>
    <w:semiHidden/>
    <w:rsid w:val="009907CA"/>
    <w:rPr>
      <w:rFonts w:ascii="Arial" w:eastAsia="Times New Roman" w:hAnsi="Arial" w:cs="Times New Roman"/>
      <w:b/>
      <w:bCs/>
      <w:sz w:val="20"/>
      <w:szCs w:val="20"/>
    </w:rPr>
  </w:style>
  <w:style w:type="character" w:styleId="UnresolvedMention">
    <w:name w:val="Unresolved Mention"/>
    <w:basedOn w:val="DefaultParagraphFont"/>
    <w:uiPriority w:val="99"/>
    <w:semiHidden/>
    <w:unhideWhenUsed/>
    <w:rsid w:val="00B81F3E"/>
    <w:rPr>
      <w:color w:val="605E5C"/>
      <w:shd w:val="clear" w:color="auto" w:fill="E1DFDD"/>
    </w:rPr>
  </w:style>
  <w:style w:type="paragraph" w:styleId="ListParagraph">
    <w:name w:val="List Paragraph"/>
    <w:basedOn w:val="Normal"/>
    <w:uiPriority w:val="34"/>
    <w:qFormat/>
    <w:rsid w:val="006F78BE"/>
    <w:pPr>
      <w:ind w:left="720"/>
      <w:contextualSpacing/>
    </w:pPr>
  </w:style>
  <w:style w:type="paragraph" w:styleId="Revision">
    <w:name w:val="Revision"/>
    <w:hidden/>
    <w:uiPriority w:val="99"/>
    <w:semiHidden/>
    <w:rsid w:val="008F2FB9"/>
    <w:pPr>
      <w:spacing w:after="0" w:line="240" w:lineRule="auto"/>
    </w:pPr>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9915">
      <w:bodyDiv w:val="1"/>
      <w:marLeft w:val="0"/>
      <w:marRight w:val="0"/>
      <w:marTop w:val="0"/>
      <w:marBottom w:val="0"/>
      <w:divBdr>
        <w:top w:val="none" w:sz="0" w:space="0" w:color="auto"/>
        <w:left w:val="none" w:sz="0" w:space="0" w:color="auto"/>
        <w:bottom w:val="none" w:sz="0" w:space="0" w:color="auto"/>
        <w:right w:val="none" w:sz="0" w:space="0" w:color="auto"/>
      </w:divBdr>
      <w:divsChild>
        <w:div w:id="142505791">
          <w:marLeft w:val="850"/>
          <w:marRight w:val="0"/>
          <w:marTop w:val="0"/>
          <w:marBottom w:val="160"/>
          <w:divBdr>
            <w:top w:val="none" w:sz="0" w:space="0" w:color="auto"/>
            <w:left w:val="none" w:sz="0" w:space="0" w:color="auto"/>
            <w:bottom w:val="none" w:sz="0" w:space="0" w:color="auto"/>
            <w:right w:val="none" w:sz="0" w:space="0" w:color="auto"/>
          </w:divBdr>
        </w:div>
        <w:div w:id="225728447">
          <w:marLeft w:val="850"/>
          <w:marRight w:val="0"/>
          <w:marTop w:val="0"/>
          <w:marBottom w:val="160"/>
          <w:divBdr>
            <w:top w:val="none" w:sz="0" w:space="0" w:color="auto"/>
            <w:left w:val="none" w:sz="0" w:space="0" w:color="auto"/>
            <w:bottom w:val="none" w:sz="0" w:space="0" w:color="auto"/>
            <w:right w:val="none" w:sz="0" w:space="0" w:color="auto"/>
          </w:divBdr>
        </w:div>
        <w:div w:id="1103302477">
          <w:marLeft w:val="850"/>
          <w:marRight w:val="0"/>
          <w:marTop w:val="0"/>
          <w:marBottom w:val="160"/>
          <w:divBdr>
            <w:top w:val="none" w:sz="0" w:space="0" w:color="auto"/>
            <w:left w:val="none" w:sz="0" w:space="0" w:color="auto"/>
            <w:bottom w:val="none" w:sz="0" w:space="0" w:color="auto"/>
            <w:right w:val="none" w:sz="0" w:space="0" w:color="auto"/>
          </w:divBdr>
        </w:div>
        <w:div w:id="1201363875">
          <w:marLeft w:val="850"/>
          <w:marRight w:val="0"/>
          <w:marTop w:val="0"/>
          <w:marBottom w:val="160"/>
          <w:divBdr>
            <w:top w:val="none" w:sz="0" w:space="0" w:color="auto"/>
            <w:left w:val="none" w:sz="0" w:space="0" w:color="auto"/>
            <w:bottom w:val="none" w:sz="0" w:space="0" w:color="auto"/>
            <w:right w:val="none" w:sz="0" w:space="0" w:color="auto"/>
          </w:divBdr>
        </w:div>
        <w:div w:id="1749300669">
          <w:marLeft w:val="850"/>
          <w:marRight w:val="0"/>
          <w:marTop w:val="0"/>
          <w:marBottom w:val="1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licia.savvas@vla.vic.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F842D-DCE5-498D-9C32-B6B39927B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3026</Words>
  <Characters>17249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Victoria Legal Aid</Company>
  <LinksUpToDate>false</LinksUpToDate>
  <CharactersWithSpaces>20235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Legal Aid</dc:creator>
  <cp:keywords/>
  <dc:description/>
  <cp:lastModifiedBy>Naomi Woodley</cp:lastModifiedBy>
  <cp:revision>4</cp:revision>
  <dcterms:created xsi:type="dcterms:W3CDTF">2022-04-18T23:58:00Z</dcterms:created>
  <dcterms:modified xsi:type="dcterms:W3CDTF">2022-04-19T00:00:00Z</dcterms:modified>
</cp:coreProperties>
</file>