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D6EDC6" w14:textId="77777777" w:rsidR="000E6C7E" w:rsidRDefault="000E6C7E" w:rsidP="000E6C7E">
      <w:pPr>
        <w:pStyle w:val="Heading1"/>
      </w:pPr>
      <w:r>
        <w:t xml:space="preserve">Ready </w:t>
      </w:r>
      <w:r w:rsidR="00A14AFB">
        <w:t>r</w:t>
      </w:r>
      <w:r>
        <w:t>eckoner – Overview of Commonwealth family law guideline</w:t>
      </w:r>
      <w:r w:rsidRPr="007B273B">
        <w:t xml:space="preserve"> </w:t>
      </w:r>
      <w:r>
        <w:t>changes</w:t>
      </w:r>
    </w:p>
    <w:p w14:paraId="7C6C9446" w14:textId="77777777" w:rsidR="000E6C7E" w:rsidRDefault="000E6C7E" w:rsidP="000E6C7E">
      <w:pPr>
        <w:rPr>
          <w:szCs w:val="22"/>
        </w:rPr>
      </w:pPr>
      <w:r>
        <w:rPr>
          <w:szCs w:val="22"/>
        </w:rPr>
        <w:t xml:space="preserve">We have redrafted our Commonwealth family law and child support guidelines to make them clearer, more consistent and easier to use. </w:t>
      </w:r>
    </w:p>
    <w:p w14:paraId="6C814F57" w14:textId="77777777" w:rsidR="000E6C7E" w:rsidRDefault="000E6C7E" w:rsidP="000E6C7E">
      <w:pPr>
        <w:rPr>
          <w:szCs w:val="22"/>
        </w:rPr>
      </w:pPr>
      <w:r>
        <w:rPr>
          <w:szCs w:val="22"/>
        </w:rPr>
        <w:t xml:space="preserve">It was not the intention of the redraft to expand or restrict eligibility criteria, however in addressing gaps and inconsistencies, some minor expansions of eligibility have occurred. The following tables outline the changes that are substantive in nature (ie which change eligibility criteria), and those that relate to structure, language and functionality. </w:t>
      </w:r>
    </w:p>
    <w:p w14:paraId="37CDBE02" w14:textId="77777777" w:rsidR="000E6C7E" w:rsidRPr="000E6C7E" w:rsidRDefault="000E6C7E" w:rsidP="000E6C7E">
      <w:pPr>
        <w:pStyle w:val="Heading2"/>
      </w:pPr>
      <w:r w:rsidRPr="000E6C7E">
        <w:t>Any questions?</w:t>
      </w:r>
    </w:p>
    <w:p w14:paraId="6AFF20E0" w14:textId="77777777" w:rsidR="000E6C7E" w:rsidRPr="00915B1D" w:rsidRDefault="000E6C7E" w:rsidP="000E6C7E">
      <w:pPr>
        <w:pStyle w:val="ListParagraph"/>
        <w:spacing w:after="120"/>
        <w:ind w:left="0"/>
        <w:rPr>
          <w:rFonts w:cs="Arial"/>
          <w:sz w:val="22"/>
          <w:szCs w:val="22"/>
          <w:lang w:val="en-US"/>
        </w:rPr>
      </w:pPr>
      <w:r w:rsidRPr="00915B1D">
        <w:rPr>
          <w:rFonts w:cs="Arial"/>
          <w:b/>
          <w:bCs/>
          <w:sz w:val="22"/>
          <w:szCs w:val="22"/>
          <w:lang w:val="en-US"/>
        </w:rPr>
        <w:t>For training and content queries</w:t>
      </w:r>
      <w:r w:rsidRPr="00915B1D">
        <w:rPr>
          <w:rFonts w:cs="Arial"/>
          <w:sz w:val="22"/>
          <w:szCs w:val="22"/>
          <w:lang w:val="en-US"/>
        </w:rPr>
        <w:t xml:space="preserve"> contact </w:t>
      </w:r>
      <w:hyperlink r:id="rId8" w:history="1">
        <w:r w:rsidRPr="00915B1D">
          <w:rPr>
            <w:rStyle w:val="Hyperlink"/>
            <w:rFonts w:cs="Arial"/>
            <w:sz w:val="22"/>
            <w:szCs w:val="22"/>
            <w:lang w:val="en-US"/>
          </w:rPr>
          <w:t>David Cleary</w:t>
        </w:r>
      </w:hyperlink>
      <w:r w:rsidRPr="00915B1D">
        <w:rPr>
          <w:rFonts w:cs="Arial"/>
          <w:sz w:val="22"/>
          <w:szCs w:val="22"/>
          <w:lang w:val="en-US"/>
        </w:rPr>
        <w:t xml:space="preserve">, Coordinator, Assignments Family Law on </w:t>
      </w:r>
      <w:r>
        <w:rPr>
          <w:rFonts w:cs="Arial"/>
          <w:sz w:val="22"/>
          <w:szCs w:val="22"/>
          <w:lang w:val="en-US"/>
        </w:rPr>
        <w:t>(</w:t>
      </w:r>
      <w:r w:rsidRPr="00915B1D">
        <w:rPr>
          <w:rFonts w:cs="Arial"/>
          <w:color w:val="000000"/>
          <w:sz w:val="22"/>
          <w:szCs w:val="22"/>
        </w:rPr>
        <w:t>03</w:t>
      </w:r>
      <w:r>
        <w:rPr>
          <w:rFonts w:cs="Arial"/>
          <w:color w:val="000000"/>
          <w:sz w:val="22"/>
          <w:szCs w:val="22"/>
        </w:rPr>
        <w:t>)</w:t>
      </w:r>
      <w:r w:rsidRPr="00915B1D">
        <w:rPr>
          <w:rFonts w:cs="Arial"/>
          <w:color w:val="000000"/>
          <w:sz w:val="22"/>
          <w:szCs w:val="22"/>
        </w:rPr>
        <w:t xml:space="preserve"> 9606 5251 </w:t>
      </w:r>
      <w:r w:rsidRPr="00915B1D">
        <w:rPr>
          <w:rFonts w:cs="Arial"/>
          <w:sz w:val="22"/>
          <w:szCs w:val="22"/>
          <w:lang w:val="en-US"/>
        </w:rPr>
        <w:t xml:space="preserve">or </w:t>
      </w:r>
      <w:hyperlink r:id="rId9" w:history="1">
        <w:r w:rsidRPr="00915B1D">
          <w:rPr>
            <w:rStyle w:val="Hyperlink"/>
            <w:rFonts w:cs="Arial"/>
            <w:sz w:val="22"/>
            <w:szCs w:val="22"/>
            <w:lang w:val="en-US"/>
          </w:rPr>
          <w:t>Tina Nikoloski</w:t>
        </w:r>
      </w:hyperlink>
      <w:r w:rsidRPr="00915B1D">
        <w:rPr>
          <w:rFonts w:cs="Arial"/>
          <w:sz w:val="22"/>
          <w:szCs w:val="22"/>
          <w:lang w:val="en-US"/>
        </w:rPr>
        <w:t xml:space="preserve">, Coordinator, Assignments Family Law on </w:t>
      </w:r>
      <w:r>
        <w:rPr>
          <w:rFonts w:cs="Arial"/>
          <w:sz w:val="22"/>
          <w:szCs w:val="22"/>
          <w:lang w:val="en-US"/>
        </w:rPr>
        <w:t>(</w:t>
      </w:r>
      <w:r w:rsidRPr="00915B1D">
        <w:rPr>
          <w:rFonts w:cs="Arial"/>
          <w:sz w:val="22"/>
          <w:szCs w:val="22"/>
          <w:lang w:val="en-US"/>
        </w:rPr>
        <w:t>03</w:t>
      </w:r>
      <w:r>
        <w:rPr>
          <w:rFonts w:cs="Arial"/>
          <w:sz w:val="22"/>
          <w:szCs w:val="22"/>
          <w:lang w:val="en-US"/>
        </w:rPr>
        <w:t>)</w:t>
      </w:r>
      <w:r w:rsidRPr="00915B1D">
        <w:rPr>
          <w:rFonts w:cs="Arial"/>
          <w:sz w:val="22"/>
          <w:szCs w:val="22"/>
          <w:lang w:val="en-US"/>
        </w:rPr>
        <w:t xml:space="preserve"> 9606 5252</w:t>
      </w:r>
      <w:r>
        <w:rPr>
          <w:rFonts w:cs="Arial"/>
          <w:sz w:val="22"/>
          <w:szCs w:val="22"/>
          <w:lang w:val="en-US"/>
        </w:rPr>
        <w:t>.</w:t>
      </w:r>
    </w:p>
    <w:p w14:paraId="589D1C85" w14:textId="77777777" w:rsidR="000E6C7E" w:rsidRDefault="000E6C7E" w:rsidP="000E6C7E">
      <w:pPr>
        <w:pStyle w:val="ListParagraph"/>
        <w:spacing w:after="120"/>
        <w:ind w:left="0"/>
        <w:rPr>
          <w:rFonts w:cs="Arial"/>
          <w:color w:val="333333"/>
          <w:sz w:val="22"/>
          <w:szCs w:val="22"/>
          <w:shd w:val="clear" w:color="auto" w:fill="FFFFFF"/>
          <w:lang w:val="en-US"/>
        </w:rPr>
      </w:pPr>
      <w:r w:rsidRPr="00915B1D">
        <w:rPr>
          <w:rFonts w:cs="Arial"/>
          <w:b/>
          <w:bCs/>
          <w:sz w:val="22"/>
          <w:szCs w:val="22"/>
          <w:lang w:val="en-US"/>
        </w:rPr>
        <w:t xml:space="preserve">For general queries </w:t>
      </w:r>
      <w:r w:rsidRPr="005A5339">
        <w:rPr>
          <w:rFonts w:cs="Arial"/>
          <w:bCs/>
          <w:sz w:val="22"/>
          <w:szCs w:val="22"/>
          <w:lang w:val="en-US"/>
        </w:rPr>
        <w:t>about the guidelines,</w:t>
      </w:r>
      <w:r>
        <w:rPr>
          <w:rFonts w:cs="Arial"/>
          <w:b/>
          <w:bCs/>
          <w:sz w:val="22"/>
          <w:szCs w:val="22"/>
          <w:lang w:val="en-US"/>
        </w:rPr>
        <w:t xml:space="preserve"> </w:t>
      </w:r>
      <w:r w:rsidRPr="00915B1D">
        <w:rPr>
          <w:rFonts w:cs="Arial"/>
          <w:sz w:val="22"/>
          <w:szCs w:val="22"/>
          <w:lang w:val="en-US"/>
        </w:rPr>
        <w:t xml:space="preserve">contact the Family Law Assignments team on </w:t>
      </w:r>
      <w:r>
        <w:rPr>
          <w:rFonts w:cs="Arial"/>
          <w:sz w:val="22"/>
          <w:szCs w:val="22"/>
          <w:lang w:val="en-US"/>
        </w:rPr>
        <w:t>(</w:t>
      </w:r>
      <w:r w:rsidRPr="00915B1D">
        <w:rPr>
          <w:rFonts w:cs="Arial"/>
          <w:sz w:val="22"/>
          <w:szCs w:val="22"/>
          <w:lang w:val="en-US"/>
        </w:rPr>
        <w:t>03</w:t>
      </w:r>
      <w:r>
        <w:rPr>
          <w:rFonts w:cs="Arial"/>
          <w:sz w:val="22"/>
          <w:szCs w:val="22"/>
          <w:lang w:val="en-US"/>
        </w:rPr>
        <w:t>)</w:t>
      </w:r>
      <w:r w:rsidRPr="00915B1D">
        <w:rPr>
          <w:rFonts w:cs="Arial"/>
          <w:sz w:val="22"/>
          <w:szCs w:val="22"/>
          <w:lang w:val="en-US"/>
        </w:rPr>
        <w:t xml:space="preserve"> 9606 5355.</w:t>
      </w:r>
      <w:r w:rsidRPr="00915B1D">
        <w:rPr>
          <w:rFonts w:cs="Arial"/>
          <w:color w:val="333333"/>
          <w:sz w:val="22"/>
          <w:szCs w:val="22"/>
          <w:shd w:val="clear" w:color="auto" w:fill="FFFFFF"/>
          <w:lang w:val="en-US"/>
        </w:rPr>
        <w:t xml:space="preserve"> </w:t>
      </w:r>
    </w:p>
    <w:p w14:paraId="1E5C10EE" w14:textId="77777777" w:rsidR="000E6C7E" w:rsidRPr="00915B1D" w:rsidRDefault="000E6C7E" w:rsidP="000E6C7E">
      <w:pPr>
        <w:pStyle w:val="Heading2"/>
        <w:rPr>
          <w:shd w:val="clear" w:color="auto" w:fill="FFFFFF"/>
        </w:rPr>
      </w:pPr>
      <w:r>
        <w:rPr>
          <w:shd w:val="clear" w:color="auto" w:fill="FFFFFF"/>
        </w:rPr>
        <w:t>Table 1 – Substantive changes</w:t>
      </w:r>
    </w:p>
    <w:tbl>
      <w:tblPr>
        <w:tblStyle w:val="TableGrid"/>
        <w:tblW w:w="0" w:type="auto"/>
        <w:tblLook w:val="04A0" w:firstRow="1" w:lastRow="0" w:firstColumn="1" w:lastColumn="0" w:noHBand="0" w:noVBand="1"/>
      </w:tblPr>
      <w:tblGrid>
        <w:gridCol w:w="2533"/>
        <w:gridCol w:w="3983"/>
        <w:gridCol w:w="3560"/>
      </w:tblGrid>
      <w:tr w:rsidR="000E6C7E" w:rsidRPr="007B273B" w14:paraId="32E5C90D" w14:textId="77777777" w:rsidTr="005E19C4">
        <w:trPr>
          <w:tblHeader/>
        </w:trPr>
        <w:tc>
          <w:tcPr>
            <w:tcW w:w="0" w:type="auto"/>
            <w:shd w:val="clear" w:color="auto" w:fill="D9D9D9" w:themeFill="background1" w:themeFillShade="D9"/>
          </w:tcPr>
          <w:p w14:paraId="4D02428B" w14:textId="77777777" w:rsidR="000E6C7E" w:rsidRPr="007B273B" w:rsidRDefault="000E6C7E" w:rsidP="000E6C7E">
            <w:pPr>
              <w:spacing w:after="60" w:line="240" w:lineRule="auto"/>
              <w:rPr>
                <w:rFonts w:cs="Arial"/>
                <w:b/>
                <w:szCs w:val="22"/>
              </w:rPr>
            </w:pPr>
            <w:r>
              <w:rPr>
                <w:rFonts w:cs="Arial"/>
                <w:b/>
                <w:szCs w:val="22"/>
              </w:rPr>
              <w:t>Pre-July 2017 g</w:t>
            </w:r>
            <w:r w:rsidRPr="007B273B">
              <w:rPr>
                <w:rFonts w:cs="Arial"/>
                <w:b/>
                <w:szCs w:val="22"/>
              </w:rPr>
              <w:t>uideline</w:t>
            </w:r>
            <w:r>
              <w:rPr>
                <w:rFonts w:cs="Arial"/>
                <w:b/>
                <w:szCs w:val="22"/>
              </w:rPr>
              <w:t>s</w:t>
            </w:r>
          </w:p>
        </w:tc>
        <w:tc>
          <w:tcPr>
            <w:tcW w:w="3983" w:type="dxa"/>
            <w:shd w:val="clear" w:color="auto" w:fill="D9D9D9" w:themeFill="background1" w:themeFillShade="D9"/>
          </w:tcPr>
          <w:p w14:paraId="6ABF9E4B" w14:textId="77777777" w:rsidR="000E6C7E" w:rsidRPr="007B273B" w:rsidRDefault="000E6C7E" w:rsidP="000E6C7E">
            <w:pPr>
              <w:spacing w:after="60" w:line="240" w:lineRule="auto"/>
              <w:rPr>
                <w:rFonts w:cs="Arial"/>
                <w:b/>
                <w:szCs w:val="22"/>
              </w:rPr>
            </w:pPr>
            <w:r>
              <w:rPr>
                <w:rFonts w:cs="Arial"/>
                <w:b/>
                <w:szCs w:val="22"/>
              </w:rPr>
              <w:t>From 3 July 2017</w:t>
            </w:r>
          </w:p>
        </w:tc>
        <w:tc>
          <w:tcPr>
            <w:tcW w:w="3560" w:type="dxa"/>
            <w:shd w:val="clear" w:color="auto" w:fill="D9D9D9" w:themeFill="background1" w:themeFillShade="D9"/>
          </w:tcPr>
          <w:p w14:paraId="54288E3E" w14:textId="77777777" w:rsidR="000E6C7E" w:rsidRPr="007B273B" w:rsidRDefault="000E6C7E" w:rsidP="000E6C7E">
            <w:pPr>
              <w:spacing w:after="60" w:line="240" w:lineRule="auto"/>
              <w:rPr>
                <w:rFonts w:cs="Arial"/>
                <w:b/>
                <w:szCs w:val="22"/>
              </w:rPr>
            </w:pPr>
            <w:r>
              <w:rPr>
                <w:rFonts w:cs="Arial"/>
                <w:b/>
                <w:szCs w:val="22"/>
              </w:rPr>
              <w:t>Reason for change</w:t>
            </w:r>
          </w:p>
        </w:tc>
      </w:tr>
      <w:tr w:rsidR="00AC7582" w:rsidRPr="007B273B" w14:paraId="724E0721" w14:textId="77777777" w:rsidTr="005E19C4">
        <w:tc>
          <w:tcPr>
            <w:tcW w:w="0" w:type="auto"/>
          </w:tcPr>
          <w:p w14:paraId="345EBA1C" w14:textId="77777777" w:rsidR="000E6C7E" w:rsidRDefault="000E6C7E" w:rsidP="000E6C7E">
            <w:pPr>
              <w:spacing w:before="120" w:line="240" w:lineRule="auto"/>
              <w:rPr>
                <w:rFonts w:cs="Arial"/>
                <w:szCs w:val="22"/>
              </w:rPr>
            </w:pPr>
            <w:r w:rsidRPr="007B273B">
              <w:rPr>
                <w:rFonts w:cs="Arial"/>
                <w:szCs w:val="22"/>
              </w:rPr>
              <w:t>Definition:</w:t>
            </w:r>
            <w:r w:rsidRPr="007B273B">
              <w:rPr>
                <w:rFonts w:cs="Arial"/>
                <w:b/>
                <w:szCs w:val="22"/>
              </w:rPr>
              <w:t xml:space="preserve"> </w:t>
            </w:r>
            <w:r w:rsidRPr="007B273B">
              <w:rPr>
                <w:rFonts w:cs="Arial"/>
                <w:szCs w:val="22"/>
              </w:rPr>
              <w:t>‘Priority client’</w:t>
            </w:r>
            <w:r>
              <w:rPr>
                <w:rFonts w:cs="Arial"/>
                <w:szCs w:val="22"/>
              </w:rPr>
              <w:t xml:space="preserve"> </w:t>
            </w:r>
          </w:p>
          <w:p w14:paraId="31169B77" w14:textId="77777777" w:rsidR="000E6C7E" w:rsidRPr="007B273B" w:rsidRDefault="000E6C7E" w:rsidP="000E6C7E">
            <w:pPr>
              <w:spacing w:before="120" w:line="240" w:lineRule="auto"/>
              <w:rPr>
                <w:rFonts w:cs="Arial"/>
                <w:szCs w:val="22"/>
              </w:rPr>
            </w:pPr>
            <w:r>
              <w:rPr>
                <w:rFonts w:cs="Arial"/>
                <w:szCs w:val="22"/>
              </w:rPr>
              <w:t>(e</w:t>
            </w:r>
            <w:r w:rsidRPr="009452F4">
              <w:rPr>
                <w:rFonts w:cs="Arial"/>
                <w:szCs w:val="22"/>
              </w:rPr>
              <w:t>ligibility criteri</w:t>
            </w:r>
            <w:r>
              <w:rPr>
                <w:rFonts w:cs="Arial"/>
                <w:szCs w:val="22"/>
              </w:rPr>
              <w:t>on</w:t>
            </w:r>
            <w:r w:rsidRPr="009452F4">
              <w:rPr>
                <w:rFonts w:cs="Arial"/>
                <w:szCs w:val="22"/>
              </w:rPr>
              <w:t xml:space="preserve"> applied in parenting disputes </w:t>
            </w:r>
            <w:r>
              <w:rPr>
                <w:rFonts w:cs="Arial"/>
                <w:szCs w:val="22"/>
              </w:rPr>
              <w:t>to</w:t>
            </w:r>
            <w:r w:rsidRPr="009452F4">
              <w:rPr>
                <w:rFonts w:cs="Arial"/>
                <w:szCs w:val="22"/>
              </w:rPr>
              <w:t xml:space="preserve"> prioritise funding for </w:t>
            </w:r>
            <w:r>
              <w:rPr>
                <w:rFonts w:cs="Arial"/>
                <w:szCs w:val="22"/>
              </w:rPr>
              <w:t xml:space="preserve">FDRS for </w:t>
            </w:r>
            <w:r w:rsidRPr="009452F4">
              <w:rPr>
                <w:rFonts w:cs="Arial"/>
                <w:szCs w:val="22"/>
              </w:rPr>
              <w:t>clients with a particular vulnerab</w:t>
            </w:r>
            <w:r>
              <w:rPr>
                <w:rFonts w:cs="Arial"/>
                <w:szCs w:val="22"/>
              </w:rPr>
              <w:t>ility).</w:t>
            </w:r>
            <w:r w:rsidRPr="007B273B">
              <w:rPr>
                <w:rFonts w:cs="Arial"/>
                <w:szCs w:val="22"/>
              </w:rPr>
              <w:t xml:space="preserve"> </w:t>
            </w:r>
          </w:p>
        </w:tc>
        <w:tc>
          <w:tcPr>
            <w:tcW w:w="3983" w:type="dxa"/>
          </w:tcPr>
          <w:p w14:paraId="4B56EF29" w14:textId="77777777" w:rsidR="000E6C7E" w:rsidRPr="00A742A2" w:rsidRDefault="000E6C7E" w:rsidP="000E6C7E">
            <w:pPr>
              <w:spacing w:before="120" w:line="240" w:lineRule="auto"/>
              <w:rPr>
                <w:rFonts w:cs="Arial"/>
                <w:szCs w:val="22"/>
              </w:rPr>
            </w:pPr>
            <w:r>
              <w:rPr>
                <w:rFonts w:cs="Arial"/>
                <w:szCs w:val="22"/>
              </w:rPr>
              <w:t xml:space="preserve">Replaced by </w:t>
            </w:r>
            <w:r w:rsidRPr="005A5339">
              <w:rPr>
                <w:rFonts w:cs="Arial"/>
                <w:b/>
                <w:szCs w:val="22"/>
              </w:rPr>
              <w:t>priority FDRS client</w:t>
            </w:r>
            <w:r>
              <w:rPr>
                <w:rFonts w:cs="Arial"/>
                <w:szCs w:val="22"/>
              </w:rPr>
              <w:t xml:space="preserve"> </w:t>
            </w:r>
          </w:p>
          <w:p w14:paraId="6121C3F2" w14:textId="77777777" w:rsidR="000E6C7E" w:rsidRPr="005E19C4" w:rsidRDefault="000E6C7E" w:rsidP="005E19C4">
            <w:pPr>
              <w:pStyle w:val="ListNumber"/>
            </w:pPr>
            <w:r w:rsidRPr="005E19C4">
              <w:t xml:space="preserve">Addition of drug and/or alcohol issues as a </w:t>
            </w:r>
            <w:r w:rsidR="00A9128C">
              <w:t xml:space="preserve">core </w:t>
            </w:r>
            <w:r w:rsidRPr="005E19C4">
              <w:t xml:space="preserve">vulnerability, which must impact on a person’s ability to participate effectively in family dispute resolution at VLA's Family Dispute Resolution Service. </w:t>
            </w:r>
          </w:p>
          <w:p w14:paraId="676702C3" w14:textId="77777777" w:rsidR="00D15988" w:rsidRPr="00D15988" w:rsidRDefault="00D15988" w:rsidP="005E19C4">
            <w:pPr>
              <w:pStyle w:val="ListNumber"/>
            </w:pPr>
            <w:r w:rsidRPr="005E19C4">
              <w:t xml:space="preserve">Removal </w:t>
            </w:r>
            <w:r w:rsidR="005E19C4" w:rsidRPr="005E19C4">
              <w:t xml:space="preserve">of requirement </w:t>
            </w:r>
            <w:r w:rsidR="00A9128C">
              <w:t xml:space="preserve">in the redrafted FDRS guideline </w:t>
            </w:r>
            <w:r w:rsidR="005E19C4" w:rsidRPr="005E19C4">
              <w:t>for there to be ‘</w:t>
            </w:r>
            <w:r w:rsidRPr="005E19C4">
              <w:t>a ma</w:t>
            </w:r>
            <w:r w:rsidR="005E19C4" w:rsidRPr="005E19C4">
              <w:t>tter currently before the court’</w:t>
            </w:r>
            <w:r w:rsidRPr="005E19C4">
              <w:t xml:space="preserve"> where a person is relying on the criterion that the child’s ability to maintain a meaningful relationship with a parent </w:t>
            </w:r>
            <w:r w:rsidR="005E19C4" w:rsidRPr="005E19C4">
              <w:t>‘</w:t>
            </w:r>
            <w:r w:rsidRPr="005E19C4">
              <w:t>will be substantially prejudice</w:t>
            </w:r>
            <w:r w:rsidR="00A9128C">
              <w:t>d</w:t>
            </w:r>
            <w:r w:rsidRPr="005E19C4">
              <w:t xml:space="preserve"> by the proposals or conduct </w:t>
            </w:r>
            <w:r w:rsidR="005E19C4" w:rsidRPr="005E19C4">
              <w:t>of a party to the dispute’</w:t>
            </w:r>
            <w:r>
              <w:t>.</w:t>
            </w:r>
          </w:p>
          <w:p w14:paraId="75E1E999" w14:textId="77777777" w:rsidR="00D15988" w:rsidRPr="009E6BF7" w:rsidRDefault="00D15988" w:rsidP="000E6C7E">
            <w:pPr>
              <w:spacing w:before="120" w:line="240" w:lineRule="auto"/>
              <w:rPr>
                <w:rFonts w:cs="Arial"/>
                <w:szCs w:val="22"/>
              </w:rPr>
            </w:pPr>
            <w:r w:rsidRPr="0064535F">
              <w:rPr>
                <w:rFonts w:cs="Arial"/>
                <w:szCs w:val="22"/>
              </w:rPr>
              <w:t>Th</w:t>
            </w:r>
            <w:r>
              <w:rPr>
                <w:rFonts w:cs="Arial"/>
                <w:szCs w:val="22"/>
              </w:rPr>
              <w:t>ese</w:t>
            </w:r>
            <w:r w:rsidRPr="0064535F">
              <w:rPr>
                <w:rFonts w:cs="Arial"/>
                <w:szCs w:val="22"/>
              </w:rPr>
              <w:t xml:space="preserve"> represent change</w:t>
            </w:r>
            <w:r>
              <w:rPr>
                <w:rFonts w:cs="Arial"/>
                <w:szCs w:val="22"/>
              </w:rPr>
              <w:t>s</w:t>
            </w:r>
            <w:r w:rsidRPr="0064535F">
              <w:rPr>
                <w:rFonts w:cs="Arial"/>
                <w:szCs w:val="22"/>
              </w:rPr>
              <w:t xml:space="preserve"> in eligibility criteria.</w:t>
            </w:r>
          </w:p>
        </w:tc>
        <w:tc>
          <w:tcPr>
            <w:tcW w:w="3560" w:type="dxa"/>
          </w:tcPr>
          <w:p w14:paraId="76CB8EF6" w14:textId="77777777" w:rsidR="00736A55" w:rsidRPr="005E19C4" w:rsidRDefault="000E6C7E" w:rsidP="005E19C4">
            <w:pPr>
              <w:pStyle w:val="ListNumber"/>
              <w:numPr>
                <w:ilvl w:val="0"/>
                <w:numId w:val="11"/>
              </w:numPr>
            </w:pPr>
            <w:r w:rsidRPr="005E19C4">
              <w:t>This achieves consistency across the</w:t>
            </w:r>
            <w:r w:rsidR="00C76176" w:rsidRPr="00DE2AB2">
              <w:rPr>
                <w:rFonts w:cs="Arial"/>
                <w:iCs/>
                <w:szCs w:val="22"/>
              </w:rPr>
              <w:t xml:space="preserve"> core vulne</w:t>
            </w:r>
            <w:r w:rsidR="00C76176" w:rsidRPr="004456F8">
              <w:rPr>
                <w:rFonts w:cs="Arial"/>
                <w:iCs/>
                <w:szCs w:val="22"/>
              </w:rPr>
              <w:t>rabilities in the</w:t>
            </w:r>
            <w:r w:rsidRPr="005E19C4">
              <w:t xml:space="preserve"> two priority client categories for FDRS and for litigation and increases opportunities for matters to be resolved at an earlier point in a dispute.</w:t>
            </w:r>
          </w:p>
          <w:p w14:paraId="7A386149" w14:textId="77777777" w:rsidR="000E6C7E" w:rsidRPr="005E19C4" w:rsidRDefault="00D15988" w:rsidP="005E19C4">
            <w:pPr>
              <w:pStyle w:val="ListNumber"/>
            </w:pPr>
            <w:r w:rsidRPr="005E19C4">
              <w:t xml:space="preserve">This aligns with VLA policy to encourage the resolution of disputes without </w:t>
            </w:r>
            <w:r w:rsidR="00736A55" w:rsidRPr="005E19C4">
              <w:t xml:space="preserve">recourse to </w:t>
            </w:r>
            <w:r w:rsidRPr="005E19C4">
              <w:t xml:space="preserve">litigation. </w:t>
            </w:r>
          </w:p>
          <w:p w14:paraId="5FF91957" w14:textId="77777777" w:rsidR="000E6C7E" w:rsidRPr="00D22A1E" w:rsidRDefault="000E6C7E" w:rsidP="000E6C7E">
            <w:pPr>
              <w:spacing w:line="240" w:lineRule="auto"/>
              <w:rPr>
                <w:rFonts w:cs="Arial"/>
                <w:szCs w:val="22"/>
              </w:rPr>
            </w:pPr>
          </w:p>
        </w:tc>
      </w:tr>
      <w:tr w:rsidR="00AC7582" w:rsidRPr="007B273B" w14:paraId="38823B5E" w14:textId="77777777" w:rsidTr="005E19C4">
        <w:tc>
          <w:tcPr>
            <w:tcW w:w="0" w:type="auto"/>
          </w:tcPr>
          <w:p w14:paraId="367465BD" w14:textId="77777777" w:rsidR="000E6C7E" w:rsidRDefault="000E6C7E" w:rsidP="000E6C7E">
            <w:pPr>
              <w:spacing w:before="120" w:line="240" w:lineRule="auto"/>
              <w:rPr>
                <w:rFonts w:cs="Arial"/>
                <w:szCs w:val="22"/>
              </w:rPr>
            </w:pPr>
            <w:r w:rsidRPr="007B273B">
              <w:rPr>
                <w:rFonts w:cs="Arial"/>
                <w:szCs w:val="22"/>
              </w:rPr>
              <w:t xml:space="preserve">Definition: ‘Priority matter’ </w:t>
            </w:r>
          </w:p>
          <w:p w14:paraId="2A6FDB1A" w14:textId="77777777" w:rsidR="000E6C7E" w:rsidRPr="007B273B" w:rsidRDefault="000E6C7E" w:rsidP="000E6C7E">
            <w:pPr>
              <w:spacing w:before="120" w:line="240" w:lineRule="auto"/>
              <w:rPr>
                <w:rFonts w:cs="Arial"/>
                <w:szCs w:val="22"/>
              </w:rPr>
            </w:pPr>
            <w:r>
              <w:rPr>
                <w:rFonts w:cs="Arial"/>
                <w:szCs w:val="22"/>
              </w:rPr>
              <w:lastRenderedPageBreak/>
              <w:t>(e</w:t>
            </w:r>
            <w:r w:rsidRPr="009452F4">
              <w:rPr>
                <w:rFonts w:cs="Arial"/>
                <w:szCs w:val="22"/>
              </w:rPr>
              <w:t>ligibility criteri</w:t>
            </w:r>
            <w:r>
              <w:rPr>
                <w:rFonts w:cs="Arial"/>
                <w:szCs w:val="22"/>
              </w:rPr>
              <w:t>on</w:t>
            </w:r>
            <w:r w:rsidRPr="009452F4">
              <w:rPr>
                <w:rFonts w:cs="Arial"/>
                <w:szCs w:val="22"/>
              </w:rPr>
              <w:t xml:space="preserve"> applied in parenting disputes </w:t>
            </w:r>
            <w:r>
              <w:rPr>
                <w:rFonts w:cs="Arial"/>
                <w:szCs w:val="22"/>
              </w:rPr>
              <w:t>to</w:t>
            </w:r>
            <w:r w:rsidRPr="009452F4">
              <w:rPr>
                <w:rFonts w:cs="Arial"/>
                <w:szCs w:val="22"/>
              </w:rPr>
              <w:t xml:space="preserve"> prioritise funding for </w:t>
            </w:r>
            <w:r>
              <w:rPr>
                <w:rFonts w:cs="Arial"/>
                <w:szCs w:val="22"/>
              </w:rPr>
              <w:t xml:space="preserve">litigation for </w:t>
            </w:r>
            <w:r w:rsidRPr="009452F4">
              <w:rPr>
                <w:rFonts w:cs="Arial"/>
                <w:szCs w:val="22"/>
              </w:rPr>
              <w:t>clients with a particular vulnerab</w:t>
            </w:r>
            <w:r>
              <w:rPr>
                <w:rFonts w:cs="Arial"/>
                <w:szCs w:val="22"/>
              </w:rPr>
              <w:t>ility, or for particular kinds of matters).</w:t>
            </w:r>
          </w:p>
        </w:tc>
        <w:tc>
          <w:tcPr>
            <w:tcW w:w="3983" w:type="dxa"/>
          </w:tcPr>
          <w:p w14:paraId="20354D50" w14:textId="77777777" w:rsidR="005E19C4" w:rsidRDefault="000E6C7E" w:rsidP="005E19C4">
            <w:pPr>
              <w:spacing w:before="120" w:line="240" w:lineRule="auto"/>
              <w:rPr>
                <w:rFonts w:cs="Arial"/>
                <w:szCs w:val="22"/>
              </w:rPr>
            </w:pPr>
            <w:r w:rsidRPr="007B273B">
              <w:rPr>
                <w:rFonts w:cs="Arial"/>
                <w:szCs w:val="22"/>
              </w:rPr>
              <w:lastRenderedPageBreak/>
              <w:t>R</w:t>
            </w:r>
            <w:r>
              <w:rPr>
                <w:rFonts w:cs="Arial"/>
                <w:szCs w:val="22"/>
              </w:rPr>
              <w:t xml:space="preserve">eplaced by </w:t>
            </w:r>
            <w:r w:rsidRPr="005A5339">
              <w:rPr>
                <w:rFonts w:cs="Arial"/>
                <w:b/>
                <w:szCs w:val="22"/>
              </w:rPr>
              <w:t>priority litigation client</w:t>
            </w:r>
          </w:p>
          <w:p w14:paraId="37E3B9E0" w14:textId="77777777" w:rsidR="000E6C7E" w:rsidRPr="005E19C4" w:rsidRDefault="000E6C7E" w:rsidP="005E19C4">
            <w:pPr>
              <w:pStyle w:val="ListNumber"/>
              <w:numPr>
                <w:ilvl w:val="0"/>
                <w:numId w:val="12"/>
              </w:numPr>
            </w:pPr>
            <w:r w:rsidRPr="005E19C4">
              <w:lastRenderedPageBreak/>
              <w:t>Inclusion of Aboriginal and Torres Strait Islander people in the definition. This must impact on the person’s ability to effectively run their own case in court without a lawyer representing them.</w:t>
            </w:r>
            <w:r w:rsidRPr="005E19C4">
              <w:br/>
              <w:t>This represents a change in eligibility criteria.</w:t>
            </w:r>
          </w:p>
          <w:p w14:paraId="365E889D" w14:textId="77777777" w:rsidR="000E6C7E" w:rsidRPr="005E19C4" w:rsidRDefault="000E6C7E" w:rsidP="005E19C4">
            <w:pPr>
              <w:pStyle w:val="ListNumber"/>
              <w:rPr>
                <w:szCs w:val="22"/>
              </w:rPr>
            </w:pPr>
            <w:r w:rsidRPr="005E19C4">
              <w:rPr>
                <w:szCs w:val="22"/>
              </w:rPr>
              <w:t xml:space="preserve">Inclusion of disability as a </w:t>
            </w:r>
            <w:r w:rsidR="00A9128C">
              <w:rPr>
                <w:szCs w:val="22"/>
              </w:rPr>
              <w:t xml:space="preserve">core </w:t>
            </w:r>
            <w:r w:rsidRPr="005E19C4">
              <w:rPr>
                <w:szCs w:val="22"/>
              </w:rPr>
              <w:t xml:space="preserve">vulnerability, which must impact on a person’s ability to effectively run their own case in court without a lawyer representing them. </w:t>
            </w:r>
            <w:r w:rsidR="005E19C4">
              <w:rPr>
                <w:szCs w:val="22"/>
              </w:rPr>
              <w:br/>
            </w:r>
            <w:r w:rsidRPr="005E19C4">
              <w:rPr>
                <w:szCs w:val="22"/>
              </w:rPr>
              <w:t>This represents a (partial) change in eligibility criteria.</w:t>
            </w:r>
          </w:p>
        </w:tc>
        <w:tc>
          <w:tcPr>
            <w:tcW w:w="3560" w:type="dxa"/>
          </w:tcPr>
          <w:p w14:paraId="63ABB863" w14:textId="77777777" w:rsidR="00736A55" w:rsidRDefault="000E6C7E" w:rsidP="005E19C4">
            <w:pPr>
              <w:pStyle w:val="ListNumber"/>
              <w:numPr>
                <w:ilvl w:val="0"/>
                <w:numId w:val="13"/>
              </w:numPr>
            </w:pPr>
            <w:r w:rsidRPr="000E6C7E">
              <w:lastRenderedPageBreak/>
              <w:t xml:space="preserve">This achieves </w:t>
            </w:r>
            <w:r w:rsidR="00A9128C">
              <w:t xml:space="preserve">greater </w:t>
            </w:r>
            <w:r w:rsidRPr="000E6C7E">
              <w:t xml:space="preserve">consistency across the </w:t>
            </w:r>
            <w:r w:rsidR="00C76176" w:rsidRPr="00DE2AB2">
              <w:rPr>
                <w:rFonts w:cs="Arial"/>
                <w:iCs/>
                <w:szCs w:val="22"/>
              </w:rPr>
              <w:t>vulne</w:t>
            </w:r>
            <w:r w:rsidR="00C76176" w:rsidRPr="004456F8">
              <w:rPr>
                <w:rFonts w:cs="Arial"/>
                <w:iCs/>
                <w:szCs w:val="22"/>
              </w:rPr>
              <w:t xml:space="preserve">rabilities in the </w:t>
            </w:r>
            <w:r w:rsidRPr="000E6C7E">
              <w:t xml:space="preserve">two </w:t>
            </w:r>
            <w:r w:rsidRPr="000E6C7E">
              <w:lastRenderedPageBreak/>
              <w:t>priority client categories for FDRS and for litigation and aligns with VLA strategies to provide better access to legal assistance for this client group.</w:t>
            </w:r>
          </w:p>
          <w:p w14:paraId="4DCDA77F" w14:textId="77777777" w:rsidR="000E6C7E" w:rsidRPr="000E6C7E" w:rsidRDefault="000E6C7E" w:rsidP="005E19C4">
            <w:pPr>
              <w:pStyle w:val="ListNumber"/>
            </w:pPr>
            <w:r w:rsidRPr="000E6C7E">
              <w:t xml:space="preserve">This achieves consistency across the </w:t>
            </w:r>
            <w:r w:rsidR="00C76176" w:rsidRPr="00DE2AB2">
              <w:rPr>
                <w:rFonts w:cs="Arial"/>
                <w:iCs/>
                <w:szCs w:val="22"/>
              </w:rPr>
              <w:t>core vulne</w:t>
            </w:r>
            <w:r w:rsidR="00C76176" w:rsidRPr="004456F8">
              <w:rPr>
                <w:rFonts w:cs="Arial"/>
                <w:iCs/>
                <w:szCs w:val="22"/>
              </w:rPr>
              <w:t xml:space="preserve">rabilities in the </w:t>
            </w:r>
            <w:r w:rsidRPr="000E6C7E">
              <w:t xml:space="preserve">two priority client categories for FDRS and for litigation, and across different kinds of disabilities.  </w:t>
            </w:r>
          </w:p>
          <w:p w14:paraId="659FA4CD" w14:textId="77777777" w:rsidR="000E6C7E" w:rsidRPr="009E6BF7" w:rsidRDefault="000E6C7E" w:rsidP="000E6C7E">
            <w:pPr>
              <w:spacing w:line="240" w:lineRule="auto"/>
              <w:rPr>
                <w:rFonts w:cs="Arial"/>
                <w:iCs/>
                <w:szCs w:val="22"/>
              </w:rPr>
            </w:pPr>
          </w:p>
        </w:tc>
      </w:tr>
      <w:tr w:rsidR="00AC7582" w:rsidRPr="007B273B" w14:paraId="712B516D" w14:textId="77777777" w:rsidTr="005E19C4">
        <w:tc>
          <w:tcPr>
            <w:tcW w:w="0" w:type="auto"/>
          </w:tcPr>
          <w:p w14:paraId="772C5864" w14:textId="77777777" w:rsidR="000E6C7E" w:rsidRPr="007B273B" w:rsidRDefault="000E6C7E" w:rsidP="000E6C7E">
            <w:pPr>
              <w:spacing w:before="120" w:line="240" w:lineRule="auto"/>
              <w:rPr>
                <w:rFonts w:cs="Arial"/>
                <w:szCs w:val="22"/>
              </w:rPr>
            </w:pPr>
            <w:r w:rsidRPr="007B273B">
              <w:rPr>
                <w:rFonts w:cs="Arial"/>
                <w:szCs w:val="22"/>
              </w:rPr>
              <w:lastRenderedPageBreak/>
              <w:t>Nullity</w:t>
            </w:r>
          </w:p>
        </w:tc>
        <w:tc>
          <w:tcPr>
            <w:tcW w:w="3983" w:type="dxa"/>
          </w:tcPr>
          <w:p w14:paraId="7B47ECF6" w14:textId="77777777" w:rsidR="000E6C7E" w:rsidRPr="007B273B" w:rsidRDefault="000E6C7E" w:rsidP="000E6C7E">
            <w:pPr>
              <w:spacing w:before="120" w:line="240" w:lineRule="auto"/>
              <w:rPr>
                <w:rFonts w:cs="Arial"/>
                <w:szCs w:val="22"/>
              </w:rPr>
            </w:pPr>
            <w:r w:rsidRPr="007B273B">
              <w:rPr>
                <w:rFonts w:cs="Arial"/>
                <w:szCs w:val="22"/>
              </w:rPr>
              <w:t>Removed as a guideline</w:t>
            </w:r>
            <w:r>
              <w:rPr>
                <w:rFonts w:cs="Arial"/>
                <w:szCs w:val="22"/>
              </w:rPr>
              <w:t>.</w:t>
            </w:r>
            <w:r w:rsidRPr="007B273B">
              <w:rPr>
                <w:rFonts w:cs="Arial"/>
                <w:szCs w:val="22"/>
              </w:rPr>
              <w:t xml:space="preserve"> </w:t>
            </w:r>
          </w:p>
        </w:tc>
        <w:tc>
          <w:tcPr>
            <w:tcW w:w="3560" w:type="dxa"/>
          </w:tcPr>
          <w:p w14:paraId="115A844B" w14:textId="77777777" w:rsidR="000E6C7E" w:rsidRDefault="000E6C7E" w:rsidP="000E6C7E">
            <w:pPr>
              <w:spacing w:before="120" w:line="240" w:lineRule="auto"/>
              <w:rPr>
                <w:rFonts w:cs="Arial"/>
                <w:szCs w:val="22"/>
              </w:rPr>
            </w:pPr>
            <w:r>
              <w:rPr>
                <w:rFonts w:cs="Arial"/>
                <w:szCs w:val="22"/>
              </w:rPr>
              <w:t xml:space="preserve">Not needed as a guideline. </w:t>
            </w:r>
          </w:p>
          <w:p w14:paraId="5891EC83" w14:textId="77777777" w:rsidR="000E6C7E" w:rsidRPr="007B273B" w:rsidRDefault="000E6C7E" w:rsidP="000E6C7E">
            <w:pPr>
              <w:spacing w:before="120" w:line="240" w:lineRule="auto"/>
              <w:rPr>
                <w:rFonts w:cs="Arial"/>
                <w:szCs w:val="22"/>
              </w:rPr>
            </w:pPr>
            <w:r>
              <w:rPr>
                <w:rFonts w:cs="Arial"/>
                <w:szCs w:val="22"/>
              </w:rPr>
              <w:t>Few applications have been made under this guideline in recent years and those that were submitted related to divorce, and were therefore not eligible. Applications for assistance in matters relating to n</w:t>
            </w:r>
            <w:r w:rsidRPr="007B273B">
              <w:rPr>
                <w:rFonts w:cs="Arial"/>
                <w:szCs w:val="22"/>
              </w:rPr>
              <w:t xml:space="preserve">ullity can still be </w:t>
            </w:r>
            <w:r>
              <w:rPr>
                <w:rFonts w:cs="Arial"/>
                <w:szCs w:val="22"/>
              </w:rPr>
              <w:t xml:space="preserve">made </w:t>
            </w:r>
            <w:r w:rsidRPr="007B273B">
              <w:rPr>
                <w:rFonts w:cs="Arial"/>
                <w:szCs w:val="22"/>
              </w:rPr>
              <w:t xml:space="preserve">under </w:t>
            </w:r>
            <w:r>
              <w:rPr>
                <w:rFonts w:cs="Arial"/>
                <w:szCs w:val="22"/>
              </w:rPr>
              <w:t xml:space="preserve">the </w:t>
            </w:r>
            <w:hyperlink r:id="rId10" w:history="1">
              <w:r w:rsidRPr="00A9128C">
                <w:rPr>
                  <w:rStyle w:val="Hyperlink"/>
                  <w:rFonts w:cs="Arial"/>
                  <w:szCs w:val="22"/>
                </w:rPr>
                <w:t>Commonwealth special circumstances.</w:t>
              </w:r>
            </w:hyperlink>
            <w:r w:rsidRPr="007B273B">
              <w:rPr>
                <w:rFonts w:cs="Arial"/>
                <w:szCs w:val="22"/>
              </w:rPr>
              <w:t xml:space="preserve"> </w:t>
            </w:r>
          </w:p>
        </w:tc>
      </w:tr>
      <w:tr w:rsidR="00AC7582" w:rsidRPr="007B273B" w14:paraId="25FC1EF5" w14:textId="77777777" w:rsidTr="005E19C4">
        <w:tc>
          <w:tcPr>
            <w:tcW w:w="0" w:type="auto"/>
            <w:tcBorders>
              <w:bottom w:val="single" w:sz="4" w:space="0" w:color="auto"/>
            </w:tcBorders>
          </w:tcPr>
          <w:p w14:paraId="25DFBBC2" w14:textId="77777777" w:rsidR="000E6C7E" w:rsidRDefault="000E6C7E" w:rsidP="000E6C7E">
            <w:pPr>
              <w:spacing w:before="120" w:line="240" w:lineRule="auto"/>
              <w:rPr>
                <w:rFonts w:cs="Arial"/>
                <w:szCs w:val="22"/>
              </w:rPr>
            </w:pPr>
            <w:r>
              <w:rPr>
                <w:rFonts w:cs="Arial"/>
                <w:szCs w:val="22"/>
              </w:rPr>
              <w:t>Guideline 1.2:</w:t>
            </w:r>
          </w:p>
          <w:p w14:paraId="1332D061" w14:textId="77777777" w:rsidR="000E6C7E" w:rsidRPr="007B273B" w:rsidRDefault="000E6C7E" w:rsidP="000E6C7E">
            <w:pPr>
              <w:spacing w:before="120" w:line="240" w:lineRule="auto"/>
              <w:rPr>
                <w:rFonts w:cs="Arial"/>
                <w:szCs w:val="22"/>
              </w:rPr>
            </w:pPr>
            <w:r>
              <w:rPr>
                <w:rFonts w:cs="Arial"/>
                <w:szCs w:val="22"/>
              </w:rPr>
              <w:t>Family Dispute Resolution (</w:t>
            </w:r>
            <w:r w:rsidRPr="007B273B">
              <w:rPr>
                <w:rFonts w:cs="Arial"/>
                <w:szCs w:val="22"/>
              </w:rPr>
              <w:t>FDRS</w:t>
            </w:r>
            <w:r>
              <w:rPr>
                <w:rFonts w:cs="Arial"/>
                <w:szCs w:val="22"/>
              </w:rPr>
              <w:t>) assistance (p</w:t>
            </w:r>
            <w:r w:rsidRPr="007B273B">
              <w:rPr>
                <w:rFonts w:cs="Arial"/>
                <w:szCs w:val="22"/>
              </w:rPr>
              <w:t>arenting disputes</w:t>
            </w:r>
            <w:r>
              <w:rPr>
                <w:rFonts w:cs="Arial"/>
                <w:szCs w:val="22"/>
              </w:rPr>
              <w:t>)</w:t>
            </w:r>
          </w:p>
        </w:tc>
        <w:tc>
          <w:tcPr>
            <w:tcW w:w="3983" w:type="dxa"/>
            <w:tcBorders>
              <w:bottom w:val="single" w:sz="4" w:space="0" w:color="auto"/>
            </w:tcBorders>
          </w:tcPr>
          <w:p w14:paraId="1F70D6FB" w14:textId="77777777" w:rsidR="000E6C7E" w:rsidRDefault="000E6C7E" w:rsidP="000E6C7E">
            <w:pPr>
              <w:spacing w:before="120" w:line="240" w:lineRule="auto"/>
              <w:rPr>
                <w:rFonts w:cs="Arial"/>
                <w:szCs w:val="22"/>
              </w:rPr>
            </w:pPr>
            <w:r>
              <w:rPr>
                <w:rFonts w:cs="Arial"/>
                <w:szCs w:val="22"/>
              </w:rPr>
              <w:t>A</w:t>
            </w:r>
            <w:r w:rsidRPr="009452F4">
              <w:rPr>
                <w:rFonts w:cs="Arial"/>
                <w:szCs w:val="22"/>
              </w:rPr>
              <w:t xml:space="preserve">vailability for FDRS </w:t>
            </w:r>
            <w:r>
              <w:rPr>
                <w:rFonts w:cs="Arial"/>
                <w:szCs w:val="22"/>
              </w:rPr>
              <w:t>extended to</w:t>
            </w:r>
            <w:r w:rsidRPr="009452F4">
              <w:rPr>
                <w:rFonts w:cs="Arial"/>
                <w:szCs w:val="22"/>
              </w:rPr>
              <w:t xml:space="preserve"> alleged perpetrators in matters involving allegations of family violence</w:t>
            </w:r>
            <w:r>
              <w:rPr>
                <w:rFonts w:cs="Arial"/>
                <w:szCs w:val="22"/>
              </w:rPr>
              <w:t>.</w:t>
            </w:r>
          </w:p>
          <w:p w14:paraId="46F4286F" w14:textId="77777777" w:rsidR="000E6C7E" w:rsidRPr="007B273B" w:rsidRDefault="000E6C7E" w:rsidP="000E6C7E">
            <w:pPr>
              <w:spacing w:before="120" w:line="240" w:lineRule="auto"/>
              <w:rPr>
                <w:rFonts w:cs="Arial"/>
                <w:szCs w:val="22"/>
              </w:rPr>
            </w:pPr>
            <w:r w:rsidRPr="008B6F40">
              <w:rPr>
                <w:rFonts w:cs="Arial"/>
                <w:szCs w:val="22"/>
              </w:rPr>
              <w:t>This represents a change in eligibility criteria.</w:t>
            </w:r>
          </w:p>
        </w:tc>
        <w:tc>
          <w:tcPr>
            <w:tcW w:w="3560" w:type="dxa"/>
            <w:tcBorders>
              <w:bottom w:val="single" w:sz="4" w:space="0" w:color="auto"/>
            </w:tcBorders>
          </w:tcPr>
          <w:p w14:paraId="1FC00E95" w14:textId="77777777" w:rsidR="000E6C7E" w:rsidRDefault="000E6C7E" w:rsidP="000E6C7E">
            <w:pPr>
              <w:spacing w:before="120" w:line="240" w:lineRule="auto"/>
              <w:rPr>
                <w:rFonts w:cs="Arial"/>
                <w:szCs w:val="22"/>
              </w:rPr>
            </w:pPr>
            <w:r>
              <w:rPr>
                <w:rFonts w:cs="Arial"/>
                <w:szCs w:val="22"/>
              </w:rPr>
              <w:t xml:space="preserve">Extending the availability for FDRS to alleged perpetrators implements action 27 of the </w:t>
            </w:r>
            <w:hyperlink r:id="rId11" w:history="1">
              <w:r w:rsidRPr="00A742A2">
                <w:rPr>
                  <w:rStyle w:val="Hyperlink"/>
                  <w:rFonts w:cs="Arial"/>
                  <w:szCs w:val="22"/>
                </w:rPr>
                <w:t>Family Law</w:t>
              </w:r>
              <w:r>
                <w:rPr>
                  <w:rStyle w:val="Hyperlink"/>
                  <w:rFonts w:cs="Arial"/>
                  <w:szCs w:val="22"/>
                </w:rPr>
                <w:t xml:space="preserve"> Legal Aid Services</w:t>
              </w:r>
              <w:r w:rsidRPr="00A742A2">
                <w:rPr>
                  <w:rStyle w:val="Hyperlink"/>
                  <w:rFonts w:cs="Arial"/>
                  <w:szCs w:val="22"/>
                </w:rPr>
                <w:t xml:space="preserve"> Review</w:t>
              </w:r>
            </w:hyperlink>
            <w:r>
              <w:rPr>
                <w:rFonts w:cs="Arial"/>
                <w:szCs w:val="22"/>
              </w:rPr>
              <w:t>.</w:t>
            </w:r>
          </w:p>
        </w:tc>
      </w:tr>
      <w:tr w:rsidR="00AC7582" w:rsidRPr="007B273B" w14:paraId="3F0BE5E4" w14:textId="77777777" w:rsidTr="005E19C4">
        <w:tc>
          <w:tcPr>
            <w:tcW w:w="0" w:type="auto"/>
          </w:tcPr>
          <w:p w14:paraId="543C52A7" w14:textId="77777777" w:rsidR="000E6C7E" w:rsidRPr="008F59F9" w:rsidRDefault="000E6C7E" w:rsidP="000E6C7E">
            <w:pPr>
              <w:spacing w:before="120" w:line="240" w:lineRule="auto"/>
              <w:rPr>
                <w:rFonts w:cs="Arial"/>
                <w:szCs w:val="22"/>
              </w:rPr>
            </w:pPr>
            <w:r>
              <w:rPr>
                <w:rFonts w:cs="Arial"/>
                <w:szCs w:val="22"/>
              </w:rPr>
              <w:t>Fee schedule change</w:t>
            </w:r>
          </w:p>
        </w:tc>
        <w:tc>
          <w:tcPr>
            <w:tcW w:w="3983" w:type="dxa"/>
          </w:tcPr>
          <w:p w14:paraId="293BAC9B" w14:textId="77777777" w:rsidR="000E6C7E" w:rsidRDefault="000E6C7E" w:rsidP="000E6C7E">
            <w:pPr>
              <w:spacing w:before="120" w:line="240" w:lineRule="auto"/>
              <w:rPr>
                <w:rFonts w:cs="Arial"/>
                <w:szCs w:val="22"/>
              </w:rPr>
            </w:pPr>
            <w:r>
              <w:rPr>
                <w:rFonts w:cs="Arial"/>
                <w:szCs w:val="22"/>
              </w:rPr>
              <w:t>Inclusion of a condition in the stage 3A fee (Preparation and first day of trial, Family Court) that a lesser</w:t>
            </w:r>
            <w:r w:rsidRPr="00E2021A">
              <w:rPr>
                <w:rFonts w:cs="Arial"/>
                <w:szCs w:val="22"/>
              </w:rPr>
              <w:t xml:space="preserve"> fee </w:t>
            </w:r>
            <w:r>
              <w:rPr>
                <w:rFonts w:cs="Arial"/>
                <w:szCs w:val="22"/>
              </w:rPr>
              <w:t xml:space="preserve">is </w:t>
            </w:r>
            <w:r w:rsidRPr="00E2021A">
              <w:rPr>
                <w:rFonts w:cs="Arial"/>
                <w:szCs w:val="22"/>
              </w:rPr>
              <w:t>available for the first day of trial in matters appearing in the Less Adversarial Trial stream in the Family Court, where the hearing is used as a</w:t>
            </w:r>
            <w:r w:rsidR="00A9128C">
              <w:rPr>
                <w:rFonts w:cs="Arial"/>
                <w:szCs w:val="22"/>
              </w:rPr>
              <w:t xml:space="preserve"> </w:t>
            </w:r>
            <w:r w:rsidRPr="00E2021A">
              <w:rPr>
                <w:rFonts w:cs="Arial"/>
                <w:szCs w:val="22"/>
              </w:rPr>
              <w:t>directions hearing and no evidence is taken</w:t>
            </w:r>
            <w:r>
              <w:rPr>
                <w:rFonts w:cs="Arial"/>
                <w:szCs w:val="22"/>
              </w:rPr>
              <w:t xml:space="preserve">. </w:t>
            </w:r>
          </w:p>
          <w:p w14:paraId="71598B46" w14:textId="77777777" w:rsidR="000E6C7E" w:rsidRPr="007B273B" w:rsidRDefault="000E6C7E" w:rsidP="000E6C7E">
            <w:pPr>
              <w:spacing w:before="120" w:line="240" w:lineRule="auto"/>
              <w:rPr>
                <w:rFonts w:cs="Arial"/>
                <w:szCs w:val="22"/>
              </w:rPr>
            </w:pPr>
            <w:r>
              <w:rPr>
                <w:rFonts w:cs="Arial"/>
                <w:szCs w:val="22"/>
              </w:rPr>
              <w:t>This introduces a new condition attaching to the 3A fee.</w:t>
            </w:r>
          </w:p>
        </w:tc>
        <w:tc>
          <w:tcPr>
            <w:tcW w:w="3560" w:type="dxa"/>
          </w:tcPr>
          <w:p w14:paraId="1340FBE3" w14:textId="77777777" w:rsidR="000E6C7E" w:rsidRPr="007B273B" w:rsidRDefault="000E6C7E" w:rsidP="000E6C7E">
            <w:pPr>
              <w:spacing w:before="120" w:line="240" w:lineRule="auto"/>
              <w:rPr>
                <w:rFonts w:cs="Arial"/>
                <w:szCs w:val="22"/>
              </w:rPr>
            </w:pPr>
            <w:r>
              <w:rPr>
                <w:rFonts w:cs="Arial"/>
                <w:szCs w:val="22"/>
              </w:rPr>
              <w:t xml:space="preserve">This change reflects current case management practice in the Family Court. </w:t>
            </w:r>
          </w:p>
        </w:tc>
      </w:tr>
      <w:tr w:rsidR="00AC7582" w:rsidRPr="007B273B" w14:paraId="4604E899" w14:textId="77777777" w:rsidTr="005E19C4">
        <w:tc>
          <w:tcPr>
            <w:tcW w:w="0" w:type="auto"/>
          </w:tcPr>
          <w:p w14:paraId="467F3F08" w14:textId="77777777" w:rsidR="000E6C7E" w:rsidRDefault="000E6C7E" w:rsidP="000E6C7E">
            <w:pPr>
              <w:spacing w:before="120" w:line="240" w:lineRule="auto"/>
              <w:rPr>
                <w:rFonts w:cs="Arial"/>
                <w:szCs w:val="22"/>
              </w:rPr>
            </w:pPr>
            <w:r>
              <w:rPr>
                <w:rFonts w:cs="Arial"/>
                <w:szCs w:val="22"/>
              </w:rPr>
              <w:t>Funding for child litigants – no current guideline.</w:t>
            </w:r>
          </w:p>
          <w:p w14:paraId="1AA202A1" w14:textId="77777777" w:rsidR="000E6C7E" w:rsidRPr="001D4742" w:rsidRDefault="000E6C7E" w:rsidP="000E6C7E">
            <w:pPr>
              <w:pStyle w:val="ListParagraph"/>
              <w:spacing w:before="120" w:line="240" w:lineRule="auto"/>
              <w:rPr>
                <w:rFonts w:cs="Arial"/>
                <w:szCs w:val="22"/>
              </w:rPr>
            </w:pPr>
          </w:p>
        </w:tc>
        <w:tc>
          <w:tcPr>
            <w:tcW w:w="3983" w:type="dxa"/>
          </w:tcPr>
          <w:p w14:paraId="544BA378" w14:textId="77777777" w:rsidR="000E6C7E" w:rsidRPr="005A5339" w:rsidRDefault="000E6C7E" w:rsidP="000E6C7E">
            <w:pPr>
              <w:spacing w:before="120" w:line="240" w:lineRule="auto"/>
              <w:rPr>
                <w:rFonts w:cs="Arial"/>
                <w:szCs w:val="22"/>
              </w:rPr>
            </w:pPr>
            <w:r>
              <w:rPr>
                <w:rFonts w:cs="Arial"/>
                <w:szCs w:val="22"/>
              </w:rPr>
              <w:lastRenderedPageBreak/>
              <w:t xml:space="preserve">Introduction of new guidelines outlining assistance for child litigants. </w:t>
            </w:r>
            <w:r>
              <w:rPr>
                <w:rFonts w:cs="Arial"/>
                <w:szCs w:val="22"/>
              </w:rPr>
              <w:lastRenderedPageBreak/>
              <w:t>See new guidelines:</w:t>
            </w:r>
            <w:r w:rsidRPr="005A5339">
              <w:rPr>
                <w:rFonts w:cs="Arial"/>
                <w:szCs w:val="22"/>
              </w:rPr>
              <w:t>1.6</w:t>
            </w:r>
            <w:r>
              <w:rPr>
                <w:rFonts w:cs="Arial"/>
                <w:szCs w:val="22"/>
              </w:rPr>
              <w:t xml:space="preserve">; </w:t>
            </w:r>
            <w:r w:rsidRPr="00061A02">
              <w:rPr>
                <w:rFonts w:cs="Arial"/>
                <w:szCs w:val="22"/>
              </w:rPr>
              <w:t>1.7</w:t>
            </w:r>
            <w:r>
              <w:rPr>
                <w:rFonts w:cs="Arial"/>
                <w:szCs w:val="22"/>
              </w:rPr>
              <w:t xml:space="preserve">; </w:t>
            </w:r>
            <w:r w:rsidRPr="00061A02">
              <w:rPr>
                <w:rFonts w:cs="Arial"/>
                <w:szCs w:val="22"/>
              </w:rPr>
              <w:t>1.8</w:t>
            </w:r>
            <w:r>
              <w:rPr>
                <w:rFonts w:cs="Arial"/>
                <w:szCs w:val="22"/>
              </w:rPr>
              <w:t xml:space="preserve">; </w:t>
            </w:r>
            <w:r w:rsidRPr="005A5339">
              <w:rPr>
                <w:rFonts w:cs="Arial"/>
                <w:szCs w:val="22"/>
              </w:rPr>
              <w:t>5.5</w:t>
            </w:r>
            <w:r>
              <w:rPr>
                <w:rFonts w:cs="Arial"/>
                <w:szCs w:val="22"/>
              </w:rPr>
              <w:t xml:space="preserve">; </w:t>
            </w:r>
            <w:r w:rsidRPr="005A5339">
              <w:rPr>
                <w:rFonts w:cs="Arial"/>
                <w:szCs w:val="22"/>
              </w:rPr>
              <w:t>5.6</w:t>
            </w:r>
            <w:r>
              <w:rPr>
                <w:rFonts w:cs="Arial"/>
                <w:szCs w:val="22"/>
              </w:rPr>
              <w:t xml:space="preserve">; </w:t>
            </w:r>
            <w:r w:rsidRPr="005A5339">
              <w:rPr>
                <w:rFonts w:cs="Arial"/>
                <w:szCs w:val="22"/>
              </w:rPr>
              <w:t>7.3</w:t>
            </w:r>
            <w:r>
              <w:rPr>
                <w:rFonts w:cs="Arial"/>
                <w:szCs w:val="22"/>
              </w:rPr>
              <w:t>.</w:t>
            </w:r>
          </w:p>
          <w:p w14:paraId="74CB0948" w14:textId="77777777" w:rsidR="000E6C7E" w:rsidRPr="005A5339" w:rsidRDefault="000E6C7E" w:rsidP="000E6C7E">
            <w:pPr>
              <w:spacing w:before="120" w:line="240" w:lineRule="auto"/>
              <w:rPr>
                <w:rFonts w:cs="Arial"/>
                <w:szCs w:val="22"/>
              </w:rPr>
            </w:pPr>
            <w:r w:rsidRPr="005A5339">
              <w:rPr>
                <w:rFonts w:cs="Arial"/>
                <w:szCs w:val="22"/>
              </w:rPr>
              <w:t xml:space="preserve">Children are not required to meet the means test. </w:t>
            </w:r>
          </w:p>
          <w:p w14:paraId="2C30156E" w14:textId="77777777" w:rsidR="000E6C7E" w:rsidRPr="007B273B" w:rsidRDefault="000E6C7E" w:rsidP="000E6C7E">
            <w:pPr>
              <w:spacing w:before="120" w:line="240" w:lineRule="auto"/>
              <w:rPr>
                <w:rFonts w:cs="Arial"/>
                <w:szCs w:val="22"/>
              </w:rPr>
            </w:pPr>
            <w:r>
              <w:rPr>
                <w:rFonts w:cs="Arial"/>
                <w:szCs w:val="22"/>
              </w:rPr>
              <w:t>The redrafted guideline requi</w:t>
            </w:r>
            <w:r w:rsidR="005E19C4">
              <w:rPr>
                <w:rFonts w:cs="Arial"/>
                <w:szCs w:val="22"/>
              </w:rPr>
              <w:t>res VLA to be satisfied that a ‘</w:t>
            </w:r>
            <w:r>
              <w:rPr>
                <w:rFonts w:cs="Arial"/>
                <w:szCs w:val="22"/>
              </w:rPr>
              <w:t>parent, or person with parental responsibility who would otherwise make the application is genuine</w:t>
            </w:r>
            <w:r w:rsidR="005E19C4">
              <w:rPr>
                <w:rFonts w:cs="Arial"/>
                <w:szCs w:val="22"/>
              </w:rPr>
              <w:t>ly unwilling or unable to do so’</w:t>
            </w:r>
            <w:r>
              <w:rPr>
                <w:rFonts w:cs="Arial"/>
                <w:szCs w:val="22"/>
              </w:rPr>
              <w:t>.</w:t>
            </w:r>
          </w:p>
        </w:tc>
        <w:tc>
          <w:tcPr>
            <w:tcW w:w="3560" w:type="dxa"/>
          </w:tcPr>
          <w:p w14:paraId="4BB2E39E" w14:textId="77777777" w:rsidR="000E6C7E" w:rsidRDefault="000E6C7E" w:rsidP="000E6C7E">
            <w:pPr>
              <w:spacing w:before="120" w:line="240" w:lineRule="auto"/>
              <w:rPr>
                <w:rFonts w:cs="Arial"/>
                <w:szCs w:val="22"/>
              </w:rPr>
            </w:pPr>
            <w:r>
              <w:rPr>
                <w:rFonts w:cs="Arial"/>
                <w:szCs w:val="22"/>
              </w:rPr>
              <w:lastRenderedPageBreak/>
              <w:t xml:space="preserve">The new guidelines articulate existing funding policy in these rare applications. Prior to July </w:t>
            </w:r>
            <w:r>
              <w:rPr>
                <w:rFonts w:cs="Arial"/>
                <w:szCs w:val="22"/>
              </w:rPr>
              <w:lastRenderedPageBreak/>
              <w:t xml:space="preserve">2017, child litigants were funded under the </w:t>
            </w:r>
            <w:r w:rsidR="008A1C9A" w:rsidRPr="008A1C9A">
              <w:rPr>
                <w:rFonts w:cs="Arial"/>
                <w:szCs w:val="22"/>
              </w:rPr>
              <w:t>Commonwealth special circumstances</w:t>
            </w:r>
            <w:r w:rsidR="008A1C9A" w:rsidRPr="007B273B">
              <w:rPr>
                <w:rFonts w:cs="Arial"/>
                <w:szCs w:val="22"/>
              </w:rPr>
              <w:t xml:space="preserve"> </w:t>
            </w:r>
            <w:r>
              <w:rPr>
                <w:rFonts w:cs="Arial"/>
                <w:szCs w:val="22"/>
              </w:rPr>
              <w:t xml:space="preserve">or </w:t>
            </w:r>
            <w:hyperlink r:id="rId12" w:history="1">
              <w:r w:rsidRPr="008A1C9A">
                <w:rPr>
                  <w:rStyle w:val="Hyperlink"/>
                  <w:rFonts w:cs="Arial"/>
                  <w:szCs w:val="22"/>
                </w:rPr>
                <w:t>public interest</w:t>
              </w:r>
              <w:r w:rsidR="008A1C9A" w:rsidRPr="008A1C9A">
                <w:rPr>
                  <w:rStyle w:val="Hyperlink"/>
                  <w:rFonts w:cs="Arial"/>
                  <w:szCs w:val="22"/>
                </w:rPr>
                <w:t xml:space="preserve"> and </w:t>
              </w:r>
              <w:r w:rsidRPr="008A1C9A" w:rsidDel="008A1C9A">
                <w:rPr>
                  <w:rStyle w:val="Hyperlink"/>
                  <w:rFonts w:cs="Arial"/>
                  <w:szCs w:val="22"/>
                </w:rPr>
                <w:t>/</w:t>
              </w:r>
              <w:r w:rsidRPr="008A1C9A">
                <w:rPr>
                  <w:rStyle w:val="Hyperlink"/>
                  <w:rFonts w:cs="Arial"/>
                  <w:szCs w:val="22"/>
                </w:rPr>
                <w:t>strategic litigation</w:t>
              </w:r>
            </w:hyperlink>
            <w:r>
              <w:rPr>
                <w:rFonts w:cs="Arial"/>
                <w:szCs w:val="22"/>
              </w:rPr>
              <w:t xml:space="preserve"> criteria</w:t>
            </w:r>
            <w:r w:rsidRPr="007B273B">
              <w:rPr>
                <w:rFonts w:cs="Arial"/>
                <w:szCs w:val="22"/>
              </w:rPr>
              <w:t>.</w:t>
            </w:r>
            <w:r>
              <w:rPr>
                <w:rFonts w:cs="Arial"/>
                <w:szCs w:val="22"/>
              </w:rPr>
              <w:t xml:space="preserve"> </w:t>
            </w:r>
          </w:p>
          <w:p w14:paraId="28D30941" w14:textId="77777777" w:rsidR="000E6C7E" w:rsidRDefault="000E6C7E" w:rsidP="000E6C7E">
            <w:pPr>
              <w:spacing w:before="120" w:line="240" w:lineRule="auto"/>
              <w:rPr>
                <w:rFonts w:cs="Arial"/>
                <w:szCs w:val="22"/>
              </w:rPr>
            </w:pPr>
            <w:r>
              <w:rPr>
                <w:rFonts w:cs="Arial"/>
                <w:szCs w:val="22"/>
              </w:rPr>
              <w:t xml:space="preserve">The exclusion of children from having to meet the means test in family law matters </w:t>
            </w:r>
            <w:r w:rsidRPr="0064535F">
              <w:rPr>
                <w:rFonts w:cs="Arial"/>
                <w:szCs w:val="22"/>
              </w:rPr>
              <w:t>represents a change in eligibility criteria.</w:t>
            </w:r>
            <w:r>
              <w:rPr>
                <w:rFonts w:cs="Arial"/>
                <w:szCs w:val="22"/>
              </w:rPr>
              <w:t xml:space="preserve"> </w:t>
            </w:r>
          </w:p>
          <w:p w14:paraId="4316C8D2" w14:textId="77777777" w:rsidR="000E6C7E" w:rsidRDefault="000E6C7E" w:rsidP="000E6C7E">
            <w:pPr>
              <w:spacing w:before="120" w:line="240" w:lineRule="auto"/>
              <w:rPr>
                <w:rFonts w:cs="Arial"/>
                <w:szCs w:val="22"/>
              </w:rPr>
            </w:pPr>
          </w:p>
          <w:p w14:paraId="5C2301B2" w14:textId="77777777" w:rsidR="000E6C7E" w:rsidRPr="007B273B" w:rsidRDefault="000E6C7E" w:rsidP="000E6C7E">
            <w:pPr>
              <w:spacing w:before="120" w:line="240" w:lineRule="auto"/>
              <w:rPr>
                <w:rFonts w:cs="Arial"/>
                <w:szCs w:val="22"/>
              </w:rPr>
            </w:pPr>
          </w:p>
        </w:tc>
      </w:tr>
    </w:tbl>
    <w:p w14:paraId="455C14BE" w14:textId="77777777" w:rsidR="000E6C7E" w:rsidRDefault="000E6C7E" w:rsidP="000E6C7E">
      <w:pPr>
        <w:spacing w:after="0" w:line="240" w:lineRule="auto"/>
        <w:rPr>
          <w:rFonts w:cs="Arial"/>
          <w:b/>
          <w:bCs/>
          <w:color w:val="007467"/>
          <w:kern w:val="32"/>
          <w:szCs w:val="32"/>
          <w:lang w:eastAsia="en-AU"/>
        </w:rPr>
      </w:pPr>
    </w:p>
    <w:p w14:paraId="78948AB9" w14:textId="77777777" w:rsidR="000E6C7E" w:rsidRDefault="000E6C7E" w:rsidP="000E6C7E">
      <w:pPr>
        <w:pStyle w:val="Heading2"/>
      </w:pPr>
      <w:r>
        <w:t>Table 2 – Non-substantive changes</w:t>
      </w:r>
    </w:p>
    <w:tbl>
      <w:tblPr>
        <w:tblStyle w:val="TableGrid"/>
        <w:tblW w:w="0" w:type="auto"/>
        <w:tblInd w:w="-5" w:type="dxa"/>
        <w:tblLook w:val="04A0" w:firstRow="1" w:lastRow="0" w:firstColumn="1" w:lastColumn="0" w:noHBand="0" w:noVBand="1"/>
      </w:tblPr>
      <w:tblGrid>
        <w:gridCol w:w="3502"/>
        <w:gridCol w:w="4153"/>
        <w:gridCol w:w="2426"/>
      </w:tblGrid>
      <w:tr w:rsidR="000E6C7E" w:rsidRPr="007B273B" w14:paraId="2AB0FA38" w14:textId="77777777" w:rsidTr="00FC3FAF">
        <w:trPr>
          <w:tblHeader/>
        </w:trPr>
        <w:tc>
          <w:tcPr>
            <w:tcW w:w="0" w:type="auto"/>
            <w:shd w:val="clear" w:color="auto" w:fill="D9D9D9" w:themeFill="background1" w:themeFillShade="D9"/>
          </w:tcPr>
          <w:p w14:paraId="759AC2E8" w14:textId="77777777" w:rsidR="000E6C7E" w:rsidRPr="007B273B" w:rsidRDefault="000E6C7E" w:rsidP="00BC4A92">
            <w:pPr>
              <w:spacing w:after="60" w:line="240" w:lineRule="auto"/>
              <w:rPr>
                <w:rFonts w:cs="Arial"/>
                <w:b/>
                <w:szCs w:val="22"/>
              </w:rPr>
            </w:pPr>
            <w:r>
              <w:rPr>
                <w:rFonts w:cs="Arial"/>
                <w:b/>
                <w:szCs w:val="22"/>
              </w:rPr>
              <w:t>Pre-July 2017 g</w:t>
            </w:r>
            <w:r w:rsidRPr="007B273B">
              <w:rPr>
                <w:rFonts w:cs="Arial"/>
                <w:b/>
                <w:szCs w:val="22"/>
              </w:rPr>
              <w:t>uideline</w:t>
            </w:r>
            <w:r>
              <w:rPr>
                <w:rFonts w:cs="Arial"/>
                <w:b/>
                <w:szCs w:val="22"/>
              </w:rPr>
              <w:t>s</w:t>
            </w:r>
          </w:p>
        </w:tc>
        <w:tc>
          <w:tcPr>
            <w:tcW w:w="4153" w:type="dxa"/>
            <w:shd w:val="clear" w:color="auto" w:fill="D9D9D9" w:themeFill="background1" w:themeFillShade="D9"/>
          </w:tcPr>
          <w:p w14:paraId="4D34271B" w14:textId="77777777" w:rsidR="000E6C7E" w:rsidRPr="007B273B" w:rsidRDefault="000E6C7E" w:rsidP="00BC4A92">
            <w:pPr>
              <w:spacing w:after="60" w:line="240" w:lineRule="auto"/>
              <w:rPr>
                <w:rFonts w:cs="Arial"/>
                <w:b/>
                <w:szCs w:val="22"/>
              </w:rPr>
            </w:pPr>
            <w:r>
              <w:rPr>
                <w:rFonts w:cs="Arial"/>
                <w:b/>
                <w:szCs w:val="22"/>
              </w:rPr>
              <w:t>From 3 July 2017</w:t>
            </w:r>
          </w:p>
        </w:tc>
        <w:tc>
          <w:tcPr>
            <w:tcW w:w="2426" w:type="dxa"/>
            <w:shd w:val="clear" w:color="auto" w:fill="D9D9D9" w:themeFill="background1" w:themeFillShade="D9"/>
          </w:tcPr>
          <w:p w14:paraId="64CD1524" w14:textId="77777777" w:rsidR="000E6C7E" w:rsidRPr="007B273B" w:rsidRDefault="000E6C7E" w:rsidP="00BC4A92">
            <w:pPr>
              <w:spacing w:after="60" w:line="240" w:lineRule="auto"/>
              <w:rPr>
                <w:rFonts w:cs="Arial"/>
                <w:b/>
                <w:szCs w:val="22"/>
              </w:rPr>
            </w:pPr>
            <w:r>
              <w:rPr>
                <w:rFonts w:cs="Arial"/>
                <w:b/>
                <w:szCs w:val="22"/>
              </w:rPr>
              <w:t>Reason for change</w:t>
            </w:r>
          </w:p>
        </w:tc>
      </w:tr>
      <w:tr w:rsidR="000E6C7E" w:rsidRPr="007B273B" w14:paraId="3FE092A9" w14:textId="77777777" w:rsidTr="00FC3FAF">
        <w:tc>
          <w:tcPr>
            <w:tcW w:w="0" w:type="auto"/>
          </w:tcPr>
          <w:p w14:paraId="627BFEA6" w14:textId="77777777" w:rsidR="000E6C7E" w:rsidRPr="007B273B" w:rsidRDefault="000E6C7E" w:rsidP="00BC4A92">
            <w:pPr>
              <w:spacing w:before="120" w:line="240" w:lineRule="auto"/>
              <w:rPr>
                <w:rFonts w:cs="Arial"/>
                <w:szCs w:val="22"/>
              </w:rPr>
            </w:pPr>
            <w:r>
              <w:t>The pre-July 2017 guidelines were</w:t>
            </w:r>
            <w:r w:rsidRPr="001B4F1D">
              <w:t xml:space="preserve"> not organised in </w:t>
            </w:r>
            <w:r>
              <w:t xml:space="preserve">a </w:t>
            </w:r>
            <w:r w:rsidRPr="001B4F1D">
              <w:t xml:space="preserve">consistent way, </w:t>
            </w:r>
            <w:r>
              <w:t>didn’t list all</w:t>
            </w:r>
            <w:r w:rsidRPr="001B4F1D">
              <w:t xml:space="preserve"> criteria</w:t>
            </w:r>
            <w:r>
              <w:t xml:space="preserve"> applicable under each guideline, and required lawyers to move between different guidelines</w:t>
            </w:r>
            <w:r w:rsidRPr="001B4F1D">
              <w:t>.</w:t>
            </w:r>
          </w:p>
        </w:tc>
        <w:tc>
          <w:tcPr>
            <w:tcW w:w="4153" w:type="dxa"/>
          </w:tcPr>
          <w:p w14:paraId="49E50B02" w14:textId="77777777" w:rsidR="000E6C7E" w:rsidRPr="001D4742" w:rsidRDefault="000E6C7E" w:rsidP="00BC4A92">
            <w:r>
              <w:t xml:space="preserve">The </w:t>
            </w:r>
            <w:r w:rsidRPr="001B4F1D">
              <w:t xml:space="preserve">guidelines are </w:t>
            </w:r>
            <w:r>
              <w:t xml:space="preserve">now </w:t>
            </w:r>
            <w:r w:rsidRPr="001D4742">
              <w:t>organised in the following order:</w:t>
            </w:r>
          </w:p>
          <w:p w14:paraId="72E42A5C" w14:textId="77777777" w:rsidR="000E6C7E" w:rsidRPr="007B273B" w:rsidRDefault="000E6C7E" w:rsidP="000E6C7E">
            <w:pPr>
              <w:pStyle w:val="ListBullet"/>
            </w:pPr>
            <w:r w:rsidRPr="007B273B">
              <w:t>Matter type</w:t>
            </w:r>
            <w:r>
              <w:t xml:space="preserve"> (parenting dispute, child support etc.)</w:t>
            </w:r>
          </w:p>
          <w:p w14:paraId="3639F512" w14:textId="77777777" w:rsidR="000E6C7E" w:rsidRPr="007B273B" w:rsidRDefault="000E6C7E" w:rsidP="000E6C7E">
            <w:pPr>
              <w:pStyle w:val="ListBullet"/>
            </w:pPr>
            <w:r>
              <w:t xml:space="preserve">Client type (adult or </w:t>
            </w:r>
            <w:r w:rsidRPr="007B273B">
              <w:t>child)</w:t>
            </w:r>
          </w:p>
          <w:p w14:paraId="687B91DF" w14:textId="77777777" w:rsidR="000E6C7E" w:rsidRDefault="000E6C7E" w:rsidP="000E6C7E">
            <w:pPr>
              <w:pStyle w:val="ListBullet"/>
            </w:pPr>
            <w:r w:rsidRPr="007B273B">
              <w:t>Service type</w:t>
            </w:r>
            <w:r>
              <w:t xml:space="preserve"> (advice and negotiation, family dispute resolution at VLA’s FDRS, or litigation)</w:t>
            </w:r>
          </w:p>
          <w:p w14:paraId="67980C26" w14:textId="77777777" w:rsidR="000E6C7E" w:rsidRPr="007B273B" w:rsidRDefault="000E6C7E" w:rsidP="00BC4A92">
            <w:pPr>
              <w:rPr>
                <w:rFonts w:cs="Arial"/>
                <w:szCs w:val="22"/>
              </w:rPr>
            </w:pPr>
            <w:r>
              <w:rPr>
                <w:szCs w:val="22"/>
              </w:rPr>
              <w:t xml:space="preserve">Each guideline lists every applicable criterion. </w:t>
            </w:r>
            <w:r w:rsidRPr="007B273B">
              <w:rPr>
                <w:szCs w:val="22"/>
              </w:rPr>
              <w:t>Th</w:t>
            </w:r>
            <w:r>
              <w:rPr>
                <w:szCs w:val="22"/>
              </w:rPr>
              <w:t>is minimises the need to move between different guidelines and different parts of the Handbook. The redrafted guidelines will be easier to read and to navigate using the links.</w:t>
            </w:r>
          </w:p>
        </w:tc>
        <w:tc>
          <w:tcPr>
            <w:tcW w:w="2426" w:type="dxa"/>
          </w:tcPr>
          <w:p w14:paraId="4F16FC79" w14:textId="77777777" w:rsidR="000E6C7E" w:rsidRPr="007B273B" w:rsidRDefault="000E6C7E" w:rsidP="00BC4A92">
            <w:pPr>
              <w:spacing w:before="120" w:line="240" w:lineRule="auto"/>
              <w:rPr>
                <w:rFonts w:cs="Arial"/>
                <w:szCs w:val="22"/>
              </w:rPr>
            </w:pPr>
            <w:r>
              <w:rPr>
                <w:rFonts w:cs="Arial"/>
                <w:szCs w:val="22"/>
              </w:rPr>
              <w:t xml:space="preserve">Greater clarity and ease of use. </w:t>
            </w:r>
          </w:p>
        </w:tc>
      </w:tr>
      <w:tr w:rsidR="000E6C7E" w:rsidRPr="007B273B" w14:paraId="43643426" w14:textId="77777777" w:rsidTr="00FC3FAF">
        <w:tc>
          <w:tcPr>
            <w:tcW w:w="0" w:type="auto"/>
          </w:tcPr>
          <w:p w14:paraId="25673C08" w14:textId="77777777" w:rsidR="000E6C7E" w:rsidRPr="007B273B" w:rsidRDefault="000E6C7E" w:rsidP="00BC4A92">
            <w:pPr>
              <w:spacing w:before="120" w:line="240" w:lineRule="auto"/>
              <w:rPr>
                <w:rFonts w:cs="Arial"/>
                <w:szCs w:val="22"/>
              </w:rPr>
            </w:pPr>
            <w:r w:rsidRPr="007B273B">
              <w:rPr>
                <w:rFonts w:cs="Arial"/>
                <w:szCs w:val="22"/>
              </w:rPr>
              <w:t>Threshold tests</w:t>
            </w:r>
            <w:r>
              <w:rPr>
                <w:rFonts w:cs="Arial"/>
                <w:szCs w:val="22"/>
              </w:rPr>
              <w:t xml:space="preserve"> of:</w:t>
            </w:r>
          </w:p>
          <w:p w14:paraId="0476C232" w14:textId="77777777" w:rsidR="000E6C7E" w:rsidRPr="007B273B" w:rsidRDefault="000E6C7E" w:rsidP="00CB3FD3">
            <w:pPr>
              <w:pStyle w:val="ListBullet"/>
            </w:pPr>
            <w:r w:rsidRPr="007B273B">
              <w:t>Forum</w:t>
            </w:r>
          </w:p>
          <w:p w14:paraId="5B04AFFC" w14:textId="77777777" w:rsidR="000E6C7E" w:rsidRPr="007B273B" w:rsidRDefault="000E6C7E" w:rsidP="00CB3FD3">
            <w:pPr>
              <w:pStyle w:val="ListBullet"/>
            </w:pPr>
            <w:r w:rsidRPr="007B273B">
              <w:t>Substantial issue in dispute</w:t>
            </w:r>
          </w:p>
          <w:p w14:paraId="5DE03CBF" w14:textId="77777777" w:rsidR="000E6C7E" w:rsidRPr="00331520" w:rsidRDefault="000E6C7E" w:rsidP="00CB3FD3">
            <w:pPr>
              <w:pStyle w:val="ListBullet"/>
            </w:pPr>
            <w:r w:rsidRPr="007B273B">
              <w:t>Commonwealth merit</w:t>
            </w:r>
          </w:p>
          <w:p w14:paraId="7E87624B" w14:textId="77777777" w:rsidR="000E6C7E" w:rsidRPr="007B273B" w:rsidRDefault="000E6C7E" w:rsidP="00CB3FD3">
            <w:pPr>
              <w:pStyle w:val="ListBullet"/>
            </w:pPr>
            <w:r w:rsidRPr="007B273B">
              <w:t>Contravention of order in last 12 months</w:t>
            </w:r>
          </w:p>
        </w:tc>
        <w:tc>
          <w:tcPr>
            <w:tcW w:w="4153" w:type="dxa"/>
          </w:tcPr>
          <w:p w14:paraId="2AD2E191" w14:textId="77777777" w:rsidR="000E6C7E" w:rsidRPr="007B273B" w:rsidRDefault="000E6C7E" w:rsidP="00BC4A92">
            <w:pPr>
              <w:spacing w:before="120" w:line="240" w:lineRule="auto"/>
              <w:rPr>
                <w:rFonts w:cs="Arial"/>
                <w:szCs w:val="22"/>
              </w:rPr>
            </w:pPr>
            <w:r>
              <w:rPr>
                <w:rFonts w:cs="Arial"/>
                <w:szCs w:val="22"/>
              </w:rPr>
              <w:t>These tests have been r</w:t>
            </w:r>
            <w:r w:rsidRPr="007B273B">
              <w:rPr>
                <w:rFonts w:cs="Arial"/>
                <w:szCs w:val="22"/>
              </w:rPr>
              <w:t>edraft</w:t>
            </w:r>
            <w:r>
              <w:rPr>
                <w:rFonts w:cs="Arial"/>
                <w:szCs w:val="22"/>
              </w:rPr>
              <w:t>ed</w:t>
            </w:r>
            <w:r w:rsidRPr="007B273B">
              <w:rPr>
                <w:rFonts w:cs="Arial"/>
                <w:szCs w:val="22"/>
              </w:rPr>
              <w:t xml:space="preserve"> for clarifi</w:t>
            </w:r>
            <w:r>
              <w:rPr>
                <w:rFonts w:cs="Arial"/>
                <w:szCs w:val="22"/>
              </w:rPr>
              <w:t>cation and plain language. Links to the applicable tests are provided in each guideline.</w:t>
            </w:r>
          </w:p>
        </w:tc>
        <w:tc>
          <w:tcPr>
            <w:tcW w:w="2426" w:type="dxa"/>
          </w:tcPr>
          <w:p w14:paraId="77243723" w14:textId="77777777" w:rsidR="000E6C7E" w:rsidRPr="007B273B" w:rsidRDefault="000E6C7E" w:rsidP="00BC4A92">
            <w:pPr>
              <w:spacing w:before="120" w:line="240" w:lineRule="auto"/>
              <w:rPr>
                <w:rFonts w:cs="Arial"/>
                <w:szCs w:val="22"/>
              </w:rPr>
            </w:pPr>
            <w:r>
              <w:rPr>
                <w:rFonts w:cs="Arial"/>
                <w:szCs w:val="22"/>
              </w:rPr>
              <w:t xml:space="preserve">Greater clarity and ease of use. </w:t>
            </w:r>
          </w:p>
        </w:tc>
      </w:tr>
      <w:tr w:rsidR="000E6C7E" w:rsidRPr="007B273B" w14:paraId="3B92BD4A" w14:textId="77777777" w:rsidTr="00FC3FAF">
        <w:tc>
          <w:tcPr>
            <w:tcW w:w="0" w:type="auto"/>
          </w:tcPr>
          <w:p w14:paraId="76316826" w14:textId="77777777" w:rsidR="000E6C7E" w:rsidRPr="007B273B" w:rsidRDefault="000E6C7E" w:rsidP="00BC4A92">
            <w:pPr>
              <w:spacing w:before="120" w:line="240" w:lineRule="auto"/>
              <w:rPr>
                <w:rFonts w:cs="Arial"/>
                <w:szCs w:val="22"/>
              </w:rPr>
            </w:pPr>
            <w:r w:rsidRPr="007B273B">
              <w:rPr>
                <w:rFonts w:cs="Arial"/>
                <w:szCs w:val="22"/>
              </w:rPr>
              <w:t>Introductory section</w:t>
            </w:r>
          </w:p>
        </w:tc>
        <w:tc>
          <w:tcPr>
            <w:tcW w:w="4153" w:type="dxa"/>
          </w:tcPr>
          <w:p w14:paraId="60756B8B" w14:textId="77777777" w:rsidR="000E6C7E" w:rsidRPr="007B273B" w:rsidRDefault="000E6C7E" w:rsidP="00BC4A92">
            <w:pPr>
              <w:spacing w:before="120" w:line="240" w:lineRule="auto"/>
              <w:rPr>
                <w:rFonts w:cs="Arial"/>
                <w:szCs w:val="22"/>
              </w:rPr>
            </w:pPr>
            <w:r>
              <w:rPr>
                <w:rFonts w:cs="Arial"/>
                <w:szCs w:val="22"/>
              </w:rPr>
              <w:t xml:space="preserve">More information is provided. New section on the principles underlying the guidelines. </w:t>
            </w:r>
          </w:p>
        </w:tc>
        <w:tc>
          <w:tcPr>
            <w:tcW w:w="2426" w:type="dxa"/>
          </w:tcPr>
          <w:p w14:paraId="13ABA983" w14:textId="77777777" w:rsidR="000E6C7E" w:rsidRPr="007B273B" w:rsidRDefault="000E6C7E" w:rsidP="00BC4A92">
            <w:pPr>
              <w:spacing w:before="120" w:line="240" w:lineRule="auto"/>
              <w:rPr>
                <w:rFonts w:cs="Arial"/>
                <w:szCs w:val="22"/>
              </w:rPr>
            </w:pPr>
            <w:r>
              <w:rPr>
                <w:rFonts w:cs="Arial"/>
                <w:szCs w:val="22"/>
              </w:rPr>
              <w:t xml:space="preserve">Greater clarity and transparency </w:t>
            </w:r>
          </w:p>
        </w:tc>
      </w:tr>
      <w:tr w:rsidR="000E6C7E" w:rsidRPr="007B273B" w14:paraId="6186BB7E" w14:textId="77777777" w:rsidTr="00FC3FAF">
        <w:tc>
          <w:tcPr>
            <w:tcW w:w="0" w:type="auto"/>
          </w:tcPr>
          <w:p w14:paraId="07748A4A" w14:textId="77777777" w:rsidR="000E6C7E" w:rsidRDefault="000E6C7E" w:rsidP="00BC4A92">
            <w:pPr>
              <w:spacing w:before="120" w:line="240" w:lineRule="auto"/>
              <w:rPr>
                <w:rFonts w:cs="Arial"/>
                <w:szCs w:val="22"/>
              </w:rPr>
            </w:pPr>
            <w:r w:rsidRPr="007B273B">
              <w:rPr>
                <w:rFonts w:cs="Arial"/>
                <w:szCs w:val="22"/>
              </w:rPr>
              <w:lastRenderedPageBreak/>
              <w:t>A</w:t>
            </w:r>
            <w:r>
              <w:rPr>
                <w:rFonts w:cs="Arial"/>
                <w:szCs w:val="22"/>
              </w:rPr>
              <w:t>ssistance for a</w:t>
            </w:r>
            <w:r w:rsidRPr="007B273B">
              <w:rPr>
                <w:rFonts w:cs="Arial"/>
                <w:szCs w:val="22"/>
              </w:rPr>
              <w:t xml:space="preserve">dvice </w:t>
            </w:r>
            <w:r>
              <w:rPr>
                <w:rFonts w:cs="Arial"/>
                <w:szCs w:val="22"/>
              </w:rPr>
              <w:t>and</w:t>
            </w:r>
            <w:r w:rsidRPr="007B273B">
              <w:rPr>
                <w:rFonts w:cs="Arial"/>
                <w:szCs w:val="22"/>
              </w:rPr>
              <w:t xml:space="preserve"> </w:t>
            </w:r>
            <w:r>
              <w:rPr>
                <w:rFonts w:cs="Arial"/>
                <w:szCs w:val="22"/>
              </w:rPr>
              <w:t>n</w:t>
            </w:r>
            <w:r w:rsidRPr="007B273B">
              <w:rPr>
                <w:rFonts w:cs="Arial"/>
                <w:szCs w:val="22"/>
              </w:rPr>
              <w:t>egotiation</w:t>
            </w:r>
            <w:r>
              <w:rPr>
                <w:rFonts w:cs="Arial"/>
                <w:szCs w:val="22"/>
              </w:rPr>
              <w:t xml:space="preserve"> in parenting disputes (old guideline 1.1)</w:t>
            </w:r>
          </w:p>
          <w:p w14:paraId="1CE9FA86" w14:textId="77777777" w:rsidR="000E6C7E" w:rsidRPr="007B273B" w:rsidRDefault="000E6C7E" w:rsidP="00BC4A92">
            <w:pPr>
              <w:spacing w:before="120" w:line="240" w:lineRule="auto"/>
              <w:rPr>
                <w:rFonts w:cs="Arial"/>
                <w:szCs w:val="22"/>
              </w:rPr>
            </w:pPr>
            <w:r w:rsidRPr="007B273B">
              <w:rPr>
                <w:rFonts w:cs="Arial"/>
                <w:szCs w:val="22"/>
              </w:rPr>
              <w:t xml:space="preserve"> </w:t>
            </w:r>
          </w:p>
        </w:tc>
        <w:tc>
          <w:tcPr>
            <w:tcW w:w="4153" w:type="dxa"/>
          </w:tcPr>
          <w:p w14:paraId="573C9EA6" w14:textId="77777777" w:rsidR="000E6C7E" w:rsidRDefault="000E6C7E" w:rsidP="00BC4A92">
            <w:pPr>
              <w:spacing w:before="120" w:line="240" w:lineRule="auto"/>
              <w:rPr>
                <w:rFonts w:cs="Arial"/>
                <w:szCs w:val="22"/>
              </w:rPr>
            </w:pPr>
            <w:r>
              <w:rPr>
                <w:rFonts w:cs="Arial"/>
                <w:szCs w:val="22"/>
              </w:rPr>
              <w:t xml:space="preserve">Redrafted for clarity. </w:t>
            </w:r>
            <w:r w:rsidRPr="007B273B">
              <w:rPr>
                <w:rFonts w:cs="Arial"/>
                <w:szCs w:val="22"/>
              </w:rPr>
              <w:t>No significant change</w:t>
            </w:r>
            <w:r w:rsidR="008A1C9A">
              <w:rPr>
                <w:rFonts w:cs="Arial"/>
                <w:szCs w:val="22"/>
              </w:rPr>
              <w:t xml:space="preserve">, </w:t>
            </w:r>
            <w:r>
              <w:rPr>
                <w:rFonts w:cs="Arial"/>
                <w:szCs w:val="22"/>
              </w:rPr>
              <w:t xml:space="preserve">apart from </w:t>
            </w:r>
            <w:r w:rsidR="008A1C9A">
              <w:rPr>
                <w:rFonts w:cs="Arial"/>
                <w:szCs w:val="22"/>
              </w:rPr>
              <w:t xml:space="preserve">substantive </w:t>
            </w:r>
            <w:r>
              <w:rPr>
                <w:rFonts w:cs="Arial"/>
                <w:szCs w:val="22"/>
              </w:rPr>
              <w:t>change</w:t>
            </w:r>
            <w:r w:rsidR="008A1C9A">
              <w:rPr>
                <w:rFonts w:cs="Arial"/>
                <w:szCs w:val="22"/>
              </w:rPr>
              <w:t>s</w:t>
            </w:r>
            <w:r>
              <w:rPr>
                <w:rFonts w:cs="Arial"/>
                <w:szCs w:val="22"/>
              </w:rPr>
              <w:t xml:space="preserve"> to definition of ‘priority client’</w:t>
            </w:r>
            <w:r w:rsidR="008A1C9A">
              <w:rPr>
                <w:rFonts w:cs="Arial"/>
                <w:szCs w:val="22"/>
              </w:rPr>
              <w:t xml:space="preserve"> (see above</w:t>
            </w:r>
            <w:r>
              <w:rPr>
                <w:rFonts w:cs="Arial"/>
                <w:szCs w:val="22"/>
              </w:rPr>
              <w:t>)</w:t>
            </w:r>
            <w:r w:rsidRPr="007B273B">
              <w:rPr>
                <w:rFonts w:cs="Arial"/>
                <w:szCs w:val="22"/>
              </w:rPr>
              <w:t xml:space="preserve">. </w:t>
            </w:r>
          </w:p>
          <w:p w14:paraId="4B9F3A71" w14:textId="77777777" w:rsidR="000E6C7E" w:rsidRPr="007B273B" w:rsidRDefault="000E6C7E" w:rsidP="00BC4A92">
            <w:pPr>
              <w:spacing w:before="120" w:line="240" w:lineRule="auto"/>
              <w:rPr>
                <w:rFonts w:cs="Arial"/>
                <w:szCs w:val="22"/>
              </w:rPr>
            </w:pPr>
            <w:r w:rsidRPr="007B273B">
              <w:rPr>
                <w:rFonts w:cs="Arial"/>
                <w:szCs w:val="22"/>
              </w:rPr>
              <w:t xml:space="preserve">Clarification that </w:t>
            </w:r>
            <w:r>
              <w:rPr>
                <w:rFonts w:cs="Arial"/>
                <w:szCs w:val="22"/>
              </w:rPr>
              <w:t>a</w:t>
            </w:r>
            <w:r w:rsidRPr="007B273B">
              <w:rPr>
                <w:rFonts w:cs="Arial"/>
                <w:szCs w:val="22"/>
              </w:rPr>
              <w:t xml:space="preserve">dvice </w:t>
            </w:r>
            <w:r>
              <w:rPr>
                <w:rFonts w:cs="Arial"/>
                <w:szCs w:val="22"/>
              </w:rPr>
              <w:t>and</w:t>
            </w:r>
            <w:r w:rsidRPr="007B273B">
              <w:rPr>
                <w:rFonts w:cs="Arial"/>
                <w:szCs w:val="22"/>
              </w:rPr>
              <w:t xml:space="preserve"> </w:t>
            </w:r>
            <w:r>
              <w:rPr>
                <w:rFonts w:cs="Arial"/>
                <w:szCs w:val="22"/>
              </w:rPr>
              <w:t>n</w:t>
            </w:r>
            <w:r w:rsidRPr="007B273B">
              <w:rPr>
                <w:rFonts w:cs="Arial"/>
                <w:szCs w:val="22"/>
              </w:rPr>
              <w:t>egotiation grant</w:t>
            </w:r>
            <w:r>
              <w:rPr>
                <w:rFonts w:cs="Arial"/>
                <w:szCs w:val="22"/>
              </w:rPr>
              <w:t>s</w:t>
            </w:r>
            <w:r w:rsidRPr="007B273B">
              <w:rPr>
                <w:rFonts w:cs="Arial"/>
                <w:szCs w:val="22"/>
              </w:rPr>
              <w:t xml:space="preserve"> </w:t>
            </w:r>
            <w:r>
              <w:rPr>
                <w:rFonts w:cs="Arial"/>
                <w:szCs w:val="22"/>
              </w:rPr>
              <w:t xml:space="preserve">are </w:t>
            </w:r>
            <w:r w:rsidRPr="007B273B">
              <w:rPr>
                <w:rFonts w:cs="Arial"/>
                <w:szCs w:val="22"/>
              </w:rPr>
              <w:t xml:space="preserve">available in combined parenting and property, child support, child maintenance </w:t>
            </w:r>
            <w:r>
              <w:rPr>
                <w:rFonts w:cs="Arial"/>
                <w:szCs w:val="22"/>
              </w:rPr>
              <w:t>and</w:t>
            </w:r>
            <w:r w:rsidRPr="007B273B">
              <w:rPr>
                <w:rFonts w:cs="Arial"/>
                <w:szCs w:val="22"/>
              </w:rPr>
              <w:t xml:space="preserve"> spousal maintenance matters (currently only clearly set out in parenting disputes</w:t>
            </w:r>
            <w:r>
              <w:rPr>
                <w:rFonts w:cs="Arial"/>
                <w:szCs w:val="22"/>
              </w:rPr>
              <w:t xml:space="preserve"> guideline</w:t>
            </w:r>
            <w:r w:rsidRPr="007B273B">
              <w:rPr>
                <w:rFonts w:cs="Arial"/>
                <w:szCs w:val="22"/>
              </w:rPr>
              <w:t>).</w:t>
            </w:r>
          </w:p>
        </w:tc>
        <w:tc>
          <w:tcPr>
            <w:tcW w:w="2426" w:type="dxa"/>
          </w:tcPr>
          <w:p w14:paraId="3691EFB9" w14:textId="77777777" w:rsidR="000E6C7E" w:rsidRDefault="000E6C7E" w:rsidP="00BC4A92">
            <w:pPr>
              <w:spacing w:before="120" w:line="240" w:lineRule="auto"/>
              <w:rPr>
                <w:rFonts w:cs="Arial"/>
                <w:szCs w:val="22"/>
              </w:rPr>
            </w:pPr>
            <w:r>
              <w:rPr>
                <w:rFonts w:cs="Arial"/>
                <w:szCs w:val="22"/>
              </w:rPr>
              <w:t xml:space="preserve">Advice and negotiation funding in parenting disputes was re-introduced in 2016 (action 20 of the </w:t>
            </w:r>
            <w:hyperlink r:id="rId13" w:history="1">
              <w:r w:rsidRPr="00A742A2">
                <w:rPr>
                  <w:rStyle w:val="Hyperlink"/>
                  <w:rFonts w:cs="Arial"/>
                  <w:szCs w:val="22"/>
                </w:rPr>
                <w:t>Family Law</w:t>
              </w:r>
              <w:r>
                <w:rPr>
                  <w:rStyle w:val="Hyperlink"/>
                  <w:rFonts w:cs="Arial"/>
                  <w:szCs w:val="22"/>
                </w:rPr>
                <w:t xml:space="preserve"> Legal Aid Services</w:t>
              </w:r>
              <w:r w:rsidRPr="00A742A2">
                <w:rPr>
                  <w:rStyle w:val="Hyperlink"/>
                  <w:rFonts w:cs="Arial"/>
                  <w:szCs w:val="22"/>
                </w:rPr>
                <w:t xml:space="preserve"> Review</w:t>
              </w:r>
            </w:hyperlink>
            <w:r>
              <w:rPr>
                <w:rStyle w:val="Hyperlink"/>
                <w:rFonts w:cs="Arial"/>
                <w:szCs w:val="22"/>
              </w:rPr>
              <w:t>)</w:t>
            </w:r>
            <w:r>
              <w:rPr>
                <w:rFonts w:cs="Arial"/>
                <w:szCs w:val="22"/>
              </w:rPr>
              <w:t xml:space="preserve">. </w:t>
            </w:r>
          </w:p>
          <w:p w14:paraId="17A64A8D" w14:textId="77777777" w:rsidR="000E6C7E" w:rsidRPr="007B273B" w:rsidRDefault="000E6C7E" w:rsidP="00BC4A92">
            <w:pPr>
              <w:spacing w:before="120" w:line="240" w:lineRule="auto"/>
              <w:rPr>
                <w:rFonts w:cs="Arial"/>
                <w:szCs w:val="22"/>
              </w:rPr>
            </w:pPr>
            <w:r>
              <w:rPr>
                <w:rFonts w:cs="Arial"/>
                <w:szCs w:val="22"/>
              </w:rPr>
              <w:t>The redraft makes it clear that we are also investing in timely intervention in other dispute types</w:t>
            </w:r>
            <w:r w:rsidRPr="007B273B">
              <w:rPr>
                <w:rFonts w:cs="Arial"/>
                <w:szCs w:val="22"/>
              </w:rPr>
              <w:t xml:space="preserve">.  </w:t>
            </w:r>
          </w:p>
        </w:tc>
      </w:tr>
      <w:tr w:rsidR="000E6C7E" w:rsidRPr="007B273B" w14:paraId="7A9B599C" w14:textId="77777777" w:rsidTr="00FC3FAF">
        <w:tc>
          <w:tcPr>
            <w:tcW w:w="0" w:type="auto"/>
            <w:tcBorders>
              <w:bottom w:val="single" w:sz="4" w:space="0" w:color="auto"/>
            </w:tcBorders>
          </w:tcPr>
          <w:p w14:paraId="08D3BA6D" w14:textId="77777777" w:rsidR="000E6C7E" w:rsidRPr="007B273B" w:rsidRDefault="000E6C7E" w:rsidP="00BC4A92">
            <w:pPr>
              <w:spacing w:before="120" w:line="240" w:lineRule="auto"/>
              <w:rPr>
                <w:rFonts w:cs="Arial"/>
                <w:szCs w:val="22"/>
              </w:rPr>
            </w:pPr>
            <w:r>
              <w:rPr>
                <w:rFonts w:cs="Arial"/>
                <w:szCs w:val="22"/>
              </w:rPr>
              <w:t>Family Dispute Resolution (</w:t>
            </w:r>
            <w:r w:rsidRPr="007B273B">
              <w:rPr>
                <w:rFonts w:cs="Arial"/>
                <w:szCs w:val="22"/>
              </w:rPr>
              <w:t>FDRS</w:t>
            </w:r>
            <w:r>
              <w:rPr>
                <w:rFonts w:cs="Arial"/>
                <w:szCs w:val="22"/>
              </w:rPr>
              <w:t>) assistance in p</w:t>
            </w:r>
            <w:r w:rsidRPr="007B273B">
              <w:rPr>
                <w:rFonts w:cs="Arial"/>
                <w:szCs w:val="22"/>
              </w:rPr>
              <w:t>arenting disputes</w:t>
            </w:r>
            <w:r>
              <w:rPr>
                <w:rFonts w:cs="Arial"/>
                <w:szCs w:val="22"/>
              </w:rPr>
              <w:t xml:space="preserve"> (old guideline 1.2)</w:t>
            </w:r>
          </w:p>
        </w:tc>
        <w:tc>
          <w:tcPr>
            <w:tcW w:w="4153" w:type="dxa"/>
            <w:tcBorders>
              <w:bottom w:val="single" w:sz="4" w:space="0" w:color="auto"/>
            </w:tcBorders>
          </w:tcPr>
          <w:p w14:paraId="3DA39F6B" w14:textId="77777777" w:rsidR="000E6C7E" w:rsidRDefault="000E6C7E" w:rsidP="00BC4A92">
            <w:pPr>
              <w:spacing w:before="120" w:line="240" w:lineRule="auto"/>
              <w:rPr>
                <w:rFonts w:cs="Arial"/>
                <w:szCs w:val="22"/>
              </w:rPr>
            </w:pPr>
            <w:r>
              <w:rPr>
                <w:rFonts w:cs="Arial"/>
                <w:szCs w:val="22"/>
              </w:rPr>
              <w:t xml:space="preserve">Restructure and redraft for clarity. See </w:t>
            </w:r>
            <w:r w:rsidR="008A1C9A">
              <w:rPr>
                <w:rFonts w:cs="Arial"/>
                <w:szCs w:val="22"/>
              </w:rPr>
              <w:t xml:space="preserve">above re the following </w:t>
            </w:r>
            <w:r>
              <w:rPr>
                <w:rFonts w:cs="Arial"/>
                <w:szCs w:val="22"/>
              </w:rPr>
              <w:t>substantive change</w:t>
            </w:r>
            <w:r w:rsidR="008A1C9A">
              <w:rPr>
                <w:rFonts w:cs="Arial"/>
                <w:szCs w:val="22"/>
              </w:rPr>
              <w:t>s</w:t>
            </w:r>
            <w:r>
              <w:rPr>
                <w:rFonts w:cs="Arial"/>
                <w:szCs w:val="22"/>
              </w:rPr>
              <w:t xml:space="preserve">: </w:t>
            </w:r>
          </w:p>
          <w:p w14:paraId="4927B213" w14:textId="77777777" w:rsidR="000E6C7E" w:rsidRPr="00941556" w:rsidRDefault="000E6C7E" w:rsidP="00CB3FD3">
            <w:pPr>
              <w:pStyle w:val="ListBullet"/>
            </w:pPr>
            <w:r w:rsidRPr="00941556">
              <w:t>change to definition of ‘priority client’ and</w:t>
            </w:r>
          </w:p>
          <w:p w14:paraId="12E75374" w14:textId="77777777" w:rsidR="000E6C7E" w:rsidRPr="00941556" w:rsidRDefault="000E6C7E" w:rsidP="00CB3FD3">
            <w:pPr>
              <w:pStyle w:val="ListBullet"/>
            </w:pPr>
            <w:r w:rsidRPr="00941556">
              <w:t>extending availability for FDRS to alleged perpetrators in matters involving allegations of family violence.</w:t>
            </w:r>
          </w:p>
        </w:tc>
        <w:tc>
          <w:tcPr>
            <w:tcW w:w="2426" w:type="dxa"/>
            <w:tcBorders>
              <w:bottom w:val="single" w:sz="4" w:space="0" w:color="auto"/>
            </w:tcBorders>
          </w:tcPr>
          <w:p w14:paraId="4F7946BB" w14:textId="77777777" w:rsidR="000E6C7E" w:rsidRPr="007B273B" w:rsidRDefault="000E6C7E" w:rsidP="00BC4A92">
            <w:pPr>
              <w:spacing w:before="120" w:line="240" w:lineRule="auto"/>
              <w:rPr>
                <w:rFonts w:cs="Arial"/>
                <w:szCs w:val="22"/>
              </w:rPr>
            </w:pPr>
            <w:r>
              <w:rPr>
                <w:rFonts w:cs="Arial"/>
                <w:szCs w:val="22"/>
              </w:rPr>
              <w:t>Greater clarity and ease of use.</w:t>
            </w:r>
          </w:p>
        </w:tc>
      </w:tr>
      <w:tr w:rsidR="000E6C7E" w:rsidRPr="007B273B" w14:paraId="3DF1A89A" w14:textId="77777777" w:rsidTr="00FC3FAF">
        <w:trPr>
          <w:trHeight w:val="1119"/>
        </w:trPr>
        <w:tc>
          <w:tcPr>
            <w:tcW w:w="0" w:type="auto"/>
          </w:tcPr>
          <w:p w14:paraId="34C9A22B" w14:textId="77777777" w:rsidR="000E6C7E" w:rsidRPr="007B273B" w:rsidRDefault="000E6C7E" w:rsidP="00BC4A92">
            <w:pPr>
              <w:spacing w:before="120" w:line="240" w:lineRule="auto"/>
              <w:rPr>
                <w:rFonts w:cs="Arial"/>
                <w:szCs w:val="22"/>
              </w:rPr>
            </w:pPr>
            <w:r>
              <w:rPr>
                <w:rFonts w:cs="Arial"/>
                <w:szCs w:val="22"/>
              </w:rPr>
              <w:t>Litigation assistance in parenting disputes (old guideline 2)</w:t>
            </w:r>
          </w:p>
        </w:tc>
        <w:tc>
          <w:tcPr>
            <w:tcW w:w="4153" w:type="dxa"/>
          </w:tcPr>
          <w:p w14:paraId="365F260F" w14:textId="77777777" w:rsidR="000E6C7E" w:rsidRDefault="000E6C7E" w:rsidP="00BC4A92">
            <w:pPr>
              <w:spacing w:before="120" w:line="240" w:lineRule="auto"/>
              <w:rPr>
                <w:rFonts w:cs="Arial"/>
                <w:szCs w:val="22"/>
              </w:rPr>
            </w:pPr>
            <w:r>
              <w:rPr>
                <w:rFonts w:cs="Arial"/>
                <w:szCs w:val="22"/>
              </w:rPr>
              <w:t>Restructure and redraft for clarity. See above re change to definition of ‘priority matter’</w:t>
            </w:r>
            <w:r w:rsidRPr="007B273B">
              <w:rPr>
                <w:rFonts w:cs="Arial"/>
                <w:szCs w:val="22"/>
              </w:rPr>
              <w:t>.</w:t>
            </w:r>
          </w:p>
          <w:p w14:paraId="7B43F080" w14:textId="77777777" w:rsidR="000E6C7E" w:rsidRPr="009452F4" w:rsidRDefault="000E6C7E" w:rsidP="00BC4A92">
            <w:pPr>
              <w:spacing w:before="120" w:line="240" w:lineRule="auto"/>
              <w:rPr>
                <w:rFonts w:cs="Arial"/>
                <w:szCs w:val="22"/>
              </w:rPr>
            </w:pPr>
          </w:p>
        </w:tc>
        <w:tc>
          <w:tcPr>
            <w:tcW w:w="2426" w:type="dxa"/>
          </w:tcPr>
          <w:p w14:paraId="786E63A5" w14:textId="77777777" w:rsidR="000E6C7E" w:rsidRPr="009452F4" w:rsidRDefault="000E6C7E" w:rsidP="00BC4A92">
            <w:pPr>
              <w:spacing w:before="120" w:line="240" w:lineRule="auto"/>
              <w:rPr>
                <w:rFonts w:cs="Arial"/>
                <w:szCs w:val="22"/>
              </w:rPr>
            </w:pPr>
            <w:r>
              <w:rPr>
                <w:rFonts w:cs="Arial"/>
                <w:szCs w:val="22"/>
              </w:rPr>
              <w:t>Greater clarity and ease of use.</w:t>
            </w:r>
          </w:p>
        </w:tc>
      </w:tr>
      <w:tr w:rsidR="000E6C7E" w:rsidRPr="007B273B" w14:paraId="49712C4B" w14:textId="77777777" w:rsidTr="00FC3FAF">
        <w:tc>
          <w:tcPr>
            <w:tcW w:w="0" w:type="auto"/>
          </w:tcPr>
          <w:p w14:paraId="7ADDF8EE" w14:textId="77777777" w:rsidR="000E6C7E" w:rsidRPr="007B273B" w:rsidRDefault="000E6C7E" w:rsidP="00BC4A92">
            <w:pPr>
              <w:spacing w:before="120" w:line="240" w:lineRule="auto"/>
              <w:rPr>
                <w:rFonts w:cs="Arial"/>
                <w:szCs w:val="22"/>
              </w:rPr>
            </w:pPr>
            <w:r>
              <w:rPr>
                <w:rFonts w:cs="Arial"/>
                <w:szCs w:val="22"/>
              </w:rPr>
              <w:t>FDRS and litigation assistance in c</w:t>
            </w:r>
            <w:r w:rsidRPr="007B273B">
              <w:rPr>
                <w:rFonts w:cs="Arial"/>
                <w:szCs w:val="22"/>
              </w:rPr>
              <w:t>ombined parenting/property</w:t>
            </w:r>
            <w:r>
              <w:rPr>
                <w:rFonts w:cs="Arial"/>
                <w:szCs w:val="22"/>
              </w:rPr>
              <w:t xml:space="preserve"> disputes (old guideline 1.3)</w:t>
            </w:r>
          </w:p>
        </w:tc>
        <w:tc>
          <w:tcPr>
            <w:tcW w:w="4153" w:type="dxa"/>
          </w:tcPr>
          <w:p w14:paraId="30A3AC43" w14:textId="77777777" w:rsidR="000E6C7E" w:rsidRDefault="000E6C7E" w:rsidP="00BC4A92">
            <w:pPr>
              <w:spacing w:before="120" w:line="240" w:lineRule="auto"/>
              <w:rPr>
                <w:rFonts w:cs="Arial"/>
                <w:szCs w:val="22"/>
              </w:rPr>
            </w:pPr>
            <w:r>
              <w:rPr>
                <w:rFonts w:cs="Arial"/>
                <w:szCs w:val="22"/>
              </w:rPr>
              <w:t xml:space="preserve">Restructure and redraft for clarity. See above re </w:t>
            </w:r>
            <w:r w:rsidR="008A1C9A">
              <w:rPr>
                <w:rFonts w:cs="Arial"/>
                <w:szCs w:val="22"/>
              </w:rPr>
              <w:t xml:space="preserve">substantive </w:t>
            </w:r>
            <w:r>
              <w:rPr>
                <w:rFonts w:cs="Arial"/>
                <w:szCs w:val="22"/>
              </w:rPr>
              <w:t>change</w:t>
            </w:r>
            <w:r w:rsidR="008A1C9A">
              <w:rPr>
                <w:rFonts w:cs="Arial"/>
                <w:szCs w:val="22"/>
              </w:rPr>
              <w:t>s</w:t>
            </w:r>
            <w:r>
              <w:rPr>
                <w:rFonts w:cs="Arial"/>
                <w:szCs w:val="22"/>
              </w:rPr>
              <w:t xml:space="preserve"> to definitions of ‘priority client’ and ‘priority matter’</w:t>
            </w:r>
            <w:r w:rsidRPr="007B273B">
              <w:rPr>
                <w:rFonts w:cs="Arial"/>
                <w:szCs w:val="22"/>
              </w:rPr>
              <w:t>.</w:t>
            </w:r>
          </w:p>
          <w:p w14:paraId="12144C1A" w14:textId="77777777" w:rsidR="000E6C7E" w:rsidRPr="007B273B" w:rsidRDefault="000E6C7E" w:rsidP="00BC4A92">
            <w:pPr>
              <w:spacing w:before="120" w:line="240" w:lineRule="auto"/>
              <w:rPr>
                <w:rFonts w:cs="Arial"/>
                <w:szCs w:val="22"/>
              </w:rPr>
            </w:pPr>
            <w:r w:rsidRPr="007F1A6E">
              <w:rPr>
                <w:rFonts w:cs="Arial"/>
                <w:szCs w:val="22"/>
              </w:rPr>
              <w:t>Clarification that assistance can be provided where there is a negative asset pool i.e. debt only</w:t>
            </w:r>
            <w:r>
              <w:rPr>
                <w:rFonts w:cs="Arial"/>
                <w:szCs w:val="22"/>
              </w:rPr>
              <w:t>.</w:t>
            </w:r>
          </w:p>
        </w:tc>
        <w:tc>
          <w:tcPr>
            <w:tcW w:w="2426" w:type="dxa"/>
          </w:tcPr>
          <w:p w14:paraId="2FB8390B" w14:textId="77777777" w:rsidR="000E6C7E" w:rsidRPr="007B273B" w:rsidRDefault="000E6C7E" w:rsidP="00BC4A92">
            <w:pPr>
              <w:spacing w:before="120" w:line="240" w:lineRule="auto"/>
              <w:rPr>
                <w:rFonts w:cs="Arial"/>
                <w:szCs w:val="22"/>
              </w:rPr>
            </w:pPr>
            <w:r>
              <w:rPr>
                <w:rFonts w:cs="Arial"/>
                <w:szCs w:val="22"/>
              </w:rPr>
              <w:t xml:space="preserve">Greater clarity and ease of use. </w:t>
            </w:r>
          </w:p>
        </w:tc>
      </w:tr>
      <w:tr w:rsidR="000E6C7E" w:rsidRPr="007B273B" w14:paraId="7FE13BC9" w14:textId="77777777" w:rsidTr="00FC3FAF">
        <w:tc>
          <w:tcPr>
            <w:tcW w:w="0" w:type="auto"/>
          </w:tcPr>
          <w:p w14:paraId="15BD1629" w14:textId="77777777" w:rsidR="000E6C7E" w:rsidRPr="007B273B" w:rsidRDefault="000E6C7E" w:rsidP="00BC4A92">
            <w:pPr>
              <w:spacing w:before="120" w:line="240" w:lineRule="auto"/>
              <w:rPr>
                <w:rFonts w:cs="Arial"/>
                <w:szCs w:val="22"/>
              </w:rPr>
            </w:pPr>
            <w:r w:rsidRPr="007B273B">
              <w:rPr>
                <w:rFonts w:cs="Arial"/>
                <w:szCs w:val="22"/>
              </w:rPr>
              <w:t>Applicants in parenting disputes litigation</w:t>
            </w:r>
            <w:r>
              <w:rPr>
                <w:rFonts w:cs="Arial"/>
                <w:szCs w:val="22"/>
              </w:rPr>
              <w:t xml:space="preserve"> (old guideline 2.1.1)</w:t>
            </w:r>
          </w:p>
        </w:tc>
        <w:tc>
          <w:tcPr>
            <w:tcW w:w="4153" w:type="dxa"/>
          </w:tcPr>
          <w:p w14:paraId="1207DF5D" w14:textId="77777777" w:rsidR="000E6C7E" w:rsidRDefault="000E6C7E" w:rsidP="00BC4A92">
            <w:pPr>
              <w:spacing w:before="120" w:line="240" w:lineRule="auto"/>
              <w:rPr>
                <w:rFonts w:cs="Arial"/>
                <w:szCs w:val="22"/>
              </w:rPr>
            </w:pPr>
            <w:r>
              <w:rPr>
                <w:rFonts w:cs="Arial"/>
                <w:szCs w:val="22"/>
              </w:rPr>
              <w:t xml:space="preserve">Restructure and redraft for clarity. </w:t>
            </w:r>
            <w:r w:rsidRPr="007B273B">
              <w:rPr>
                <w:rFonts w:cs="Arial"/>
                <w:szCs w:val="22"/>
              </w:rPr>
              <w:t xml:space="preserve">Incorporated into other guidelines (i.e. no longer stand-alone). </w:t>
            </w:r>
          </w:p>
          <w:p w14:paraId="5310BCAA" w14:textId="77777777" w:rsidR="000E6C7E" w:rsidRPr="007B273B" w:rsidRDefault="000E6C7E" w:rsidP="00BC4A92">
            <w:pPr>
              <w:spacing w:before="120" w:line="240" w:lineRule="auto"/>
              <w:rPr>
                <w:rFonts w:cs="Arial"/>
                <w:szCs w:val="22"/>
              </w:rPr>
            </w:pPr>
          </w:p>
        </w:tc>
        <w:tc>
          <w:tcPr>
            <w:tcW w:w="2426" w:type="dxa"/>
          </w:tcPr>
          <w:p w14:paraId="4422A358" w14:textId="77777777" w:rsidR="000E6C7E" w:rsidRPr="007B273B" w:rsidRDefault="000E6C7E" w:rsidP="00BC4A92">
            <w:pPr>
              <w:spacing w:before="120" w:line="240" w:lineRule="auto"/>
              <w:rPr>
                <w:rFonts w:cs="Arial"/>
                <w:szCs w:val="22"/>
              </w:rPr>
            </w:pPr>
            <w:r>
              <w:rPr>
                <w:rFonts w:cs="Arial"/>
                <w:szCs w:val="22"/>
              </w:rPr>
              <w:t xml:space="preserve">Greater clarity and ease of use. </w:t>
            </w:r>
          </w:p>
        </w:tc>
      </w:tr>
      <w:tr w:rsidR="000E6C7E" w:rsidRPr="007B273B" w14:paraId="43DE6CBC" w14:textId="77777777" w:rsidTr="00FC3FAF">
        <w:tc>
          <w:tcPr>
            <w:tcW w:w="0" w:type="auto"/>
            <w:tcBorders>
              <w:bottom w:val="single" w:sz="4" w:space="0" w:color="auto"/>
            </w:tcBorders>
          </w:tcPr>
          <w:p w14:paraId="7EBF7F88" w14:textId="77777777" w:rsidR="000E6C7E" w:rsidRPr="007B273B" w:rsidRDefault="000E6C7E" w:rsidP="00BC4A92">
            <w:pPr>
              <w:spacing w:before="120" w:line="240" w:lineRule="auto"/>
              <w:rPr>
                <w:rFonts w:cs="Arial"/>
                <w:szCs w:val="22"/>
              </w:rPr>
            </w:pPr>
            <w:r w:rsidRPr="007B273B">
              <w:rPr>
                <w:rFonts w:cs="Arial"/>
                <w:szCs w:val="22"/>
              </w:rPr>
              <w:t>Respondents in parenting disputes litigation</w:t>
            </w:r>
            <w:r>
              <w:rPr>
                <w:rFonts w:cs="Arial"/>
                <w:szCs w:val="22"/>
              </w:rPr>
              <w:t xml:space="preserve"> (old guideline 2.1.2)</w:t>
            </w:r>
          </w:p>
        </w:tc>
        <w:tc>
          <w:tcPr>
            <w:tcW w:w="4153" w:type="dxa"/>
            <w:tcBorders>
              <w:bottom w:val="single" w:sz="4" w:space="0" w:color="auto"/>
            </w:tcBorders>
          </w:tcPr>
          <w:p w14:paraId="138C8BCE" w14:textId="77777777" w:rsidR="000E6C7E" w:rsidRPr="007B273B" w:rsidRDefault="000E6C7E" w:rsidP="00BC4A92">
            <w:pPr>
              <w:spacing w:before="120" w:line="240" w:lineRule="auto"/>
              <w:rPr>
                <w:rFonts w:cs="Arial"/>
                <w:szCs w:val="22"/>
              </w:rPr>
            </w:pPr>
            <w:r>
              <w:rPr>
                <w:rFonts w:cs="Arial"/>
                <w:szCs w:val="22"/>
              </w:rPr>
              <w:t xml:space="preserve">Restructure and redraft for clarity. </w:t>
            </w:r>
            <w:r w:rsidRPr="007B273B">
              <w:rPr>
                <w:rFonts w:cs="Arial"/>
                <w:szCs w:val="22"/>
              </w:rPr>
              <w:t xml:space="preserve">Incorporated into other guidelines (i.e. no longer stand-alone). </w:t>
            </w:r>
          </w:p>
        </w:tc>
        <w:tc>
          <w:tcPr>
            <w:tcW w:w="2426" w:type="dxa"/>
            <w:tcBorders>
              <w:bottom w:val="single" w:sz="4" w:space="0" w:color="auto"/>
            </w:tcBorders>
          </w:tcPr>
          <w:p w14:paraId="11DC1A02" w14:textId="77777777" w:rsidR="000E6C7E" w:rsidRPr="007B273B" w:rsidRDefault="000E6C7E" w:rsidP="00BC4A92">
            <w:pPr>
              <w:spacing w:before="120" w:line="240" w:lineRule="auto"/>
              <w:rPr>
                <w:rFonts w:cs="Arial"/>
                <w:szCs w:val="22"/>
              </w:rPr>
            </w:pPr>
            <w:r>
              <w:rPr>
                <w:rFonts w:cs="Arial"/>
                <w:szCs w:val="22"/>
              </w:rPr>
              <w:t xml:space="preserve">Greater clarity and ease of use. </w:t>
            </w:r>
          </w:p>
        </w:tc>
      </w:tr>
      <w:tr w:rsidR="000E6C7E" w:rsidRPr="007B273B" w14:paraId="3C58CAFA" w14:textId="77777777" w:rsidTr="00FC3FAF">
        <w:tc>
          <w:tcPr>
            <w:tcW w:w="0" w:type="auto"/>
          </w:tcPr>
          <w:p w14:paraId="46FE3001" w14:textId="77777777" w:rsidR="000E6C7E" w:rsidRPr="007B273B" w:rsidRDefault="000E6C7E" w:rsidP="00BC4A92">
            <w:pPr>
              <w:spacing w:before="120" w:line="240" w:lineRule="auto"/>
              <w:rPr>
                <w:rFonts w:cs="Arial"/>
                <w:szCs w:val="22"/>
              </w:rPr>
            </w:pPr>
            <w:r>
              <w:rPr>
                <w:rFonts w:cs="Arial"/>
                <w:szCs w:val="22"/>
              </w:rPr>
              <w:t>Parties who are not parents (old guideline 3)</w:t>
            </w:r>
          </w:p>
        </w:tc>
        <w:tc>
          <w:tcPr>
            <w:tcW w:w="4153" w:type="dxa"/>
          </w:tcPr>
          <w:p w14:paraId="208469B0" w14:textId="77777777" w:rsidR="000E6C7E" w:rsidRDefault="000E6C7E" w:rsidP="00BC4A92">
            <w:pPr>
              <w:spacing w:before="120" w:line="240" w:lineRule="auto"/>
              <w:rPr>
                <w:rFonts w:cs="Arial"/>
                <w:szCs w:val="22"/>
              </w:rPr>
            </w:pPr>
            <w:r>
              <w:rPr>
                <w:rFonts w:cs="Arial"/>
                <w:szCs w:val="22"/>
              </w:rPr>
              <w:t xml:space="preserve">Restructure and redraft for clarity. </w:t>
            </w:r>
            <w:r w:rsidRPr="007B273B">
              <w:rPr>
                <w:rFonts w:cs="Arial"/>
                <w:szCs w:val="22"/>
              </w:rPr>
              <w:t>Incorporated into other guidelines (no</w:t>
            </w:r>
            <w:r w:rsidR="008A1C9A">
              <w:rPr>
                <w:rFonts w:cs="Arial"/>
                <w:szCs w:val="22"/>
              </w:rPr>
              <w:t xml:space="preserve"> longer</w:t>
            </w:r>
            <w:r w:rsidRPr="007B273B">
              <w:rPr>
                <w:rFonts w:cs="Arial"/>
                <w:szCs w:val="22"/>
              </w:rPr>
              <w:t xml:space="preserve"> stand-alone). </w:t>
            </w:r>
          </w:p>
          <w:p w14:paraId="12D737D1" w14:textId="77777777" w:rsidR="000E6C7E" w:rsidRPr="007B273B" w:rsidRDefault="000E6C7E" w:rsidP="00BC4A92">
            <w:pPr>
              <w:spacing w:before="120" w:line="240" w:lineRule="auto"/>
              <w:rPr>
                <w:rFonts w:cs="Arial"/>
                <w:szCs w:val="22"/>
              </w:rPr>
            </w:pPr>
          </w:p>
        </w:tc>
        <w:tc>
          <w:tcPr>
            <w:tcW w:w="2426" w:type="dxa"/>
          </w:tcPr>
          <w:p w14:paraId="65850D36" w14:textId="77777777" w:rsidR="000E6C7E" w:rsidRPr="007B273B" w:rsidRDefault="000E6C7E" w:rsidP="00BC4A92">
            <w:pPr>
              <w:spacing w:before="120" w:line="240" w:lineRule="auto"/>
              <w:rPr>
                <w:rFonts w:cs="Arial"/>
                <w:szCs w:val="22"/>
              </w:rPr>
            </w:pPr>
            <w:r>
              <w:rPr>
                <w:rFonts w:cs="Arial"/>
                <w:szCs w:val="22"/>
              </w:rPr>
              <w:t xml:space="preserve">Greater clarity and ease of use. </w:t>
            </w:r>
          </w:p>
        </w:tc>
      </w:tr>
      <w:tr w:rsidR="000E6C7E" w:rsidRPr="007B273B" w14:paraId="4F19A95C" w14:textId="77777777" w:rsidTr="00FC3FAF">
        <w:tc>
          <w:tcPr>
            <w:tcW w:w="0" w:type="auto"/>
          </w:tcPr>
          <w:p w14:paraId="356FA40D" w14:textId="77777777" w:rsidR="000E6C7E" w:rsidRPr="007B273B" w:rsidRDefault="000E6C7E" w:rsidP="00BC4A92">
            <w:pPr>
              <w:spacing w:before="120" w:line="240" w:lineRule="auto"/>
              <w:rPr>
                <w:rFonts w:cs="Arial"/>
                <w:szCs w:val="22"/>
              </w:rPr>
            </w:pPr>
            <w:r>
              <w:rPr>
                <w:rFonts w:cs="Arial"/>
                <w:szCs w:val="22"/>
              </w:rPr>
              <w:lastRenderedPageBreak/>
              <w:t>Discharge or vary orders (old guideline 4)</w:t>
            </w:r>
          </w:p>
        </w:tc>
        <w:tc>
          <w:tcPr>
            <w:tcW w:w="4153" w:type="dxa"/>
          </w:tcPr>
          <w:p w14:paraId="16F5484A" w14:textId="77777777" w:rsidR="000E6C7E" w:rsidRPr="007B273B" w:rsidRDefault="000E6C7E" w:rsidP="00BC4A92">
            <w:pPr>
              <w:spacing w:before="120" w:line="240" w:lineRule="auto"/>
              <w:rPr>
                <w:rFonts w:cs="Arial"/>
                <w:szCs w:val="22"/>
              </w:rPr>
            </w:pPr>
            <w:r>
              <w:rPr>
                <w:rFonts w:cs="Arial"/>
                <w:szCs w:val="22"/>
              </w:rPr>
              <w:t xml:space="preserve">Restructure and redraft for clarity. </w:t>
            </w:r>
            <w:r w:rsidRPr="007B273B">
              <w:rPr>
                <w:rFonts w:cs="Arial"/>
                <w:szCs w:val="22"/>
              </w:rPr>
              <w:t>Incorporated into other guidelines (no</w:t>
            </w:r>
            <w:r w:rsidR="008A1C9A">
              <w:rPr>
                <w:rFonts w:cs="Arial"/>
                <w:szCs w:val="22"/>
              </w:rPr>
              <w:t xml:space="preserve"> longer</w:t>
            </w:r>
            <w:r w:rsidRPr="007B273B">
              <w:rPr>
                <w:rFonts w:cs="Arial"/>
                <w:szCs w:val="22"/>
              </w:rPr>
              <w:t xml:space="preserve"> stand-alone). </w:t>
            </w:r>
          </w:p>
        </w:tc>
        <w:tc>
          <w:tcPr>
            <w:tcW w:w="2426" w:type="dxa"/>
          </w:tcPr>
          <w:p w14:paraId="5AE2EFE2" w14:textId="77777777" w:rsidR="000E6C7E" w:rsidRPr="007B273B" w:rsidRDefault="000E6C7E" w:rsidP="00BC4A92">
            <w:pPr>
              <w:spacing w:before="120" w:line="240" w:lineRule="auto"/>
              <w:rPr>
                <w:rFonts w:cs="Arial"/>
                <w:szCs w:val="22"/>
              </w:rPr>
            </w:pPr>
            <w:r>
              <w:rPr>
                <w:rFonts w:cs="Arial"/>
                <w:szCs w:val="22"/>
              </w:rPr>
              <w:t xml:space="preserve">Greater clarity and ease of use. </w:t>
            </w:r>
          </w:p>
        </w:tc>
      </w:tr>
      <w:tr w:rsidR="000E6C7E" w:rsidRPr="007B273B" w14:paraId="5A73EFE8" w14:textId="77777777" w:rsidTr="00FC3FAF">
        <w:tc>
          <w:tcPr>
            <w:tcW w:w="0" w:type="auto"/>
          </w:tcPr>
          <w:p w14:paraId="26831CB8" w14:textId="77777777" w:rsidR="000E6C7E" w:rsidRDefault="000E6C7E" w:rsidP="00BC4A92">
            <w:pPr>
              <w:spacing w:before="120" w:line="240" w:lineRule="auto"/>
              <w:rPr>
                <w:rFonts w:cs="Arial"/>
                <w:szCs w:val="22"/>
              </w:rPr>
            </w:pPr>
            <w:r w:rsidRPr="007B273B">
              <w:rPr>
                <w:rFonts w:cs="Arial"/>
                <w:szCs w:val="22"/>
              </w:rPr>
              <w:t>Definition: ‘Urgent matter’</w:t>
            </w:r>
          </w:p>
          <w:p w14:paraId="0EF180B6" w14:textId="77777777" w:rsidR="000E6C7E" w:rsidRPr="007B273B" w:rsidRDefault="000E6C7E" w:rsidP="00BC4A92">
            <w:pPr>
              <w:spacing w:before="120" w:line="240" w:lineRule="auto"/>
              <w:rPr>
                <w:rFonts w:cs="Arial"/>
                <w:szCs w:val="22"/>
              </w:rPr>
            </w:pPr>
            <w:r>
              <w:rPr>
                <w:rFonts w:cs="Arial"/>
                <w:szCs w:val="22"/>
              </w:rPr>
              <w:t>(criteria as to the matters in which a certificate relating to attendance at family dispute resolution is not required as a condition to obtaining assistance for litigation)</w:t>
            </w:r>
          </w:p>
        </w:tc>
        <w:tc>
          <w:tcPr>
            <w:tcW w:w="4153" w:type="dxa"/>
          </w:tcPr>
          <w:p w14:paraId="61E36CA1" w14:textId="77777777" w:rsidR="000E6C7E" w:rsidRDefault="000E6C7E" w:rsidP="00BC4A92">
            <w:pPr>
              <w:spacing w:before="120" w:line="240" w:lineRule="auto"/>
              <w:rPr>
                <w:rFonts w:cs="Arial"/>
                <w:szCs w:val="22"/>
              </w:rPr>
            </w:pPr>
            <w:r>
              <w:rPr>
                <w:rFonts w:cs="Arial"/>
                <w:szCs w:val="22"/>
              </w:rPr>
              <w:t>Expanded to include matters where</w:t>
            </w:r>
          </w:p>
          <w:p w14:paraId="6CCB4443" w14:textId="77777777" w:rsidR="000E6C7E" w:rsidRPr="00654555" w:rsidRDefault="000E6C7E" w:rsidP="00CB3FD3">
            <w:pPr>
              <w:pStyle w:val="ListBullet"/>
            </w:pPr>
            <w:r w:rsidRPr="00941556">
              <w:t xml:space="preserve">current reported allegations, investigations or court proceedings relating to child abuse, and </w:t>
            </w:r>
          </w:p>
          <w:p w14:paraId="4D06AE22" w14:textId="77777777" w:rsidR="000E6C7E" w:rsidRPr="00654555" w:rsidRDefault="000E6C7E" w:rsidP="00CB3FD3">
            <w:pPr>
              <w:pStyle w:val="ListBullet"/>
            </w:pPr>
            <w:r w:rsidRPr="00941556">
              <w:t>a state child protection order is in place and the Department of Health and Human Services (DHHS) has recommended that legal proceedings be issued in the family</w:t>
            </w:r>
            <w:r w:rsidRPr="00654555">
              <w:rPr>
                <w:color w:val="333333"/>
                <w:lang w:val="en"/>
              </w:rPr>
              <w:t xml:space="preserve"> law jurisdiction for orders to be made on lapsing of the child protection order.</w:t>
            </w:r>
            <w:r w:rsidRPr="00654555">
              <w:t xml:space="preserve">  </w:t>
            </w:r>
          </w:p>
        </w:tc>
        <w:tc>
          <w:tcPr>
            <w:tcW w:w="2426" w:type="dxa"/>
          </w:tcPr>
          <w:p w14:paraId="1453287E" w14:textId="77777777" w:rsidR="000E6C7E" w:rsidRPr="007F1A6E" w:rsidRDefault="000E6C7E" w:rsidP="00BC4A92">
            <w:pPr>
              <w:spacing w:before="120" w:line="240" w:lineRule="auto"/>
              <w:rPr>
                <w:rFonts w:cs="Arial"/>
                <w:szCs w:val="22"/>
              </w:rPr>
            </w:pPr>
            <w:r>
              <w:rPr>
                <w:rFonts w:cs="Arial"/>
                <w:szCs w:val="22"/>
              </w:rPr>
              <w:t xml:space="preserve">Greater clarity and ease of use.  </w:t>
            </w:r>
          </w:p>
          <w:p w14:paraId="554530F4" w14:textId="77777777" w:rsidR="000E6C7E" w:rsidRPr="007B273B" w:rsidRDefault="000E6C7E" w:rsidP="00BC4A92">
            <w:pPr>
              <w:pStyle w:val="CommentText"/>
              <w:spacing w:before="120" w:after="120"/>
              <w:ind w:left="360"/>
              <w:rPr>
                <w:rFonts w:cs="Arial"/>
                <w:sz w:val="22"/>
                <w:szCs w:val="22"/>
              </w:rPr>
            </w:pPr>
          </w:p>
        </w:tc>
      </w:tr>
      <w:tr w:rsidR="000E6C7E" w:rsidRPr="007B273B" w14:paraId="0649CE38" w14:textId="77777777" w:rsidTr="00FC3FAF">
        <w:tc>
          <w:tcPr>
            <w:tcW w:w="0" w:type="auto"/>
          </w:tcPr>
          <w:p w14:paraId="2CC78D5F" w14:textId="77777777" w:rsidR="000E6C7E" w:rsidRDefault="000E6C7E" w:rsidP="00BC4A92">
            <w:pPr>
              <w:spacing w:before="120" w:line="240" w:lineRule="auto"/>
              <w:rPr>
                <w:rFonts w:cs="Arial"/>
                <w:szCs w:val="22"/>
              </w:rPr>
            </w:pPr>
            <w:r>
              <w:rPr>
                <w:rFonts w:cs="Arial"/>
                <w:szCs w:val="22"/>
              </w:rPr>
              <w:t>Independent Children’s Lawyers (ICL)</w:t>
            </w:r>
          </w:p>
          <w:p w14:paraId="7E87332D" w14:textId="77777777" w:rsidR="000E6C7E" w:rsidRPr="007B273B" w:rsidRDefault="000E6C7E" w:rsidP="00BC4A92">
            <w:pPr>
              <w:spacing w:before="120" w:line="240" w:lineRule="auto"/>
              <w:rPr>
                <w:rFonts w:cs="Arial"/>
                <w:szCs w:val="22"/>
              </w:rPr>
            </w:pPr>
            <w:r>
              <w:rPr>
                <w:rFonts w:cs="Arial"/>
                <w:szCs w:val="22"/>
              </w:rPr>
              <w:t>(old guideline 5)</w:t>
            </w:r>
          </w:p>
        </w:tc>
        <w:tc>
          <w:tcPr>
            <w:tcW w:w="4153" w:type="dxa"/>
          </w:tcPr>
          <w:p w14:paraId="23C331FF" w14:textId="77777777" w:rsidR="000E6C7E" w:rsidRPr="007B273B" w:rsidRDefault="000E6C7E" w:rsidP="00BC4A92">
            <w:pPr>
              <w:spacing w:before="120" w:line="240" w:lineRule="auto"/>
              <w:rPr>
                <w:rFonts w:cs="Arial"/>
                <w:b/>
                <w:szCs w:val="22"/>
              </w:rPr>
            </w:pPr>
            <w:r>
              <w:rPr>
                <w:rFonts w:cs="Arial"/>
                <w:szCs w:val="22"/>
              </w:rPr>
              <w:t xml:space="preserve">Restructure and redraft for clarity. Clearer articulation of which matter types an ICL grant may be made for. </w:t>
            </w:r>
          </w:p>
        </w:tc>
        <w:tc>
          <w:tcPr>
            <w:tcW w:w="2426" w:type="dxa"/>
          </w:tcPr>
          <w:p w14:paraId="1261C5CD" w14:textId="77777777" w:rsidR="000E6C7E" w:rsidRPr="007F1A6E" w:rsidRDefault="000E6C7E" w:rsidP="00BC4A92">
            <w:pPr>
              <w:spacing w:before="120" w:line="240" w:lineRule="auto"/>
              <w:rPr>
                <w:rFonts w:cs="Arial"/>
                <w:szCs w:val="22"/>
              </w:rPr>
            </w:pPr>
            <w:r>
              <w:rPr>
                <w:rFonts w:cs="Arial"/>
                <w:szCs w:val="22"/>
              </w:rPr>
              <w:t xml:space="preserve">Greater clarity and ease of use.  </w:t>
            </w:r>
          </w:p>
          <w:p w14:paraId="4BEE0BDC" w14:textId="77777777" w:rsidR="000E6C7E" w:rsidRPr="007B273B" w:rsidRDefault="000E6C7E" w:rsidP="00BC4A92">
            <w:pPr>
              <w:spacing w:before="120" w:line="240" w:lineRule="auto"/>
              <w:rPr>
                <w:rFonts w:cs="Arial"/>
                <w:szCs w:val="22"/>
              </w:rPr>
            </w:pPr>
          </w:p>
        </w:tc>
      </w:tr>
      <w:tr w:rsidR="000E6C7E" w:rsidRPr="007B273B" w14:paraId="2EF68AB7" w14:textId="77777777" w:rsidTr="00FC3FAF">
        <w:tc>
          <w:tcPr>
            <w:tcW w:w="0" w:type="auto"/>
          </w:tcPr>
          <w:p w14:paraId="5878DEE8" w14:textId="77777777" w:rsidR="000E6C7E" w:rsidRPr="007B273B" w:rsidRDefault="000E6C7E" w:rsidP="00BC4A92">
            <w:pPr>
              <w:spacing w:before="120" w:line="240" w:lineRule="auto"/>
              <w:rPr>
                <w:rFonts w:cs="Arial"/>
                <w:szCs w:val="22"/>
              </w:rPr>
            </w:pPr>
            <w:r w:rsidRPr="007B273B">
              <w:rPr>
                <w:rFonts w:cs="Arial"/>
                <w:szCs w:val="22"/>
              </w:rPr>
              <w:t>Child support and child maintenance</w:t>
            </w:r>
            <w:r>
              <w:rPr>
                <w:rFonts w:cs="Arial"/>
                <w:szCs w:val="22"/>
              </w:rPr>
              <w:t xml:space="preserve"> (old guideline 6)</w:t>
            </w:r>
          </w:p>
        </w:tc>
        <w:tc>
          <w:tcPr>
            <w:tcW w:w="4153" w:type="dxa"/>
          </w:tcPr>
          <w:p w14:paraId="300C5CB3" w14:textId="77777777" w:rsidR="000E6C7E" w:rsidRDefault="000E6C7E" w:rsidP="00BC4A92">
            <w:pPr>
              <w:spacing w:before="120" w:line="240" w:lineRule="auto"/>
              <w:rPr>
                <w:rFonts w:cs="Arial"/>
                <w:szCs w:val="22"/>
              </w:rPr>
            </w:pPr>
            <w:r>
              <w:rPr>
                <w:rFonts w:cs="Arial"/>
                <w:szCs w:val="22"/>
              </w:rPr>
              <w:t xml:space="preserve">Restructure and redraft for clarity. </w:t>
            </w:r>
          </w:p>
          <w:p w14:paraId="654D0083" w14:textId="77777777" w:rsidR="000E6C7E" w:rsidRPr="007B273B" w:rsidRDefault="000E6C7E" w:rsidP="00BC4A92">
            <w:pPr>
              <w:spacing w:before="120" w:line="240" w:lineRule="auto"/>
              <w:rPr>
                <w:rFonts w:cs="Arial"/>
                <w:szCs w:val="22"/>
              </w:rPr>
            </w:pPr>
            <w:r>
              <w:rPr>
                <w:rFonts w:cs="Arial"/>
                <w:szCs w:val="22"/>
              </w:rPr>
              <w:t xml:space="preserve">Inclusion of </w:t>
            </w:r>
            <w:r w:rsidRPr="007B273B">
              <w:rPr>
                <w:rFonts w:cs="Arial"/>
                <w:szCs w:val="22"/>
              </w:rPr>
              <w:t>child litigants in</w:t>
            </w:r>
            <w:r>
              <w:rPr>
                <w:rFonts w:cs="Arial"/>
                <w:szCs w:val="22"/>
              </w:rPr>
              <w:t xml:space="preserve"> child maintenance matters guideline.</w:t>
            </w:r>
          </w:p>
        </w:tc>
        <w:tc>
          <w:tcPr>
            <w:tcW w:w="2426" w:type="dxa"/>
          </w:tcPr>
          <w:p w14:paraId="5619985A" w14:textId="77777777" w:rsidR="000E6C7E" w:rsidRPr="007B273B" w:rsidRDefault="000E6C7E" w:rsidP="00BC4A92">
            <w:pPr>
              <w:spacing w:before="120" w:line="240" w:lineRule="auto"/>
              <w:rPr>
                <w:rFonts w:cs="Arial"/>
                <w:szCs w:val="22"/>
              </w:rPr>
            </w:pPr>
            <w:r w:rsidRPr="007B273B">
              <w:rPr>
                <w:rFonts w:cs="Arial"/>
                <w:szCs w:val="22"/>
              </w:rPr>
              <w:t xml:space="preserve">Included for clarity and consistency. </w:t>
            </w:r>
            <w:r>
              <w:rPr>
                <w:rFonts w:cs="Arial"/>
                <w:szCs w:val="22"/>
              </w:rPr>
              <w:t xml:space="preserve">Assistance </w:t>
            </w:r>
            <w:r w:rsidR="008A1C9A">
              <w:rPr>
                <w:rFonts w:cs="Arial"/>
                <w:szCs w:val="22"/>
              </w:rPr>
              <w:t xml:space="preserve">for child litigants </w:t>
            </w:r>
            <w:r>
              <w:rPr>
                <w:rFonts w:cs="Arial"/>
                <w:szCs w:val="22"/>
              </w:rPr>
              <w:t xml:space="preserve">is </w:t>
            </w:r>
            <w:r w:rsidRPr="007B273B">
              <w:rPr>
                <w:rFonts w:cs="Arial"/>
                <w:szCs w:val="22"/>
              </w:rPr>
              <w:t xml:space="preserve">currently </w:t>
            </w:r>
            <w:r>
              <w:rPr>
                <w:rFonts w:cs="Arial"/>
                <w:szCs w:val="22"/>
              </w:rPr>
              <w:t xml:space="preserve">provided </w:t>
            </w:r>
            <w:r w:rsidRPr="007B273B">
              <w:rPr>
                <w:rFonts w:cs="Arial"/>
                <w:szCs w:val="22"/>
              </w:rPr>
              <w:t xml:space="preserve">under </w:t>
            </w:r>
            <w:r>
              <w:rPr>
                <w:rFonts w:cs="Arial"/>
                <w:szCs w:val="22"/>
              </w:rPr>
              <w:t xml:space="preserve">the </w:t>
            </w:r>
            <w:r w:rsidR="003F16F1" w:rsidRPr="008A1C9A">
              <w:rPr>
                <w:rFonts w:cs="Arial"/>
                <w:szCs w:val="22"/>
              </w:rPr>
              <w:t>Commonwealth special circumstances</w:t>
            </w:r>
            <w:r>
              <w:rPr>
                <w:rFonts w:cs="Arial"/>
                <w:szCs w:val="22"/>
              </w:rPr>
              <w:t xml:space="preserve"> guideline. </w:t>
            </w:r>
          </w:p>
        </w:tc>
      </w:tr>
      <w:tr w:rsidR="000E6C7E" w:rsidRPr="007B273B" w14:paraId="2609319C" w14:textId="77777777" w:rsidTr="00FC3FAF">
        <w:tc>
          <w:tcPr>
            <w:tcW w:w="0" w:type="auto"/>
          </w:tcPr>
          <w:p w14:paraId="4334560A" w14:textId="77777777" w:rsidR="000E6C7E" w:rsidRPr="007B273B" w:rsidRDefault="000E6C7E" w:rsidP="00BC4A92">
            <w:pPr>
              <w:spacing w:before="120" w:line="240" w:lineRule="auto"/>
              <w:rPr>
                <w:rFonts w:cs="Arial"/>
                <w:szCs w:val="22"/>
              </w:rPr>
            </w:pPr>
            <w:r w:rsidRPr="007B273B">
              <w:rPr>
                <w:rFonts w:cs="Arial"/>
                <w:szCs w:val="22"/>
              </w:rPr>
              <w:t>Spousal maintenance</w:t>
            </w:r>
            <w:r>
              <w:rPr>
                <w:rFonts w:cs="Arial"/>
                <w:szCs w:val="22"/>
              </w:rPr>
              <w:t xml:space="preserve"> (old guideline 7)</w:t>
            </w:r>
          </w:p>
        </w:tc>
        <w:tc>
          <w:tcPr>
            <w:tcW w:w="4153" w:type="dxa"/>
          </w:tcPr>
          <w:p w14:paraId="49D58304" w14:textId="77777777" w:rsidR="000E6C7E" w:rsidRPr="007B273B" w:rsidRDefault="000E6C7E" w:rsidP="00BC4A92">
            <w:pPr>
              <w:spacing w:before="120" w:line="240" w:lineRule="auto"/>
              <w:rPr>
                <w:rFonts w:cs="Arial"/>
                <w:szCs w:val="22"/>
              </w:rPr>
            </w:pPr>
            <w:r>
              <w:rPr>
                <w:rFonts w:cs="Arial"/>
                <w:szCs w:val="22"/>
              </w:rPr>
              <w:t>Restructure and redraft for clarity.</w:t>
            </w:r>
            <w:r w:rsidRPr="007B273B">
              <w:rPr>
                <w:rFonts w:cs="Arial"/>
                <w:szCs w:val="22"/>
              </w:rPr>
              <w:t xml:space="preserve"> </w:t>
            </w:r>
          </w:p>
        </w:tc>
        <w:tc>
          <w:tcPr>
            <w:tcW w:w="2426" w:type="dxa"/>
          </w:tcPr>
          <w:p w14:paraId="1F1011F0" w14:textId="77777777" w:rsidR="000E6C7E" w:rsidRPr="007F1A6E" w:rsidRDefault="000E6C7E" w:rsidP="00BC4A92">
            <w:pPr>
              <w:spacing w:before="120" w:line="240" w:lineRule="auto"/>
              <w:rPr>
                <w:rFonts w:cs="Arial"/>
                <w:szCs w:val="22"/>
              </w:rPr>
            </w:pPr>
            <w:r>
              <w:rPr>
                <w:rFonts w:cs="Arial"/>
                <w:szCs w:val="22"/>
              </w:rPr>
              <w:t xml:space="preserve">Greater clarity and ease of use.  </w:t>
            </w:r>
          </w:p>
          <w:p w14:paraId="468CE3BA" w14:textId="77777777" w:rsidR="000E6C7E" w:rsidRPr="007B273B" w:rsidRDefault="000E6C7E" w:rsidP="00BC4A92">
            <w:pPr>
              <w:spacing w:before="120" w:line="240" w:lineRule="auto"/>
              <w:rPr>
                <w:rFonts w:cs="Arial"/>
                <w:szCs w:val="22"/>
              </w:rPr>
            </w:pPr>
          </w:p>
        </w:tc>
      </w:tr>
      <w:tr w:rsidR="000E6C7E" w:rsidRPr="007B273B" w14:paraId="6A2D10B6" w14:textId="77777777" w:rsidTr="00FC3FAF">
        <w:tc>
          <w:tcPr>
            <w:tcW w:w="0" w:type="auto"/>
          </w:tcPr>
          <w:p w14:paraId="49C0FBBF" w14:textId="77777777" w:rsidR="000E6C7E" w:rsidRPr="007B273B" w:rsidRDefault="000E6C7E" w:rsidP="00BC4A92">
            <w:pPr>
              <w:spacing w:before="120" w:line="240" w:lineRule="auto"/>
              <w:rPr>
                <w:rFonts w:cs="Arial"/>
                <w:szCs w:val="22"/>
              </w:rPr>
            </w:pPr>
            <w:r w:rsidRPr="007B273B">
              <w:rPr>
                <w:rFonts w:cs="Arial"/>
                <w:szCs w:val="22"/>
              </w:rPr>
              <w:t>Arrears of maintenance or child support</w:t>
            </w:r>
            <w:r>
              <w:rPr>
                <w:rFonts w:cs="Arial"/>
                <w:szCs w:val="22"/>
              </w:rPr>
              <w:t xml:space="preserve"> (old guideline 8)</w:t>
            </w:r>
          </w:p>
        </w:tc>
        <w:tc>
          <w:tcPr>
            <w:tcW w:w="4153" w:type="dxa"/>
          </w:tcPr>
          <w:p w14:paraId="0B86B292" w14:textId="77777777" w:rsidR="000E6C7E" w:rsidRPr="007B273B" w:rsidRDefault="000E6C7E" w:rsidP="00BC4A92">
            <w:pPr>
              <w:spacing w:before="120" w:line="240" w:lineRule="auto"/>
              <w:rPr>
                <w:rFonts w:cs="Arial"/>
                <w:szCs w:val="22"/>
              </w:rPr>
            </w:pPr>
            <w:r>
              <w:rPr>
                <w:rFonts w:cs="Arial"/>
                <w:szCs w:val="22"/>
              </w:rPr>
              <w:t>Restructure and redraft for clarity.</w:t>
            </w:r>
            <w:r w:rsidRPr="007B273B">
              <w:rPr>
                <w:rFonts w:cs="Arial"/>
                <w:szCs w:val="22"/>
              </w:rPr>
              <w:t xml:space="preserve"> </w:t>
            </w:r>
            <w:r w:rsidR="003F16F1">
              <w:rPr>
                <w:rFonts w:cs="Arial"/>
                <w:szCs w:val="22"/>
              </w:rPr>
              <w:t>Incorporated into relevant</w:t>
            </w:r>
            <w:r w:rsidR="003F16F1" w:rsidRPr="007B273B">
              <w:rPr>
                <w:rFonts w:cs="Arial"/>
                <w:szCs w:val="22"/>
              </w:rPr>
              <w:t xml:space="preserve"> guidelines (no</w:t>
            </w:r>
            <w:r w:rsidR="003F16F1">
              <w:rPr>
                <w:rFonts w:cs="Arial"/>
                <w:szCs w:val="22"/>
              </w:rPr>
              <w:t xml:space="preserve"> longer</w:t>
            </w:r>
            <w:r w:rsidR="003F16F1" w:rsidRPr="007B273B">
              <w:rPr>
                <w:rFonts w:cs="Arial"/>
                <w:szCs w:val="22"/>
              </w:rPr>
              <w:t xml:space="preserve"> stand-alone).</w:t>
            </w:r>
          </w:p>
        </w:tc>
        <w:tc>
          <w:tcPr>
            <w:tcW w:w="2426" w:type="dxa"/>
          </w:tcPr>
          <w:p w14:paraId="497D38E5" w14:textId="77777777" w:rsidR="000E6C7E" w:rsidRPr="007F1A6E" w:rsidRDefault="000E6C7E" w:rsidP="00BC4A92">
            <w:pPr>
              <w:spacing w:before="120" w:line="240" w:lineRule="auto"/>
              <w:rPr>
                <w:rFonts w:cs="Arial"/>
                <w:szCs w:val="22"/>
              </w:rPr>
            </w:pPr>
            <w:r>
              <w:rPr>
                <w:rFonts w:cs="Arial"/>
                <w:szCs w:val="22"/>
              </w:rPr>
              <w:t xml:space="preserve">Greater clarity and ease of use.  </w:t>
            </w:r>
          </w:p>
          <w:p w14:paraId="63FC8953" w14:textId="77777777" w:rsidR="000E6C7E" w:rsidRPr="007B273B" w:rsidRDefault="000E6C7E" w:rsidP="00BC4A92">
            <w:pPr>
              <w:spacing w:before="120" w:line="240" w:lineRule="auto"/>
              <w:rPr>
                <w:rFonts w:cs="Arial"/>
                <w:szCs w:val="22"/>
              </w:rPr>
            </w:pPr>
          </w:p>
        </w:tc>
      </w:tr>
      <w:tr w:rsidR="000E6C7E" w:rsidRPr="007B273B" w14:paraId="3759178E" w14:textId="77777777" w:rsidTr="00FC3FAF">
        <w:tc>
          <w:tcPr>
            <w:tcW w:w="0" w:type="auto"/>
          </w:tcPr>
          <w:p w14:paraId="5DE714F8" w14:textId="77777777" w:rsidR="000E6C7E" w:rsidRPr="007B273B" w:rsidRDefault="000E6C7E" w:rsidP="00BC4A92">
            <w:pPr>
              <w:spacing w:before="120" w:line="240" w:lineRule="auto"/>
              <w:rPr>
                <w:rFonts w:cs="Arial"/>
                <w:szCs w:val="22"/>
              </w:rPr>
            </w:pPr>
            <w:r w:rsidRPr="007B273B">
              <w:rPr>
                <w:rFonts w:cs="Arial"/>
                <w:szCs w:val="22"/>
              </w:rPr>
              <w:t>Determining parentage of a child</w:t>
            </w:r>
            <w:r>
              <w:rPr>
                <w:rFonts w:cs="Arial"/>
                <w:szCs w:val="22"/>
              </w:rPr>
              <w:t xml:space="preserve"> (old guideline 9)</w:t>
            </w:r>
          </w:p>
        </w:tc>
        <w:tc>
          <w:tcPr>
            <w:tcW w:w="4153" w:type="dxa"/>
          </w:tcPr>
          <w:p w14:paraId="051C5BCB" w14:textId="77777777" w:rsidR="000E6C7E" w:rsidRPr="007B273B" w:rsidRDefault="000E6C7E" w:rsidP="00BC4A92">
            <w:pPr>
              <w:spacing w:before="120" w:line="240" w:lineRule="auto"/>
              <w:rPr>
                <w:rFonts w:cs="Arial"/>
                <w:szCs w:val="22"/>
              </w:rPr>
            </w:pPr>
            <w:r>
              <w:rPr>
                <w:rFonts w:cs="Arial"/>
                <w:szCs w:val="22"/>
              </w:rPr>
              <w:t>Redraft for clarity.</w:t>
            </w:r>
          </w:p>
        </w:tc>
        <w:tc>
          <w:tcPr>
            <w:tcW w:w="2426" w:type="dxa"/>
          </w:tcPr>
          <w:p w14:paraId="2BFA2B3A" w14:textId="77777777" w:rsidR="000E6C7E" w:rsidRPr="007B273B" w:rsidRDefault="000E6C7E" w:rsidP="00BC4A92">
            <w:pPr>
              <w:spacing w:before="120" w:line="240" w:lineRule="auto"/>
              <w:rPr>
                <w:rFonts w:cs="Arial"/>
                <w:szCs w:val="22"/>
              </w:rPr>
            </w:pPr>
            <w:r>
              <w:rPr>
                <w:rFonts w:cs="Arial"/>
                <w:szCs w:val="22"/>
              </w:rPr>
              <w:t>Greater clarity</w:t>
            </w:r>
            <w:r w:rsidRPr="007B273B">
              <w:rPr>
                <w:rFonts w:cs="Arial"/>
                <w:szCs w:val="22"/>
              </w:rPr>
              <w:t>.</w:t>
            </w:r>
          </w:p>
        </w:tc>
      </w:tr>
      <w:tr w:rsidR="000E6C7E" w:rsidRPr="007B273B" w14:paraId="57AF065C" w14:textId="77777777" w:rsidTr="00FC3FAF">
        <w:tc>
          <w:tcPr>
            <w:tcW w:w="0" w:type="auto"/>
          </w:tcPr>
          <w:p w14:paraId="6FE96100" w14:textId="77777777" w:rsidR="000E6C7E" w:rsidRPr="007B273B" w:rsidRDefault="000E6C7E" w:rsidP="00BC4A92">
            <w:pPr>
              <w:spacing w:before="120" w:line="240" w:lineRule="auto"/>
              <w:rPr>
                <w:rFonts w:cs="Arial"/>
                <w:szCs w:val="22"/>
              </w:rPr>
            </w:pPr>
            <w:r w:rsidRPr="007B273B">
              <w:rPr>
                <w:rFonts w:cs="Arial"/>
                <w:szCs w:val="22"/>
              </w:rPr>
              <w:t>Special medical procedures involving children</w:t>
            </w:r>
            <w:r>
              <w:rPr>
                <w:rFonts w:cs="Arial"/>
                <w:szCs w:val="22"/>
              </w:rPr>
              <w:t xml:space="preserve"> (old guideline 10)</w:t>
            </w:r>
          </w:p>
        </w:tc>
        <w:tc>
          <w:tcPr>
            <w:tcW w:w="4153" w:type="dxa"/>
          </w:tcPr>
          <w:p w14:paraId="673B229A" w14:textId="77777777" w:rsidR="000E6C7E" w:rsidRDefault="000E6C7E" w:rsidP="00BC4A92">
            <w:pPr>
              <w:spacing w:before="120" w:line="240" w:lineRule="auto"/>
              <w:rPr>
                <w:rFonts w:cs="Arial"/>
                <w:szCs w:val="22"/>
              </w:rPr>
            </w:pPr>
            <w:r>
              <w:rPr>
                <w:rFonts w:cs="Arial"/>
                <w:szCs w:val="22"/>
              </w:rPr>
              <w:t>Restructure and redraft for clarity.</w:t>
            </w:r>
            <w:r w:rsidRPr="007B273B">
              <w:rPr>
                <w:rFonts w:cs="Arial"/>
                <w:szCs w:val="22"/>
              </w:rPr>
              <w:t xml:space="preserve"> </w:t>
            </w:r>
          </w:p>
          <w:p w14:paraId="62AB5379" w14:textId="77777777" w:rsidR="000E6C7E" w:rsidRDefault="000E6C7E" w:rsidP="00BC4A92">
            <w:pPr>
              <w:spacing w:before="120" w:line="240" w:lineRule="auto"/>
              <w:rPr>
                <w:rFonts w:cs="Arial"/>
                <w:szCs w:val="22"/>
              </w:rPr>
            </w:pPr>
            <w:r w:rsidRPr="007B273B">
              <w:rPr>
                <w:rFonts w:cs="Arial"/>
                <w:szCs w:val="22"/>
              </w:rPr>
              <w:t>Remove</w:t>
            </w:r>
            <w:r>
              <w:rPr>
                <w:rFonts w:cs="Arial"/>
                <w:szCs w:val="22"/>
              </w:rPr>
              <w:t>s</w:t>
            </w:r>
            <w:r w:rsidRPr="007B273B">
              <w:rPr>
                <w:rFonts w:cs="Arial"/>
                <w:szCs w:val="22"/>
              </w:rPr>
              <w:t xml:space="preserve"> reference to ‘parents’ and replace</w:t>
            </w:r>
            <w:r>
              <w:rPr>
                <w:rFonts w:cs="Arial"/>
                <w:szCs w:val="22"/>
              </w:rPr>
              <w:t xml:space="preserve">s </w:t>
            </w:r>
            <w:r w:rsidRPr="007B273B">
              <w:rPr>
                <w:rFonts w:cs="Arial"/>
                <w:szCs w:val="22"/>
              </w:rPr>
              <w:t>with ‘person’ to encompass non-parents who exercise parental responsibility relating to the child</w:t>
            </w:r>
            <w:r>
              <w:rPr>
                <w:rFonts w:cs="Arial"/>
                <w:szCs w:val="22"/>
              </w:rPr>
              <w:t>.</w:t>
            </w:r>
          </w:p>
          <w:p w14:paraId="61AE2784" w14:textId="77777777" w:rsidR="000E6C7E" w:rsidRPr="007B273B" w:rsidRDefault="000E6C7E" w:rsidP="00BC4A92">
            <w:pPr>
              <w:spacing w:before="120" w:line="240" w:lineRule="auto"/>
              <w:rPr>
                <w:rFonts w:cs="Arial"/>
                <w:szCs w:val="22"/>
              </w:rPr>
            </w:pPr>
            <w:r>
              <w:rPr>
                <w:rFonts w:cs="Arial"/>
                <w:szCs w:val="22"/>
              </w:rPr>
              <w:t xml:space="preserve">Inclusion of </w:t>
            </w:r>
            <w:r w:rsidRPr="007B273B">
              <w:rPr>
                <w:rFonts w:cs="Arial"/>
                <w:szCs w:val="22"/>
              </w:rPr>
              <w:t>child litigants</w:t>
            </w:r>
            <w:r>
              <w:rPr>
                <w:rFonts w:cs="Arial"/>
                <w:szCs w:val="22"/>
              </w:rPr>
              <w:t>.</w:t>
            </w:r>
          </w:p>
        </w:tc>
        <w:tc>
          <w:tcPr>
            <w:tcW w:w="2426" w:type="dxa"/>
          </w:tcPr>
          <w:p w14:paraId="712ED5A2" w14:textId="77777777" w:rsidR="000E6C7E" w:rsidRDefault="000E6C7E" w:rsidP="00BC4A92">
            <w:pPr>
              <w:spacing w:before="120" w:line="240" w:lineRule="auto"/>
              <w:rPr>
                <w:rFonts w:cs="Arial"/>
                <w:szCs w:val="22"/>
              </w:rPr>
            </w:pPr>
          </w:p>
          <w:p w14:paraId="2CC68A29" w14:textId="77777777" w:rsidR="000E6C7E" w:rsidRPr="007B273B" w:rsidRDefault="000E6C7E" w:rsidP="00BC4A92">
            <w:pPr>
              <w:spacing w:before="120" w:line="240" w:lineRule="auto"/>
              <w:rPr>
                <w:rFonts w:cs="Arial"/>
                <w:szCs w:val="22"/>
              </w:rPr>
            </w:pPr>
            <w:r w:rsidRPr="007B273B">
              <w:rPr>
                <w:rFonts w:cs="Arial"/>
                <w:szCs w:val="22"/>
              </w:rPr>
              <w:t xml:space="preserve">Articulates current funding policy and is not an expansion of current eligibility criteria. </w:t>
            </w:r>
          </w:p>
        </w:tc>
      </w:tr>
      <w:tr w:rsidR="000E6C7E" w:rsidRPr="007B273B" w14:paraId="24D46A3E" w14:textId="77777777" w:rsidTr="00FC3FAF">
        <w:tc>
          <w:tcPr>
            <w:tcW w:w="0" w:type="auto"/>
          </w:tcPr>
          <w:p w14:paraId="7093CB7D" w14:textId="77777777" w:rsidR="000E6C7E" w:rsidRPr="007B273B" w:rsidRDefault="000E6C7E" w:rsidP="00BC4A92">
            <w:pPr>
              <w:spacing w:before="120" w:line="240" w:lineRule="auto"/>
              <w:rPr>
                <w:rFonts w:cs="Arial"/>
                <w:szCs w:val="22"/>
              </w:rPr>
            </w:pPr>
            <w:r w:rsidRPr="007B273B">
              <w:rPr>
                <w:rFonts w:cs="Arial"/>
                <w:szCs w:val="22"/>
              </w:rPr>
              <w:lastRenderedPageBreak/>
              <w:t>Recovery</w:t>
            </w:r>
            <w:r>
              <w:rPr>
                <w:rFonts w:cs="Arial"/>
                <w:szCs w:val="22"/>
              </w:rPr>
              <w:t>,</w:t>
            </w:r>
            <w:r w:rsidRPr="007B273B">
              <w:rPr>
                <w:rFonts w:cs="Arial"/>
                <w:szCs w:val="22"/>
              </w:rPr>
              <w:t xml:space="preserve"> location and information orders</w:t>
            </w:r>
            <w:r>
              <w:rPr>
                <w:rFonts w:cs="Arial"/>
                <w:szCs w:val="22"/>
              </w:rPr>
              <w:t xml:space="preserve"> (old guideline 11)</w:t>
            </w:r>
            <w:r w:rsidRPr="007B273B">
              <w:rPr>
                <w:rFonts w:cs="Arial"/>
                <w:szCs w:val="22"/>
              </w:rPr>
              <w:t xml:space="preserve"> </w:t>
            </w:r>
          </w:p>
        </w:tc>
        <w:tc>
          <w:tcPr>
            <w:tcW w:w="4153" w:type="dxa"/>
          </w:tcPr>
          <w:p w14:paraId="70F272F8" w14:textId="77777777" w:rsidR="000E6C7E" w:rsidRPr="007B273B" w:rsidRDefault="000E6C7E" w:rsidP="00BC4A92">
            <w:pPr>
              <w:pStyle w:val="CommentText"/>
              <w:spacing w:before="120" w:after="120"/>
              <w:rPr>
                <w:rFonts w:cs="Arial"/>
                <w:sz w:val="22"/>
                <w:szCs w:val="22"/>
              </w:rPr>
            </w:pPr>
            <w:r w:rsidRPr="00941556">
              <w:rPr>
                <w:rFonts w:cs="Arial"/>
                <w:sz w:val="22"/>
                <w:szCs w:val="22"/>
              </w:rPr>
              <w:t xml:space="preserve">Redraft for clarity. </w:t>
            </w:r>
            <w:r>
              <w:rPr>
                <w:rFonts w:cs="Arial"/>
                <w:sz w:val="22"/>
                <w:szCs w:val="22"/>
              </w:rPr>
              <w:t xml:space="preserve">Conditions attached to grants clearer and more comprehensive. </w:t>
            </w:r>
          </w:p>
        </w:tc>
        <w:tc>
          <w:tcPr>
            <w:tcW w:w="2426" w:type="dxa"/>
          </w:tcPr>
          <w:p w14:paraId="203177FA" w14:textId="77777777" w:rsidR="000E6C7E" w:rsidRPr="007B273B" w:rsidRDefault="000E6C7E" w:rsidP="00BC4A92">
            <w:pPr>
              <w:spacing w:before="120" w:line="240" w:lineRule="auto"/>
              <w:rPr>
                <w:rFonts w:cs="Arial"/>
                <w:szCs w:val="22"/>
              </w:rPr>
            </w:pPr>
            <w:r>
              <w:rPr>
                <w:rFonts w:cs="Arial"/>
                <w:szCs w:val="22"/>
              </w:rPr>
              <w:t>Greater clarity</w:t>
            </w:r>
            <w:r w:rsidRPr="007B273B">
              <w:rPr>
                <w:rFonts w:cs="Arial"/>
                <w:szCs w:val="22"/>
              </w:rPr>
              <w:t>.</w:t>
            </w:r>
          </w:p>
        </w:tc>
      </w:tr>
      <w:tr w:rsidR="000E6C7E" w:rsidRPr="007B273B" w14:paraId="4B741C19" w14:textId="77777777" w:rsidTr="00FC3FAF">
        <w:tc>
          <w:tcPr>
            <w:tcW w:w="0" w:type="auto"/>
          </w:tcPr>
          <w:p w14:paraId="03FC9DC0" w14:textId="77777777" w:rsidR="000E6C7E" w:rsidRPr="007B273B" w:rsidRDefault="000E6C7E" w:rsidP="00BC4A92">
            <w:pPr>
              <w:spacing w:before="120" w:line="240" w:lineRule="auto"/>
              <w:rPr>
                <w:rFonts w:cs="Arial"/>
                <w:szCs w:val="22"/>
              </w:rPr>
            </w:pPr>
            <w:r w:rsidRPr="007B273B">
              <w:rPr>
                <w:rFonts w:cs="Arial"/>
                <w:szCs w:val="22"/>
              </w:rPr>
              <w:t>Assistance after final court orders are made</w:t>
            </w:r>
            <w:r>
              <w:rPr>
                <w:rFonts w:cs="Arial"/>
                <w:szCs w:val="22"/>
              </w:rPr>
              <w:t xml:space="preserve"> (old guideline 13)</w:t>
            </w:r>
          </w:p>
        </w:tc>
        <w:tc>
          <w:tcPr>
            <w:tcW w:w="4153" w:type="dxa"/>
          </w:tcPr>
          <w:p w14:paraId="0D3C7E55" w14:textId="77777777" w:rsidR="000E6C7E" w:rsidRPr="007B273B" w:rsidRDefault="000E6C7E" w:rsidP="00BC4A92">
            <w:pPr>
              <w:spacing w:before="120" w:line="240" w:lineRule="auto"/>
              <w:rPr>
                <w:rFonts w:cs="Arial"/>
                <w:szCs w:val="22"/>
              </w:rPr>
            </w:pPr>
            <w:r w:rsidRPr="007B273B">
              <w:rPr>
                <w:rFonts w:cs="Arial"/>
                <w:szCs w:val="22"/>
              </w:rPr>
              <w:t>Removed as a guideline and information incorporate</w:t>
            </w:r>
            <w:r>
              <w:rPr>
                <w:rFonts w:cs="Arial"/>
                <w:szCs w:val="22"/>
              </w:rPr>
              <w:t xml:space="preserve">d into preface to guidelines. </w:t>
            </w:r>
            <w:r w:rsidRPr="007B273B">
              <w:rPr>
                <w:rFonts w:cs="Arial"/>
                <w:szCs w:val="22"/>
              </w:rPr>
              <w:t xml:space="preserve"> </w:t>
            </w:r>
          </w:p>
        </w:tc>
        <w:tc>
          <w:tcPr>
            <w:tcW w:w="2426" w:type="dxa"/>
          </w:tcPr>
          <w:p w14:paraId="64C74377" w14:textId="77777777" w:rsidR="000E6C7E" w:rsidRPr="007B273B" w:rsidRDefault="000E6C7E" w:rsidP="00BC4A92">
            <w:pPr>
              <w:spacing w:before="120" w:line="240" w:lineRule="auto"/>
              <w:rPr>
                <w:rFonts w:cs="Arial"/>
                <w:szCs w:val="22"/>
              </w:rPr>
            </w:pPr>
            <w:r>
              <w:rPr>
                <w:rFonts w:cs="Arial"/>
                <w:szCs w:val="22"/>
              </w:rPr>
              <w:t xml:space="preserve">Not needed as a guideline. </w:t>
            </w:r>
          </w:p>
        </w:tc>
      </w:tr>
      <w:tr w:rsidR="000E6C7E" w:rsidRPr="007B273B" w14:paraId="0075D7E2" w14:textId="77777777" w:rsidTr="00FC3FAF">
        <w:tc>
          <w:tcPr>
            <w:tcW w:w="0" w:type="auto"/>
          </w:tcPr>
          <w:p w14:paraId="4066CC30" w14:textId="77777777" w:rsidR="000E6C7E" w:rsidRPr="007B273B" w:rsidRDefault="000E6C7E" w:rsidP="00BC4A92">
            <w:pPr>
              <w:spacing w:before="120" w:line="240" w:lineRule="auto"/>
              <w:rPr>
                <w:rFonts w:cs="Arial"/>
                <w:szCs w:val="22"/>
              </w:rPr>
            </w:pPr>
            <w:r w:rsidRPr="007B273B">
              <w:rPr>
                <w:rFonts w:cs="Arial"/>
                <w:szCs w:val="22"/>
              </w:rPr>
              <w:t>Appeals</w:t>
            </w:r>
            <w:r>
              <w:rPr>
                <w:rFonts w:cs="Arial"/>
                <w:szCs w:val="22"/>
              </w:rPr>
              <w:t xml:space="preserve"> (old guideline 14)</w:t>
            </w:r>
          </w:p>
        </w:tc>
        <w:tc>
          <w:tcPr>
            <w:tcW w:w="4153" w:type="dxa"/>
          </w:tcPr>
          <w:p w14:paraId="42B436DD" w14:textId="77777777" w:rsidR="000E6C7E" w:rsidRPr="007B273B" w:rsidRDefault="000E6C7E" w:rsidP="00BC4A92">
            <w:pPr>
              <w:spacing w:before="120" w:line="240" w:lineRule="auto"/>
              <w:rPr>
                <w:rFonts w:cs="Arial"/>
                <w:szCs w:val="22"/>
              </w:rPr>
            </w:pPr>
            <w:r w:rsidRPr="00941556">
              <w:rPr>
                <w:rFonts w:cs="Arial"/>
                <w:szCs w:val="22"/>
              </w:rPr>
              <w:t>Redraft for clarity</w:t>
            </w:r>
            <w:r>
              <w:rPr>
                <w:rFonts w:cs="Arial"/>
                <w:szCs w:val="22"/>
              </w:rPr>
              <w:t xml:space="preserve">. </w:t>
            </w:r>
          </w:p>
        </w:tc>
        <w:tc>
          <w:tcPr>
            <w:tcW w:w="2426" w:type="dxa"/>
          </w:tcPr>
          <w:p w14:paraId="16A98591" w14:textId="77777777" w:rsidR="000E6C7E" w:rsidRPr="007B273B" w:rsidRDefault="000E6C7E" w:rsidP="00BC4A92">
            <w:pPr>
              <w:spacing w:before="120" w:line="240" w:lineRule="auto"/>
              <w:rPr>
                <w:rFonts w:cs="Arial"/>
                <w:szCs w:val="22"/>
              </w:rPr>
            </w:pPr>
            <w:r>
              <w:rPr>
                <w:rFonts w:cs="Arial"/>
                <w:szCs w:val="22"/>
              </w:rPr>
              <w:t>Greater clarity</w:t>
            </w:r>
            <w:r w:rsidRPr="007B273B">
              <w:rPr>
                <w:rFonts w:cs="Arial"/>
                <w:szCs w:val="22"/>
              </w:rPr>
              <w:t>.</w:t>
            </w:r>
          </w:p>
        </w:tc>
      </w:tr>
      <w:tr w:rsidR="000E6C7E" w:rsidRPr="007B273B" w14:paraId="6746C4CA" w14:textId="77777777" w:rsidTr="00FC3FAF">
        <w:tc>
          <w:tcPr>
            <w:tcW w:w="0" w:type="auto"/>
          </w:tcPr>
          <w:p w14:paraId="43E7A22A" w14:textId="77777777" w:rsidR="000E6C7E" w:rsidRPr="007B273B" w:rsidRDefault="000E6C7E" w:rsidP="00BC4A92">
            <w:pPr>
              <w:spacing w:before="120" w:line="240" w:lineRule="auto"/>
              <w:rPr>
                <w:rFonts w:cs="Arial"/>
                <w:szCs w:val="22"/>
              </w:rPr>
            </w:pPr>
            <w:r w:rsidRPr="007B273B">
              <w:rPr>
                <w:rFonts w:cs="Arial"/>
                <w:szCs w:val="22"/>
              </w:rPr>
              <w:t xml:space="preserve">Contravention and enforcement of court orders and contempt of court </w:t>
            </w:r>
            <w:r>
              <w:rPr>
                <w:rFonts w:cs="Arial"/>
                <w:szCs w:val="22"/>
              </w:rPr>
              <w:t>(old guideline 15)</w:t>
            </w:r>
          </w:p>
          <w:p w14:paraId="2844ED6B" w14:textId="77777777" w:rsidR="000E6C7E" w:rsidRPr="007B273B" w:rsidRDefault="000E6C7E" w:rsidP="00BC4A92">
            <w:pPr>
              <w:spacing w:before="120" w:line="240" w:lineRule="auto"/>
              <w:rPr>
                <w:rFonts w:cs="Arial"/>
                <w:szCs w:val="22"/>
              </w:rPr>
            </w:pPr>
          </w:p>
        </w:tc>
        <w:tc>
          <w:tcPr>
            <w:tcW w:w="4153" w:type="dxa"/>
          </w:tcPr>
          <w:p w14:paraId="7754DDBC" w14:textId="77777777" w:rsidR="000E6C7E" w:rsidRPr="00926A9F" w:rsidRDefault="000E6C7E" w:rsidP="00BC4A92">
            <w:pPr>
              <w:spacing w:before="120" w:line="240" w:lineRule="auto"/>
              <w:rPr>
                <w:rFonts w:cs="Arial"/>
                <w:szCs w:val="22"/>
              </w:rPr>
            </w:pPr>
            <w:r>
              <w:rPr>
                <w:rFonts w:cs="Arial"/>
                <w:szCs w:val="22"/>
              </w:rPr>
              <w:t>Restructure and redraft for clarity.</w:t>
            </w:r>
            <w:r w:rsidRPr="007B273B">
              <w:rPr>
                <w:rFonts w:cs="Arial"/>
                <w:szCs w:val="22"/>
              </w:rPr>
              <w:t xml:space="preserve"> </w:t>
            </w:r>
            <w:r w:rsidR="003F16F1">
              <w:rPr>
                <w:rFonts w:cs="Arial"/>
                <w:szCs w:val="22"/>
              </w:rPr>
              <w:t>Incorporated into relevant</w:t>
            </w:r>
            <w:r w:rsidR="003F16F1" w:rsidRPr="007B273B">
              <w:rPr>
                <w:rFonts w:cs="Arial"/>
                <w:szCs w:val="22"/>
              </w:rPr>
              <w:t xml:space="preserve"> guidelines (no</w:t>
            </w:r>
            <w:r w:rsidR="003F16F1">
              <w:rPr>
                <w:rFonts w:cs="Arial"/>
                <w:szCs w:val="22"/>
              </w:rPr>
              <w:t xml:space="preserve"> longer</w:t>
            </w:r>
            <w:r w:rsidR="003F16F1" w:rsidRPr="007B273B">
              <w:rPr>
                <w:rFonts w:cs="Arial"/>
                <w:szCs w:val="22"/>
              </w:rPr>
              <w:t xml:space="preserve"> stand-alone).</w:t>
            </w:r>
            <w:r w:rsidR="003F16F1" w:rsidRPr="007B273B" w:rsidDel="003F16F1">
              <w:rPr>
                <w:rFonts w:cs="Arial"/>
                <w:szCs w:val="22"/>
              </w:rPr>
              <w:t xml:space="preserve"> </w:t>
            </w:r>
            <w:r>
              <w:rPr>
                <w:rFonts w:cs="Arial"/>
                <w:szCs w:val="22"/>
              </w:rPr>
              <w:t xml:space="preserve">‘Substantial contravention’ defined for the first time. </w:t>
            </w:r>
          </w:p>
        </w:tc>
        <w:tc>
          <w:tcPr>
            <w:tcW w:w="2426" w:type="dxa"/>
          </w:tcPr>
          <w:p w14:paraId="0DCB7A86" w14:textId="77777777" w:rsidR="000E6C7E" w:rsidRPr="007F1A6E" w:rsidRDefault="000E6C7E" w:rsidP="00BC4A92">
            <w:pPr>
              <w:spacing w:before="120" w:line="240" w:lineRule="auto"/>
              <w:rPr>
                <w:rFonts w:cs="Arial"/>
                <w:szCs w:val="22"/>
              </w:rPr>
            </w:pPr>
            <w:r>
              <w:rPr>
                <w:rFonts w:cs="Arial"/>
                <w:szCs w:val="22"/>
              </w:rPr>
              <w:t xml:space="preserve">Greater clarity and ease of use.  </w:t>
            </w:r>
          </w:p>
          <w:p w14:paraId="522818A8" w14:textId="77777777" w:rsidR="000E6C7E" w:rsidRPr="00926A9F" w:rsidRDefault="000E6C7E" w:rsidP="00BC4A92">
            <w:pPr>
              <w:spacing w:before="120" w:line="240" w:lineRule="auto"/>
              <w:rPr>
                <w:rFonts w:cs="Arial"/>
                <w:szCs w:val="22"/>
              </w:rPr>
            </w:pPr>
          </w:p>
        </w:tc>
      </w:tr>
      <w:tr w:rsidR="000E6C7E" w:rsidRPr="007B273B" w14:paraId="2029F2F0" w14:textId="77777777" w:rsidTr="00FC3FAF">
        <w:tc>
          <w:tcPr>
            <w:tcW w:w="0" w:type="auto"/>
          </w:tcPr>
          <w:p w14:paraId="20F85878" w14:textId="77777777" w:rsidR="000E6C7E" w:rsidRPr="007B273B" w:rsidRDefault="000E6C7E" w:rsidP="00BC4A92">
            <w:pPr>
              <w:spacing w:before="120" w:line="240" w:lineRule="auto"/>
              <w:rPr>
                <w:rFonts w:cs="Arial"/>
                <w:szCs w:val="22"/>
              </w:rPr>
            </w:pPr>
            <w:r w:rsidRPr="007B273B">
              <w:rPr>
                <w:rFonts w:cs="Arial"/>
                <w:szCs w:val="22"/>
              </w:rPr>
              <w:t>International Child abduction</w:t>
            </w:r>
            <w:r>
              <w:rPr>
                <w:rFonts w:cs="Arial"/>
                <w:szCs w:val="22"/>
              </w:rPr>
              <w:t xml:space="preserve"> (old guideline 16)</w:t>
            </w:r>
          </w:p>
          <w:p w14:paraId="7266BA53" w14:textId="77777777" w:rsidR="000E6C7E" w:rsidRPr="007B273B" w:rsidRDefault="000E6C7E" w:rsidP="00BC4A92">
            <w:pPr>
              <w:spacing w:before="120" w:line="240" w:lineRule="auto"/>
              <w:rPr>
                <w:rFonts w:cs="Arial"/>
                <w:szCs w:val="22"/>
              </w:rPr>
            </w:pPr>
          </w:p>
        </w:tc>
        <w:tc>
          <w:tcPr>
            <w:tcW w:w="4153" w:type="dxa"/>
          </w:tcPr>
          <w:p w14:paraId="6A06EDF9" w14:textId="77777777" w:rsidR="000E6C7E" w:rsidRPr="007B273B" w:rsidRDefault="000E6C7E" w:rsidP="00BC4A92">
            <w:pPr>
              <w:spacing w:before="120" w:line="240" w:lineRule="auto"/>
              <w:rPr>
                <w:rFonts w:cs="Arial"/>
                <w:szCs w:val="22"/>
              </w:rPr>
            </w:pPr>
            <w:r>
              <w:rPr>
                <w:rFonts w:cs="Arial"/>
                <w:szCs w:val="22"/>
              </w:rPr>
              <w:t>Clarification that assistance for three conferences available in these matters.</w:t>
            </w:r>
          </w:p>
        </w:tc>
        <w:tc>
          <w:tcPr>
            <w:tcW w:w="2426" w:type="dxa"/>
          </w:tcPr>
          <w:p w14:paraId="26E451FC" w14:textId="77777777" w:rsidR="000E6C7E" w:rsidRPr="007B273B" w:rsidRDefault="000E6C7E" w:rsidP="00BC4A92">
            <w:pPr>
              <w:spacing w:before="120" w:line="240" w:lineRule="auto"/>
              <w:rPr>
                <w:rFonts w:cs="Arial"/>
                <w:szCs w:val="22"/>
              </w:rPr>
            </w:pPr>
            <w:r w:rsidRPr="007B273B">
              <w:rPr>
                <w:rFonts w:cs="Arial"/>
                <w:szCs w:val="22"/>
              </w:rPr>
              <w:t>No impact</w:t>
            </w:r>
            <w:r>
              <w:rPr>
                <w:rFonts w:cs="Arial"/>
                <w:szCs w:val="22"/>
              </w:rPr>
              <w:t xml:space="preserve"> as this reflects current funding policy.</w:t>
            </w:r>
            <w:r w:rsidRPr="007B273B">
              <w:rPr>
                <w:rFonts w:cs="Arial"/>
                <w:szCs w:val="22"/>
              </w:rPr>
              <w:t xml:space="preserve"> See below </w:t>
            </w:r>
            <w:r>
              <w:rPr>
                <w:rFonts w:cs="Arial"/>
                <w:szCs w:val="22"/>
              </w:rPr>
              <w:t>under ‘F</w:t>
            </w:r>
            <w:r w:rsidRPr="007B273B">
              <w:rPr>
                <w:rFonts w:cs="Arial"/>
                <w:szCs w:val="22"/>
              </w:rPr>
              <w:t xml:space="preserve">ee </w:t>
            </w:r>
            <w:r>
              <w:rPr>
                <w:rFonts w:cs="Arial"/>
                <w:szCs w:val="22"/>
              </w:rPr>
              <w:t xml:space="preserve">schedule </w:t>
            </w:r>
            <w:r w:rsidRPr="007B273B">
              <w:rPr>
                <w:rFonts w:cs="Arial"/>
                <w:szCs w:val="22"/>
              </w:rPr>
              <w:t>change</w:t>
            </w:r>
            <w:r>
              <w:rPr>
                <w:rFonts w:cs="Arial"/>
                <w:szCs w:val="22"/>
              </w:rPr>
              <w:t xml:space="preserve">s’. </w:t>
            </w:r>
          </w:p>
        </w:tc>
      </w:tr>
      <w:tr w:rsidR="000E6C7E" w:rsidRPr="007B273B" w14:paraId="780D4C19" w14:textId="77777777" w:rsidTr="00FC3FAF">
        <w:tc>
          <w:tcPr>
            <w:tcW w:w="0" w:type="auto"/>
            <w:tcBorders>
              <w:bottom w:val="single" w:sz="4" w:space="0" w:color="auto"/>
            </w:tcBorders>
          </w:tcPr>
          <w:p w14:paraId="0459921F" w14:textId="77777777" w:rsidR="000E6C7E" w:rsidRPr="007B273B" w:rsidRDefault="000E6C7E" w:rsidP="00BC4A92">
            <w:pPr>
              <w:spacing w:before="120" w:line="240" w:lineRule="auto"/>
              <w:rPr>
                <w:rFonts w:cs="Arial"/>
                <w:szCs w:val="22"/>
              </w:rPr>
            </w:pPr>
            <w:r w:rsidRPr="007B273B">
              <w:rPr>
                <w:rFonts w:cs="Arial"/>
                <w:szCs w:val="22"/>
              </w:rPr>
              <w:t>Family law costs management</w:t>
            </w:r>
            <w:r>
              <w:rPr>
                <w:rFonts w:cs="Arial"/>
                <w:szCs w:val="22"/>
              </w:rPr>
              <w:t xml:space="preserve"> (old guideline 17)</w:t>
            </w:r>
          </w:p>
        </w:tc>
        <w:tc>
          <w:tcPr>
            <w:tcW w:w="4153" w:type="dxa"/>
            <w:tcBorders>
              <w:bottom w:val="single" w:sz="4" w:space="0" w:color="auto"/>
            </w:tcBorders>
          </w:tcPr>
          <w:p w14:paraId="7B4753D3" w14:textId="77777777" w:rsidR="000E6C7E" w:rsidRPr="007B273B" w:rsidRDefault="000E6C7E" w:rsidP="00BC4A92">
            <w:pPr>
              <w:spacing w:before="120" w:line="240" w:lineRule="auto"/>
              <w:rPr>
                <w:rFonts w:cs="Arial"/>
                <w:szCs w:val="22"/>
              </w:rPr>
            </w:pPr>
            <w:r>
              <w:rPr>
                <w:rFonts w:cs="Arial"/>
                <w:szCs w:val="22"/>
              </w:rPr>
              <w:t>Remov</w:t>
            </w:r>
            <w:r w:rsidR="003F16F1">
              <w:rPr>
                <w:rFonts w:cs="Arial"/>
                <w:szCs w:val="22"/>
              </w:rPr>
              <w:t>ed</w:t>
            </w:r>
            <w:r>
              <w:rPr>
                <w:rFonts w:cs="Arial"/>
                <w:szCs w:val="22"/>
              </w:rPr>
              <w:t xml:space="preserve"> as a guideline and</w:t>
            </w:r>
            <w:r w:rsidRPr="007B273B">
              <w:rPr>
                <w:rFonts w:cs="Arial"/>
                <w:szCs w:val="22"/>
              </w:rPr>
              <w:t xml:space="preserve"> inf</w:t>
            </w:r>
            <w:r>
              <w:rPr>
                <w:rFonts w:cs="Arial"/>
                <w:szCs w:val="22"/>
              </w:rPr>
              <w:t>ormation clarified and i</w:t>
            </w:r>
            <w:r w:rsidRPr="007B273B">
              <w:rPr>
                <w:rFonts w:cs="Arial"/>
                <w:szCs w:val="22"/>
              </w:rPr>
              <w:t xml:space="preserve">ncorporated into section on costs payable. </w:t>
            </w:r>
          </w:p>
        </w:tc>
        <w:tc>
          <w:tcPr>
            <w:tcW w:w="2426" w:type="dxa"/>
            <w:tcBorders>
              <w:bottom w:val="single" w:sz="4" w:space="0" w:color="auto"/>
            </w:tcBorders>
          </w:tcPr>
          <w:p w14:paraId="7A67B811" w14:textId="77777777" w:rsidR="000E6C7E" w:rsidRPr="007B273B" w:rsidRDefault="000E6C7E" w:rsidP="00BC4A92">
            <w:pPr>
              <w:spacing w:before="120" w:line="240" w:lineRule="auto"/>
              <w:rPr>
                <w:rFonts w:cs="Arial"/>
                <w:szCs w:val="22"/>
              </w:rPr>
            </w:pPr>
            <w:r>
              <w:rPr>
                <w:rFonts w:cs="Arial"/>
                <w:szCs w:val="22"/>
              </w:rPr>
              <w:t>Not needed as a guideline.</w:t>
            </w:r>
          </w:p>
        </w:tc>
      </w:tr>
      <w:tr w:rsidR="000E6C7E" w:rsidRPr="007B273B" w14:paraId="4AAF50B5" w14:textId="77777777" w:rsidTr="00FC3FAF">
        <w:trPr>
          <w:trHeight w:val="7225"/>
        </w:trPr>
        <w:tc>
          <w:tcPr>
            <w:tcW w:w="0" w:type="auto"/>
            <w:tcBorders>
              <w:bottom w:val="single" w:sz="4" w:space="0" w:color="auto"/>
            </w:tcBorders>
          </w:tcPr>
          <w:p w14:paraId="312D58E3" w14:textId="77777777" w:rsidR="000E6C7E" w:rsidRPr="007B273B" w:rsidRDefault="00AF7A5D" w:rsidP="00BC4A92">
            <w:pPr>
              <w:spacing w:before="120" w:line="240" w:lineRule="auto"/>
              <w:rPr>
                <w:rFonts w:cs="Arial"/>
                <w:szCs w:val="22"/>
              </w:rPr>
            </w:pPr>
            <w:r>
              <w:rPr>
                <w:rFonts w:cs="Arial"/>
                <w:szCs w:val="22"/>
              </w:rPr>
              <w:t>Fe</w:t>
            </w:r>
            <w:r w:rsidR="000E6C7E" w:rsidRPr="007B273B">
              <w:rPr>
                <w:rFonts w:cs="Arial"/>
                <w:szCs w:val="22"/>
              </w:rPr>
              <w:t>e schedule changes</w:t>
            </w:r>
          </w:p>
        </w:tc>
        <w:tc>
          <w:tcPr>
            <w:tcW w:w="4153" w:type="dxa"/>
          </w:tcPr>
          <w:p w14:paraId="33B7D568" w14:textId="77777777" w:rsidR="000E6C7E" w:rsidRDefault="000E6C7E" w:rsidP="00BC4A92">
            <w:pPr>
              <w:spacing w:before="120" w:line="240" w:lineRule="auto"/>
              <w:rPr>
                <w:rFonts w:cs="Arial"/>
                <w:szCs w:val="22"/>
              </w:rPr>
            </w:pPr>
            <w:r>
              <w:rPr>
                <w:rFonts w:cs="Arial"/>
                <w:szCs w:val="22"/>
              </w:rPr>
              <w:t xml:space="preserve">Note: These changes do not alter eligibility for fees, or quantum of fees.   </w:t>
            </w:r>
          </w:p>
          <w:p w14:paraId="2E82C190" w14:textId="77777777" w:rsidR="000E6C7E" w:rsidRDefault="000E6C7E" w:rsidP="002C3915">
            <w:pPr>
              <w:pStyle w:val="ListNumber"/>
              <w:numPr>
                <w:ilvl w:val="0"/>
                <w:numId w:val="14"/>
              </w:numPr>
            </w:pPr>
            <w:r>
              <w:t>A</w:t>
            </w:r>
            <w:r w:rsidRPr="007B273B">
              <w:t xml:space="preserve">ll </w:t>
            </w:r>
            <w:r>
              <w:t>stage of matter fees incorporated into the following three tables:</w:t>
            </w:r>
          </w:p>
          <w:p w14:paraId="69486F6D" w14:textId="77777777" w:rsidR="000E6C7E" w:rsidRPr="001E5154" w:rsidRDefault="000E6C7E" w:rsidP="00AC7582">
            <w:pPr>
              <w:pStyle w:val="ListBullet"/>
            </w:pPr>
            <w:r w:rsidRPr="001E5154">
              <w:rPr>
                <w:lang w:val="en"/>
              </w:rPr>
              <w:t>4.1 – Lawyer professional costs (excluding ICL costs)</w:t>
            </w:r>
          </w:p>
          <w:p w14:paraId="1AE798B1" w14:textId="77777777" w:rsidR="000E6C7E" w:rsidRPr="001E5154" w:rsidRDefault="000E6C7E" w:rsidP="00AC7582">
            <w:pPr>
              <w:pStyle w:val="ListBullet"/>
            </w:pPr>
            <w:r w:rsidRPr="001E5154">
              <w:rPr>
                <w:lang w:val="en"/>
              </w:rPr>
              <w:t>4.2 – Independent children’s lawyer professional costs</w:t>
            </w:r>
          </w:p>
          <w:p w14:paraId="41D98DF3" w14:textId="77777777" w:rsidR="000E6C7E" w:rsidRPr="001E5154" w:rsidRDefault="000E6C7E" w:rsidP="00AC7582">
            <w:pPr>
              <w:pStyle w:val="ListBullet"/>
            </w:pPr>
            <w:r w:rsidRPr="001E5154">
              <w:rPr>
                <w:lang w:val="en"/>
              </w:rPr>
              <w:t>4.3 – Counsel costs and ​daily circuit fees</w:t>
            </w:r>
          </w:p>
          <w:p w14:paraId="52278056" w14:textId="77777777" w:rsidR="000E6C7E" w:rsidRPr="001E5154" w:rsidRDefault="000E6C7E" w:rsidP="00BC4A92">
            <w:pPr>
              <w:spacing w:before="120" w:line="240" w:lineRule="auto"/>
              <w:rPr>
                <w:rFonts w:cs="Arial"/>
                <w:szCs w:val="22"/>
              </w:rPr>
            </w:pPr>
            <w:r w:rsidRPr="002C3915">
              <w:rPr>
                <w:rFonts w:cs="Arial"/>
                <w:b/>
                <w:szCs w:val="22"/>
              </w:rPr>
              <w:t>Note:</w:t>
            </w:r>
            <w:r w:rsidRPr="001E5154">
              <w:rPr>
                <w:rFonts w:cs="Arial"/>
                <w:szCs w:val="22"/>
              </w:rPr>
              <w:t xml:space="preserve"> This has resulted in some minor changes to fee numbers. </w:t>
            </w:r>
          </w:p>
          <w:p w14:paraId="50735402" w14:textId="77777777" w:rsidR="000E6C7E" w:rsidRPr="00394A59" w:rsidRDefault="000E6C7E" w:rsidP="00AC7582">
            <w:pPr>
              <w:pStyle w:val="ListNumber"/>
            </w:pPr>
            <w:r w:rsidRPr="007B273B">
              <w:t>Redraft to reflect availability of</w:t>
            </w:r>
            <w:r>
              <w:t xml:space="preserve"> up to three additional hearing fees in child support matters in the Magistrates’ Court (implemented 1 September 2016).</w:t>
            </w:r>
          </w:p>
          <w:p w14:paraId="736AB8B9" w14:textId="77777777" w:rsidR="000E6C7E" w:rsidRPr="005E19C4" w:rsidRDefault="000E6C7E" w:rsidP="005E19C4">
            <w:pPr>
              <w:pStyle w:val="ListNumber"/>
            </w:pPr>
            <w:r>
              <w:t>Redraft</w:t>
            </w:r>
            <w:r w:rsidRPr="007B273B">
              <w:t xml:space="preserve"> to </w:t>
            </w:r>
            <w:r>
              <w:t>specify availability of assistance for attendance at 3 conferences for</w:t>
            </w:r>
            <w:r w:rsidRPr="007B273B">
              <w:t xml:space="preserve"> FDRS litigation intervention in international child abduction matters</w:t>
            </w:r>
            <w:r>
              <w:t>.</w:t>
            </w:r>
          </w:p>
        </w:tc>
        <w:tc>
          <w:tcPr>
            <w:tcW w:w="2426" w:type="dxa"/>
            <w:tcBorders>
              <w:bottom w:val="single" w:sz="4" w:space="0" w:color="auto"/>
            </w:tcBorders>
          </w:tcPr>
          <w:p w14:paraId="603D95E7" w14:textId="77777777" w:rsidR="000E6C7E" w:rsidRPr="001E5154" w:rsidRDefault="000E6C7E" w:rsidP="002C3915">
            <w:pPr>
              <w:pStyle w:val="ListNumber"/>
              <w:numPr>
                <w:ilvl w:val="0"/>
                <w:numId w:val="15"/>
              </w:numPr>
            </w:pPr>
            <w:r w:rsidRPr="001E5154">
              <w:t xml:space="preserve">Greater clarity and ease of use.  </w:t>
            </w:r>
          </w:p>
          <w:p w14:paraId="35ACB322" w14:textId="77777777" w:rsidR="00AC7582" w:rsidRDefault="000E6C7E" w:rsidP="00AC7582">
            <w:pPr>
              <w:pStyle w:val="ListNumber"/>
            </w:pPr>
            <w:r w:rsidRPr="001E5154">
              <w:t>Greater clarity</w:t>
            </w:r>
            <w:r w:rsidR="00AC7582">
              <w:t>.</w:t>
            </w:r>
          </w:p>
          <w:p w14:paraId="3D60EEA0" w14:textId="77777777" w:rsidR="000E6C7E" w:rsidRDefault="000E6C7E" w:rsidP="002C3915">
            <w:pPr>
              <w:pStyle w:val="ListNumber"/>
              <w:rPr>
                <w:rFonts w:cs="Arial"/>
                <w:szCs w:val="22"/>
              </w:rPr>
            </w:pPr>
            <w:r w:rsidRPr="007B273B">
              <w:t xml:space="preserve">This reflects current funding </w:t>
            </w:r>
            <w:r>
              <w:t>policy</w:t>
            </w:r>
            <w:r w:rsidRPr="007B273B">
              <w:t>.</w:t>
            </w:r>
          </w:p>
        </w:tc>
      </w:tr>
    </w:tbl>
    <w:p w14:paraId="42B80EC3" w14:textId="77777777" w:rsidR="00D75C29" w:rsidRPr="000E6C7E" w:rsidRDefault="00D75C29" w:rsidP="00FC3FAF">
      <w:pPr>
        <w:rPr>
          <w:lang w:val="en-US"/>
        </w:rPr>
      </w:pPr>
    </w:p>
    <w:sectPr w:rsidR="00D75C29" w:rsidRPr="000E6C7E" w:rsidSect="00F77E0F">
      <w:headerReference w:type="even" r:id="rId14"/>
      <w:headerReference w:type="default" r:id="rId15"/>
      <w:footerReference w:type="even" r:id="rId16"/>
      <w:footerReference w:type="default" r:id="rId17"/>
      <w:headerReference w:type="first" r:id="rId18"/>
      <w:footerReference w:type="first" r:id="rId19"/>
      <w:pgSz w:w="11900" w:h="16840" w:code="9"/>
      <w:pgMar w:top="1418" w:right="907" w:bottom="964" w:left="907" w:header="284" w:footer="284" w:gutter="0"/>
      <w:paperSrc w:first="7" w:other="7"/>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AFFAA8" w14:textId="77777777" w:rsidR="00545F44" w:rsidRDefault="00545F44" w:rsidP="00181303">
      <w:pPr>
        <w:pStyle w:val="Header"/>
        <w:framePr w:wrap="around" w:vAnchor="text" w:hAnchor="margin" w:xAlign="right" w:y="1"/>
        <w:rPr>
          <w:rStyle w:val="PageNumber"/>
        </w:rPr>
      </w:pPr>
      <w:r w:rsidRPr="009F0AA0">
        <w:pgNum/>
      </w:r>
      <w:r w:rsidRPr="009F0AA0">
        <w:pgNum/>
      </w:r>
      <w:r w:rsidRPr="009F0AA0">
        <w:pgNum/>
      </w:r>
    </w:p>
  </w:endnote>
  <w:endnote w:type="continuationSeparator" w:id="0">
    <w:p w14:paraId="0EE58B22" w14:textId="77777777" w:rsidR="00545F44" w:rsidRDefault="00545F44" w:rsidP="00181303">
      <w:pPr>
        <w:pStyle w:val="Header"/>
        <w:framePr w:wrap="around" w:vAnchor="text" w:hAnchor="margin" w:xAlign="right" w:y="1"/>
        <w:rPr>
          <w:rStyle w:val="PageNumber"/>
        </w:rPr>
      </w:pPr>
      <w:r w:rsidRPr="009F0AA0">
        <w:pgNum/>
      </w:r>
      <w:r w:rsidRPr="009F0AA0">
        <w:pgNum/>
      </w:r>
      <w:r w:rsidRPr="009F0AA0">
        <w:pgNum/>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ngs">
    <w:altName w:val="Arial Unicode MS"/>
    <w:panose1 w:val="020B0604020202020204"/>
    <w:charset w:val="80"/>
    <w:family w:val="roman"/>
    <w:notTrueType/>
    <w:pitch w:val="fixed"/>
    <w:sig w:usb0="00000001" w:usb1="08070000" w:usb2="00000010" w:usb3="00000000" w:csb0="00020000" w:csb1="00000000"/>
  </w:font>
  <w:font w:name="Arial Bold">
    <w:altName w:val="Times New Roman"/>
    <w:panose1 w:val="020B0604020202020204"/>
    <w:charset w:val="00"/>
    <w:family w:val="auto"/>
    <w:pitch w:val="variable"/>
    <w:sig w:usb0="00000003" w:usb1="00000000" w:usb2="00000000" w:usb3="00000000" w:csb0="00000001" w:csb1="00000000"/>
  </w:font>
  <w:font w:name="Rockwell">
    <w:panose1 w:val="02060603020205020403"/>
    <w:charset w:val="4D"/>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70FF6" w14:textId="77777777" w:rsidR="00BB122F" w:rsidRDefault="00BB122F" w:rsidP="00AC3D9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D7C1E84" w14:textId="77777777" w:rsidR="00BB122F" w:rsidRDefault="00BB122F" w:rsidP="008074B3">
    <w:pPr>
      <w:pStyle w:val="Footer"/>
      <w:ind w:right="360" w:firstLine="360"/>
    </w:pPr>
  </w:p>
  <w:p w14:paraId="7DAB9919" w14:textId="77777777" w:rsidR="00BB122F" w:rsidRDefault="00BB122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19714" w14:textId="77777777" w:rsidR="00BB122F" w:rsidRDefault="00BB122F" w:rsidP="00EF7C5C">
    <w:pPr>
      <w:pStyle w:val="Footer"/>
      <w:ind w:right="20"/>
      <w:jc w:val="center"/>
    </w:pPr>
    <w:r>
      <w:rPr>
        <w:rStyle w:val="PageNumber"/>
      </w:rPr>
      <w:fldChar w:fldCharType="begin"/>
    </w:r>
    <w:r>
      <w:rPr>
        <w:rStyle w:val="PageNumber"/>
      </w:rPr>
      <w:instrText xml:space="preserve"> PAGE </w:instrText>
    </w:r>
    <w:r>
      <w:rPr>
        <w:rStyle w:val="PageNumber"/>
      </w:rPr>
      <w:fldChar w:fldCharType="separate"/>
    </w:r>
    <w:r w:rsidR="00FC3FAF">
      <w:rPr>
        <w:rStyle w:val="PageNumber"/>
        <w:noProof/>
      </w:rPr>
      <w:t>4</w:t>
    </w:r>
    <w:r>
      <w:rPr>
        <w:rStyle w:val="PageNumber"/>
      </w:rPr>
      <w:fldChar w:fldCharType="end"/>
    </w:r>
    <w:r>
      <w:rPr>
        <w:noProof/>
        <w:lang w:eastAsia="en-AU"/>
      </w:rPr>
      <mc:AlternateContent>
        <mc:Choice Requires="wps">
          <w:drawing>
            <wp:anchor distT="0" distB="0" distL="114300" distR="114300" simplePos="0" relativeHeight="251658240" behindDoc="0" locked="1" layoutInCell="1" allowOverlap="1" wp14:anchorId="6EB61E63" wp14:editId="5BB8B280">
              <wp:simplePos x="0" y="0"/>
              <wp:positionH relativeFrom="page">
                <wp:posOffset>180340</wp:posOffset>
              </wp:positionH>
              <wp:positionV relativeFrom="page">
                <wp:posOffset>10235565</wp:posOffset>
              </wp:positionV>
              <wp:extent cx="7200265" cy="0"/>
              <wp:effectExtent l="0" t="0" r="13335" b="25400"/>
              <wp:wrapNone/>
              <wp:docPr id="2" name="Line 3" descr=" "/>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265" cy="0"/>
                      </a:xfrm>
                      <a:prstGeom prst="line">
                        <a:avLst/>
                      </a:prstGeom>
                      <a:noFill/>
                      <a:ln w="6350" cap="rnd">
                        <a:solidFill>
                          <a:srgbClr val="B1005D"/>
                        </a:solidFill>
                        <a:round/>
                        <a:headEnd/>
                        <a:tailEnd/>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63500" dist="26940" dir="5400000" algn="ctr" rotWithShape="0">
                                <a:srgbClr val="00000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5FE65C8" id="Line 3" o:spid="_x0000_s1026" alt=" "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2pt,805.95pt" to="581.15pt,80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" strokecolor="#b1005d" strokeweight=".5pt">
              <v:stroke endcap="round"/>
              <w10:wrap anchorx="page" anchory="page"/>
              <w10:anchorlock/>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54235" w14:textId="77777777" w:rsidR="00BB122F" w:rsidRPr="008636E1" w:rsidRDefault="00BB122F" w:rsidP="008636E1">
    <w:pPr>
      <w:pStyle w:val="Footer"/>
      <w:ind w:right="20"/>
      <w:jc w:val="center"/>
    </w:pPr>
    <w:r>
      <w:rPr>
        <w:rStyle w:val="PageNumber"/>
      </w:rPr>
      <w:fldChar w:fldCharType="begin"/>
    </w:r>
    <w:r>
      <w:rPr>
        <w:rStyle w:val="PageNumber"/>
      </w:rPr>
      <w:instrText xml:space="preserve"> PAGE </w:instrText>
    </w:r>
    <w:r>
      <w:rPr>
        <w:rStyle w:val="PageNumber"/>
      </w:rPr>
      <w:fldChar w:fldCharType="separate"/>
    </w:r>
    <w:r w:rsidR="00FC3FAF">
      <w:rPr>
        <w:rStyle w:val="PageNumber"/>
        <w:noProof/>
      </w:rPr>
      <w:t>1</w:t>
    </w:r>
    <w:r>
      <w:rPr>
        <w:rStyle w:val="PageNumber"/>
      </w:rPr>
      <w:fldChar w:fldCharType="end"/>
    </w:r>
    <w:r>
      <w:rPr>
        <w:noProof/>
        <w:lang w:eastAsia="en-AU"/>
      </w:rPr>
      <mc:AlternateContent>
        <mc:Choice Requires="wps">
          <w:drawing>
            <wp:anchor distT="0" distB="0" distL="114300" distR="114300" simplePos="0" relativeHeight="251662336" behindDoc="0" locked="1" layoutInCell="1" allowOverlap="1" wp14:anchorId="4253EA11" wp14:editId="2847549C">
              <wp:simplePos x="0" y="0"/>
              <wp:positionH relativeFrom="page">
                <wp:posOffset>180340</wp:posOffset>
              </wp:positionH>
              <wp:positionV relativeFrom="page">
                <wp:posOffset>10235565</wp:posOffset>
              </wp:positionV>
              <wp:extent cx="7200265" cy="0"/>
              <wp:effectExtent l="0" t="0" r="13335" b="25400"/>
              <wp:wrapNone/>
              <wp:docPr id="10" name="Line 3" descr=" "/>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265" cy="0"/>
                      </a:xfrm>
                      <a:prstGeom prst="line">
                        <a:avLst/>
                      </a:prstGeom>
                      <a:noFill/>
                      <a:ln w="6350" cap="rnd">
                        <a:solidFill>
                          <a:srgbClr val="B1005D"/>
                        </a:solidFill>
                        <a:round/>
                        <a:headEnd/>
                        <a:tailEnd/>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63500" dist="26940" dir="5400000" algn="ctr" rotWithShape="0">
                                <a:srgbClr val="00000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DA927CD" id="Line 3" o:spid="_x0000_s1026" alt=" "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2pt,805.95pt" to="581.15pt,80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" strokecolor="#b1005d" strokeweight=".5pt">
              <v:stroke endcap="round"/>
              <w10:wrap anchorx="page" anchory="page"/>
              <w10:anchorlock/>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31F688" w14:textId="77777777" w:rsidR="00545F44" w:rsidRDefault="00545F44" w:rsidP="00181303">
      <w:pPr>
        <w:pStyle w:val="Header"/>
        <w:framePr w:wrap="around" w:vAnchor="text" w:hAnchor="margin" w:xAlign="right" w:y="1"/>
        <w:rPr>
          <w:rStyle w:val="PageNumber"/>
        </w:rPr>
      </w:pPr>
      <w:r w:rsidRPr="009F0AA0">
        <w:pgNum/>
      </w:r>
      <w:r w:rsidRPr="009F0AA0">
        <w:pgNum/>
      </w:r>
      <w:r w:rsidRPr="009F0AA0">
        <w:pgNum/>
      </w:r>
    </w:p>
  </w:footnote>
  <w:footnote w:type="continuationSeparator" w:id="0">
    <w:p w14:paraId="5CCA46AD" w14:textId="77777777" w:rsidR="00545F44" w:rsidRDefault="00545F44" w:rsidP="00181303">
      <w:pPr>
        <w:pStyle w:val="Header"/>
        <w:framePr w:wrap="around" w:vAnchor="text" w:hAnchor="margin" w:xAlign="right" w:y="1"/>
        <w:rPr>
          <w:rStyle w:val="PageNumber"/>
        </w:rPr>
      </w:pPr>
      <w:r w:rsidRPr="009F0AA0">
        <w:pgNum/>
      </w:r>
      <w:r w:rsidRPr="009F0AA0">
        <w:pgNum/>
      </w:r>
      <w:r w:rsidRPr="009F0AA0">
        <w:pgNum/>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F6358" w14:textId="77777777" w:rsidR="00BB122F" w:rsidRDefault="00BB122F" w:rsidP="0018130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DF31F0A" w14:textId="77777777" w:rsidR="00BB122F" w:rsidRDefault="00BB122F" w:rsidP="00091AFC">
    <w:pPr>
      <w:pStyle w:val="Header"/>
      <w:ind w:right="360"/>
    </w:pPr>
  </w:p>
  <w:p w14:paraId="62FA9BB9" w14:textId="77777777" w:rsidR="00BB122F" w:rsidRDefault="00BB122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599F8" w14:textId="77777777" w:rsidR="00BB122F" w:rsidRPr="006A6FC6" w:rsidRDefault="00BB122F" w:rsidP="00D82005">
    <w:pPr>
      <w:tabs>
        <w:tab w:val="left" w:pos="6893"/>
      </w:tabs>
      <w:spacing w:after="80" w:line="240" w:lineRule="auto"/>
      <w:ind w:left="-330"/>
      <w:rPr>
        <w:rFonts w:cs="Arial"/>
        <w:color w:val="B1005D"/>
        <w:sz w:val="18"/>
        <w:szCs w:val="18"/>
      </w:rPr>
    </w:pPr>
    <w:r w:rsidRPr="006A6FC6">
      <w:rPr>
        <w:rFonts w:cs="Arial"/>
        <w:color w:val="B1005D"/>
        <w:sz w:val="18"/>
        <w:szCs w:val="18"/>
      </w:rPr>
      <w:t>Victoria Legal Aid</w:t>
    </w:r>
    <w:r>
      <w:rPr>
        <w:rFonts w:cs="Arial"/>
        <w:color w:val="B1005D"/>
        <w:sz w:val="18"/>
        <w:szCs w:val="18"/>
      </w:rPr>
      <w:tab/>
    </w:r>
  </w:p>
  <w:p w14:paraId="1210AFF0" w14:textId="77777777" w:rsidR="00BB122F" w:rsidRPr="00EF7C5C" w:rsidRDefault="000E6C7E" w:rsidP="00EF7C5C">
    <w:pPr>
      <w:spacing w:line="240" w:lineRule="auto"/>
      <w:ind w:left="-330"/>
      <w:rPr>
        <w:rFonts w:ascii="Arial Bold" w:hAnsi="Arial Bold" w:cs="Arial"/>
        <w:color w:val="B1005D"/>
      </w:rPr>
    </w:pPr>
    <w:r>
      <w:rPr>
        <w:rFonts w:ascii="Arial Bold" w:hAnsi="Arial Bold" w:cs="Arial"/>
        <w:b/>
        <w:color w:val="B1005D"/>
        <w:sz w:val="18"/>
        <w:szCs w:val="18"/>
      </w:rPr>
      <w:t>Ready Reckoner – Overview of the Commonwealth family law guideline changes</w:t>
    </w:r>
    <w:r w:rsidR="00BB122F">
      <w:rPr>
        <w:rFonts w:ascii="Arial Bold" w:hAnsi="Arial Bold" w:cs="Arial"/>
        <w:b/>
        <w:noProof/>
        <w:color w:val="B1005D"/>
        <w:sz w:val="18"/>
        <w:szCs w:val="18"/>
        <w:lang w:eastAsia="en-AU"/>
      </w:rPr>
      <mc:AlternateContent>
        <mc:Choice Requires="wps">
          <w:drawing>
            <wp:anchor distT="0" distB="0" distL="114300" distR="114300" simplePos="0" relativeHeight="251660288" behindDoc="1" locked="1" layoutInCell="1" allowOverlap="1" wp14:anchorId="6F1DE476" wp14:editId="68D28145">
              <wp:simplePos x="0" y="0"/>
              <wp:positionH relativeFrom="page">
                <wp:posOffset>180340</wp:posOffset>
              </wp:positionH>
              <wp:positionV relativeFrom="page">
                <wp:posOffset>684530</wp:posOffset>
              </wp:positionV>
              <wp:extent cx="7200265" cy="0"/>
              <wp:effectExtent l="0" t="0" r="13335" b="25400"/>
              <wp:wrapNone/>
              <wp:docPr id="3" name="Straight Connector 3" descr=" "/>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265" cy="0"/>
                      </a:xfrm>
                      <a:prstGeom prst="line">
                        <a:avLst/>
                      </a:prstGeom>
                      <a:noFill/>
                      <a:ln w="6350">
                        <a:solidFill>
                          <a:srgbClr val="B1005D"/>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CB9EC9" id="Straight Connector 3" o:spid="_x0000_s1026" alt=" "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2pt,53.9pt" to="581.15pt,5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" strokecolor="#b1005d" strokeweight=".5pt">
              <w10:wrap anchorx="page" anchory="page"/>
              <w10:anchorlock/>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9988F" w14:textId="77777777" w:rsidR="00BB122F" w:rsidRPr="00833658" w:rsidRDefault="00BB122F" w:rsidP="00833658">
    <w:pPr>
      <w:pStyle w:val="VLAProgram"/>
      <w:pBdr>
        <w:bottom w:val="none" w:sz="0" w:space="0" w:color="auto"/>
      </w:pBdr>
      <w:rPr>
        <w:color w:val="FFFFFF" w:themeColor="background1"/>
      </w:rPr>
    </w:pPr>
    <w:r>
      <w:rPr>
        <w:noProof/>
        <w:lang w:eastAsia="en-AU"/>
      </w:rPr>
      <w:drawing>
        <wp:anchor distT="0" distB="0" distL="114300" distR="114300" simplePos="0" relativeHeight="251668480" behindDoc="1" locked="0" layoutInCell="1" allowOverlap="1" wp14:anchorId="57A4C020" wp14:editId="666B6D7B">
          <wp:simplePos x="0" y="0"/>
          <wp:positionH relativeFrom="column">
            <wp:posOffset>-389890</wp:posOffset>
          </wp:positionH>
          <wp:positionV relativeFrom="paragraph">
            <wp:posOffset>423</wp:posOffset>
          </wp:positionV>
          <wp:extent cx="7200000" cy="1258537"/>
          <wp:effectExtent l="0" t="0" r="0" b="1206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la_header.jpg"/>
                  <pic:cNvPicPr/>
                </pic:nvPicPr>
                <pic:blipFill>
                  <a:blip r:embed="rId1">
                    <a:extLst>
                      <a:ext uri="{28A0092B-C50C-407E-A947-70E740481C1C}">
                        <a14:useLocalDpi xmlns:a14="http://schemas.microsoft.com/office/drawing/2010/main" val="0"/>
                      </a:ext>
                    </a:extLst>
                  </a:blip>
                  <a:stretch>
                    <a:fillRect/>
                  </a:stretch>
                </pic:blipFill>
                <pic:spPr>
                  <a:xfrm>
                    <a:off x="0" y="0"/>
                    <a:ext cx="7200000" cy="1258537"/>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5B6E6F87" w14:textId="77777777" w:rsidR="00BB122F" w:rsidRPr="00D82005" w:rsidRDefault="000E6C7E" w:rsidP="00D82005">
    <w:pPr>
      <w:pStyle w:val="VLAPublicationdate"/>
      <w:spacing w:before="240" w:after="1200"/>
    </w:pPr>
    <w:r>
      <w:t>June 2017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6BAE1E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4E4B7D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7E2918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2F0107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32E7D0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8"/>
    <w:multiLevelType w:val="singleLevel"/>
    <w:tmpl w:val="C3A653EC"/>
    <w:lvl w:ilvl="0">
      <w:start w:val="1"/>
      <w:numFmt w:val="decimal"/>
      <w:pStyle w:val="ListNumber"/>
      <w:lvlText w:val="%1."/>
      <w:lvlJc w:val="left"/>
      <w:pPr>
        <w:tabs>
          <w:tab w:val="num" w:pos="360"/>
        </w:tabs>
        <w:ind w:left="360" w:hanging="360"/>
      </w:pPr>
    </w:lvl>
  </w:abstractNum>
  <w:abstractNum w:abstractNumId="6" w15:restartNumberingAfterBreak="0">
    <w:nsid w:val="30BE342A"/>
    <w:multiLevelType w:val="multilevel"/>
    <w:tmpl w:val="6EAC2E86"/>
    <w:lvl w:ilvl="0">
      <w:start w:val="1"/>
      <w:numFmt w:val="bullet"/>
      <w:pStyle w:val="ListBullet"/>
      <w:lvlText w:val=""/>
      <w:lvlJc w:val="left"/>
      <w:pPr>
        <w:tabs>
          <w:tab w:val="num" w:pos="397"/>
        </w:tabs>
        <w:ind w:left="397" w:hanging="170"/>
      </w:pPr>
      <w:rPr>
        <w:rFonts w:ascii="Symbol" w:hAnsi="Symbol" w:hint="default"/>
        <w:sz w:val="21"/>
      </w:rPr>
    </w:lvl>
    <w:lvl w:ilvl="1">
      <w:start w:val="1"/>
      <w:numFmt w:val="bullet"/>
      <w:lvlText w:val="o"/>
      <w:lvlJc w:val="left"/>
      <w:pPr>
        <w:tabs>
          <w:tab w:val="num" w:pos="567"/>
        </w:tabs>
        <w:ind w:left="567" w:hanging="170"/>
      </w:pPr>
      <w:rPr>
        <w:rFonts w:ascii="Courier New" w:hAnsi="Courier New" w:hint="default"/>
      </w:rPr>
    </w:lvl>
    <w:lvl w:ilvl="2">
      <w:start w:val="1"/>
      <w:numFmt w:val="bullet"/>
      <w:lvlText w:val=""/>
      <w:lvlJc w:val="left"/>
      <w:pPr>
        <w:tabs>
          <w:tab w:val="num" w:pos="738"/>
        </w:tabs>
        <w:ind w:left="738" w:hanging="171"/>
      </w:pPr>
      <w:rPr>
        <w:rFonts w:ascii="Wingdings" w:hAnsi="Wingdings" w:hint="default"/>
      </w:rPr>
    </w:lvl>
    <w:lvl w:ilvl="3">
      <w:start w:val="1"/>
      <w:numFmt w:val="none"/>
      <w:lvlText w:val=""/>
      <w:lvlJc w:val="left"/>
      <w:pPr>
        <w:tabs>
          <w:tab w:val="num" w:pos="1656"/>
        </w:tabs>
        <w:ind w:left="1656" w:hanging="357"/>
      </w:pPr>
      <w:rPr>
        <w:rFonts w:hint="default"/>
      </w:rPr>
    </w:lvl>
    <w:lvl w:ilvl="4">
      <w:start w:val="1"/>
      <w:numFmt w:val="none"/>
      <w:lvlText w:val=""/>
      <w:lvlJc w:val="left"/>
      <w:pPr>
        <w:tabs>
          <w:tab w:val="num" w:pos="2013"/>
        </w:tabs>
        <w:ind w:left="2013" w:hanging="357"/>
      </w:pPr>
      <w:rPr>
        <w:rFonts w:hint="default"/>
      </w:rPr>
    </w:lvl>
    <w:lvl w:ilvl="5">
      <w:start w:val="1"/>
      <w:numFmt w:val="none"/>
      <w:lvlText w:val=""/>
      <w:lvlJc w:val="left"/>
      <w:pPr>
        <w:tabs>
          <w:tab w:val="num" w:pos="2370"/>
        </w:tabs>
        <w:ind w:left="2370" w:hanging="357"/>
      </w:pPr>
      <w:rPr>
        <w:rFonts w:hint="default"/>
      </w:rPr>
    </w:lvl>
    <w:lvl w:ilvl="6">
      <w:start w:val="1"/>
      <w:numFmt w:val="none"/>
      <w:lvlText w:val=""/>
      <w:lvlJc w:val="left"/>
      <w:pPr>
        <w:tabs>
          <w:tab w:val="num" w:pos="2727"/>
        </w:tabs>
        <w:ind w:left="2727" w:hanging="357"/>
      </w:pPr>
      <w:rPr>
        <w:rFonts w:hint="default"/>
      </w:rPr>
    </w:lvl>
    <w:lvl w:ilvl="7">
      <w:start w:val="1"/>
      <w:numFmt w:val="none"/>
      <w:lvlText w:val=""/>
      <w:lvlJc w:val="left"/>
      <w:pPr>
        <w:tabs>
          <w:tab w:val="num" w:pos="3085"/>
        </w:tabs>
        <w:ind w:left="3085" w:hanging="358"/>
      </w:pPr>
      <w:rPr>
        <w:rFonts w:hint="default"/>
      </w:rPr>
    </w:lvl>
    <w:lvl w:ilvl="8">
      <w:start w:val="1"/>
      <w:numFmt w:val="none"/>
      <w:lvlText w:val=""/>
      <w:lvlJc w:val="left"/>
      <w:pPr>
        <w:tabs>
          <w:tab w:val="num" w:pos="3442"/>
        </w:tabs>
        <w:ind w:left="3442" w:hanging="357"/>
      </w:pPr>
      <w:rPr>
        <w:rFonts w:hint="default"/>
      </w:rPr>
    </w:lvl>
  </w:abstractNum>
  <w:abstractNum w:abstractNumId="7" w15:restartNumberingAfterBreak="0">
    <w:nsid w:val="48134211"/>
    <w:multiLevelType w:val="multilevel"/>
    <w:tmpl w:val="F2728C18"/>
    <w:lvl w:ilvl="0">
      <w:start w:val="1"/>
      <w:numFmt w:val="decimal"/>
      <w:pStyle w:val="Appendix"/>
      <w:suff w:val="nothing"/>
      <w:lvlText w:val="Appendix %1 - "/>
      <w:lvlJc w:val="left"/>
      <w:pPr>
        <w:ind w:left="720" w:hanging="720"/>
      </w:pPr>
      <w:rPr>
        <w:rFonts w:ascii="Arial" w:hAnsi="Arial" w:hint="default"/>
        <w:b/>
        <w:i w:val="0"/>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4AD06338"/>
    <w:multiLevelType w:val="multilevel"/>
    <w:tmpl w:val="08CCF84C"/>
    <w:lvl w:ilvl="0">
      <w:start w:val="1"/>
      <w:numFmt w:val="decimal"/>
      <w:lvlRestart w:val="0"/>
      <w:pStyle w:val="VLA1"/>
      <w:lvlText w:val="%1."/>
      <w:lvlJc w:val="left"/>
      <w:pPr>
        <w:tabs>
          <w:tab w:val="num" w:pos="357"/>
        </w:tabs>
        <w:ind w:left="357" w:hanging="357"/>
      </w:pPr>
      <w:rPr>
        <w:rFonts w:ascii="Arial" w:hAnsi="Arial" w:cs="Arial" w:hint="default"/>
        <w:b w:val="0"/>
        <w:i w:val="0"/>
        <w:caps/>
        <w:smallCaps w:val="0"/>
        <w:sz w:val="21"/>
        <w:u w:val="none"/>
      </w:rPr>
    </w:lvl>
    <w:lvl w:ilvl="1">
      <w:start w:val="1"/>
      <w:numFmt w:val="lowerLetter"/>
      <w:pStyle w:val="VLA1"/>
      <w:lvlText w:val="%2."/>
      <w:lvlJc w:val="left"/>
      <w:pPr>
        <w:tabs>
          <w:tab w:val="num" w:pos="714"/>
        </w:tabs>
        <w:ind w:left="714" w:hanging="357"/>
      </w:pPr>
      <w:rPr>
        <w:rFonts w:ascii="Arial" w:hAnsi="Arial" w:cs="Arial" w:hint="default"/>
        <w:b w:val="0"/>
        <w:i w:val="0"/>
        <w:sz w:val="21"/>
        <w:u w:val="none"/>
      </w:rPr>
    </w:lvl>
    <w:lvl w:ilvl="2">
      <w:start w:val="1"/>
      <w:numFmt w:val="lowerRoman"/>
      <w:pStyle w:val="VLAi"/>
      <w:lvlText w:val="%3."/>
      <w:lvlJc w:val="left"/>
      <w:pPr>
        <w:tabs>
          <w:tab w:val="num" w:pos="1072"/>
        </w:tabs>
        <w:ind w:left="1072" w:hanging="358"/>
      </w:pPr>
      <w:rPr>
        <w:rFonts w:ascii="Arial" w:hAnsi="Arial" w:cs="Arial" w:hint="default"/>
        <w:b w:val="0"/>
        <w:i w:val="0"/>
        <w:sz w:val="21"/>
        <w:u w:val="none"/>
      </w:rPr>
    </w:lvl>
    <w:lvl w:ilvl="3">
      <w:start w:val="1"/>
      <w:numFmt w:val="none"/>
      <w:lvlText w:val=""/>
      <w:lvlJc w:val="left"/>
      <w:pPr>
        <w:tabs>
          <w:tab w:val="num" w:pos="1429"/>
        </w:tabs>
        <w:ind w:left="1429" w:hanging="357"/>
      </w:pPr>
      <w:rPr>
        <w:rFonts w:ascii="Arial" w:hAnsi="Arial" w:cs="Arial" w:hint="default"/>
        <w:b w:val="0"/>
        <w:i w:val="0"/>
        <w:sz w:val="22"/>
        <w:u w:val="none"/>
      </w:rPr>
    </w:lvl>
    <w:lvl w:ilvl="4">
      <w:start w:val="1"/>
      <w:numFmt w:val="none"/>
      <w:lvlText w:val=""/>
      <w:lvlJc w:val="left"/>
      <w:pPr>
        <w:tabs>
          <w:tab w:val="num" w:pos="1786"/>
        </w:tabs>
        <w:ind w:left="1786" w:hanging="357"/>
      </w:pPr>
      <w:rPr>
        <w:rFonts w:ascii="Arial" w:hAnsi="Arial" w:cs="Arial" w:hint="default"/>
        <w:b w:val="0"/>
        <w:i w:val="0"/>
        <w:sz w:val="22"/>
        <w:u w:val="none"/>
      </w:rPr>
    </w:lvl>
    <w:lvl w:ilvl="5">
      <w:start w:val="1"/>
      <w:numFmt w:val="none"/>
      <w:lvlText w:val=""/>
      <w:lvlJc w:val="left"/>
      <w:pPr>
        <w:tabs>
          <w:tab w:val="num" w:pos="2143"/>
        </w:tabs>
        <w:ind w:left="2143" w:hanging="357"/>
      </w:pPr>
      <w:rPr>
        <w:rFonts w:ascii="Arial" w:hAnsi="Arial" w:cs="Arial" w:hint="default"/>
        <w:b w:val="0"/>
        <w:i w:val="0"/>
        <w:sz w:val="22"/>
        <w:u w:val="none"/>
      </w:rPr>
    </w:lvl>
    <w:lvl w:ilvl="6">
      <w:start w:val="1"/>
      <w:numFmt w:val="none"/>
      <w:lvlText w:val=""/>
      <w:lvlJc w:val="left"/>
      <w:pPr>
        <w:tabs>
          <w:tab w:val="num" w:pos="2500"/>
        </w:tabs>
        <w:ind w:left="2500" w:hanging="357"/>
      </w:pPr>
      <w:rPr>
        <w:rFonts w:ascii="Arial" w:hAnsi="Arial" w:cs="Arial" w:hint="default"/>
        <w:b w:val="0"/>
        <w:i w:val="0"/>
        <w:sz w:val="22"/>
        <w:u w:val="none"/>
      </w:rPr>
    </w:lvl>
    <w:lvl w:ilvl="7">
      <w:start w:val="1"/>
      <w:numFmt w:val="none"/>
      <w:lvlText w:val=""/>
      <w:lvlJc w:val="left"/>
      <w:pPr>
        <w:tabs>
          <w:tab w:val="num" w:pos="2858"/>
        </w:tabs>
        <w:ind w:left="2858" w:hanging="358"/>
      </w:pPr>
      <w:rPr>
        <w:rFonts w:ascii="Arial" w:hAnsi="Arial" w:cs="Arial" w:hint="default"/>
        <w:b w:val="0"/>
        <w:i w:val="0"/>
        <w:sz w:val="22"/>
        <w:u w:val="none"/>
      </w:rPr>
    </w:lvl>
    <w:lvl w:ilvl="8">
      <w:start w:val="1"/>
      <w:numFmt w:val="none"/>
      <w:suff w:val="nothing"/>
      <w:lvlText w:val=""/>
      <w:lvlJc w:val="left"/>
      <w:pPr>
        <w:ind w:left="0" w:firstLine="0"/>
      </w:pPr>
      <w:rPr>
        <w:rFonts w:ascii="Arial" w:hAnsi="Arial" w:cs="Arial" w:hint="default"/>
        <w:b w:val="0"/>
        <w:i w:val="0"/>
        <w:sz w:val="24"/>
      </w:rPr>
    </w:lvl>
  </w:abstractNum>
  <w:abstractNum w:abstractNumId="9" w15:restartNumberingAfterBreak="0">
    <w:nsid w:val="557C3AE2"/>
    <w:multiLevelType w:val="multilevel"/>
    <w:tmpl w:val="43B62B0C"/>
    <w:lvl w:ilvl="0">
      <w:start w:val="1"/>
      <w:numFmt w:val="bullet"/>
      <w:lvlText w:val=""/>
      <w:lvlJc w:val="left"/>
      <w:pPr>
        <w:tabs>
          <w:tab w:val="num" w:pos="510"/>
        </w:tabs>
        <w:ind w:left="510" w:hanging="170"/>
      </w:pPr>
      <w:rPr>
        <w:rFonts w:ascii="Symbol" w:hAnsi="Symbol" w:hint="default"/>
        <w:sz w:val="21"/>
      </w:rPr>
    </w:lvl>
    <w:lvl w:ilvl="1">
      <w:start w:val="1"/>
      <w:numFmt w:val="bullet"/>
      <w:pStyle w:val="ListBullet2"/>
      <w:lvlText w:val="o"/>
      <w:lvlJc w:val="left"/>
      <w:pPr>
        <w:tabs>
          <w:tab w:val="num" w:pos="680"/>
        </w:tabs>
        <w:ind w:left="680" w:hanging="170"/>
      </w:pPr>
      <w:rPr>
        <w:rFonts w:ascii="Courier New" w:hAnsi="Courier New" w:hint="default"/>
      </w:rPr>
    </w:lvl>
    <w:lvl w:ilvl="2">
      <w:start w:val="1"/>
      <w:numFmt w:val="bullet"/>
      <w:pStyle w:val="ListBullet3"/>
      <w:lvlText w:val=""/>
      <w:lvlJc w:val="left"/>
      <w:pPr>
        <w:tabs>
          <w:tab w:val="num" w:pos="851"/>
        </w:tabs>
        <w:ind w:left="851" w:hanging="171"/>
      </w:pPr>
      <w:rPr>
        <w:rFonts w:ascii="Wingdings" w:hAnsi="Wingdings" w:hint="default"/>
      </w:rPr>
    </w:lvl>
    <w:lvl w:ilvl="3">
      <w:start w:val="1"/>
      <w:numFmt w:val="none"/>
      <w:lvlText w:val=""/>
      <w:lvlJc w:val="left"/>
      <w:pPr>
        <w:tabs>
          <w:tab w:val="num" w:pos="1769"/>
        </w:tabs>
        <w:ind w:left="1769" w:hanging="357"/>
      </w:pPr>
      <w:rPr>
        <w:rFonts w:hint="default"/>
      </w:rPr>
    </w:lvl>
    <w:lvl w:ilvl="4">
      <w:start w:val="1"/>
      <w:numFmt w:val="none"/>
      <w:lvlText w:val=""/>
      <w:lvlJc w:val="left"/>
      <w:pPr>
        <w:tabs>
          <w:tab w:val="num" w:pos="2126"/>
        </w:tabs>
        <w:ind w:left="2126" w:hanging="357"/>
      </w:pPr>
      <w:rPr>
        <w:rFonts w:hint="default"/>
      </w:rPr>
    </w:lvl>
    <w:lvl w:ilvl="5">
      <w:start w:val="1"/>
      <w:numFmt w:val="none"/>
      <w:lvlText w:val=""/>
      <w:lvlJc w:val="left"/>
      <w:pPr>
        <w:tabs>
          <w:tab w:val="num" w:pos="2483"/>
        </w:tabs>
        <w:ind w:left="2483" w:hanging="357"/>
      </w:pPr>
      <w:rPr>
        <w:rFonts w:hint="default"/>
      </w:rPr>
    </w:lvl>
    <w:lvl w:ilvl="6">
      <w:start w:val="1"/>
      <w:numFmt w:val="none"/>
      <w:lvlText w:val=""/>
      <w:lvlJc w:val="left"/>
      <w:pPr>
        <w:tabs>
          <w:tab w:val="num" w:pos="2840"/>
        </w:tabs>
        <w:ind w:left="2840" w:hanging="357"/>
      </w:pPr>
      <w:rPr>
        <w:rFonts w:hint="default"/>
      </w:rPr>
    </w:lvl>
    <w:lvl w:ilvl="7">
      <w:start w:val="1"/>
      <w:numFmt w:val="none"/>
      <w:lvlText w:val=""/>
      <w:lvlJc w:val="left"/>
      <w:pPr>
        <w:tabs>
          <w:tab w:val="num" w:pos="3198"/>
        </w:tabs>
        <w:ind w:left="3198" w:hanging="358"/>
      </w:pPr>
      <w:rPr>
        <w:rFonts w:hint="default"/>
      </w:rPr>
    </w:lvl>
    <w:lvl w:ilvl="8">
      <w:start w:val="1"/>
      <w:numFmt w:val="none"/>
      <w:lvlText w:val=""/>
      <w:lvlJc w:val="left"/>
      <w:pPr>
        <w:tabs>
          <w:tab w:val="num" w:pos="3555"/>
        </w:tabs>
        <w:ind w:left="3555" w:hanging="357"/>
      </w:pPr>
      <w:rPr>
        <w:rFonts w:hint="default"/>
      </w:rPr>
    </w:lvl>
  </w:abstractNum>
  <w:num w:numId="1" w16cid:durableId="1579708678">
    <w:abstractNumId w:val="7"/>
  </w:num>
  <w:num w:numId="2" w16cid:durableId="1268738646">
    <w:abstractNumId w:val="6"/>
  </w:num>
  <w:num w:numId="3" w16cid:durableId="1372077687">
    <w:abstractNumId w:val="9"/>
  </w:num>
  <w:num w:numId="4" w16cid:durableId="27488770">
    <w:abstractNumId w:val="8"/>
  </w:num>
  <w:num w:numId="5" w16cid:durableId="1131703718">
    <w:abstractNumId w:val="5"/>
  </w:num>
  <w:num w:numId="6" w16cid:durableId="1545750975">
    <w:abstractNumId w:val="3"/>
  </w:num>
  <w:num w:numId="7" w16cid:durableId="1523591478">
    <w:abstractNumId w:val="2"/>
  </w:num>
  <w:num w:numId="8" w16cid:durableId="1381367895">
    <w:abstractNumId w:val="1"/>
  </w:num>
  <w:num w:numId="9" w16cid:durableId="1431438427">
    <w:abstractNumId w:val="0"/>
  </w:num>
  <w:num w:numId="10" w16cid:durableId="988753297">
    <w:abstractNumId w:val="4"/>
  </w:num>
  <w:num w:numId="11" w16cid:durableId="1622607135">
    <w:abstractNumId w:val="5"/>
    <w:lvlOverride w:ilvl="0">
      <w:startOverride w:val="1"/>
    </w:lvlOverride>
  </w:num>
  <w:num w:numId="12" w16cid:durableId="224217355">
    <w:abstractNumId w:val="5"/>
    <w:lvlOverride w:ilvl="0">
      <w:startOverride w:val="1"/>
    </w:lvlOverride>
  </w:num>
  <w:num w:numId="13" w16cid:durableId="1704473133">
    <w:abstractNumId w:val="5"/>
    <w:lvlOverride w:ilvl="0">
      <w:startOverride w:val="1"/>
    </w:lvlOverride>
  </w:num>
  <w:num w:numId="14" w16cid:durableId="60835448">
    <w:abstractNumId w:val="5"/>
    <w:lvlOverride w:ilvl="0">
      <w:startOverride w:val="1"/>
    </w:lvlOverride>
  </w:num>
  <w:num w:numId="15" w16cid:durableId="1433745419">
    <w:abstractNumId w:val="5"/>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defaultTabStop w:val="720"/>
  <w:drawingGridHorizontalSpacing w:val="11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PubVPasteboard_" w:val="1"/>
    <w:docVar w:name="OpenInPublishingView" w:val="0"/>
  </w:docVars>
  <w:rsids>
    <w:rsidRoot w:val="000E6C7E"/>
    <w:rsid w:val="000078CE"/>
    <w:rsid w:val="000360EC"/>
    <w:rsid w:val="00040F0B"/>
    <w:rsid w:val="00057FDC"/>
    <w:rsid w:val="000759A6"/>
    <w:rsid w:val="00091432"/>
    <w:rsid w:val="00091AFC"/>
    <w:rsid w:val="00094FE1"/>
    <w:rsid w:val="000A1C94"/>
    <w:rsid w:val="000C6955"/>
    <w:rsid w:val="000E1BEB"/>
    <w:rsid w:val="000E6C7E"/>
    <w:rsid w:val="00151B7E"/>
    <w:rsid w:val="0015359B"/>
    <w:rsid w:val="00160C7E"/>
    <w:rsid w:val="00181303"/>
    <w:rsid w:val="001A2999"/>
    <w:rsid w:val="0021722B"/>
    <w:rsid w:val="002B73A4"/>
    <w:rsid w:val="002C3915"/>
    <w:rsid w:val="002F7860"/>
    <w:rsid w:val="00306C10"/>
    <w:rsid w:val="00310DD1"/>
    <w:rsid w:val="00315C03"/>
    <w:rsid w:val="003224F8"/>
    <w:rsid w:val="003315F4"/>
    <w:rsid w:val="00360994"/>
    <w:rsid w:val="003655D7"/>
    <w:rsid w:val="0037081E"/>
    <w:rsid w:val="003F16F1"/>
    <w:rsid w:val="00402557"/>
    <w:rsid w:val="004158B6"/>
    <w:rsid w:val="00427C16"/>
    <w:rsid w:val="004421BD"/>
    <w:rsid w:val="00443649"/>
    <w:rsid w:val="004707EF"/>
    <w:rsid w:val="004C75B1"/>
    <w:rsid w:val="004D7100"/>
    <w:rsid w:val="00504F13"/>
    <w:rsid w:val="005317C2"/>
    <w:rsid w:val="00545F44"/>
    <w:rsid w:val="00546C0D"/>
    <w:rsid w:val="005B1640"/>
    <w:rsid w:val="005B3D02"/>
    <w:rsid w:val="005C1DFD"/>
    <w:rsid w:val="005D19C7"/>
    <w:rsid w:val="005D4A19"/>
    <w:rsid w:val="005D5C9C"/>
    <w:rsid w:val="005E19C4"/>
    <w:rsid w:val="0066019E"/>
    <w:rsid w:val="006764E3"/>
    <w:rsid w:val="00680746"/>
    <w:rsid w:val="006A00A7"/>
    <w:rsid w:val="006A6FC6"/>
    <w:rsid w:val="006B35B8"/>
    <w:rsid w:val="006B3F5E"/>
    <w:rsid w:val="006B612D"/>
    <w:rsid w:val="006B6E7E"/>
    <w:rsid w:val="006F181A"/>
    <w:rsid w:val="006F2D6F"/>
    <w:rsid w:val="00714549"/>
    <w:rsid w:val="00724661"/>
    <w:rsid w:val="00736A55"/>
    <w:rsid w:val="00781FFA"/>
    <w:rsid w:val="0078739B"/>
    <w:rsid w:val="007B0612"/>
    <w:rsid w:val="007D5BA7"/>
    <w:rsid w:val="008074B3"/>
    <w:rsid w:val="0082595B"/>
    <w:rsid w:val="00833658"/>
    <w:rsid w:val="00847377"/>
    <w:rsid w:val="00856DA8"/>
    <w:rsid w:val="008636E1"/>
    <w:rsid w:val="008958CB"/>
    <w:rsid w:val="00896E60"/>
    <w:rsid w:val="008A1A69"/>
    <w:rsid w:val="008A1C9A"/>
    <w:rsid w:val="008A1E5F"/>
    <w:rsid w:val="008B2419"/>
    <w:rsid w:val="008C1EB1"/>
    <w:rsid w:val="008C388A"/>
    <w:rsid w:val="008F4DC6"/>
    <w:rsid w:val="00940793"/>
    <w:rsid w:val="0099270D"/>
    <w:rsid w:val="009A74F1"/>
    <w:rsid w:val="009B0D09"/>
    <w:rsid w:val="009B59BF"/>
    <w:rsid w:val="009D539D"/>
    <w:rsid w:val="009E1AC3"/>
    <w:rsid w:val="009F0AA0"/>
    <w:rsid w:val="00A11120"/>
    <w:rsid w:val="00A14AFB"/>
    <w:rsid w:val="00A4395A"/>
    <w:rsid w:val="00A46994"/>
    <w:rsid w:val="00A52F29"/>
    <w:rsid w:val="00A9128C"/>
    <w:rsid w:val="00A93509"/>
    <w:rsid w:val="00AB5376"/>
    <w:rsid w:val="00AC3D95"/>
    <w:rsid w:val="00AC7582"/>
    <w:rsid w:val="00AF7A5D"/>
    <w:rsid w:val="00B044A6"/>
    <w:rsid w:val="00B6049A"/>
    <w:rsid w:val="00B85795"/>
    <w:rsid w:val="00BB122F"/>
    <w:rsid w:val="00BD3873"/>
    <w:rsid w:val="00BE36EB"/>
    <w:rsid w:val="00C16B80"/>
    <w:rsid w:val="00C23872"/>
    <w:rsid w:val="00C33AEF"/>
    <w:rsid w:val="00C415B1"/>
    <w:rsid w:val="00C61CB5"/>
    <w:rsid w:val="00C64A61"/>
    <w:rsid w:val="00C76176"/>
    <w:rsid w:val="00C81372"/>
    <w:rsid w:val="00C84D28"/>
    <w:rsid w:val="00CB3FD3"/>
    <w:rsid w:val="00CB48F9"/>
    <w:rsid w:val="00CC0626"/>
    <w:rsid w:val="00CC216F"/>
    <w:rsid w:val="00CF2D05"/>
    <w:rsid w:val="00D15988"/>
    <w:rsid w:val="00D30B8E"/>
    <w:rsid w:val="00D75C29"/>
    <w:rsid w:val="00D82005"/>
    <w:rsid w:val="00DB07C5"/>
    <w:rsid w:val="00DC01DC"/>
    <w:rsid w:val="00DD5EE1"/>
    <w:rsid w:val="00DE037E"/>
    <w:rsid w:val="00DE3C33"/>
    <w:rsid w:val="00E865F8"/>
    <w:rsid w:val="00E92D5D"/>
    <w:rsid w:val="00EF4FC5"/>
    <w:rsid w:val="00EF7C5C"/>
    <w:rsid w:val="00F0005B"/>
    <w:rsid w:val="00F14EC8"/>
    <w:rsid w:val="00F63972"/>
    <w:rsid w:val="00F77E0F"/>
    <w:rsid w:val="00F825B6"/>
    <w:rsid w:val="00FB3760"/>
    <w:rsid w:val="00FC3FAF"/>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B6F0A55"/>
  <w15:docId w15:val="{1E55B1B4-EA30-49DD-818E-2741A817F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ngs" w:hAnsi="Cambria" w:cs="Times New Roman"/>
        <w:lang w:val="en-AU"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qFormat="1"/>
    <w:lsdException w:name="heading 8" w:locked="1" w:qFormat="1"/>
    <w:lsdException w:name="heading 9" w:locked="1" w:qFormat="1"/>
    <w:lsdException w:name="index 1"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locked="1"/>
    <w:lsdException w:name="Placeholder Text" w:semiHidden="1" w:uiPriority="67" w:unhideWhenUsed="1"/>
    <w:lsdException w:name="No Spacing" w:semiHidden="1" w:uiPriority="68" w:unhideWhenUsed="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semiHidden="1" w:uiPriority="34" w:unhideWhenUsed="1" w:qFormat="1"/>
    <w:lsdException w:name="Quote" w:semiHidden="1" w:uiPriority="73" w:unhideWhenUsed="1"/>
    <w:lsdException w:name="Intense Quote" w:semiHidden="1" w:uiPriority="60" w:unhideWhenUsed="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E6C7E"/>
    <w:pPr>
      <w:spacing w:after="120" w:line="300" w:lineRule="atLeast"/>
    </w:pPr>
    <w:rPr>
      <w:rFonts w:ascii="Arial" w:eastAsia="Times New Roman" w:hAnsi="Arial"/>
      <w:sz w:val="22"/>
      <w:szCs w:val="24"/>
    </w:rPr>
  </w:style>
  <w:style w:type="paragraph" w:styleId="Heading1">
    <w:name w:val="heading 1"/>
    <w:next w:val="Normal"/>
    <w:qFormat/>
    <w:rsid w:val="0015359B"/>
    <w:pPr>
      <w:keepNext/>
      <w:spacing w:before="240" w:after="120" w:line="300" w:lineRule="atLeast"/>
      <w:outlineLvl w:val="0"/>
    </w:pPr>
    <w:rPr>
      <w:rFonts w:ascii="Arial" w:eastAsia="Times New Roman" w:hAnsi="Arial" w:cs="Arial"/>
      <w:b/>
      <w:bCs/>
      <w:color w:val="971A4B"/>
      <w:kern w:val="32"/>
      <w:sz w:val="32"/>
      <w:szCs w:val="32"/>
      <w:lang w:eastAsia="en-AU"/>
    </w:rPr>
  </w:style>
  <w:style w:type="paragraph" w:styleId="Heading2">
    <w:name w:val="heading 2"/>
    <w:next w:val="Normal"/>
    <w:qFormat/>
    <w:rsid w:val="0015359B"/>
    <w:pPr>
      <w:keepNext/>
      <w:spacing w:before="240" w:after="120" w:line="300" w:lineRule="atLeast"/>
      <w:outlineLvl w:val="1"/>
    </w:pPr>
    <w:rPr>
      <w:rFonts w:ascii="Arial" w:eastAsia="Times New Roman" w:hAnsi="Arial" w:cs="Arial"/>
      <w:b/>
      <w:bCs/>
      <w:iCs/>
      <w:color w:val="971A4B"/>
      <w:sz w:val="28"/>
      <w:szCs w:val="28"/>
      <w:lang w:eastAsia="en-AU"/>
    </w:rPr>
  </w:style>
  <w:style w:type="paragraph" w:styleId="Heading3">
    <w:name w:val="heading 3"/>
    <w:next w:val="Normal"/>
    <w:qFormat/>
    <w:rsid w:val="00DB07C5"/>
    <w:pPr>
      <w:keepNext/>
      <w:spacing w:before="240" w:after="120" w:line="300" w:lineRule="atLeast"/>
      <w:outlineLvl w:val="2"/>
    </w:pPr>
    <w:rPr>
      <w:rFonts w:ascii="Arial" w:eastAsia="Times New Roman" w:hAnsi="Arial" w:cs="Arial"/>
      <w:b/>
      <w:bCs/>
      <w:sz w:val="26"/>
      <w:szCs w:val="26"/>
      <w:lang w:eastAsia="en-AU"/>
    </w:rPr>
  </w:style>
  <w:style w:type="paragraph" w:styleId="Heading4">
    <w:name w:val="heading 4"/>
    <w:basedOn w:val="Heading3"/>
    <w:qFormat/>
    <w:rsid w:val="00DB07C5"/>
    <w:pPr>
      <w:outlineLvl w:val="3"/>
    </w:pPr>
    <w:rPr>
      <w:sz w:val="24"/>
      <w:szCs w:val="24"/>
    </w:rPr>
  </w:style>
  <w:style w:type="paragraph" w:styleId="Heading5">
    <w:name w:val="heading 5"/>
    <w:basedOn w:val="Normal"/>
    <w:qFormat/>
    <w:locked/>
    <w:rsid w:val="00DB07C5"/>
    <w:pPr>
      <w:spacing w:before="240"/>
      <w:outlineLvl w:val="4"/>
    </w:pPr>
    <w:rPr>
      <w:b/>
    </w:rPr>
  </w:style>
  <w:style w:type="paragraph" w:styleId="Heading6">
    <w:name w:val="heading 6"/>
    <w:basedOn w:val="Heading5"/>
    <w:next w:val="Normal"/>
    <w:link w:val="Heading6Char"/>
    <w:qFormat/>
    <w:locked/>
    <w:rsid w:val="00DB07C5"/>
    <w:pPr>
      <w:outlineLvl w:val="5"/>
    </w:pPr>
  </w:style>
  <w:style w:type="paragraph" w:styleId="Heading7">
    <w:name w:val="heading 7"/>
    <w:basedOn w:val="Heading6"/>
    <w:next w:val="Normal"/>
    <w:qFormat/>
    <w:locked/>
    <w:rsid w:val="00DB07C5"/>
    <w:pPr>
      <w:outlineLvl w:val="6"/>
    </w:pPr>
  </w:style>
  <w:style w:type="paragraph" w:styleId="Heading8">
    <w:name w:val="heading 8"/>
    <w:basedOn w:val="Heading7"/>
    <w:next w:val="Normal"/>
    <w:qFormat/>
    <w:locked/>
    <w:rsid w:val="00DB07C5"/>
    <w:pPr>
      <w:outlineLvl w:val="7"/>
    </w:pPr>
  </w:style>
  <w:style w:type="paragraph" w:styleId="Heading9">
    <w:name w:val="heading 9"/>
    <w:basedOn w:val="Heading8"/>
    <w:next w:val="Normal"/>
    <w:qFormat/>
    <w:locked/>
    <w:rsid w:val="00DB07C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link w:val="Heading6"/>
    <w:rsid w:val="0082595B"/>
    <w:rPr>
      <w:rFonts w:ascii="Arial" w:eastAsia="Times New Roman" w:hAnsi="Arial"/>
      <w:b/>
      <w:sz w:val="22"/>
      <w:szCs w:val="24"/>
      <w:lang w:eastAsia="en-US"/>
    </w:rPr>
  </w:style>
  <w:style w:type="paragraph" w:styleId="Header">
    <w:name w:val="header"/>
    <w:rsid w:val="00DB07C5"/>
    <w:pPr>
      <w:pBdr>
        <w:bottom w:val="single" w:sz="4" w:space="1" w:color="B1005D"/>
      </w:pBdr>
      <w:tabs>
        <w:tab w:val="center" w:pos="4604"/>
        <w:tab w:val="right" w:pos="9214"/>
      </w:tabs>
      <w:spacing w:line="240" w:lineRule="atLeast"/>
    </w:pPr>
    <w:rPr>
      <w:rFonts w:ascii="Arial" w:eastAsia="Times New Roman" w:hAnsi="Arial"/>
      <w:sz w:val="22"/>
      <w:szCs w:val="24"/>
    </w:rPr>
  </w:style>
  <w:style w:type="paragraph" w:styleId="TOC1">
    <w:name w:val="toc 1"/>
    <w:next w:val="Normal"/>
    <w:locked/>
    <w:rsid w:val="00DB07C5"/>
    <w:pPr>
      <w:tabs>
        <w:tab w:val="right" w:leader="dot" w:pos="9790"/>
      </w:tabs>
      <w:spacing w:before="60" w:after="60"/>
      <w:ind w:left="567" w:right="760" w:hanging="567"/>
    </w:pPr>
    <w:rPr>
      <w:rFonts w:ascii="Arial" w:eastAsia="Times New Roman" w:hAnsi="Arial"/>
      <w:b/>
      <w:szCs w:val="24"/>
    </w:rPr>
  </w:style>
  <w:style w:type="paragraph" w:styleId="ListBullet">
    <w:name w:val="List Bullet"/>
    <w:rsid w:val="00AC7582"/>
    <w:pPr>
      <w:numPr>
        <w:numId w:val="2"/>
      </w:numPr>
      <w:spacing w:after="120" w:line="300" w:lineRule="atLeast"/>
      <w:ind w:hanging="397"/>
    </w:pPr>
    <w:rPr>
      <w:rFonts w:ascii="Arial" w:eastAsia="Times New Roman" w:hAnsi="Arial"/>
      <w:sz w:val="22"/>
      <w:szCs w:val="24"/>
    </w:rPr>
  </w:style>
  <w:style w:type="paragraph" w:styleId="Footer">
    <w:name w:val="footer"/>
    <w:basedOn w:val="Normal"/>
    <w:rsid w:val="00DB07C5"/>
    <w:pPr>
      <w:tabs>
        <w:tab w:val="center" w:pos="4153"/>
        <w:tab w:val="right" w:pos="8306"/>
      </w:tabs>
    </w:pPr>
  </w:style>
  <w:style w:type="paragraph" w:styleId="ListBullet2">
    <w:name w:val="List Bullet 2"/>
    <w:rsid w:val="00DB07C5"/>
    <w:pPr>
      <w:numPr>
        <w:ilvl w:val="1"/>
        <w:numId w:val="3"/>
      </w:numPr>
      <w:spacing w:after="120" w:line="300" w:lineRule="atLeast"/>
    </w:pPr>
    <w:rPr>
      <w:rFonts w:ascii="Arial" w:eastAsia="Times New Roman" w:hAnsi="Arial"/>
      <w:sz w:val="22"/>
      <w:szCs w:val="24"/>
    </w:rPr>
  </w:style>
  <w:style w:type="character" w:styleId="PageNumber">
    <w:name w:val="page number"/>
    <w:semiHidden/>
    <w:rsid w:val="00DB07C5"/>
    <w:rPr>
      <w:rFonts w:ascii="Arial" w:hAnsi="Arial"/>
      <w:sz w:val="18"/>
    </w:rPr>
  </w:style>
  <w:style w:type="paragraph" w:styleId="ListBullet3">
    <w:name w:val="List Bullet 3"/>
    <w:rsid w:val="00DB07C5"/>
    <w:pPr>
      <w:numPr>
        <w:ilvl w:val="2"/>
        <w:numId w:val="3"/>
      </w:numPr>
      <w:spacing w:after="120" w:line="300" w:lineRule="atLeast"/>
    </w:pPr>
    <w:rPr>
      <w:rFonts w:ascii="Arial" w:eastAsia="Times New Roman" w:hAnsi="Arial"/>
      <w:sz w:val="22"/>
      <w:szCs w:val="24"/>
    </w:rPr>
  </w:style>
  <w:style w:type="character" w:styleId="FootnoteReference">
    <w:name w:val="footnote reference"/>
    <w:rsid w:val="00DB07C5"/>
    <w:rPr>
      <w:rFonts w:ascii="Arial" w:hAnsi="Arial"/>
      <w:sz w:val="18"/>
      <w:vertAlign w:val="superscript"/>
    </w:rPr>
  </w:style>
  <w:style w:type="paragraph" w:styleId="FootnoteText">
    <w:name w:val="footnote text"/>
    <w:basedOn w:val="Normal"/>
    <w:rsid w:val="00DB07C5"/>
    <w:pPr>
      <w:ind w:left="284" w:hanging="284"/>
    </w:pPr>
    <w:rPr>
      <w:sz w:val="18"/>
      <w:szCs w:val="20"/>
    </w:rPr>
  </w:style>
  <w:style w:type="paragraph" w:customStyle="1" w:styleId="AppendixH1">
    <w:name w:val="Appendix H1"/>
    <w:next w:val="Normal"/>
    <w:rsid w:val="0015359B"/>
    <w:pPr>
      <w:spacing w:before="240" w:after="240" w:line="300" w:lineRule="atLeast"/>
    </w:pPr>
    <w:rPr>
      <w:rFonts w:ascii="Arial" w:eastAsia="Times New Roman" w:hAnsi="Arial" w:cs="Arial"/>
      <w:b/>
      <w:bCs/>
      <w:color w:val="971A4B"/>
      <w:kern w:val="32"/>
      <w:sz w:val="28"/>
      <w:szCs w:val="26"/>
      <w:lang w:eastAsia="en-AU"/>
    </w:rPr>
  </w:style>
  <w:style w:type="paragraph" w:customStyle="1" w:styleId="VLAi">
    <w:name w:val="VLA i."/>
    <w:aliases w:val="ii.,iii."/>
    <w:rsid w:val="00DB07C5"/>
    <w:pPr>
      <w:numPr>
        <w:ilvl w:val="2"/>
        <w:numId w:val="4"/>
      </w:numPr>
      <w:spacing w:after="120" w:line="300" w:lineRule="atLeast"/>
    </w:pPr>
    <w:rPr>
      <w:rFonts w:ascii="Arial" w:eastAsia="Times New Roman" w:hAnsi="Arial"/>
      <w:sz w:val="22"/>
      <w:szCs w:val="24"/>
    </w:rPr>
  </w:style>
  <w:style w:type="paragraph" w:customStyle="1" w:styleId="VLApicture">
    <w:name w:val="VLA picture"/>
    <w:next w:val="Normal"/>
    <w:rsid w:val="00DB07C5"/>
    <w:pPr>
      <w:spacing w:after="120" w:line="300" w:lineRule="atLeast"/>
    </w:pPr>
    <w:rPr>
      <w:rFonts w:ascii="Arial" w:eastAsia="Times New Roman" w:hAnsi="Arial"/>
      <w:sz w:val="22"/>
      <w:szCs w:val="24"/>
    </w:rPr>
  </w:style>
  <w:style w:type="paragraph" w:customStyle="1" w:styleId="VLAcaption">
    <w:name w:val="VLA caption"/>
    <w:basedOn w:val="Normal"/>
    <w:next w:val="Normal"/>
    <w:rsid w:val="00DB07C5"/>
    <w:rPr>
      <w:i/>
      <w:sz w:val="20"/>
    </w:rPr>
  </w:style>
  <w:style w:type="paragraph" w:customStyle="1" w:styleId="VLAquotation">
    <w:name w:val="VLA quotation"/>
    <w:basedOn w:val="VLApicture"/>
    <w:rsid w:val="00DB07C5"/>
    <w:pPr>
      <w:ind w:left="720"/>
    </w:pPr>
    <w:rPr>
      <w:i/>
    </w:rPr>
  </w:style>
  <w:style w:type="paragraph" w:customStyle="1" w:styleId="VLA1">
    <w:name w:val="VLA 1."/>
    <w:aliases w:val="2.,3."/>
    <w:rsid w:val="00DB07C5"/>
    <w:pPr>
      <w:numPr>
        <w:numId w:val="4"/>
      </w:numPr>
      <w:spacing w:after="120" w:line="300" w:lineRule="atLeast"/>
    </w:pPr>
    <w:rPr>
      <w:rFonts w:ascii="Arial" w:eastAsia="Times New Roman" w:hAnsi="Arial"/>
      <w:sz w:val="22"/>
      <w:szCs w:val="24"/>
    </w:rPr>
  </w:style>
  <w:style w:type="paragraph" w:customStyle="1" w:styleId="VLAa">
    <w:name w:val="VLA a."/>
    <w:aliases w:val="b.,c."/>
    <w:rsid w:val="00DB07C5"/>
    <w:pPr>
      <w:tabs>
        <w:tab w:val="num" w:pos="714"/>
      </w:tabs>
      <w:spacing w:after="120" w:line="300" w:lineRule="atLeast"/>
      <w:ind w:left="714" w:hanging="357"/>
    </w:pPr>
    <w:rPr>
      <w:rFonts w:ascii="Arial" w:eastAsia="Times New Roman" w:hAnsi="Arial"/>
      <w:sz w:val="22"/>
      <w:szCs w:val="24"/>
    </w:rPr>
  </w:style>
  <w:style w:type="paragraph" w:customStyle="1" w:styleId="Confidentialityclause">
    <w:name w:val="Confidentiality clause"/>
    <w:rsid w:val="00DB07C5"/>
    <w:pPr>
      <w:spacing w:after="120"/>
    </w:pPr>
    <w:rPr>
      <w:rFonts w:ascii="Arial" w:eastAsia="Times New Roman" w:hAnsi="Arial"/>
      <w:bCs/>
      <w:kern w:val="28"/>
      <w:sz w:val="18"/>
    </w:rPr>
  </w:style>
  <w:style w:type="character" w:styleId="Hyperlink">
    <w:name w:val="Hyperlink"/>
    <w:rsid w:val="00DB07C5"/>
    <w:rPr>
      <w:rFonts w:ascii="Arial" w:hAnsi="Arial"/>
      <w:color w:val="0000FF"/>
      <w:u w:val="single"/>
      <w:lang w:val="en-AU"/>
    </w:rPr>
  </w:style>
  <w:style w:type="paragraph" w:styleId="ListBullet4">
    <w:name w:val="List Bullet 4"/>
    <w:basedOn w:val="Normal"/>
    <w:semiHidden/>
    <w:rsid w:val="00DB07C5"/>
    <w:pPr>
      <w:spacing w:after="80"/>
    </w:pPr>
  </w:style>
  <w:style w:type="character" w:styleId="Strong">
    <w:name w:val="Strong"/>
    <w:qFormat/>
    <w:locked/>
    <w:rsid w:val="00DB07C5"/>
    <w:rPr>
      <w:b/>
      <w:bCs/>
    </w:rPr>
  </w:style>
  <w:style w:type="table" w:styleId="TableGrid">
    <w:name w:val="Table Grid"/>
    <w:basedOn w:val="TableNormal"/>
    <w:locked/>
    <w:rsid w:val="00DB07C5"/>
    <w:pPr>
      <w:spacing w:before="60" w:after="60" w:line="240" w:lineRule="atLeast"/>
    </w:pPr>
    <w:rPr>
      <w:rFonts w:ascii="Arial" w:eastAsia="Times New Roman"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locked/>
    <w:rsid w:val="00DB07C5"/>
    <w:pPr>
      <w:tabs>
        <w:tab w:val="right" w:leader="dot" w:pos="9790"/>
      </w:tabs>
      <w:spacing w:before="60" w:after="60"/>
      <w:ind w:left="330" w:right="650"/>
    </w:pPr>
    <w:rPr>
      <w:noProof/>
      <w:sz w:val="20"/>
    </w:rPr>
  </w:style>
  <w:style w:type="paragraph" w:styleId="TOC3">
    <w:name w:val="toc 3"/>
    <w:basedOn w:val="Normal"/>
    <w:next w:val="Normal"/>
    <w:locked/>
    <w:rsid w:val="00DB07C5"/>
    <w:pPr>
      <w:tabs>
        <w:tab w:val="right" w:leader="dot" w:pos="9790"/>
      </w:tabs>
      <w:spacing w:before="60" w:after="60"/>
      <w:ind w:left="550" w:right="760"/>
    </w:pPr>
    <w:rPr>
      <w:noProof/>
      <w:sz w:val="20"/>
    </w:rPr>
  </w:style>
  <w:style w:type="paragraph" w:customStyle="1" w:styleId="VLAdefinition">
    <w:name w:val="VLA definition"/>
    <w:basedOn w:val="Normal"/>
    <w:rsid w:val="00DB07C5"/>
    <w:pPr>
      <w:tabs>
        <w:tab w:val="left" w:pos="2268"/>
      </w:tabs>
      <w:spacing w:before="60"/>
      <w:ind w:left="2268" w:hanging="2268"/>
    </w:pPr>
    <w:rPr>
      <w:szCs w:val="22"/>
    </w:rPr>
  </w:style>
  <w:style w:type="paragraph" w:customStyle="1" w:styleId="VLADocumentText">
    <w:name w:val="VLA Document Text"/>
    <w:rsid w:val="000759A6"/>
    <w:pPr>
      <w:spacing w:after="120" w:line="300" w:lineRule="atLeast"/>
    </w:pPr>
    <w:rPr>
      <w:rFonts w:ascii="Arial" w:eastAsia="Times New Roman" w:hAnsi="Arial"/>
      <w:sz w:val="22"/>
      <w:szCs w:val="24"/>
    </w:rPr>
  </w:style>
  <w:style w:type="character" w:customStyle="1" w:styleId="VLAHiddenText">
    <w:name w:val="VLA Hidden Text"/>
    <w:rsid w:val="000759A6"/>
    <w:rPr>
      <w:rFonts w:ascii="Arial" w:hAnsi="Arial"/>
      <w:vanish/>
      <w:color w:val="3366FF"/>
    </w:rPr>
  </w:style>
  <w:style w:type="paragraph" w:customStyle="1" w:styleId="VLALetterHeading">
    <w:name w:val="VLA Letter Heading"/>
    <w:next w:val="Normal"/>
    <w:rsid w:val="000759A6"/>
    <w:pPr>
      <w:keepNext/>
      <w:spacing w:after="200" w:line="300" w:lineRule="atLeast"/>
    </w:pPr>
    <w:rPr>
      <w:rFonts w:ascii="Arial" w:eastAsia="Times New Roman" w:hAnsi="Arial"/>
      <w:b/>
      <w:sz w:val="22"/>
      <w:szCs w:val="24"/>
    </w:rPr>
  </w:style>
  <w:style w:type="paragraph" w:customStyle="1" w:styleId="VLALetterText">
    <w:name w:val="VLA Letter Text"/>
    <w:rsid w:val="000759A6"/>
    <w:pPr>
      <w:spacing w:after="120" w:line="300" w:lineRule="atLeast"/>
    </w:pPr>
    <w:rPr>
      <w:rFonts w:ascii="Arial" w:eastAsia="Times New Roman" w:hAnsi="Arial"/>
      <w:sz w:val="22"/>
      <w:szCs w:val="24"/>
    </w:rPr>
  </w:style>
  <w:style w:type="paragraph" w:customStyle="1" w:styleId="VLAProgram">
    <w:name w:val="VLA Program"/>
    <w:basedOn w:val="Header"/>
    <w:next w:val="Normal"/>
    <w:rsid w:val="0015359B"/>
    <w:pPr>
      <w:tabs>
        <w:tab w:val="clear" w:pos="4604"/>
        <w:tab w:val="clear" w:pos="9214"/>
      </w:tabs>
      <w:spacing w:before="120" w:after="120"/>
      <w:ind w:left="-329" w:right="-816"/>
    </w:pPr>
    <w:rPr>
      <w:b/>
      <w:color w:val="FFFFFF"/>
      <w:sz w:val="18"/>
      <w:szCs w:val="18"/>
    </w:rPr>
  </w:style>
  <w:style w:type="paragraph" w:customStyle="1" w:styleId="VLAPublicationdate">
    <w:name w:val="VLA Publication date"/>
    <w:basedOn w:val="Normal"/>
    <w:next w:val="Normal"/>
    <w:rsid w:val="00833658"/>
    <w:pPr>
      <w:spacing w:before="120" w:after="960" w:line="240" w:lineRule="auto"/>
      <w:ind w:left="-329"/>
    </w:pPr>
    <w:rPr>
      <w:color w:val="FFFFFF"/>
      <w:sz w:val="18"/>
      <w:szCs w:val="18"/>
    </w:rPr>
  </w:style>
  <w:style w:type="paragraph" w:customStyle="1" w:styleId="AppendixH2">
    <w:name w:val="Appendix H2"/>
    <w:next w:val="Normal"/>
    <w:rsid w:val="0015359B"/>
    <w:pPr>
      <w:spacing w:before="160" w:after="40" w:line="300" w:lineRule="atLeast"/>
    </w:pPr>
    <w:rPr>
      <w:rFonts w:ascii="Arial" w:eastAsia="Times New Roman" w:hAnsi="Arial" w:cs="Arial"/>
      <w:b/>
      <w:bCs/>
      <w:iCs/>
      <w:color w:val="971A4B"/>
      <w:sz w:val="26"/>
      <w:szCs w:val="28"/>
      <w:lang w:eastAsia="en-AU"/>
    </w:rPr>
  </w:style>
  <w:style w:type="paragraph" w:customStyle="1" w:styleId="AppendixH3">
    <w:name w:val="Appendix H3"/>
    <w:next w:val="Normal"/>
    <w:rsid w:val="00DB07C5"/>
    <w:pPr>
      <w:spacing w:before="120" w:after="40" w:line="300" w:lineRule="atLeast"/>
    </w:pPr>
    <w:rPr>
      <w:rFonts w:ascii="Arial" w:eastAsia="Times New Roman" w:hAnsi="Arial" w:cs="Arial"/>
      <w:b/>
      <w:bCs/>
      <w:sz w:val="24"/>
      <w:szCs w:val="26"/>
      <w:lang w:eastAsia="en-AU"/>
    </w:rPr>
  </w:style>
  <w:style w:type="paragraph" w:customStyle="1" w:styleId="Appendix">
    <w:name w:val="Appendix"/>
    <w:next w:val="Normal"/>
    <w:rsid w:val="0015359B"/>
    <w:pPr>
      <w:numPr>
        <w:numId w:val="1"/>
      </w:numPr>
      <w:spacing w:before="240" w:after="240" w:line="280" w:lineRule="exact"/>
    </w:pPr>
    <w:rPr>
      <w:rFonts w:ascii="Arial" w:eastAsia="Times New Roman" w:hAnsi="Arial" w:cs="Arial"/>
      <w:b/>
      <w:bCs/>
      <w:color w:val="971A4B"/>
      <w:kern w:val="32"/>
      <w:sz w:val="28"/>
      <w:szCs w:val="32"/>
      <w:lang w:eastAsia="en-AU"/>
    </w:rPr>
  </w:style>
  <w:style w:type="paragraph" w:customStyle="1" w:styleId="VLAdivision">
    <w:name w:val="VLA division"/>
    <w:basedOn w:val="Normal"/>
    <w:next w:val="VLAauthor"/>
    <w:rsid w:val="0015359B"/>
    <w:pPr>
      <w:spacing w:before="60" w:after="240"/>
    </w:pPr>
    <w:rPr>
      <w:b/>
      <w:color w:val="971A4B"/>
      <w:sz w:val="28"/>
      <w:szCs w:val="28"/>
      <w:lang w:eastAsia="en-AU"/>
    </w:rPr>
  </w:style>
  <w:style w:type="paragraph" w:customStyle="1" w:styleId="VLAauthor">
    <w:name w:val="VLA author"/>
    <w:basedOn w:val="Normal"/>
    <w:next w:val="VLAdivision"/>
    <w:rsid w:val="0015359B"/>
    <w:pPr>
      <w:spacing w:before="240" w:after="60"/>
    </w:pPr>
    <w:rPr>
      <w:b/>
      <w:color w:val="971A4B"/>
      <w:sz w:val="28"/>
      <w:szCs w:val="28"/>
      <w:lang w:eastAsia="en-AU"/>
    </w:rPr>
  </w:style>
  <w:style w:type="paragraph" w:customStyle="1" w:styleId="Contents">
    <w:name w:val="Contents"/>
    <w:basedOn w:val="VLAdivision"/>
    <w:next w:val="Normal"/>
    <w:rsid w:val="0015359B"/>
  </w:style>
  <w:style w:type="paragraph" w:customStyle="1" w:styleId="Filename">
    <w:name w:val="Filename"/>
    <w:basedOn w:val="Normal"/>
    <w:rsid w:val="0015359B"/>
    <w:pPr>
      <w:pBdr>
        <w:top w:val="single" w:sz="4" w:space="1" w:color="B1005D"/>
      </w:pBdr>
      <w:tabs>
        <w:tab w:val="right" w:pos="9240"/>
      </w:tabs>
    </w:pPr>
    <w:rPr>
      <w:sz w:val="18"/>
    </w:rPr>
  </w:style>
  <w:style w:type="paragraph" w:styleId="Title">
    <w:name w:val="Title"/>
    <w:link w:val="TitleChar"/>
    <w:qFormat/>
    <w:locked/>
    <w:rsid w:val="0015359B"/>
    <w:pPr>
      <w:spacing w:before="2000" w:after="240" w:line="400" w:lineRule="exact"/>
      <w:outlineLvl w:val="0"/>
    </w:pPr>
    <w:rPr>
      <w:rFonts w:ascii="Arial Bold" w:eastAsia="Times New Roman" w:hAnsi="Arial Bold" w:cs="Arial"/>
      <w:b/>
      <w:bCs/>
      <w:color w:val="971A4B"/>
      <w:kern w:val="28"/>
      <w:sz w:val="36"/>
      <w:szCs w:val="32"/>
    </w:rPr>
  </w:style>
  <w:style w:type="character" w:customStyle="1" w:styleId="TitleChar">
    <w:name w:val="Title Char"/>
    <w:link w:val="Title"/>
    <w:rsid w:val="0015359B"/>
    <w:rPr>
      <w:rFonts w:ascii="Arial Bold" w:eastAsia="Times New Roman" w:hAnsi="Arial Bold" w:cs="Arial"/>
      <w:b/>
      <w:bCs/>
      <w:color w:val="971A4B"/>
      <w:kern w:val="28"/>
      <w:sz w:val="36"/>
      <w:szCs w:val="32"/>
    </w:rPr>
  </w:style>
  <w:style w:type="paragraph" w:customStyle="1" w:styleId="VLAdate">
    <w:name w:val="VLA date"/>
    <w:basedOn w:val="Normal"/>
    <w:qFormat/>
    <w:rsid w:val="00A52F29"/>
    <w:pPr>
      <w:spacing w:before="240" w:after="240" w:line="240" w:lineRule="atLeast"/>
    </w:pPr>
    <w:rPr>
      <w:bCs/>
      <w:sz w:val="24"/>
      <w:szCs w:val="28"/>
    </w:rPr>
  </w:style>
  <w:style w:type="paragraph" w:customStyle="1" w:styleId="VLApublicationdate0">
    <w:name w:val="VLA publication date"/>
    <w:basedOn w:val="Normal"/>
    <w:rsid w:val="00DB07C5"/>
    <w:pPr>
      <w:spacing w:before="1000"/>
    </w:pPr>
    <w:rPr>
      <w:b/>
      <w:sz w:val="28"/>
      <w:szCs w:val="20"/>
      <w:lang w:eastAsia="en-AU"/>
    </w:rPr>
  </w:style>
  <w:style w:type="paragraph" w:customStyle="1" w:styleId="Normalbold">
    <w:name w:val="Normal bold"/>
    <w:basedOn w:val="Normal"/>
    <w:next w:val="Normal"/>
    <w:rsid w:val="00DB07C5"/>
    <w:rPr>
      <w:b/>
      <w:lang w:eastAsia="en-AU"/>
    </w:rPr>
  </w:style>
  <w:style w:type="paragraph" w:customStyle="1" w:styleId="Normalwithborder">
    <w:name w:val="Normal with border"/>
    <w:basedOn w:val="Heading5"/>
    <w:qFormat/>
    <w:rsid w:val="00A52F29"/>
    <w:rPr>
      <w:b w:val="0"/>
    </w:rPr>
  </w:style>
  <w:style w:type="paragraph" w:customStyle="1" w:styleId="Normalwithgreyhighlightbox">
    <w:name w:val="Normal with grey highlight box"/>
    <w:basedOn w:val="Heading4"/>
    <w:qFormat/>
    <w:rsid w:val="00A52F29"/>
    <w:rPr>
      <w:b w:val="0"/>
      <w:sz w:val="22"/>
    </w:rPr>
  </w:style>
  <w:style w:type="paragraph" w:styleId="NormalIndent">
    <w:name w:val="Normal Indent"/>
    <w:basedOn w:val="Normal"/>
    <w:rsid w:val="00A52F29"/>
    <w:pPr>
      <w:ind w:left="720"/>
    </w:pPr>
  </w:style>
  <w:style w:type="paragraph" w:styleId="ListBullet5">
    <w:name w:val="List Bullet 5"/>
    <w:basedOn w:val="Normal"/>
    <w:rsid w:val="008B2419"/>
    <w:pPr>
      <w:numPr>
        <w:numId w:val="10"/>
      </w:numPr>
      <w:contextualSpacing/>
    </w:pPr>
  </w:style>
  <w:style w:type="paragraph" w:styleId="ListNumber">
    <w:name w:val="List Number"/>
    <w:basedOn w:val="Normal"/>
    <w:rsid w:val="008B2419"/>
    <w:pPr>
      <w:numPr>
        <w:numId w:val="5"/>
      </w:numPr>
      <w:contextualSpacing/>
    </w:pPr>
  </w:style>
  <w:style w:type="paragraph" w:styleId="ListNumber2">
    <w:name w:val="List Number 2"/>
    <w:basedOn w:val="Normal"/>
    <w:rsid w:val="008B2419"/>
    <w:pPr>
      <w:numPr>
        <w:numId w:val="6"/>
      </w:numPr>
      <w:contextualSpacing/>
    </w:pPr>
  </w:style>
  <w:style w:type="paragraph" w:styleId="ListNumber3">
    <w:name w:val="List Number 3"/>
    <w:basedOn w:val="Normal"/>
    <w:rsid w:val="008B2419"/>
    <w:pPr>
      <w:numPr>
        <w:numId w:val="7"/>
      </w:numPr>
      <w:contextualSpacing/>
    </w:pPr>
  </w:style>
  <w:style w:type="paragraph" w:styleId="ListNumber4">
    <w:name w:val="List Number 4"/>
    <w:basedOn w:val="Normal"/>
    <w:rsid w:val="008B2419"/>
    <w:pPr>
      <w:numPr>
        <w:numId w:val="8"/>
      </w:numPr>
      <w:contextualSpacing/>
    </w:pPr>
  </w:style>
  <w:style w:type="paragraph" w:styleId="ListNumber5">
    <w:name w:val="List Number 5"/>
    <w:basedOn w:val="Normal"/>
    <w:rsid w:val="008B2419"/>
    <w:pPr>
      <w:numPr>
        <w:numId w:val="9"/>
      </w:numPr>
      <w:contextualSpacing/>
    </w:pPr>
  </w:style>
  <w:style w:type="paragraph" w:styleId="ListParagraph">
    <w:name w:val="List Paragraph"/>
    <w:basedOn w:val="Normal"/>
    <w:uiPriority w:val="34"/>
    <w:qFormat/>
    <w:rsid w:val="000E6C7E"/>
    <w:pPr>
      <w:spacing w:after="200" w:line="300" w:lineRule="exact"/>
      <w:ind w:left="720"/>
      <w:contextualSpacing/>
    </w:pPr>
    <w:rPr>
      <w:sz w:val="21"/>
      <w:szCs w:val="20"/>
      <w:lang w:eastAsia="en-AU"/>
    </w:rPr>
  </w:style>
  <w:style w:type="paragraph" w:styleId="CommentText">
    <w:name w:val="annotation text"/>
    <w:basedOn w:val="Normal"/>
    <w:link w:val="CommentTextChar"/>
    <w:uiPriority w:val="99"/>
    <w:rsid w:val="000E6C7E"/>
    <w:pPr>
      <w:spacing w:after="200" w:line="240" w:lineRule="auto"/>
    </w:pPr>
    <w:rPr>
      <w:sz w:val="20"/>
      <w:szCs w:val="20"/>
      <w:lang w:eastAsia="en-AU"/>
    </w:rPr>
  </w:style>
  <w:style w:type="character" w:customStyle="1" w:styleId="CommentTextChar">
    <w:name w:val="Comment Text Char"/>
    <w:basedOn w:val="DefaultParagraphFont"/>
    <w:link w:val="CommentText"/>
    <w:uiPriority w:val="99"/>
    <w:rsid w:val="000E6C7E"/>
    <w:rPr>
      <w:rFonts w:ascii="Arial" w:eastAsia="Times New Roman" w:hAnsi="Arial"/>
      <w:lang w:eastAsia="en-AU"/>
    </w:rPr>
  </w:style>
  <w:style w:type="paragraph" w:styleId="Subtitle">
    <w:name w:val="Subtitle"/>
    <w:basedOn w:val="Normal"/>
    <w:next w:val="Normal"/>
    <w:link w:val="SubtitleChar"/>
    <w:qFormat/>
    <w:locked/>
    <w:rsid w:val="000E6C7E"/>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rsid w:val="000E6C7E"/>
    <w:rPr>
      <w:rFonts w:asciiTheme="minorHAnsi" w:eastAsiaTheme="minorEastAsia" w:hAnsiTheme="minorHAnsi" w:cstheme="minorBidi"/>
      <w:color w:val="5A5A5A" w:themeColor="text1" w:themeTint="A5"/>
      <w:spacing w:val="15"/>
      <w:sz w:val="22"/>
      <w:szCs w:val="22"/>
    </w:rPr>
  </w:style>
  <w:style w:type="paragraph" w:styleId="BalloonText">
    <w:name w:val="Balloon Text"/>
    <w:basedOn w:val="Normal"/>
    <w:link w:val="BalloonTextChar"/>
    <w:semiHidden/>
    <w:unhideWhenUsed/>
    <w:rsid w:val="00D159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D1598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david.cleary@vla.vic.gov.au" TargetMode="External"/><Relationship Id="rId13" Type="http://schemas.openxmlformats.org/officeDocument/2006/relationships/hyperlink" Target="http://www.legalaid.vic.gov.au/sites/www.legalaid.vic.gov.au/files/vla-family-law-legal-aid-services-review-final-report.docx"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handbook.vla.vic.gov.au/handbook/8-public-interest-and-strategic-litigation"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egalaid.vic.gov.au/sites/www.legalaid.vic.gov.au/files/vla-family-law-legal-aid-services-review-final-report.docx"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handbook.vla.vic.gov.au/handbook/15-special-circumstances/commonwealths-special-circumstances"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Tina.Nikoloski@vla.vic.gov.au" TargetMode="Externa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Advantage">
  <a:themeElements>
    <a:clrScheme name="Advantage">
      <a:dk1>
        <a:sysClr val="windowText" lastClr="000000"/>
      </a:dk1>
      <a:lt1>
        <a:sysClr val="window" lastClr="FFFFFF"/>
      </a:lt1>
      <a:dk2>
        <a:srgbClr val="2B142D"/>
      </a:dk2>
      <a:lt2>
        <a:srgbClr val="C3AFCC"/>
      </a:lt2>
      <a:accent1>
        <a:srgbClr val="663366"/>
      </a:accent1>
      <a:accent2>
        <a:srgbClr val="330F42"/>
      </a:accent2>
      <a:accent3>
        <a:srgbClr val="666699"/>
      </a:accent3>
      <a:accent4>
        <a:srgbClr val="999966"/>
      </a:accent4>
      <a:accent5>
        <a:srgbClr val="F7901E"/>
      </a:accent5>
      <a:accent6>
        <a:srgbClr val="A3A101"/>
      </a:accent6>
      <a:hlink>
        <a:srgbClr val="BC5FBC"/>
      </a:hlink>
      <a:folHlink>
        <a:srgbClr val="9775A7"/>
      </a:folHlink>
    </a:clrScheme>
    <a:fontScheme name="Advantage">
      <a:majorFont>
        <a:latin typeface="Rockwell"/>
        <a:ea typeface=""/>
        <a:cs typeface=""/>
        <a:font script="Jpan" typeface="ＭＳ ゴシック"/>
        <a:font script="Hans" typeface="宋体"/>
        <a:font script="Hant" typeface="新細明體"/>
      </a:majorFont>
      <a:minorFont>
        <a:latin typeface="Rockwell"/>
        <a:ea typeface=""/>
        <a:cs typeface=""/>
        <a:font script="Jpan" typeface="ＭＳ ゴシック"/>
        <a:font script="Hans" typeface="宋体"/>
        <a:font script="Hant" typeface="新細明體"/>
      </a:minorFont>
    </a:fontScheme>
    <a:fmtScheme name="Advantage">
      <a:fillStyleLst>
        <a:solidFill>
          <a:schemeClr val="phClr"/>
        </a:solidFill>
        <a:gradFill rotWithShape="1">
          <a:gsLst>
            <a:gs pos="0">
              <a:schemeClr val="phClr">
                <a:tint val="100000"/>
                <a:shade val="40000"/>
                <a:alpha val="100000"/>
                <a:satMod val="150000"/>
                <a:lumMod val="100000"/>
              </a:schemeClr>
            </a:gs>
            <a:gs pos="100000">
              <a:schemeClr val="phClr">
                <a:tint val="70000"/>
                <a:shade val="100000"/>
                <a:alpha val="100000"/>
                <a:satMod val="200000"/>
                <a:lumMod val="100000"/>
              </a:schemeClr>
            </a:gs>
          </a:gsLst>
          <a:lin ang="6000000" scaled="1"/>
        </a:gradFill>
        <a:gradFill rotWithShape="1">
          <a:gsLst>
            <a:gs pos="0">
              <a:schemeClr val="phClr">
                <a:shade val="40000"/>
                <a:alpha val="100000"/>
                <a:satMod val="150000"/>
                <a:lumMod val="100000"/>
              </a:schemeClr>
            </a:gs>
            <a:gs pos="100000">
              <a:schemeClr val="phClr">
                <a:tint val="70000"/>
                <a:shade val="100000"/>
                <a:alpha val="100000"/>
                <a:satMod val="200000"/>
                <a:lumMod val="100000"/>
              </a:schemeClr>
            </a:gs>
          </a:gsLst>
          <a:lin ang="5400000" scaled="1"/>
        </a:gradFill>
      </a:fillStyleLst>
      <a:lnStyleLst>
        <a:ln w="12700"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innerShdw blurRad="50800" dist="25400" dir="13500000">
              <a:srgbClr val="FFFFFF">
                <a:alpha val="75000"/>
              </a:srgbClr>
            </a:innerShdw>
            <a:outerShdw blurRad="63500" dist="25400" dir="5400000" rotWithShape="0">
              <a:srgbClr val="808080">
                <a:alpha val="75000"/>
              </a:srgbClr>
            </a:outerShdw>
          </a:effectLst>
        </a:effectStyle>
        <a:effectStyle>
          <a:effectLst/>
          <a:scene3d>
            <a:camera prst="orthographicFront">
              <a:rot lat="0" lon="0" rev="0"/>
            </a:camera>
            <a:lightRig rig="twoPt" dir="tl">
              <a:rot lat="0" lon="0" rev="4500000"/>
            </a:lightRig>
          </a:scene3d>
          <a:sp3d>
            <a:bevelT w="63500" h="50800"/>
          </a:sp3d>
        </a:effectStyle>
      </a:effectStyleLst>
      <a:bgFillStyleLst>
        <a:solidFill>
          <a:schemeClr val="phClr"/>
        </a:solidFill>
        <a:gradFill rotWithShape="1">
          <a:gsLst>
            <a:gs pos="0">
              <a:schemeClr val="phClr">
                <a:tint val="40000"/>
                <a:satMod val="1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2DC5C6-0ED2-4376-AEE4-5F8270B3B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1815</Words>
  <Characters>10532</Characters>
  <Application>Microsoft Office Word</Application>
  <DocSecurity>0</DocSecurity>
  <Lines>464</Lines>
  <Paragraphs>152</Paragraphs>
  <ScaleCrop>false</ScaleCrop>
  <HeadingPairs>
    <vt:vector size="2" baseType="variant">
      <vt:variant>
        <vt:lpstr>Title</vt:lpstr>
      </vt:variant>
      <vt:variant>
        <vt:i4>1</vt:i4>
      </vt:variant>
    </vt:vector>
  </HeadingPairs>
  <TitlesOfParts>
    <vt:vector size="1" baseType="lpstr">
      <vt:lpstr>Ready reckoner – Overview of Commonwealth family law guideline changes</vt:lpstr>
    </vt:vector>
  </TitlesOfParts>
  <Company>Victoria Legal Aid</Company>
  <LinksUpToDate>false</LinksUpToDate>
  <CharactersWithSpaces>12289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Ready reckoner – Overview of Commonwealth family law guideline changes</dc:title>
  <dc:subject/>
  <dc:creator>Victoria Legal Aid</dc:creator>
  <cp:keywords/>
  <cp:lastModifiedBy>Gabrielle Mundana</cp:lastModifiedBy>
  <cp:revision>2</cp:revision>
  <dcterms:created xsi:type="dcterms:W3CDTF">2022-04-27T00:33:00Z</dcterms:created>
  <dcterms:modified xsi:type="dcterms:W3CDTF">2022-04-27T00:33:00Z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_MarkAsFinal">
    <vt:bool>true</vt:bool>
  </property>
</Properties>
</file>