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A779" w14:textId="7B8F7D4D" w:rsidR="007F3335" w:rsidRDefault="00FA6AAC" w:rsidP="007F3335">
      <w:pPr>
        <w:pStyle w:val="Heading1"/>
      </w:pPr>
      <w:r>
        <w:t>Overview of p</w:t>
      </w:r>
      <w:r w:rsidR="008E6AE4">
        <w:t xml:space="preserve">roposed updates to </w:t>
      </w:r>
      <w:r w:rsidR="007F3335">
        <w:t xml:space="preserve">Child Protection Duty Lawyer </w:t>
      </w:r>
      <w:r w:rsidR="008E6AE4">
        <w:t>Service Manual</w:t>
      </w:r>
      <w:r>
        <w:t xml:space="preserve"> 2022</w:t>
      </w:r>
    </w:p>
    <w:p w14:paraId="7463EB70" w14:textId="77777777" w:rsidR="008E6AE4" w:rsidRPr="008E6AE4" w:rsidRDefault="008E6AE4" w:rsidP="008E6AE4">
      <w:pPr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79"/>
      </w:tblGrid>
      <w:tr w:rsidR="008E6AE4" w14:paraId="3D492BA4" w14:textId="77777777" w:rsidTr="006C0D20">
        <w:trPr>
          <w:tblHeader/>
        </w:trPr>
        <w:tc>
          <w:tcPr>
            <w:tcW w:w="3397" w:type="dxa"/>
          </w:tcPr>
          <w:p w14:paraId="3B2A4CB3" w14:textId="6FDE7B7D" w:rsidR="008E6AE4" w:rsidRPr="00FA6AAC" w:rsidRDefault="003A6F06">
            <w:pPr>
              <w:rPr>
                <w:b/>
                <w:bCs/>
              </w:rPr>
            </w:pPr>
            <w:r w:rsidRPr="00FA6AAC">
              <w:rPr>
                <w:b/>
                <w:bCs/>
              </w:rPr>
              <w:t>Topic</w:t>
            </w:r>
          </w:p>
        </w:tc>
        <w:tc>
          <w:tcPr>
            <w:tcW w:w="6679" w:type="dxa"/>
          </w:tcPr>
          <w:p w14:paraId="60CD4126" w14:textId="5A038937" w:rsidR="008E6AE4" w:rsidRPr="00FA6AAC" w:rsidRDefault="003A6F06">
            <w:pPr>
              <w:rPr>
                <w:b/>
                <w:bCs/>
              </w:rPr>
            </w:pPr>
            <w:r w:rsidRPr="00FA6AAC">
              <w:rPr>
                <w:b/>
                <w:bCs/>
              </w:rPr>
              <w:t>Detail of change/addition</w:t>
            </w:r>
          </w:p>
        </w:tc>
      </w:tr>
      <w:tr w:rsidR="00E722D8" w14:paraId="74B599F7" w14:textId="77777777" w:rsidTr="00933B63">
        <w:tc>
          <w:tcPr>
            <w:tcW w:w="3397" w:type="dxa"/>
          </w:tcPr>
          <w:p w14:paraId="2AD34A66" w14:textId="06681D0E" w:rsidR="00E722D8" w:rsidRDefault="00E722D8">
            <w:r>
              <w:t>C</w:t>
            </w:r>
            <w:r w:rsidRPr="00B17A43">
              <w:t>larification of professional responsibil</w:t>
            </w:r>
            <w:r>
              <w:t>i</w:t>
            </w:r>
            <w:r w:rsidRPr="00B17A43">
              <w:t>t</w:t>
            </w:r>
            <w:r>
              <w:t>ies</w:t>
            </w:r>
          </w:p>
        </w:tc>
        <w:tc>
          <w:tcPr>
            <w:tcW w:w="6679" w:type="dxa"/>
          </w:tcPr>
          <w:p w14:paraId="06DA0319" w14:textId="6637C8EF" w:rsidR="00E722D8" w:rsidRDefault="00E722D8">
            <w:r>
              <w:t>Duty lawyers must not engage in negotiation, seek to obtain further information, or make representations in court until they have been engaged by a client to act for them.</w:t>
            </w:r>
          </w:p>
        </w:tc>
      </w:tr>
      <w:tr w:rsidR="008E6AE4" w14:paraId="704776EE" w14:textId="77777777" w:rsidTr="00933B63">
        <w:tc>
          <w:tcPr>
            <w:tcW w:w="3397" w:type="dxa"/>
          </w:tcPr>
          <w:p w14:paraId="3B1C0E71" w14:textId="58B9CFD2" w:rsidR="008E6AE4" w:rsidRDefault="008E6AE4">
            <w:r>
              <w:t>Readiness to accept duty lawyer referrals</w:t>
            </w:r>
          </w:p>
        </w:tc>
        <w:tc>
          <w:tcPr>
            <w:tcW w:w="6679" w:type="dxa"/>
          </w:tcPr>
          <w:p w14:paraId="3E62D30D" w14:textId="08428D9D" w:rsidR="008E6AE4" w:rsidRDefault="00141497">
            <w:r>
              <w:t>Adds the new</w:t>
            </w:r>
            <w:r w:rsidR="008E6AE4">
              <w:t xml:space="preserve"> </w:t>
            </w:r>
            <w:r>
              <w:t xml:space="preserve">process </w:t>
            </w:r>
            <w:r w:rsidR="008E6AE4">
              <w:t>for</w:t>
            </w:r>
            <w:r>
              <w:t xml:space="preserve"> Broadmeadows Court that</w:t>
            </w:r>
            <w:r w:rsidR="008E6AE4">
              <w:t xml:space="preserve"> duty lawyers </w:t>
            </w:r>
            <w:r>
              <w:t xml:space="preserve">are required </w:t>
            </w:r>
            <w:r w:rsidR="008E6AE4">
              <w:t xml:space="preserve">to advise VLA triage officer of readiness to accept referrals </w:t>
            </w:r>
            <w:r>
              <w:t>by 9.30am and attend court within 30 minutes of accepting a referral.</w:t>
            </w:r>
          </w:p>
        </w:tc>
      </w:tr>
      <w:tr w:rsidR="008E6AE4" w14:paraId="6DF7F668" w14:textId="77777777" w:rsidTr="00933B63">
        <w:tc>
          <w:tcPr>
            <w:tcW w:w="3397" w:type="dxa"/>
          </w:tcPr>
          <w:p w14:paraId="6575C8BB" w14:textId="77777777" w:rsidR="008E6AE4" w:rsidRDefault="008E6AE4">
            <w:r>
              <w:t>Accepting referrals</w:t>
            </w:r>
          </w:p>
          <w:p w14:paraId="00AA872B" w14:textId="1AE1DA06" w:rsidR="008E6AE4" w:rsidRDefault="008E6AE4"/>
        </w:tc>
        <w:tc>
          <w:tcPr>
            <w:tcW w:w="6679" w:type="dxa"/>
          </w:tcPr>
          <w:p w14:paraId="29103618" w14:textId="697D7A01" w:rsidR="00933B63" w:rsidRDefault="00933B63" w:rsidP="00141497">
            <w:r>
              <w:t>Sets out time within which referrals should be accepted (</w:t>
            </w:r>
            <w:r w:rsidR="0099230B">
              <w:t>maximum 10</w:t>
            </w:r>
            <w:r>
              <w:t xml:space="preserve"> mins for rostered schemes</w:t>
            </w:r>
            <w:proofErr w:type="gramStart"/>
            <w:r>
              <w:t>/‘</w:t>
            </w:r>
            <w:proofErr w:type="gramEnd"/>
            <w:r>
              <w:t xml:space="preserve">within </w:t>
            </w:r>
            <w:r w:rsidR="0099230B">
              <w:t xml:space="preserve">a </w:t>
            </w:r>
            <w:r>
              <w:t>reasonable time’ for non-rostered schemes).</w:t>
            </w:r>
          </w:p>
        </w:tc>
      </w:tr>
      <w:tr w:rsidR="008E6AE4" w14:paraId="4305BDA7" w14:textId="77777777" w:rsidTr="00933B63">
        <w:tc>
          <w:tcPr>
            <w:tcW w:w="3397" w:type="dxa"/>
          </w:tcPr>
          <w:p w14:paraId="5CB4E842" w14:textId="6C13D5D5" w:rsidR="008E6AE4" w:rsidRDefault="00933B63">
            <w:r>
              <w:t>Meeting with clients</w:t>
            </w:r>
          </w:p>
        </w:tc>
        <w:tc>
          <w:tcPr>
            <w:tcW w:w="6679" w:type="dxa"/>
          </w:tcPr>
          <w:p w14:paraId="00CC0BAD" w14:textId="0BF7C2EA" w:rsidR="00141497" w:rsidRDefault="00141497">
            <w:r>
              <w:t>Maintains requirement that duty lawyers should meet face to face with children where possible</w:t>
            </w:r>
            <w:r w:rsidR="000F1A6E">
              <w:t>.</w:t>
            </w:r>
          </w:p>
          <w:p w14:paraId="233F0093" w14:textId="37AECEC0" w:rsidR="00E47E02" w:rsidRDefault="002B1C09">
            <w:r>
              <w:t>Added</w:t>
            </w:r>
            <w:r w:rsidR="00141497">
              <w:t xml:space="preserve"> expectation that, where face to face is not possible, </w:t>
            </w:r>
            <w:r w:rsidR="000F1A6E">
              <w:t>d</w:t>
            </w:r>
            <w:r w:rsidR="00E47E02">
              <w:t xml:space="preserve">uty lawyers should follow the </w:t>
            </w:r>
            <w:hyperlink r:id="rId7" w:anchor="good-practice-guide-for-meeting-with-children-via-technology" w:history="1">
              <w:r w:rsidR="00E47E02" w:rsidRPr="002B1C09">
                <w:rPr>
                  <w:rStyle w:val="Hyperlink"/>
                  <w:i/>
                  <w:iCs/>
                </w:rPr>
                <w:t>VLA Good Practice Guide for Meeting Children via Technology</w:t>
              </w:r>
            </w:hyperlink>
            <w:r w:rsidR="00E47E02">
              <w:t xml:space="preserve"> to determine if an online meeting is appropriate.</w:t>
            </w:r>
          </w:p>
        </w:tc>
      </w:tr>
      <w:tr w:rsidR="008E6AE4" w14:paraId="2CC44180" w14:textId="77777777" w:rsidTr="00933B63">
        <w:tc>
          <w:tcPr>
            <w:tcW w:w="3397" w:type="dxa"/>
          </w:tcPr>
          <w:p w14:paraId="4E4976A0" w14:textId="732D89C6" w:rsidR="008E6AE4" w:rsidRDefault="00933B63">
            <w:r>
              <w:t>Capacity assessments</w:t>
            </w:r>
          </w:p>
        </w:tc>
        <w:tc>
          <w:tcPr>
            <w:tcW w:w="6679" w:type="dxa"/>
          </w:tcPr>
          <w:p w14:paraId="2F90965D" w14:textId="319203EC" w:rsidR="003A6F06" w:rsidRPr="000F1A6E" w:rsidRDefault="00E47E02" w:rsidP="000F1A6E">
            <w:r w:rsidRPr="000F1A6E">
              <w:t>A</w:t>
            </w:r>
            <w:r w:rsidR="003A6F06" w:rsidRPr="000F1A6E">
              <w:t>dded section</w:t>
            </w:r>
            <w:r w:rsidR="00E722D8">
              <w:t>.</w:t>
            </w:r>
          </w:p>
          <w:p w14:paraId="271AF802" w14:textId="58E52767" w:rsidR="008E6AE4" w:rsidRPr="000F1A6E" w:rsidRDefault="003A6F06" w:rsidP="000F1A6E">
            <w:r w:rsidRPr="000F1A6E">
              <w:t>A</w:t>
            </w:r>
            <w:r w:rsidR="00E47E02" w:rsidRPr="000F1A6E">
              <w:t>ll adult parties</w:t>
            </w:r>
            <w:r w:rsidR="000B0212" w:rsidRPr="000F1A6E">
              <w:t xml:space="preserve"> and children 10+ are presumed to have capacity. Where capacity is in doubt, a capacity assessment should be undertaken.</w:t>
            </w:r>
          </w:p>
          <w:p w14:paraId="51CED8B6" w14:textId="3C1C0234" w:rsidR="000B0212" w:rsidRPr="000F1A6E" w:rsidRDefault="000B0212" w:rsidP="000F1A6E">
            <w:r w:rsidRPr="000F1A6E">
              <w:t xml:space="preserve">Where </w:t>
            </w:r>
            <w:r w:rsidR="009A7EDF">
              <w:t xml:space="preserve">a </w:t>
            </w:r>
            <w:r w:rsidRPr="000F1A6E">
              <w:t xml:space="preserve">party referred is an involuntary patient, </w:t>
            </w:r>
            <w:r w:rsidR="009A7EDF">
              <w:t xml:space="preserve">the </w:t>
            </w:r>
            <w:r w:rsidRPr="000F1A6E">
              <w:t>duty lawyer should contact</w:t>
            </w:r>
            <w:r w:rsidR="009A7EDF">
              <w:t xml:space="preserve"> the hospital</w:t>
            </w:r>
            <w:r w:rsidRPr="000F1A6E">
              <w:t xml:space="preserve"> facility to speak to </w:t>
            </w:r>
            <w:r w:rsidR="009D7B52">
              <w:t xml:space="preserve">the </w:t>
            </w:r>
            <w:r w:rsidRPr="000F1A6E">
              <w:t xml:space="preserve">person. If </w:t>
            </w:r>
            <w:r w:rsidR="00F83DC9">
              <w:t xml:space="preserve">the </w:t>
            </w:r>
            <w:r w:rsidRPr="000F1A6E">
              <w:t xml:space="preserve">person </w:t>
            </w:r>
            <w:r w:rsidR="009D7B52">
              <w:t xml:space="preserve">is </w:t>
            </w:r>
            <w:r w:rsidRPr="000F1A6E">
              <w:t xml:space="preserve">unable to meet/speak to </w:t>
            </w:r>
            <w:r w:rsidR="009D7B52">
              <w:t xml:space="preserve">the </w:t>
            </w:r>
            <w:r w:rsidRPr="000F1A6E">
              <w:t xml:space="preserve">lawyer at all, </w:t>
            </w:r>
            <w:r w:rsidR="00F83DC9">
              <w:t xml:space="preserve">the </w:t>
            </w:r>
            <w:r w:rsidRPr="000F1A6E">
              <w:t xml:space="preserve">duty lawyer </w:t>
            </w:r>
            <w:r w:rsidR="009D7B52">
              <w:t>will</w:t>
            </w:r>
            <w:r w:rsidRPr="000F1A6E">
              <w:t xml:space="preserve"> notify </w:t>
            </w:r>
            <w:proofErr w:type="gramStart"/>
            <w:r w:rsidRPr="000F1A6E">
              <w:t>VLA</w:t>
            </w:r>
            <w:proofErr w:type="gramEnd"/>
            <w:r w:rsidRPr="000F1A6E">
              <w:t xml:space="preserve"> and </w:t>
            </w:r>
            <w:r w:rsidR="00F83DC9">
              <w:t xml:space="preserve">the </w:t>
            </w:r>
            <w:r w:rsidRPr="000F1A6E">
              <w:t>referral will be withdrawn.</w:t>
            </w:r>
          </w:p>
          <w:p w14:paraId="0EB98DF3" w14:textId="198D4A94" w:rsidR="000B0212" w:rsidRPr="000F1A6E" w:rsidRDefault="000B0212" w:rsidP="000F1A6E">
            <w:r w:rsidRPr="000F1A6E">
              <w:t xml:space="preserve">Where </w:t>
            </w:r>
            <w:r w:rsidR="00E722D8">
              <w:t xml:space="preserve">the </w:t>
            </w:r>
            <w:r w:rsidRPr="000F1A6E">
              <w:t xml:space="preserve">lawyer meets/speaks to </w:t>
            </w:r>
            <w:r w:rsidR="00F83DC9">
              <w:t xml:space="preserve">an </w:t>
            </w:r>
            <w:r w:rsidR="002B1C09">
              <w:t>adult party they have been referred</w:t>
            </w:r>
            <w:r w:rsidRPr="000F1A6E">
              <w:t xml:space="preserve"> but assesses they do not have capacity to instruct, </w:t>
            </w:r>
            <w:r w:rsidR="00F83DC9">
              <w:t xml:space="preserve">the </w:t>
            </w:r>
            <w:r w:rsidRPr="000F1A6E">
              <w:t xml:space="preserve">lawyer </w:t>
            </w:r>
            <w:r w:rsidR="009D7B52">
              <w:t>will</w:t>
            </w:r>
            <w:r w:rsidRPr="000F1A6E">
              <w:t xml:space="preserve"> notify VLA and not appear in court or engage in negotiations on behalf of </w:t>
            </w:r>
            <w:r w:rsidR="00954DB1">
              <w:t xml:space="preserve">the </w:t>
            </w:r>
            <w:r w:rsidRPr="000F1A6E">
              <w:t xml:space="preserve">person. VLA will notify </w:t>
            </w:r>
            <w:r w:rsidR="00954DB1">
              <w:t xml:space="preserve">the </w:t>
            </w:r>
            <w:r w:rsidRPr="000F1A6E">
              <w:t xml:space="preserve">court. In these cases, </w:t>
            </w:r>
            <w:r w:rsidR="00F83DC9">
              <w:t xml:space="preserve">the </w:t>
            </w:r>
            <w:r w:rsidRPr="000F1A6E">
              <w:t xml:space="preserve">duty lawyer should submit </w:t>
            </w:r>
            <w:r w:rsidR="009A7EDF">
              <w:t xml:space="preserve">an </w:t>
            </w:r>
            <w:r w:rsidRPr="000F1A6E">
              <w:t xml:space="preserve">invoice for time spent arranging </w:t>
            </w:r>
            <w:r w:rsidR="00954DB1">
              <w:t xml:space="preserve">the </w:t>
            </w:r>
            <w:r w:rsidRPr="000F1A6E">
              <w:t xml:space="preserve">meeting and undertaking </w:t>
            </w:r>
            <w:r w:rsidR="00954DB1">
              <w:t xml:space="preserve">a </w:t>
            </w:r>
            <w:r w:rsidRPr="000F1A6E">
              <w:t>capacity assessment</w:t>
            </w:r>
            <w:r w:rsidR="0099230B">
              <w:t>.</w:t>
            </w:r>
          </w:p>
          <w:p w14:paraId="7358B27C" w14:textId="35AAD184" w:rsidR="000B0212" w:rsidRDefault="000B0212" w:rsidP="000F1A6E">
            <w:r w:rsidRPr="000F1A6E">
              <w:t>Where</w:t>
            </w:r>
            <w:r w:rsidR="00F83DC9">
              <w:t xml:space="preserve"> a duty</w:t>
            </w:r>
            <w:r w:rsidRPr="000F1A6E">
              <w:t xml:space="preserve"> lawyer assesses a child does not have capacity, </w:t>
            </w:r>
            <w:r w:rsidR="00F83DC9">
              <w:t xml:space="preserve">the </w:t>
            </w:r>
            <w:r w:rsidRPr="000F1A6E">
              <w:t xml:space="preserve">lawyer should advise VLA and appear in Court to advise </w:t>
            </w:r>
            <w:r w:rsidR="00954DB1">
              <w:t xml:space="preserve">the </w:t>
            </w:r>
            <w:r w:rsidRPr="000F1A6E">
              <w:t xml:space="preserve">outcome of </w:t>
            </w:r>
            <w:r w:rsidR="00954DB1">
              <w:t xml:space="preserve">the </w:t>
            </w:r>
            <w:r w:rsidRPr="000F1A6E">
              <w:t>capacity assessment. If</w:t>
            </w:r>
            <w:r w:rsidR="00954DB1">
              <w:t xml:space="preserve"> the</w:t>
            </w:r>
            <w:r w:rsidR="000C3926" w:rsidRPr="000F1A6E">
              <w:t xml:space="preserve"> Court makes </w:t>
            </w:r>
            <w:r w:rsidR="00954DB1">
              <w:t xml:space="preserve">an </w:t>
            </w:r>
            <w:r w:rsidR="000C3926" w:rsidRPr="000F1A6E">
              <w:t xml:space="preserve">order </w:t>
            </w:r>
            <w:r w:rsidR="000C3926" w:rsidRPr="000F1A6E">
              <w:lastRenderedPageBreak/>
              <w:t>requesting</w:t>
            </w:r>
            <w:r w:rsidR="000C3926">
              <w:t xml:space="preserve"> appointment of </w:t>
            </w:r>
            <w:r w:rsidR="00954DB1">
              <w:t xml:space="preserve">a </w:t>
            </w:r>
            <w:r w:rsidR="000C3926">
              <w:t xml:space="preserve">best </w:t>
            </w:r>
            <w:proofErr w:type="gramStart"/>
            <w:r w:rsidR="000C3926">
              <w:t>interests</w:t>
            </w:r>
            <w:proofErr w:type="gramEnd"/>
            <w:r w:rsidR="000C3926">
              <w:t xml:space="preserve"> lawyer, the duty lawyer should request the court make a notation identifying which duty lawyer undertook </w:t>
            </w:r>
            <w:r w:rsidR="00954DB1">
              <w:t xml:space="preserve">the </w:t>
            </w:r>
            <w:r w:rsidR="000C3926">
              <w:t>capacity assessment (to assist VLA to allocate referral for best interests representation).</w:t>
            </w:r>
          </w:p>
        </w:tc>
      </w:tr>
      <w:tr w:rsidR="008E6AE4" w14:paraId="7A6447D2" w14:textId="77777777" w:rsidTr="00933B63">
        <w:tc>
          <w:tcPr>
            <w:tcW w:w="3397" w:type="dxa"/>
          </w:tcPr>
          <w:p w14:paraId="0011881F" w14:textId="67036CF3" w:rsidR="008E6AE4" w:rsidRDefault="000C3926">
            <w:r>
              <w:lastRenderedPageBreak/>
              <w:t>Party with multiple applications</w:t>
            </w:r>
          </w:p>
        </w:tc>
        <w:tc>
          <w:tcPr>
            <w:tcW w:w="6679" w:type="dxa"/>
          </w:tcPr>
          <w:p w14:paraId="3B9FBEB7" w14:textId="4E8DDEFF" w:rsidR="008E6AE4" w:rsidRDefault="00E722D8" w:rsidP="000F1A6E">
            <w:r>
              <w:t>W</w:t>
            </w:r>
            <w:r w:rsidR="000C3926" w:rsidRPr="000F1A6E">
              <w:t xml:space="preserve">here a person has more than one matter listed in the family division on same day, </w:t>
            </w:r>
            <w:r w:rsidR="00FA6AAC">
              <w:t xml:space="preserve">the </w:t>
            </w:r>
            <w:r w:rsidR="000C3926" w:rsidRPr="000F1A6E">
              <w:t>duty lawyer will provide legal assistance in all matters in accordance with relevant duty lawyer guidelines.</w:t>
            </w:r>
          </w:p>
        </w:tc>
      </w:tr>
      <w:tr w:rsidR="009D709C" w14:paraId="23FD4594" w14:textId="77777777" w:rsidTr="00933B63">
        <w:tc>
          <w:tcPr>
            <w:tcW w:w="3397" w:type="dxa"/>
          </w:tcPr>
          <w:p w14:paraId="69EAC830" w14:textId="6A095829" w:rsidR="009D709C" w:rsidRDefault="009D709C">
            <w:r>
              <w:t>Delivery of services</w:t>
            </w:r>
          </w:p>
        </w:tc>
        <w:tc>
          <w:tcPr>
            <w:tcW w:w="6679" w:type="dxa"/>
          </w:tcPr>
          <w:p w14:paraId="0D38BD03" w14:textId="2173AE4C" w:rsidR="009D709C" w:rsidRDefault="00E722D8" w:rsidP="009D709C">
            <w:r>
              <w:t>T</w:t>
            </w:r>
            <w:r w:rsidR="009D709C" w:rsidRPr="009D709C">
              <w:t xml:space="preserve">he duty lawyer service </w:t>
            </w:r>
            <w:r w:rsidR="00F83DC9">
              <w:t xml:space="preserve">should </w:t>
            </w:r>
            <w:r w:rsidR="009D709C" w:rsidRPr="009D709C">
              <w:t>be delivered by the lawyer who VLA ma</w:t>
            </w:r>
            <w:r w:rsidR="00F83DC9">
              <w:t>kes</w:t>
            </w:r>
            <w:r w:rsidR="009D709C" w:rsidRPr="009D709C">
              <w:t xml:space="preserve"> the</w:t>
            </w:r>
            <w:r w:rsidR="00F83DC9">
              <w:t xml:space="preserve"> HALO</w:t>
            </w:r>
            <w:r w:rsidR="009D709C" w:rsidRPr="009D709C">
              <w:t xml:space="preserve"> referral to. If a duty lawyer becomes unable to deliver the service after accepting the service, they should advise VLA as soon as possible so a new referral can be made.</w:t>
            </w:r>
          </w:p>
          <w:p w14:paraId="34238BE0" w14:textId="4084B5DD" w:rsidR="00F7073C" w:rsidRPr="00F7073C" w:rsidRDefault="00E722D8" w:rsidP="00F7073C">
            <w:r>
              <w:t>T</w:t>
            </w:r>
            <w:r w:rsidR="00F7073C">
              <w:t xml:space="preserve">he duty lawyer </w:t>
            </w:r>
            <w:r w:rsidR="00F7073C" w:rsidRPr="00F7073C">
              <w:t>should assess the client’s eligibility for a grant of legal assistance and assist the client to complete the application form.</w:t>
            </w:r>
          </w:p>
          <w:p w14:paraId="67A44DF4" w14:textId="77777777" w:rsidR="00F7073C" w:rsidRDefault="00F7073C" w:rsidP="00F7073C">
            <w:r w:rsidRPr="00F7073C">
              <w:t>If the duty lawyer assesses that the person is unlikely to be eligible for a grant of legal assistance, they should</w:t>
            </w:r>
            <w:r>
              <w:t>:</w:t>
            </w:r>
          </w:p>
          <w:p w14:paraId="452652FB" w14:textId="77777777" w:rsidR="00F7073C" w:rsidRDefault="00F7073C" w:rsidP="0099230B">
            <w:pPr>
              <w:pStyle w:val="ListParagraph"/>
              <w:numPr>
                <w:ilvl w:val="0"/>
                <w:numId w:val="6"/>
              </w:numPr>
            </w:pPr>
            <w:r w:rsidRPr="00F7073C">
              <w:t xml:space="preserve">advise the person of the option to apply and have VLA assess their application </w:t>
            </w:r>
          </w:p>
          <w:p w14:paraId="6F0EC089" w14:textId="42449802" w:rsidR="00F7073C" w:rsidRPr="009D709C" w:rsidRDefault="00F7073C" w:rsidP="0099230B">
            <w:pPr>
              <w:pStyle w:val="ListParagraph"/>
              <w:numPr>
                <w:ilvl w:val="0"/>
                <w:numId w:val="6"/>
              </w:numPr>
            </w:pPr>
            <w:r w:rsidRPr="00F7073C">
              <w:rPr>
                <w:rFonts w:cs="Arial"/>
              </w:rPr>
              <w:t>provide the person with referral information of firms who may be able to assist</w:t>
            </w:r>
            <w:r>
              <w:rPr>
                <w:rFonts w:cs="Arial"/>
              </w:rPr>
              <w:t xml:space="preserve"> t</w:t>
            </w:r>
            <w:r w:rsidRPr="00F7073C">
              <w:t xml:space="preserve">he person on </w:t>
            </w:r>
            <w:r w:rsidR="00867B00">
              <w:t xml:space="preserve">a </w:t>
            </w:r>
            <w:r w:rsidRPr="00F7073C">
              <w:t>private payment arrangement</w:t>
            </w:r>
            <w:r>
              <w:t xml:space="preserve"> (if the duty lawyer</w:t>
            </w:r>
            <w:r w:rsidR="00870DAA">
              <w:t xml:space="preserve">'s firm </w:t>
            </w:r>
            <w:r>
              <w:t>is unable to)</w:t>
            </w:r>
            <w:r w:rsidR="00FA6AAC">
              <w:t xml:space="preserve">, </w:t>
            </w:r>
            <w:proofErr w:type="gramStart"/>
            <w:r w:rsidR="00FA6AAC">
              <w:t xml:space="preserve">in </w:t>
            </w:r>
            <w:r w:rsidR="00867B00">
              <w:t xml:space="preserve">the </w:t>
            </w:r>
            <w:r w:rsidR="00FA6AAC">
              <w:t xml:space="preserve">event </w:t>
            </w:r>
            <w:r w:rsidR="00867B00">
              <w:t>that</w:t>
            </w:r>
            <w:proofErr w:type="gramEnd"/>
            <w:r w:rsidR="00867B00">
              <w:t xml:space="preserve"> the </w:t>
            </w:r>
            <w:r w:rsidR="00FA6AAC">
              <w:t>application for aid is not approved</w:t>
            </w:r>
            <w:r>
              <w:t>.</w:t>
            </w:r>
          </w:p>
        </w:tc>
      </w:tr>
      <w:tr w:rsidR="00E9204F" w14:paraId="1F7BF610" w14:textId="77777777" w:rsidTr="00933B63">
        <w:tc>
          <w:tcPr>
            <w:tcW w:w="3397" w:type="dxa"/>
          </w:tcPr>
          <w:p w14:paraId="755CF82A" w14:textId="4BED9B11" w:rsidR="00E9204F" w:rsidRDefault="00E9204F">
            <w:r>
              <w:t xml:space="preserve">Second duty lawyer service – </w:t>
            </w:r>
            <w:r w:rsidR="00FC700B">
              <w:t>c</w:t>
            </w:r>
            <w:r w:rsidR="00F73E31">
              <w:t>lar</w:t>
            </w:r>
            <w:r w:rsidR="002D7756">
              <w:t>ification of</w:t>
            </w:r>
            <w:r w:rsidR="00F73E31">
              <w:t xml:space="preserve"> </w:t>
            </w:r>
            <w:r>
              <w:t>process</w:t>
            </w:r>
          </w:p>
        </w:tc>
        <w:tc>
          <w:tcPr>
            <w:tcW w:w="6679" w:type="dxa"/>
          </w:tcPr>
          <w:p w14:paraId="251A60EA" w14:textId="074F62E4" w:rsidR="00E9204F" w:rsidRPr="00E9204F" w:rsidRDefault="00E9204F" w:rsidP="002D7756">
            <w:r w:rsidRPr="00E9204F">
              <w:t xml:space="preserve">If a duty lawyer appears for a party and the hearing is adjourned within </w:t>
            </w:r>
            <w:r>
              <w:t>two</w:t>
            </w:r>
            <w:r w:rsidRPr="00E9204F">
              <w:t xml:space="preserve"> business days for a reason beyond the party’s control, the duty lawyer must assess whether their client is eligible for a grant of legal assistance. </w:t>
            </w:r>
          </w:p>
          <w:p w14:paraId="0004AED4" w14:textId="485E6000" w:rsidR="00E9204F" w:rsidRPr="00E9204F" w:rsidRDefault="00E9204F" w:rsidP="002D7756">
            <w:r w:rsidRPr="00E9204F">
              <w:t xml:space="preserve">If the client is eligible for assistance, the duty lawyer should apply (or refer the client to another lawyer to apply) for a grant of legal </w:t>
            </w:r>
            <w:r w:rsidR="00D75CC5">
              <w:t>a</w:t>
            </w:r>
            <w:r w:rsidR="002B6C44">
              <w:t xml:space="preserve">ssistance </w:t>
            </w:r>
            <w:r w:rsidRPr="00E9204F">
              <w:t>for the adjourned hearing.</w:t>
            </w:r>
          </w:p>
          <w:p w14:paraId="0AA9645D" w14:textId="3539CB7F" w:rsidR="00E9204F" w:rsidRPr="002D7756" w:rsidDel="00B17A43" w:rsidRDefault="00E9204F" w:rsidP="00E9204F">
            <w:r w:rsidRPr="00E9204F">
              <w:t xml:space="preserve">If the client is assessed as not being eligible for a grant of legal </w:t>
            </w:r>
            <w:r w:rsidR="00D75CC5">
              <w:t>a</w:t>
            </w:r>
            <w:r w:rsidR="002B6C44">
              <w:t>ssistance</w:t>
            </w:r>
            <w:r w:rsidRPr="00E9204F">
              <w:t xml:space="preserve">, the duty lawyer should notify VLA as a matter of urgency so that VLA can assess eligibility for a second duty lawyer service. </w:t>
            </w:r>
            <w:r w:rsidRPr="0061590B">
              <w:t>The duty lawyer should provide VLA with the reason for the adjournment.</w:t>
            </w:r>
            <w:r w:rsidRPr="00E9204F">
              <w:t xml:space="preserve"> </w:t>
            </w:r>
          </w:p>
        </w:tc>
      </w:tr>
      <w:tr w:rsidR="008E6AE4" w14:paraId="75854535" w14:textId="77777777" w:rsidTr="00933B63">
        <w:tc>
          <w:tcPr>
            <w:tcW w:w="3397" w:type="dxa"/>
          </w:tcPr>
          <w:p w14:paraId="74244CDB" w14:textId="0D2579CD" w:rsidR="008E6AE4" w:rsidRDefault="00E9204F">
            <w:r>
              <w:t>Clarification of i</w:t>
            </w:r>
            <w:r w:rsidR="003A6F06">
              <w:t>nvoicing</w:t>
            </w:r>
            <w:r>
              <w:t xml:space="preserve"> requirements</w:t>
            </w:r>
          </w:p>
        </w:tc>
        <w:tc>
          <w:tcPr>
            <w:tcW w:w="6679" w:type="dxa"/>
          </w:tcPr>
          <w:p w14:paraId="2FA55A48" w14:textId="6CA29B9D" w:rsidR="003A6F06" w:rsidRPr="000F1A6E" w:rsidRDefault="00B17A43" w:rsidP="000F1A6E">
            <w:r>
              <w:t>A</w:t>
            </w:r>
            <w:r w:rsidR="00E722D8">
              <w:t xml:space="preserve"> </w:t>
            </w:r>
            <w:r w:rsidR="000F1A6E" w:rsidRPr="000F1A6E">
              <w:t xml:space="preserve">lawyer who provides duty lawyer services at more than one court location on the same day </w:t>
            </w:r>
            <w:r w:rsidR="007930EC">
              <w:t xml:space="preserve">must </w:t>
            </w:r>
            <w:r w:rsidR="000F1A6E" w:rsidRPr="000F1A6E">
              <w:t>submit one invoice for all services.</w:t>
            </w:r>
          </w:p>
        </w:tc>
      </w:tr>
      <w:tr w:rsidR="008E6AE4" w14:paraId="3F63B3E7" w14:textId="77777777" w:rsidTr="00933B63">
        <w:tc>
          <w:tcPr>
            <w:tcW w:w="3397" w:type="dxa"/>
          </w:tcPr>
          <w:p w14:paraId="14BD0648" w14:textId="04D4B314" w:rsidR="008E6AE4" w:rsidRDefault="003A6F06">
            <w:r>
              <w:t>Extended leave from a rostered private practitioner scheme</w:t>
            </w:r>
          </w:p>
        </w:tc>
        <w:tc>
          <w:tcPr>
            <w:tcW w:w="6679" w:type="dxa"/>
          </w:tcPr>
          <w:p w14:paraId="7D10C6E3" w14:textId="66E086B0" w:rsidR="008E6AE4" w:rsidRPr="000F1A6E" w:rsidRDefault="00FA6AAC" w:rsidP="000F1A6E">
            <w:r>
              <w:t>Added</w:t>
            </w:r>
            <w:r w:rsidR="003A6F06" w:rsidRPr="000F1A6E">
              <w:t xml:space="preserve"> section.</w:t>
            </w:r>
          </w:p>
          <w:p w14:paraId="43E19F3B" w14:textId="79FD54F9" w:rsidR="000F1A6E" w:rsidRPr="000F1A6E" w:rsidRDefault="000F1A6E" w:rsidP="000F1A6E">
            <w:r w:rsidRPr="000F1A6E">
              <w:t xml:space="preserve">Where a private practitioner member of a rostered child protection short service scheme intends to take extended leave for parental, </w:t>
            </w:r>
            <w:r w:rsidRPr="000F1A6E">
              <w:lastRenderedPageBreak/>
              <w:t xml:space="preserve">carer or health reasons, their firm should advise the relevant VLA scheme coordinator as soon as possible. </w:t>
            </w:r>
          </w:p>
          <w:p w14:paraId="2990D58F" w14:textId="23B9941C" w:rsidR="000F1A6E" w:rsidRPr="000F1A6E" w:rsidRDefault="000F1A6E" w:rsidP="000F1A6E">
            <w:r w:rsidRPr="000F1A6E">
              <w:t>The Firm will be given the opportunity to apply for another</w:t>
            </w:r>
            <w:r w:rsidR="008F5BD9">
              <w:t xml:space="preserve"> employee</w:t>
            </w:r>
            <w:r w:rsidRPr="000F1A6E">
              <w:t xml:space="preserve"> </w:t>
            </w:r>
            <w:r w:rsidR="008F5BD9">
              <w:t>(a child protection individual certifier)</w:t>
            </w:r>
            <w:r w:rsidRPr="000F1A6E">
              <w:t xml:space="preserve"> to replace the practitioner taking leave for the duration of the leave period</w:t>
            </w:r>
            <w:r w:rsidR="006A42D5">
              <w:t xml:space="preserve"> </w:t>
            </w:r>
            <w:r w:rsidR="006A42D5" w:rsidRPr="00281269">
              <w:t xml:space="preserve">by submitting a new application form no later than </w:t>
            </w:r>
            <w:r w:rsidR="00D90384">
              <w:t>six</w:t>
            </w:r>
            <w:r w:rsidR="006A42D5" w:rsidRPr="00281269">
              <w:t xml:space="preserve"> weeks before the proposed commencement of leave</w:t>
            </w:r>
            <w:r w:rsidRPr="000F1A6E">
              <w:t xml:space="preserve">. </w:t>
            </w:r>
          </w:p>
          <w:p w14:paraId="32A6ADBB" w14:textId="51CC23A8" w:rsidR="000F1A6E" w:rsidRPr="000F1A6E" w:rsidRDefault="000F1A6E" w:rsidP="000F1A6E">
            <w:r w:rsidRPr="000F1A6E">
              <w:t xml:space="preserve">If the new applicant is assessed as unsuitable or no application is made by the Firm, the </w:t>
            </w:r>
            <w:r w:rsidR="006A42D5">
              <w:t>Firm</w:t>
            </w:r>
            <w:r w:rsidRPr="000F1A6E">
              <w:t xml:space="preserve"> wi</w:t>
            </w:r>
            <w:r w:rsidR="008F5BD9">
              <w:t>ll</w:t>
            </w:r>
            <w:r w:rsidRPr="000F1A6E">
              <w:t xml:space="preserve"> forgo </w:t>
            </w:r>
            <w:r w:rsidR="009A7EDF">
              <w:t>that</w:t>
            </w:r>
            <w:r w:rsidR="009A7EDF" w:rsidRPr="000F1A6E">
              <w:t xml:space="preserve"> </w:t>
            </w:r>
            <w:r w:rsidRPr="000F1A6E">
              <w:t>roster</w:t>
            </w:r>
            <w:r w:rsidR="006A42D5">
              <w:t xml:space="preserve"> position</w:t>
            </w:r>
            <w:r w:rsidRPr="000F1A6E">
              <w:t xml:space="preserve"> for the period of </w:t>
            </w:r>
            <w:r w:rsidR="00E9204F">
              <w:t>leave</w:t>
            </w:r>
            <w:r w:rsidRPr="000F1A6E">
              <w:t xml:space="preserve">. </w:t>
            </w:r>
            <w:r w:rsidR="00E326C2" w:rsidRPr="00B17A43">
              <w:t>In this circumstance, VLA may determine that the</w:t>
            </w:r>
            <w:r w:rsidR="00E9204F">
              <w:t xml:space="preserve"> vacant</w:t>
            </w:r>
            <w:r w:rsidR="00E326C2" w:rsidRPr="00B17A43">
              <w:t xml:space="preserve"> rostered position will be shared among all members of the scheme</w:t>
            </w:r>
            <w:r w:rsidR="00D90384">
              <w:t>,</w:t>
            </w:r>
            <w:r w:rsidR="00E326C2" w:rsidRPr="00B17A43">
              <w:t xml:space="preserve"> until the person on leave returns, or choose to open an application process for this time-limited position if warranted by demand.</w:t>
            </w:r>
          </w:p>
        </w:tc>
      </w:tr>
      <w:tr w:rsidR="0095599B" w14:paraId="0C963CDA" w14:textId="77777777" w:rsidTr="00933B63">
        <w:tc>
          <w:tcPr>
            <w:tcW w:w="3397" w:type="dxa"/>
          </w:tcPr>
          <w:p w14:paraId="3BB98CF0" w14:textId="76E3FD11" w:rsidR="0095599B" w:rsidRDefault="0095599B">
            <w:r>
              <w:lastRenderedPageBreak/>
              <w:t>Departure from a rostered private practitioner scheme</w:t>
            </w:r>
          </w:p>
        </w:tc>
        <w:tc>
          <w:tcPr>
            <w:tcW w:w="6679" w:type="dxa"/>
          </w:tcPr>
          <w:p w14:paraId="2B2B5E69" w14:textId="77777777" w:rsidR="0095599B" w:rsidRPr="000F1A6E" w:rsidRDefault="0095599B" w:rsidP="0095599B">
            <w:r>
              <w:t>Added</w:t>
            </w:r>
            <w:r w:rsidRPr="000F1A6E">
              <w:t xml:space="preserve"> section.</w:t>
            </w:r>
          </w:p>
          <w:p w14:paraId="1885DBAA" w14:textId="4FBF939C" w:rsidR="0095599B" w:rsidRDefault="0095599B" w:rsidP="0095599B">
            <w:r w:rsidRPr="000F1A6E">
              <w:t xml:space="preserve">Where a private practitioner member of a rostered child protection short service scheme </w:t>
            </w:r>
            <w:r>
              <w:t>leaves their Firm</w:t>
            </w:r>
            <w:r w:rsidRPr="000F1A6E">
              <w:t xml:space="preserve">, </w:t>
            </w:r>
            <w:r>
              <w:t>t</w:t>
            </w:r>
            <w:r w:rsidRPr="000F1A6E">
              <w:t>he Firm will be given the opportunity to apply for another</w:t>
            </w:r>
            <w:r>
              <w:t xml:space="preserve"> employee</w:t>
            </w:r>
            <w:r w:rsidRPr="000F1A6E">
              <w:t xml:space="preserve"> </w:t>
            </w:r>
            <w:r>
              <w:t>(a child protection individual certifier)</w:t>
            </w:r>
            <w:r w:rsidRPr="000F1A6E">
              <w:t xml:space="preserve"> to </w:t>
            </w:r>
            <w:r>
              <w:t>join the scheme in their place.</w:t>
            </w:r>
          </w:p>
          <w:p w14:paraId="0E3B6F46" w14:textId="6D2D8DCE" w:rsidR="0095599B" w:rsidRDefault="0095599B" w:rsidP="0095599B">
            <w:r w:rsidRPr="000F1A6E">
              <w:t xml:space="preserve">If the new applicant is assessed as unsuitable or no application is made by the Firm, the </w:t>
            </w:r>
            <w:r>
              <w:t>Firm</w:t>
            </w:r>
            <w:r w:rsidRPr="000F1A6E">
              <w:t xml:space="preserve"> wi</w:t>
            </w:r>
            <w:r>
              <w:t>ll</w:t>
            </w:r>
            <w:r w:rsidRPr="000F1A6E">
              <w:t xml:space="preserve"> forgo </w:t>
            </w:r>
            <w:r>
              <w:t>one</w:t>
            </w:r>
            <w:r w:rsidRPr="000F1A6E">
              <w:t xml:space="preserve"> roster</w:t>
            </w:r>
            <w:r>
              <w:t xml:space="preserve"> position.</w:t>
            </w:r>
          </w:p>
          <w:p w14:paraId="6908BB28" w14:textId="77777777" w:rsidR="0095599B" w:rsidRDefault="0095599B" w:rsidP="0095599B">
            <w:r w:rsidRPr="00B17A43">
              <w:t>In this circumstance, VLA may determine that the</w:t>
            </w:r>
            <w:r>
              <w:t xml:space="preserve"> vacant</w:t>
            </w:r>
            <w:r w:rsidRPr="00B17A43">
              <w:t xml:space="preserve"> rostered position will be shared among all </w:t>
            </w:r>
            <w:r>
              <w:t xml:space="preserve">existing </w:t>
            </w:r>
            <w:r w:rsidRPr="00B17A43">
              <w:t>members of the scheme or choose to open an application process for this position if warranted by demand.</w:t>
            </w:r>
          </w:p>
          <w:p w14:paraId="58609739" w14:textId="1E216BBC" w:rsidR="0095599B" w:rsidRDefault="0095599B" w:rsidP="0095599B">
            <w:r>
              <w:t>Note that scheme positions are linked to a Firm, therefore a practitioner who moves to another firm or commences practice as a sole practitioner will not automatically retain their membership of the rostered scheme. They may re-apply for a position through their new firm when applications are opened by VLA.</w:t>
            </w:r>
          </w:p>
        </w:tc>
      </w:tr>
    </w:tbl>
    <w:p w14:paraId="24BAFD92" w14:textId="77777777" w:rsidR="005003E8" w:rsidRDefault="005003E8"/>
    <w:sectPr w:rsidR="005003E8" w:rsidSect="00E36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9F61" w14:textId="77777777" w:rsidR="00C3384B" w:rsidRDefault="00C3384B" w:rsidP="00C3384B">
      <w:pPr>
        <w:spacing w:after="0" w:line="240" w:lineRule="auto"/>
      </w:pPr>
      <w:r>
        <w:separator/>
      </w:r>
    </w:p>
  </w:endnote>
  <w:endnote w:type="continuationSeparator" w:id="0">
    <w:p w14:paraId="5F8DC9C0" w14:textId="77777777" w:rsidR="00C3384B" w:rsidRDefault="00C3384B" w:rsidP="00C3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5224" w14:textId="77777777" w:rsidR="00E365A9" w:rsidRDefault="008E1BE5" w:rsidP="00E365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D71A61" w14:textId="77777777" w:rsidR="00E365A9" w:rsidRDefault="000527EF" w:rsidP="00E365A9">
    <w:pPr>
      <w:pStyle w:val="Footer"/>
      <w:ind w:right="360" w:firstLine="360"/>
    </w:pPr>
  </w:p>
  <w:p w14:paraId="771BB2E8" w14:textId="77777777" w:rsidR="00E365A9" w:rsidRDefault="000527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FF95" w14:textId="51861815" w:rsidR="00E365A9" w:rsidRDefault="008E1BE5" w:rsidP="00E365A9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 w:rsidR="007F3335"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1" layoutInCell="1" allowOverlap="1" wp14:anchorId="23901E93" wp14:editId="5631DA07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C8400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2C4B" w14:textId="3C53E7F7" w:rsidR="00E365A9" w:rsidRPr="008636E1" w:rsidRDefault="008E1BE5" w:rsidP="00E365A9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 w:rsidR="007F3335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1" layoutInCell="1" allowOverlap="1" wp14:anchorId="6AF1C2E5" wp14:editId="045B4432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1998F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CD56" w14:textId="77777777" w:rsidR="00C3384B" w:rsidRDefault="00C3384B" w:rsidP="00C3384B">
      <w:pPr>
        <w:spacing w:after="0" w:line="240" w:lineRule="auto"/>
      </w:pPr>
      <w:r>
        <w:separator/>
      </w:r>
    </w:p>
  </w:footnote>
  <w:footnote w:type="continuationSeparator" w:id="0">
    <w:p w14:paraId="6EEEB97E" w14:textId="77777777" w:rsidR="00C3384B" w:rsidRDefault="00C3384B" w:rsidP="00C3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AEB2" w14:textId="77777777" w:rsidR="00E365A9" w:rsidRDefault="008E1BE5" w:rsidP="00E365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10C4E5" w14:textId="77777777" w:rsidR="00E365A9" w:rsidRDefault="000527EF" w:rsidP="00E365A9">
    <w:pPr>
      <w:pStyle w:val="Header"/>
      <w:ind w:right="360"/>
    </w:pPr>
  </w:p>
  <w:p w14:paraId="315E640D" w14:textId="77777777" w:rsidR="00E365A9" w:rsidRDefault="000527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C8D5" w14:textId="77777777" w:rsidR="00E365A9" w:rsidRPr="006A6FC6" w:rsidRDefault="008E1BE5" w:rsidP="00E365A9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17D45458" w14:textId="6A3B4DE2" w:rsidR="00E365A9" w:rsidRPr="00EF7C5C" w:rsidRDefault="00FA6AAC" w:rsidP="00E365A9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w:t>Overview of proposed updates to VLA Child Protection Duty Lawyer Service Manual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636B" w14:textId="77777777" w:rsidR="00E365A9" w:rsidRPr="00833658" w:rsidRDefault="008E1BE5" w:rsidP="00E365A9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79C520A7" wp14:editId="1A8299C3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AC57A" w14:textId="77777777" w:rsidR="00E365A9" w:rsidRPr="00D82005" w:rsidRDefault="000527EF" w:rsidP="00E365A9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4BA"/>
    <w:multiLevelType w:val="hybridMultilevel"/>
    <w:tmpl w:val="CE263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E19CD"/>
    <w:multiLevelType w:val="hybridMultilevel"/>
    <w:tmpl w:val="66A8A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67DF2"/>
    <w:multiLevelType w:val="multilevel"/>
    <w:tmpl w:val="FF064AA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A677A0"/>
    <w:multiLevelType w:val="hybridMultilevel"/>
    <w:tmpl w:val="15D03402"/>
    <w:lvl w:ilvl="0" w:tplc="703296F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A180F"/>
    <w:multiLevelType w:val="hybridMultilevel"/>
    <w:tmpl w:val="536CCC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8C69F0"/>
    <w:multiLevelType w:val="hybridMultilevel"/>
    <w:tmpl w:val="3050E5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407450">
    <w:abstractNumId w:val="0"/>
  </w:num>
  <w:num w:numId="2" w16cid:durableId="700055951">
    <w:abstractNumId w:val="4"/>
  </w:num>
  <w:num w:numId="3" w16cid:durableId="1693727564">
    <w:abstractNumId w:val="5"/>
  </w:num>
  <w:num w:numId="4" w16cid:durableId="907039985">
    <w:abstractNumId w:val="2"/>
  </w:num>
  <w:num w:numId="5" w16cid:durableId="984622914">
    <w:abstractNumId w:val="3"/>
  </w:num>
  <w:num w:numId="6" w16cid:durableId="200377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35"/>
    <w:rsid w:val="000527EF"/>
    <w:rsid w:val="000B0212"/>
    <w:rsid w:val="000C3926"/>
    <w:rsid w:val="000F1A6E"/>
    <w:rsid w:val="00141497"/>
    <w:rsid w:val="0017317D"/>
    <w:rsid w:val="001D5D50"/>
    <w:rsid w:val="002B1C09"/>
    <w:rsid w:val="002B6C44"/>
    <w:rsid w:val="002D7756"/>
    <w:rsid w:val="0035597F"/>
    <w:rsid w:val="003A6F06"/>
    <w:rsid w:val="00413FFC"/>
    <w:rsid w:val="0044395A"/>
    <w:rsid w:val="005003E8"/>
    <w:rsid w:val="00532715"/>
    <w:rsid w:val="0061590B"/>
    <w:rsid w:val="006A42D5"/>
    <w:rsid w:val="006C0D20"/>
    <w:rsid w:val="007930EC"/>
    <w:rsid w:val="007F3335"/>
    <w:rsid w:val="00822E72"/>
    <w:rsid w:val="008267F8"/>
    <w:rsid w:val="00857533"/>
    <w:rsid w:val="00867B00"/>
    <w:rsid w:val="00870DAA"/>
    <w:rsid w:val="008B7D76"/>
    <w:rsid w:val="008E1BE5"/>
    <w:rsid w:val="008E6AE4"/>
    <w:rsid w:val="008F5BD9"/>
    <w:rsid w:val="00933B63"/>
    <w:rsid w:val="00954DB1"/>
    <w:rsid w:val="0095599B"/>
    <w:rsid w:val="0099230B"/>
    <w:rsid w:val="009A7EDF"/>
    <w:rsid w:val="009D709C"/>
    <w:rsid w:val="009D7B52"/>
    <w:rsid w:val="00AA5ECA"/>
    <w:rsid w:val="00AD7D09"/>
    <w:rsid w:val="00B17A43"/>
    <w:rsid w:val="00C3384B"/>
    <w:rsid w:val="00CD438E"/>
    <w:rsid w:val="00D75CC5"/>
    <w:rsid w:val="00D90384"/>
    <w:rsid w:val="00E326C2"/>
    <w:rsid w:val="00E47E02"/>
    <w:rsid w:val="00E722D8"/>
    <w:rsid w:val="00E9204F"/>
    <w:rsid w:val="00ED2291"/>
    <w:rsid w:val="00F7073C"/>
    <w:rsid w:val="00F73E31"/>
    <w:rsid w:val="00F83DC9"/>
    <w:rsid w:val="00FA6AAC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0D96EA"/>
  <w15:chartTrackingRefBased/>
  <w15:docId w15:val="{4B8A6B57-7B10-47A7-8C6A-A73975BE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335"/>
    <w:pPr>
      <w:spacing w:after="120" w:line="300" w:lineRule="atLeast"/>
    </w:pPr>
    <w:rPr>
      <w:rFonts w:ascii="Arial" w:eastAsia="Times New Roman" w:hAnsi="Arial" w:cs="Times New Roman"/>
      <w:szCs w:val="24"/>
    </w:rPr>
  </w:style>
  <w:style w:type="paragraph" w:styleId="Heading1">
    <w:name w:val="heading 1"/>
    <w:next w:val="Normal"/>
    <w:link w:val="Heading1Char"/>
    <w:qFormat/>
    <w:rsid w:val="007F3335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3">
    <w:name w:val="heading 3"/>
    <w:next w:val="Normal"/>
    <w:link w:val="Heading3Char"/>
    <w:qFormat/>
    <w:rsid w:val="007F333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3335"/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7F3335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Footer">
    <w:name w:val="footer"/>
    <w:basedOn w:val="Normal"/>
    <w:link w:val="FooterChar"/>
    <w:rsid w:val="007F33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3335"/>
    <w:rPr>
      <w:rFonts w:ascii="Arial" w:eastAsia="Times New Roman" w:hAnsi="Arial" w:cs="Times New Roman"/>
      <w:szCs w:val="24"/>
    </w:rPr>
  </w:style>
  <w:style w:type="paragraph" w:styleId="Header">
    <w:name w:val="header"/>
    <w:link w:val="HeaderChar"/>
    <w:rsid w:val="007F3335"/>
    <w:pPr>
      <w:pBdr>
        <w:bottom w:val="single" w:sz="4" w:space="1" w:color="B1005D"/>
      </w:pBdr>
      <w:tabs>
        <w:tab w:val="center" w:pos="4604"/>
        <w:tab w:val="right" w:pos="9214"/>
      </w:tabs>
      <w:spacing w:after="0" w:line="240" w:lineRule="atLeast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7F3335"/>
    <w:rPr>
      <w:rFonts w:ascii="Arial" w:eastAsia="Times New Roman" w:hAnsi="Arial" w:cs="Times New Roman"/>
      <w:szCs w:val="24"/>
    </w:rPr>
  </w:style>
  <w:style w:type="character" w:styleId="PageNumber">
    <w:name w:val="page number"/>
    <w:semiHidden/>
    <w:rsid w:val="007F3335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7F3335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7F3335"/>
    <w:pPr>
      <w:spacing w:before="120" w:after="960" w:line="240" w:lineRule="auto"/>
      <w:ind w:left="-329"/>
    </w:pPr>
    <w:rPr>
      <w:color w:val="FFFFFF"/>
      <w:sz w:val="18"/>
      <w:szCs w:val="18"/>
    </w:rPr>
  </w:style>
  <w:style w:type="character" w:styleId="Hyperlink">
    <w:name w:val="Hyperlink"/>
    <w:uiPriority w:val="99"/>
    <w:rsid w:val="007F3335"/>
    <w:rPr>
      <w:rFonts w:ascii="Arial" w:hAnsi="Arial"/>
      <w:color w:val="0000FF"/>
      <w:u w:val="single"/>
      <w:lang w:val="en-AU"/>
    </w:rPr>
  </w:style>
  <w:style w:type="paragraph" w:styleId="ListParagraph">
    <w:name w:val="List Paragraph"/>
    <w:basedOn w:val="Normal"/>
    <w:uiPriority w:val="99"/>
    <w:qFormat/>
    <w:rsid w:val="007F33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8575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7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753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533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E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0F1A6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B1C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0DAA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cf01">
    <w:name w:val="cf01"/>
    <w:basedOn w:val="DefaultParagraphFont"/>
    <w:rsid w:val="00E326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alaid.vic.gov.au/changes-our-services-due-covid-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proposed updates to Child Protection Duty Lawyer Service Manual 2022 (accessible)</vt:lpstr>
    </vt:vector>
  </TitlesOfParts>
  <Company>Victoria Legal Aid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proposed updates to Child Protection Duty Lawyer Service Manual 2022 (accessible)</dc:title>
  <dc:subject/>
  <dc:creator>Victoria Legal Aid</dc:creator>
  <cp:keywords/>
  <dc:description/>
  <dcterms:created xsi:type="dcterms:W3CDTF">2022-06-22T03:46:00Z</dcterms:created>
  <dcterms:modified xsi:type="dcterms:W3CDTF">2022-06-28T00:38:00Z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2022-06-28T00:38:12Z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1aab9d56-cc1b-42fa-8777-f1f83d44f781</vt:lpwstr>
  </property>
  <property fmtid="{D5CDD505-2E9C-101B-9397-08002B2CF9AE}" pid="8" name="MSIP_Label_37c4e7ed-f245-4af1-a266-99d53943bd03_ContentBits">
    <vt:lpwstr>0</vt:lpwstr>
  </property>
</Properties>
</file>