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1087" w14:textId="417289F7" w:rsidR="00461300" w:rsidRDefault="008D47E2" w:rsidP="008D47E2">
      <w:pPr>
        <w:pStyle w:val="Heading1"/>
      </w:pPr>
      <w:r>
        <w:t>Procurement Activity Plan 2023</w:t>
      </w:r>
      <w:r>
        <w:t>–</w:t>
      </w:r>
      <w:r>
        <w:t>24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266"/>
        <w:gridCol w:w="1136"/>
        <w:gridCol w:w="993"/>
        <w:gridCol w:w="1845"/>
        <w:gridCol w:w="1134"/>
        <w:gridCol w:w="1276"/>
        <w:gridCol w:w="882"/>
      </w:tblGrid>
      <w:tr w:rsidR="008D47E2" w:rsidRPr="004145C4" w14:paraId="6F1C678F" w14:textId="77777777" w:rsidTr="008D47E2">
        <w:trPr>
          <w:cantSplit/>
          <w:trHeight w:val="1287"/>
          <w:tblHeader/>
        </w:trPr>
        <w:tc>
          <w:tcPr>
            <w:tcW w:w="344" w:type="pct"/>
            <w:shd w:val="clear" w:color="000000" w:fill="D9D9D9"/>
            <w:hideMark/>
          </w:tcPr>
          <w:p w14:paraId="64A18B71" w14:textId="77777777" w:rsidR="008D47E2" w:rsidRPr="008D47E2" w:rsidRDefault="008D47E2" w:rsidP="008D47E2">
            <w:pPr>
              <w:rPr>
                <w:b/>
                <w:bCs/>
                <w:sz w:val="20"/>
                <w:szCs w:val="20"/>
              </w:rPr>
            </w:pPr>
            <w:r w:rsidRPr="008D47E2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07" w:type="pct"/>
            <w:shd w:val="clear" w:color="000000" w:fill="D9D9D9"/>
            <w:hideMark/>
          </w:tcPr>
          <w:p w14:paraId="246F644A" w14:textId="77777777" w:rsidR="008D47E2" w:rsidRPr="008D47E2" w:rsidRDefault="008D47E2" w:rsidP="008D47E2">
            <w:pPr>
              <w:rPr>
                <w:b/>
                <w:bCs/>
                <w:sz w:val="20"/>
                <w:szCs w:val="20"/>
              </w:rPr>
            </w:pPr>
            <w:r w:rsidRPr="008D47E2">
              <w:rPr>
                <w:b/>
                <w:bCs/>
                <w:sz w:val="20"/>
                <w:szCs w:val="20"/>
              </w:rPr>
              <w:t>Procurement name and description (include a brief description of conditions of participation and any limitation of the number of participating suppliers if known)</w:t>
            </w:r>
          </w:p>
        </w:tc>
        <w:tc>
          <w:tcPr>
            <w:tcW w:w="555" w:type="pct"/>
            <w:shd w:val="clear" w:color="000000" w:fill="D9D9D9"/>
            <w:hideMark/>
          </w:tcPr>
          <w:p w14:paraId="6067367C" w14:textId="77777777" w:rsidR="008D47E2" w:rsidRPr="008D47E2" w:rsidRDefault="008D47E2" w:rsidP="008D47E2">
            <w:pPr>
              <w:rPr>
                <w:b/>
                <w:bCs/>
                <w:sz w:val="20"/>
                <w:szCs w:val="20"/>
              </w:rPr>
            </w:pPr>
            <w:r w:rsidRPr="008D47E2">
              <w:rPr>
                <w:b/>
                <w:bCs/>
                <w:sz w:val="20"/>
                <w:szCs w:val="20"/>
              </w:rPr>
              <w:t>Estimated contract duration</w:t>
            </w:r>
          </w:p>
        </w:tc>
        <w:tc>
          <w:tcPr>
            <w:tcW w:w="485" w:type="pct"/>
            <w:shd w:val="clear" w:color="000000" w:fill="D9D9D9"/>
            <w:hideMark/>
          </w:tcPr>
          <w:p w14:paraId="72A21773" w14:textId="77777777" w:rsidR="008D47E2" w:rsidRPr="008D47E2" w:rsidRDefault="008D47E2" w:rsidP="008D47E2">
            <w:pPr>
              <w:rPr>
                <w:b/>
                <w:bCs/>
                <w:sz w:val="20"/>
                <w:szCs w:val="20"/>
              </w:rPr>
            </w:pPr>
            <w:r w:rsidRPr="008D47E2">
              <w:rPr>
                <w:b/>
                <w:bCs/>
                <w:sz w:val="20"/>
                <w:szCs w:val="20"/>
              </w:rPr>
              <w:t xml:space="preserve">Group/ </w:t>
            </w:r>
            <w:r w:rsidRPr="008D47E2">
              <w:rPr>
                <w:b/>
                <w:bCs/>
                <w:sz w:val="20"/>
                <w:szCs w:val="20"/>
              </w:rPr>
              <w:br/>
              <w:t>business unit</w:t>
            </w:r>
          </w:p>
        </w:tc>
        <w:tc>
          <w:tcPr>
            <w:tcW w:w="901" w:type="pct"/>
            <w:shd w:val="clear" w:color="000000" w:fill="D9D9D9"/>
            <w:hideMark/>
          </w:tcPr>
          <w:p w14:paraId="4F6A7FE7" w14:textId="77777777" w:rsidR="008D47E2" w:rsidRPr="008D47E2" w:rsidRDefault="008D47E2" w:rsidP="008D47E2">
            <w:pPr>
              <w:rPr>
                <w:b/>
                <w:bCs/>
                <w:sz w:val="20"/>
                <w:szCs w:val="20"/>
              </w:rPr>
            </w:pPr>
            <w:r w:rsidRPr="008D47E2">
              <w:rPr>
                <w:b/>
                <w:bCs/>
                <w:sz w:val="20"/>
                <w:szCs w:val="20"/>
              </w:rPr>
              <w:t xml:space="preserve">Procurement contact details </w:t>
            </w:r>
          </w:p>
          <w:p w14:paraId="43B994C3" w14:textId="77777777" w:rsidR="008D47E2" w:rsidRPr="008D47E2" w:rsidRDefault="008D47E2" w:rsidP="008D47E2">
            <w:pPr>
              <w:rPr>
                <w:b/>
                <w:bCs/>
                <w:sz w:val="20"/>
                <w:szCs w:val="20"/>
              </w:rPr>
            </w:pPr>
            <w:r w:rsidRPr="008D47E2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8D47E2">
              <w:rPr>
                <w:b/>
                <w:bCs/>
                <w:sz w:val="20"/>
                <w:szCs w:val="20"/>
              </w:rPr>
              <w:t>including</w:t>
            </w:r>
            <w:proofErr w:type="gramEnd"/>
            <w:r w:rsidRPr="008D47E2">
              <w:rPr>
                <w:b/>
                <w:bCs/>
                <w:sz w:val="20"/>
                <w:szCs w:val="20"/>
              </w:rPr>
              <w:t xml:space="preserve"> address for obtaining relevant documents)</w:t>
            </w:r>
          </w:p>
        </w:tc>
        <w:tc>
          <w:tcPr>
            <w:tcW w:w="554" w:type="pct"/>
            <w:shd w:val="clear" w:color="000000" w:fill="D9D9D9"/>
            <w:hideMark/>
          </w:tcPr>
          <w:p w14:paraId="7C2A34C6" w14:textId="1B608E08" w:rsidR="008D47E2" w:rsidRPr="008D47E2" w:rsidRDefault="008D47E2" w:rsidP="008D47E2">
            <w:pPr>
              <w:rPr>
                <w:b/>
                <w:bCs/>
                <w:sz w:val="20"/>
                <w:szCs w:val="20"/>
              </w:rPr>
            </w:pPr>
            <w:r w:rsidRPr="008D47E2">
              <w:rPr>
                <w:b/>
                <w:bCs/>
                <w:sz w:val="20"/>
                <w:szCs w:val="20"/>
              </w:rPr>
              <w:t xml:space="preserve">Market </w:t>
            </w:r>
            <w:r w:rsidRPr="008D47E2">
              <w:rPr>
                <w:b/>
                <w:bCs/>
                <w:sz w:val="20"/>
                <w:szCs w:val="20"/>
              </w:rPr>
              <w:t>a</w:t>
            </w:r>
            <w:r w:rsidRPr="008D47E2">
              <w:rPr>
                <w:b/>
                <w:bCs/>
                <w:sz w:val="20"/>
                <w:szCs w:val="20"/>
              </w:rPr>
              <w:t>pproach</w:t>
            </w:r>
            <w:r w:rsidRPr="008D47E2">
              <w:rPr>
                <w:b/>
                <w:bCs/>
                <w:sz w:val="20"/>
                <w:szCs w:val="20"/>
              </w:rPr>
              <w:t xml:space="preserve"> (s</w:t>
            </w:r>
            <w:r w:rsidRPr="008D47E2">
              <w:rPr>
                <w:b/>
                <w:bCs/>
                <w:sz w:val="20"/>
                <w:szCs w:val="20"/>
              </w:rPr>
              <w:t>elect from options</w:t>
            </w:r>
            <w:r w:rsidRPr="008D47E2">
              <w:rPr>
                <w:b/>
                <w:bCs/>
                <w:sz w:val="20"/>
                <w:szCs w:val="20"/>
              </w:rPr>
              <w:t>)</w:t>
            </w:r>
          </w:p>
          <w:p w14:paraId="418CE07F" w14:textId="7A3792AD" w:rsidR="008D47E2" w:rsidRPr="008D47E2" w:rsidRDefault="008D47E2" w:rsidP="008D47E2">
            <w:pPr>
              <w:rPr>
                <w:b/>
                <w:bCs/>
                <w:sz w:val="20"/>
                <w:szCs w:val="20"/>
              </w:rPr>
            </w:pPr>
            <w:r w:rsidRPr="008D47E2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623" w:type="pct"/>
            <w:shd w:val="clear" w:color="000000" w:fill="D9D9D9"/>
            <w:hideMark/>
          </w:tcPr>
          <w:p w14:paraId="548D31F1" w14:textId="77777777" w:rsidR="008D47E2" w:rsidRPr="008D47E2" w:rsidRDefault="008D47E2" w:rsidP="008D47E2">
            <w:pPr>
              <w:rPr>
                <w:b/>
                <w:bCs/>
                <w:sz w:val="20"/>
                <w:szCs w:val="20"/>
              </w:rPr>
            </w:pPr>
            <w:r w:rsidRPr="008D47E2">
              <w:rPr>
                <w:b/>
                <w:bCs/>
                <w:sz w:val="20"/>
                <w:szCs w:val="20"/>
              </w:rPr>
              <w:t>Estimated date for market approach and tender submissions (including address for tender submissions if known)</w:t>
            </w:r>
          </w:p>
        </w:tc>
        <w:tc>
          <w:tcPr>
            <w:tcW w:w="431" w:type="pct"/>
            <w:shd w:val="clear" w:color="000000" w:fill="D9D9D9"/>
            <w:hideMark/>
          </w:tcPr>
          <w:p w14:paraId="47C1C12B" w14:textId="78718475" w:rsidR="008D47E2" w:rsidRPr="008D47E2" w:rsidRDefault="008D47E2" w:rsidP="008D47E2">
            <w:pPr>
              <w:rPr>
                <w:b/>
                <w:bCs/>
                <w:sz w:val="20"/>
                <w:szCs w:val="20"/>
              </w:rPr>
            </w:pPr>
            <w:r w:rsidRPr="008D47E2">
              <w:rPr>
                <w:b/>
                <w:bCs/>
                <w:sz w:val="20"/>
                <w:szCs w:val="20"/>
              </w:rPr>
              <w:t>Nature</w:t>
            </w:r>
            <w:r w:rsidRPr="008D47E2">
              <w:rPr>
                <w:b/>
                <w:bCs/>
                <w:sz w:val="20"/>
                <w:szCs w:val="20"/>
              </w:rPr>
              <w:t xml:space="preserve"> </w:t>
            </w:r>
            <w:r w:rsidRPr="008D47E2">
              <w:rPr>
                <w:b/>
                <w:bCs/>
                <w:sz w:val="20"/>
                <w:szCs w:val="20"/>
              </w:rPr>
              <w:t xml:space="preserve">(select from options) </w:t>
            </w:r>
            <w:r w:rsidRPr="008D47E2">
              <w:rPr>
                <w:b/>
                <w:bCs/>
                <w:sz w:val="20"/>
                <w:szCs w:val="20"/>
              </w:rPr>
              <w:br/>
            </w:r>
          </w:p>
        </w:tc>
      </w:tr>
      <w:tr w:rsidR="008D47E2" w:rsidRPr="004145C4" w14:paraId="20D3C4C2" w14:textId="77777777" w:rsidTr="008D47E2">
        <w:trPr>
          <w:cantSplit/>
          <w:trHeight w:val="301"/>
          <w:tblHeader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2FBDCA18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VLA-</w:t>
            </w:r>
          </w:p>
        </w:tc>
        <w:tc>
          <w:tcPr>
            <w:tcW w:w="1107" w:type="pct"/>
            <w:shd w:val="clear" w:color="auto" w:fill="auto"/>
            <w:noWrap/>
            <w:vAlign w:val="bottom"/>
          </w:tcPr>
          <w:p w14:paraId="1EFEB8FD" w14:textId="771FE343" w:rsidR="008D47E2" w:rsidRPr="008D47E2" w:rsidRDefault="008D47E2" w:rsidP="008D47E2">
            <w:pPr>
              <w:rPr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Core switch upgrade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2D0B7337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3 years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14:paraId="2B4FCC64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DTT</w:t>
            </w:r>
          </w:p>
        </w:tc>
        <w:tc>
          <w:tcPr>
            <w:tcW w:w="901" w:type="pct"/>
            <w:shd w:val="clear" w:color="auto" w:fill="auto"/>
            <w:noWrap/>
            <w:vAlign w:val="bottom"/>
          </w:tcPr>
          <w:p w14:paraId="2F60CFC7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rFonts w:cs="Times New Roman"/>
                <w:sz w:val="20"/>
                <w:szCs w:val="20"/>
              </w:rPr>
              <w:t>Dan Murray - Procurement and Contracts Lead</w:t>
            </w:r>
          </w:p>
          <w:p w14:paraId="300FC8A8" w14:textId="1D9E271D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hyperlink r:id="rId10" w:history="1">
              <w:r w:rsidRPr="00076972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Dan.murray@vla.vic.gov.au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89193D2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RFT/RFQ/ITS (SPC)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33E0C15F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Jul-23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50672A6F" w14:textId="6D10A7C4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goods and service</w:t>
            </w:r>
          </w:p>
        </w:tc>
      </w:tr>
      <w:tr w:rsidR="008D47E2" w:rsidRPr="004145C4" w14:paraId="0CF61C19" w14:textId="77777777" w:rsidTr="008D47E2">
        <w:trPr>
          <w:cantSplit/>
          <w:trHeight w:val="301"/>
          <w:tblHeader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7730178C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TBA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14:paraId="0B04443B" w14:textId="77AF8C5D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Service delivery performance review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3DBA5457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10 Months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14:paraId="30425D55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Corporate</w:t>
            </w:r>
          </w:p>
        </w:tc>
        <w:tc>
          <w:tcPr>
            <w:tcW w:w="901" w:type="pct"/>
            <w:shd w:val="clear" w:color="auto" w:fill="auto"/>
            <w:noWrap/>
            <w:vAlign w:val="bottom"/>
          </w:tcPr>
          <w:p w14:paraId="7D03438B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rFonts w:cs="Times New Roman"/>
                <w:sz w:val="20"/>
                <w:szCs w:val="20"/>
              </w:rPr>
              <w:t>Dan Murray - Procurement and Contracts Lead</w:t>
            </w:r>
          </w:p>
          <w:p w14:paraId="01431825" w14:textId="269EF934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hyperlink r:id="rId11" w:history="1">
              <w:r w:rsidRPr="00076972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Dan.murray@vla.vic.gov.au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0602059B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RFT/RFQ/ITS (SPC)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169DCDB3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Jul-23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3EE90874" w14:textId="49C26BE9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service</w:t>
            </w:r>
          </w:p>
        </w:tc>
      </w:tr>
      <w:tr w:rsidR="008D47E2" w:rsidRPr="004145C4" w14:paraId="6F482BE9" w14:textId="77777777" w:rsidTr="008D47E2">
        <w:trPr>
          <w:cantSplit/>
          <w:trHeight w:val="301"/>
          <w:tblHeader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58A09B7C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TBA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14:paraId="2479CAED" w14:textId="23020E1F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Wireless network upgrade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F6AA8A2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3 Years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14:paraId="69D43414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DTT</w:t>
            </w:r>
          </w:p>
        </w:tc>
        <w:tc>
          <w:tcPr>
            <w:tcW w:w="901" w:type="pct"/>
            <w:shd w:val="clear" w:color="auto" w:fill="auto"/>
            <w:noWrap/>
            <w:vAlign w:val="bottom"/>
          </w:tcPr>
          <w:p w14:paraId="0CDECC65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rFonts w:cs="Times New Roman"/>
                <w:sz w:val="20"/>
                <w:szCs w:val="20"/>
              </w:rPr>
              <w:t>Dan Murray - Procurement and Contracts Lead</w:t>
            </w:r>
          </w:p>
          <w:p w14:paraId="5A53EC19" w14:textId="42462C45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hyperlink r:id="rId12" w:history="1">
              <w:r w:rsidRPr="00076972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Dan.murray@vla.vic.gov.au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09557C4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RFT/RFQ/ITS (SPC)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5C54EE7E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Aug-23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414E2E04" w14:textId="5A61BBC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goods and service</w:t>
            </w:r>
          </w:p>
        </w:tc>
      </w:tr>
      <w:tr w:rsidR="008D47E2" w:rsidRPr="00336F30" w14:paraId="165B5C7C" w14:textId="77777777" w:rsidTr="008D47E2">
        <w:trPr>
          <w:cantSplit/>
          <w:trHeight w:val="301"/>
          <w:tblHeader/>
        </w:trPr>
        <w:tc>
          <w:tcPr>
            <w:tcW w:w="344" w:type="pct"/>
            <w:shd w:val="clear" w:color="auto" w:fill="auto"/>
            <w:noWrap/>
            <w:vAlign w:val="center"/>
          </w:tcPr>
          <w:p w14:paraId="3EC98F64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TBA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14:paraId="558ED202" w14:textId="6F822371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Internal survey services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31B7908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3 years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14:paraId="2FFF0DBC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Corporate</w:t>
            </w:r>
          </w:p>
        </w:tc>
        <w:tc>
          <w:tcPr>
            <w:tcW w:w="901" w:type="pct"/>
            <w:shd w:val="clear" w:color="auto" w:fill="auto"/>
            <w:noWrap/>
            <w:vAlign w:val="bottom"/>
          </w:tcPr>
          <w:p w14:paraId="66BEB95D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rFonts w:cs="Times New Roman"/>
                <w:sz w:val="20"/>
                <w:szCs w:val="20"/>
              </w:rPr>
              <w:t>Dan Murray - Procurement and Contracts Lead</w:t>
            </w:r>
          </w:p>
          <w:p w14:paraId="3DDA1D58" w14:textId="2443D093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hyperlink r:id="rId13" w:history="1">
              <w:r w:rsidRPr="00076972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Dan.murray@vla.vic.gov.au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73A49CC5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RFP (selective)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0D1F2FAD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Sep-23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0074A7F0" w14:textId="74100010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service</w:t>
            </w:r>
          </w:p>
        </w:tc>
      </w:tr>
      <w:tr w:rsidR="008D47E2" w:rsidRPr="00336F30" w14:paraId="4638ACEB" w14:textId="77777777" w:rsidTr="008D47E2">
        <w:trPr>
          <w:cantSplit/>
          <w:trHeight w:val="301"/>
          <w:tblHeader/>
        </w:trPr>
        <w:tc>
          <w:tcPr>
            <w:tcW w:w="344" w:type="pct"/>
            <w:shd w:val="clear" w:color="auto" w:fill="auto"/>
            <w:noWrap/>
            <w:vAlign w:val="center"/>
          </w:tcPr>
          <w:p w14:paraId="49F7C0A9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TBA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14:paraId="40A700E7" w14:textId="6CCB2103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Security services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1DA767B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TBC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14:paraId="1500415A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Corporate</w:t>
            </w:r>
          </w:p>
        </w:tc>
        <w:tc>
          <w:tcPr>
            <w:tcW w:w="901" w:type="pct"/>
            <w:shd w:val="clear" w:color="auto" w:fill="auto"/>
            <w:noWrap/>
            <w:vAlign w:val="bottom"/>
          </w:tcPr>
          <w:p w14:paraId="45D7C60E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rFonts w:cs="Times New Roman"/>
                <w:sz w:val="20"/>
                <w:szCs w:val="20"/>
              </w:rPr>
              <w:t>Dan Murray - Procurement and Contracts Lead</w:t>
            </w:r>
          </w:p>
          <w:p w14:paraId="01D5CEF2" w14:textId="52487348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hyperlink r:id="rId14" w:history="1">
              <w:r w:rsidRPr="00076972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Dan.murray@vla.vic.gov.au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0270D4D0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RFT/RFQ/ITS (SPC)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3DA0DA33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Feb-24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5EDFAE90" w14:textId="25152A58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service</w:t>
            </w:r>
          </w:p>
        </w:tc>
      </w:tr>
      <w:tr w:rsidR="008D47E2" w:rsidRPr="004145C4" w14:paraId="2B6411B5" w14:textId="77777777" w:rsidTr="008D47E2">
        <w:trPr>
          <w:cantSplit/>
          <w:trHeight w:val="301"/>
          <w:tblHeader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074E8EB6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TBA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14:paraId="6BC59FB3" w14:textId="216F8471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D47E2">
              <w:rPr>
                <w:sz w:val="20"/>
                <w:szCs w:val="20"/>
              </w:rPr>
              <w:t>Cisis</w:t>
            </w:r>
            <w:proofErr w:type="spellEnd"/>
            <w:r w:rsidRPr="008D47E2">
              <w:rPr>
                <w:sz w:val="20"/>
                <w:szCs w:val="20"/>
              </w:rPr>
              <w:t xml:space="preserve"> management services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178C9017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12-24 Months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14:paraId="068071CA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Corporate</w:t>
            </w:r>
          </w:p>
        </w:tc>
        <w:tc>
          <w:tcPr>
            <w:tcW w:w="901" w:type="pct"/>
            <w:shd w:val="clear" w:color="auto" w:fill="auto"/>
            <w:noWrap/>
            <w:vAlign w:val="bottom"/>
          </w:tcPr>
          <w:p w14:paraId="089A050A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rFonts w:cs="Times New Roman"/>
                <w:sz w:val="20"/>
                <w:szCs w:val="20"/>
              </w:rPr>
              <w:t>Dan Murray - Procurement and Contracts Lead</w:t>
            </w:r>
          </w:p>
          <w:p w14:paraId="17BFFC05" w14:textId="3105908C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hyperlink r:id="rId15" w:history="1">
              <w:r w:rsidRPr="00076972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Dan.murray@vla.vic.gov.au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3B3405D0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RFQ (selective)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55CFC6AA" w14:textId="77777777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May-23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1F055A40" w14:textId="6488B684" w:rsidR="008D47E2" w:rsidRPr="008D47E2" w:rsidRDefault="008D47E2" w:rsidP="008D47E2">
            <w:pPr>
              <w:rPr>
                <w:rFonts w:cs="Times New Roman"/>
                <w:sz w:val="20"/>
                <w:szCs w:val="20"/>
              </w:rPr>
            </w:pPr>
            <w:r w:rsidRPr="008D47E2">
              <w:rPr>
                <w:sz w:val="20"/>
                <w:szCs w:val="20"/>
              </w:rPr>
              <w:t>service</w:t>
            </w:r>
          </w:p>
        </w:tc>
      </w:tr>
    </w:tbl>
    <w:p w14:paraId="512D16BE" w14:textId="77777777" w:rsidR="008D47E2" w:rsidRDefault="008D47E2" w:rsidP="008D47E2"/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2268"/>
        <w:gridCol w:w="2268"/>
      </w:tblGrid>
      <w:tr w:rsidR="008D47E2" w:rsidRPr="008D47E2" w14:paraId="30054A68" w14:textId="77777777" w:rsidTr="008D47E2">
        <w:trPr>
          <w:cantSplit/>
          <w:trHeight w:val="426"/>
          <w:tblHeader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14C28B" w14:textId="77777777" w:rsidR="008D47E2" w:rsidRPr="008D47E2" w:rsidRDefault="008D47E2" w:rsidP="008D47E2">
            <w:pPr>
              <w:rPr>
                <w:b/>
              </w:rPr>
            </w:pPr>
            <w:bookmarkStart w:id="0" w:name="_Hlk141434807"/>
            <w:r w:rsidRPr="008D47E2">
              <w:rPr>
                <w:b/>
              </w:rPr>
              <w:t>Methodology used to derive estimated contract value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D783BF7" w14:textId="77777777" w:rsidR="008D47E2" w:rsidRPr="008D47E2" w:rsidRDefault="008D47E2" w:rsidP="008D47E2">
            <w:pPr>
              <w:rPr>
                <w:b/>
              </w:rPr>
            </w:pPr>
            <w:r w:rsidRPr="008D47E2">
              <w:rPr>
                <w:b/>
              </w:rPr>
              <w:t>Market Approach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8A15B07" w14:textId="77777777" w:rsidR="008D47E2" w:rsidRPr="008D47E2" w:rsidRDefault="008D47E2" w:rsidP="008D47E2">
            <w:pPr>
              <w:rPr>
                <w:b/>
              </w:rPr>
            </w:pPr>
            <w:r w:rsidRPr="008D47E2">
              <w:rPr>
                <w:b/>
              </w:rPr>
              <w:t>Nature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hideMark/>
          </w:tcPr>
          <w:p w14:paraId="112E15C1" w14:textId="77777777" w:rsidR="008D47E2" w:rsidRPr="008D47E2" w:rsidRDefault="008D47E2" w:rsidP="008D47E2">
            <w:pPr>
              <w:rPr>
                <w:b/>
              </w:rPr>
            </w:pPr>
            <w:r w:rsidRPr="008D47E2">
              <w:rPr>
                <w:b/>
              </w:rPr>
              <w:t>Status</w:t>
            </w:r>
          </w:p>
        </w:tc>
      </w:tr>
      <w:tr w:rsidR="008D47E2" w:rsidRPr="008D47E2" w14:paraId="77A0C169" w14:textId="77777777" w:rsidTr="008D47E2">
        <w:trPr>
          <w:cantSplit/>
          <w:trHeight w:val="20"/>
          <w:tblHeader/>
        </w:trPr>
        <w:tc>
          <w:tcPr>
            <w:tcW w:w="28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044196" w14:textId="77777777" w:rsidR="008D47E2" w:rsidRPr="008D47E2" w:rsidRDefault="008D47E2" w:rsidP="008D47E2">
            <w:pPr>
              <w:pStyle w:val="ListParagraph"/>
              <w:numPr>
                <w:ilvl w:val="0"/>
                <w:numId w:val="27"/>
              </w:numPr>
              <w:ind w:left="316"/>
            </w:pPr>
            <w:r w:rsidRPr="008D47E2">
              <w:t>Historical spend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4EE1B" w14:textId="77777777" w:rsidR="008D47E2" w:rsidRPr="008D47E2" w:rsidRDefault="008D47E2" w:rsidP="008D47E2">
            <w:pPr>
              <w:pStyle w:val="ListParagraph"/>
              <w:numPr>
                <w:ilvl w:val="0"/>
                <w:numId w:val="27"/>
              </w:numPr>
              <w:ind w:left="316"/>
            </w:pPr>
            <w:r w:rsidRPr="008D47E2">
              <w:t>Construction Services Register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F811C" w14:textId="77777777" w:rsidR="008D47E2" w:rsidRPr="008D47E2" w:rsidRDefault="008D47E2" w:rsidP="008D47E2">
            <w:pPr>
              <w:pStyle w:val="ListParagraph"/>
              <w:numPr>
                <w:ilvl w:val="0"/>
                <w:numId w:val="27"/>
              </w:numPr>
              <w:ind w:left="316"/>
            </w:pPr>
            <w:r w:rsidRPr="008D47E2">
              <w:t>Goods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5C490063" w14:textId="77777777" w:rsidR="008D47E2" w:rsidRPr="008D47E2" w:rsidRDefault="008D47E2" w:rsidP="008D47E2">
            <w:pPr>
              <w:pStyle w:val="ListParagraph"/>
              <w:numPr>
                <w:ilvl w:val="0"/>
                <w:numId w:val="27"/>
              </w:numPr>
              <w:ind w:left="316"/>
            </w:pPr>
            <w:r w:rsidRPr="008D47E2">
              <w:t>Not started</w:t>
            </w:r>
          </w:p>
        </w:tc>
      </w:tr>
      <w:tr w:rsidR="008D47E2" w:rsidRPr="008D47E2" w14:paraId="51B023D2" w14:textId="77777777" w:rsidTr="008D47E2">
        <w:trPr>
          <w:cantSplit/>
          <w:trHeight w:val="20"/>
          <w:tblHeader/>
        </w:trPr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</w:tcPr>
          <w:p w14:paraId="6D28C51D" w14:textId="77777777" w:rsidR="008D47E2" w:rsidRPr="008D47E2" w:rsidRDefault="008D47E2" w:rsidP="008D47E2">
            <w:pPr>
              <w:pStyle w:val="ListParagraph"/>
              <w:numPr>
                <w:ilvl w:val="0"/>
                <w:numId w:val="27"/>
              </w:numPr>
              <w:ind w:left="316"/>
            </w:pPr>
            <w:r w:rsidRPr="008D47E2">
              <w:t>Market analysis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1EDFFF" w14:textId="77777777" w:rsidR="008D47E2" w:rsidRPr="008D47E2" w:rsidRDefault="008D47E2" w:rsidP="008D47E2">
            <w:pPr>
              <w:pStyle w:val="ListParagraph"/>
              <w:numPr>
                <w:ilvl w:val="0"/>
                <w:numId w:val="27"/>
              </w:numPr>
              <w:ind w:left="316"/>
            </w:pPr>
            <w:r w:rsidRPr="008D47E2">
              <w:t>EOI (public)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41A38" w14:textId="77777777" w:rsidR="008D47E2" w:rsidRPr="008D47E2" w:rsidRDefault="008D47E2" w:rsidP="008D47E2">
            <w:pPr>
              <w:pStyle w:val="ListParagraph"/>
              <w:numPr>
                <w:ilvl w:val="0"/>
                <w:numId w:val="27"/>
              </w:numPr>
              <w:ind w:left="316"/>
            </w:pPr>
            <w:r w:rsidRPr="008D47E2">
              <w:t>Services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5EEB55B" w14:textId="77777777" w:rsidR="008D47E2" w:rsidRPr="008D47E2" w:rsidRDefault="008D47E2" w:rsidP="008D47E2">
            <w:pPr>
              <w:pStyle w:val="ListParagraph"/>
              <w:numPr>
                <w:ilvl w:val="0"/>
                <w:numId w:val="27"/>
              </w:numPr>
              <w:ind w:left="316"/>
            </w:pPr>
            <w:r w:rsidRPr="008D47E2">
              <w:t>New</w:t>
            </w:r>
          </w:p>
        </w:tc>
      </w:tr>
      <w:tr w:rsidR="008D47E2" w:rsidRPr="008D47E2" w14:paraId="6691A162" w14:textId="77777777" w:rsidTr="008D47E2">
        <w:trPr>
          <w:cantSplit/>
          <w:trHeight w:val="20"/>
          <w:tblHeader/>
        </w:trPr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</w:tcPr>
          <w:p w14:paraId="6D5B1F3B" w14:textId="77777777" w:rsidR="008D47E2" w:rsidRPr="008D47E2" w:rsidRDefault="008D47E2" w:rsidP="008D47E2">
            <w:pPr>
              <w:pStyle w:val="ListParagraph"/>
              <w:numPr>
                <w:ilvl w:val="0"/>
                <w:numId w:val="27"/>
              </w:numPr>
              <w:ind w:left="316"/>
            </w:pPr>
            <w:r w:rsidRPr="008D47E2">
              <w:t>Published pricing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A0282" w14:textId="77777777" w:rsidR="008D47E2" w:rsidRPr="008D47E2" w:rsidRDefault="008D47E2" w:rsidP="008D47E2">
            <w:pPr>
              <w:pStyle w:val="ListParagraph"/>
              <w:numPr>
                <w:ilvl w:val="0"/>
                <w:numId w:val="27"/>
              </w:numPr>
              <w:ind w:left="316"/>
            </w:pPr>
            <w:r w:rsidRPr="008D47E2">
              <w:t>Panel/register (non-SPC)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CF1A9A" w14:textId="77777777" w:rsidR="008D47E2" w:rsidRPr="008D47E2" w:rsidRDefault="008D47E2" w:rsidP="008D47E2">
            <w:pPr>
              <w:pStyle w:val="ListParagraph"/>
              <w:numPr>
                <w:ilvl w:val="0"/>
                <w:numId w:val="27"/>
              </w:numPr>
              <w:ind w:left="316"/>
            </w:pPr>
            <w:r w:rsidRPr="008D47E2">
              <w:t>Construction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73C7CEE" w14:textId="08512428" w:rsidR="008D47E2" w:rsidRPr="008D47E2" w:rsidRDefault="008D47E2" w:rsidP="008D47E2">
            <w:pPr>
              <w:ind w:left="316"/>
            </w:pPr>
          </w:p>
        </w:tc>
      </w:tr>
      <w:tr w:rsidR="008D47E2" w:rsidRPr="008D47E2" w14:paraId="37AE5A42" w14:textId="77777777" w:rsidTr="008D47E2">
        <w:trPr>
          <w:cantSplit/>
          <w:trHeight w:val="20"/>
          <w:tblHeader/>
        </w:trPr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</w:tcPr>
          <w:p w14:paraId="7BE90E3B" w14:textId="77777777" w:rsidR="008D47E2" w:rsidRPr="008D47E2" w:rsidRDefault="008D47E2" w:rsidP="008D47E2">
            <w:pPr>
              <w:pStyle w:val="ListParagraph"/>
              <w:numPr>
                <w:ilvl w:val="0"/>
                <w:numId w:val="27"/>
              </w:numPr>
              <w:ind w:left="316"/>
            </w:pPr>
            <w:r w:rsidRPr="008D47E2">
              <w:t>Forecast usage/price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3E146" w14:textId="77777777" w:rsidR="008D47E2" w:rsidRPr="008D47E2" w:rsidRDefault="008D47E2" w:rsidP="008D47E2">
            <w:pPr>
              <w:pStyle w:val="ListParagraph"/>
              <w:numPr>
                <w:ilvl w:val="0"/>
                <w:numId w:val="27"/>
              </w:numPr>
              <w:ind w:left="316"/>
            </w:pPr>
            <w:r w:rsidRPr="008D47E2">
              <w:t>RFP (public)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760D5F" w14:textId="30249A6B" w:rsidR="008D47E2" w:rsidRPr="008D47E2" w:rsidRDefault="008D47E2" w:rsidP="008D47E2">
            <w:pPr>
              <w:ind w:left="316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0EBF8A3" w14:textId="5A5DDDB9" w:rsidR="008D47E2" w:rsidRPr="008D47E2" w:rsidRDefault="008D47E2" w:rsidP="008D47E2">
            <w:pPr>
              <w:ind w:left="316"/>
            </w:pPr>
          </w:p>
        </w:tc>
      </w:tr>
      <w:tr w:rsidR="008D47E2" w:rsidRPr="008D47E2" w14:paraId="078B82F5" w14:textId="77777777" w:rsidTr="008D47E2">
        <w:trPr>
          <w:cantSplit/>
          <w:trHeight w:val="20"/>
          <w:tblHeader/>
        </w:trPr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</w:tcPr>
          <w:p w14:paraId="36C97609" w14:textId="459E86C8" w:rsidR="008D47E2" w:rsidRPr="008D47E2" w:rsidRDefault="008D47E2" w:rsidP="008D47E2">
            <w:pPr>
              <w:ind w:left="316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20BDD" w14:textId="77777777" w:rsidR="008D47E2" w:rsidRPr="008D47E2" w:rsidRDefault="008D47E2" w:rsidP="008D47E2">
            <w:pPr>
              <w:pStyle w:val="ListParagraph"/>
              <w:numPr>
                <w:ilvl w:val="0"/>
                <w:numId w:val="27"/>
              </w:numPr>
              <w:ind w:left="316"/>
            </w:pPr>
            <w:r w:rsidRPr="008D47E2">
              <w:t>RFP (selective)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4DF9E5" w14:textId="11374AE8" w:rsidR="008D47E2" w:rsidRPr="008D47E2" w:rsidRDefault="008D47E2" w:rsidP="008D47E2">
            <w:pPr>
              <w:ind w:left="316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E78B383" w14:textId="3AB2915E" w:rsidR="008D47E2" w:rsidRPr="008D47E2" w:rsidRDefault="008D47E2" w:rsidP="008D47E2">
            <w:pPr>
              <w:ind w:left="316"/>
            </w:pPr>
          </w:p>
        </w:tc>
      </w:tr>
      <w:tr w:rsidR="008D47E2" w:rsidRPr="008D47E2" w14:paraId="5CDC512F" w14:textId="77777777" w:rsidTr="008D47E2">
        <w:trPr>
          <w:cantSplit/>
          <w:trHeight w:val="20"/>
          <w:tblHeader/>
        </w:trPr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</w:tcPr>
          <w:p w14:paraId="0E2BA6BB" w14:textId="524D7294" w:rsidR="008D47E2" w:rsidRPr="008D47E2" w:rsidRDefault="008D47E2" w:rsidP="008D47E2">
            <w:pPr>
              <w:ind w:left="316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8107A" w14:textId="77777777" w:rsidR="008D47E2" w:rsidRPr="008D47E2" w:rsidRDefault="008D47E2" w:rsidP="008D47E2">
            <w:pPr>
              <w:pStyle w:val="ListParagraph"/>
              <w:numPr>
                <w:ilvl w:val="0"/>
                <w:numId w:val="27"/>
              </w:numPr>
              <w:ind w:left="316"/>
            </w:pPr>
            <w:r w:rsidRPr="008D47E2">
              <w:t>RFT/RFQ/ITS (SPC)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CE92B" w14:textId="5E302729" w:rsidR="008D47E2" w:rsidRPr="008D47E2" w:rsidRDefault="008D47E2" w:rsidP="008D47E2">
            <w:pPr>
              <w:ind w:left="316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DD9F015" w14:textId="0ECD0A0F" w:rsidR="008D47E2" w:rsidRPr="008D47E2" w:rsidRDefault="008D47E2" w:rsidP="008D47E2">
            <w:pPr>
              <w:ind w:left="316"/>
            </w:pPr>
          </w:p>
        </w:tc>
      </w:tr>
      <w:tr w:rsidR="008D47E2" w:rsidRPr="008D47E2" w14:paraId="0E027A5E" w14:textId="77777777" w:rsidTr="008D47E2">
        <w:trPr>
          <w:cantSplit/>
          <w:trHeight w:val="20"/>
          <w:tblHeader/>
        </w:trPr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</w:tcPr>
          <w:p w14:paraId="0B236626" w14:textId="7975D281" w:rsidR="008D47E2" w:rsidRPr="008D47E2" w:rsidRDefault="008D47E2" w:rsidP="008D47E2">
            <w:pPr>
              <w:ind w:left="316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26CC2" w14:textId="77777777" w:rsidR="008D47E2" w:rsidRPr="008D47E2" w:rsidRDefault="008D47E2" w:rsidP="008D47E2">
            <w:pPr>
              <w:pStyle w:val="ListParagraph"/>
              <w:numPr>
                <w:ilvl w:val="0"/>
                <w:numId w:val="27"/>
              </w:numPr>
              <w:ind w:left="316"/>
            </w:pPr>
            <w:r w:rsidRPr="008D47E2">
              <w:t>RFT/RFQ/ITS (public)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E34E15" w14:textId="0B1A85AE" w:rsidR="008D47E2" w:rsidRPr="008D47E2" w:rsidRDefault="008D47E2" w:rsidP="008D47E2">
            <w:pPr>
              <w:ind w:left="316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C373BEB" w14:textId="4800C88D" w:rsidR="008D47E2" w:rsidRPr="008D47E2" w:rsidRDefault="008D47E2" w:rsidP="008D47E2">
            <w:pPr>
              <w:ind w:left="316"/>
            </w:pPr>
          </w:p>
        </w:tc>
      </w:tr>
      <w:tr w:rsidR="008D47E2" w:rsidRPr="008D47E2" w14:paraId="775FEC4B" w14:textId="77777777" w:rsidTr="008D47E2">
        <w:trPr>
          <w:cantSplit/>
          <w:trHeight w:val="20"/>
          <w:tblHeader/>
        </w:trPr>
        <w:tc>
          <w:tcPr>
            <w:tcW w:w="28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1D3361" w14:textId="280827DB" w:rsidR="008D47E2" w:rsidRPr="008D47E2" w:rsidRDefault="008D47E2" w:rsidP="008D47E2">
            <w:pPr>
              <w:ind w:left="316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D1CD" w14:textId="77777777" w:rsidR="008D47E2" w:rsidRPr="008D47E2" w:rsidRDefault="008D47E2" w:rsidP="008D47E2">
            <w:pPr>
              <w:pStyle w:val="ListParagraph"/>
              <w:numPr>
                <w:ilvl w:val="0"/>
                <w:numId w:val="27"/>
              </w:numPr>
              <w:ind w:left="316"/>
            </w:pPr>
            <w:r w:rsidRPr="008D47E2">
              <w:t>RFT/RFQ/ITS (selective)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7CD7" w14:textId="0CA8148F" w:rsidR="008D47E2" w:rsidRPr="008D47E2" w:rsidRDefault="008D47E2" w:rsidP="008D47E2">
            <w:pPr>
              <w:ind w:left="316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EB31601" w14:textId="2741F4F6" w:rsidR="008D47E2" w:rsidRPr="008D47E2" w:rsidRDefault="008D47E2" w:rsidP="008D47E2">
            <w:pPr>
              <w:ind w:left="316"/>
            </w:pPr>
          </w:p>
        </w:tc>
      </w:tr>
    </w:tbl>
    <w:bookmarkEnd w:id="0"/>
    <w:p w14:paraId="63AB4BB4" w14:textId="38DF29A7" w:rsidR="008D47E2" w:rsidRPr="008D47E2" w:rsidRDefault="008D47E2" w:rsidP="008D47E2">
      <w:r>
        <w:br w:type="textWrapping" w:clear="all"/>
      </w:r>
    </w:p>
    <w:sectPr w:rsidR="008D47E2" w:rsidRPr="008D47E2" w:rsidSect="008D47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BFB8" w14:textId="77777777" w:rsidR="008D47E2" w:rsidRDefault="008D47E2">
      <w:pPr>
        <w:spacing w:after="0" w:line="240" w:lineRule="auto"/>
      </w:pPr>
      <w:r>
        <w:separator/>
      </w:r>
    </w:p>
  </w:endnote>
  <w:endnote w:type="continuationSeparator" w:id="0">
    <w:p w14:paraId="56ADBEC3" w14:textId="77777777" w:rsidR="008D47E2" w:rsidRDefault="008D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82DF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3B8569D" w14:textId="77777777" w:rsidR="00BB122F" w:rsidRDefault="008D47E2" w:rsidP="008074B3">
    <w:pPr>
      <w:pStyle w:val="Footer"/>
      <w:ind w:right="360" w:firstLine="360"/>
    </w:pPr>
  </w:p>
  <w:p w14:paraId="11DFA851" w14:textId="77777777" w:rsidR="00BB122F" w:rsidRDefault="008D47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C8F9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FE16860" wp14:editId="756DFDBE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7A1E5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DBFD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9210830" wp14:editId="6343F5AC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F69B1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E329" w14:textId="77777777" w:rsidR="008D47E2" w:rsidRDefault="008D47E2">
      <w:pPr>
        <w:spacing w:after="0" w:line="240" w:lineRule="auto"/>
      </w:pPr>
      <w:r>
        <w:separator/>
      </w:r>
    </w:p>
  </w:footnote>
  <w:footnote w:type="continuationSeparator" w:id="0">
    <w:p w14:paraId="300D98D6" w14:textId="77777777" w:rsidR="008D47E2" w:rsidRDefault="008D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C135" w14:textId="77777777" w:rsidR="00BB122F" w:rsidRDefault="00BF1962" w:rsidP="00181303">
    <w:pPr>
      <w:pStyle w:val="Header"/>
      <w:framePr w:wrap="around" w:vAnchor="text" w:hAnchor="margin" w:xAlign="right" w:y="1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DD63D64" wp14:editId="1EFE282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34B854" w14:textId="77777777" w:rsidR="00BF1962" w:rsidRPr="00BF1962" w:rsidRDefault="00BF1962" w:rsidP="00BF1962">
                          <w:pPr>
                            <w:spacing w:after="0"/>
                            <w:rPr>
                              <w:rFonts w:eastAsia="Calibri"/>
                              <w:noProof/>
                              <w:color w:val="000000"/>
                            </w:rPr>
                          </w:pPr>
                          <w:r w:rsidRPr="00BF1962">
                            <w:rPr>
                              <w:rFonts w:eastAsia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D63D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134B854" w14:textId="77777777" w:rsidR="00BF1962" w:rsidRPr="00BF1962" w:rsidRDefault="00BF1962" w:rsidP="00BF1962">
                    <w:pPr>
                      <w:spacing w:after="0"/>
                      <w:rPr>
                        <w:rFonts w:eastAsia="Calibri"/>
                        <w:noProof/>
                        <w:color w:val="000000"/>
                      </w:rPr>
                    </w:pPr>
                    <w:r w:rsidRPr="00BF1962">
                      <w:rPr>
                        <w:rFonts w:eastAsia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737B">
      <w:rPr>
        <w:rStyle w:val="PageNumber"/>
      </w:rPr>
      <w:fldChar w:fldCharType="begin"/>
    </w:r>
    <w:r w:rsidR="00C8737B">
      <w:rPr>
        <w:rStyle w:val="PageNumber"/>
      </w:rPr>
      <w:instrText xml:space="preserve">PAGE  </w:instrText>
    </w:r>
    <w:r w:rsidR="00C8737B">
      <w:rPr>
        <w:rStyle w:val="PageNumber"/>
      </w:rPr>
      <w:fldChar w:fldCharType="separate"/>
    </w:r>
    <w:r w:rsidR="00C8737B">
      <w:rPr>
        <w:rStyle w:val="PageNumber"/>
        <w:noProof/>
      </w:rPr>
      <w:t>2</w:t>
    </w:r>
    <w:r w:rsidR="00C8737B">
      <w:rPr>
        <w:rStyle w:val="PageNumber"/>
      </w:rPr>
      <w:fldChar w:fldCharType="end"/>
    </w:r>
  </w:p>
  <w:p w14:paraId="462AE818" w14:textId="77777777" w:rsidR="00BB122F" w:rsidRDefault="008D47E2" w:rsidP="00091AFC">
    <w:pPr>
      <w:pStyle w:val="Header"/>
      <w:ind w:right="360"/>
    </w:pPr>
  </w:p>
  <w:p w14:paraId="7716B263" w14:textId="77777777" w:rsidR="00BB122F" w:rsidRDefault="008D47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8425" w14:textId="77777777" w:rsidR="00BB122F" w:rsidRPr="006A6FC6" w:rsidRDefault="00BF1962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>
      <w:rPr>
        <w:rFonts w:cs="Arial"/>
        <w:noProof/>
        <w:color w:val="B1005D"/>
        <w:sz w:val="18"/>
        <w:szCs w:val="18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7573FB4" wp14:editId="0933A69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9F7A7A" w14:textId="77777777" w:rsidR="00BF1962" w:rsidRPr="00BF1962" w:rsidRDefault="00BF1962" w:rsidP="00BF1962">
                          <w:pPr>
                            <w:spacing w:after="0"/>
                            <w:rPr>
                              <w:rFonts w:eastAsia="Calibri"/>
                              <w:noProof/>
                              <w:color w:val="000000"/>
                            </w:rPr>
                          </w:pPr>
                          <w:r w:rsidRPr="00BF1962">
                            <w:rPr>
                              <w:rFonts w:eastAsia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73F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left:0;text-align:left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D9F7A7A" w14:textId="77777777" w:rsidR="00BF1962" w:rsidRPr="00BF1962" w:rsidRDefault="00BF1962" w:rsidP="00BF1962">
                    <w:pPr>
                      <w:spacing w:after="0"/>
                      <w:rPr>
                        <w:rFonts w:eastAsia="Calibri"/>
                        <w:noProof/>
                        <w:color w:val="000000"/>
                      </w:rPr>
                    </w:pPr>
                    <w:r w:rsidRPr="00BF1962">
                      <w:rPr>
                        <w:rFonts w:eastAsia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737B" w:rsidRPr="006A6FC6">
      <w:rPr>
        <w:rFonts w:cs="Arial"/>
        <w:color w:val="B1005D"/>
        <w:sz w:val="18"/>
        <w:szCs w:val="18"/>
      </w:rPr>
      <w:t>Victoria Legal Aid</w:t>
    </w:r>
    <w:r w:rsidR="00C8737B">
      <w:rPr>
        <w:rFonts w:cs="Arial"/>
        <w:color w:val="B1005D"/>
        <w:sz w:val="18"/>
        <w:szCs w:val="18"/>
      </w:rPr>
      <w:tab/>
    </w:r>
  </w:p>
  <w:p w14:paraId="7BC05229" w14:textId="369F024D" w:rsidR="00BB122F" w:rsidRPr="00EF7C5C" w:rsidRDefault="008D47E2" w:rsidP="00EF7C5C">
    <w:pPr>
      <w:spacing w:line="240" w:lineRule="auto"/>
      <w:ind w:left="-330"/>
      <w:rPr>
        <w:rFonts w:ascii="Arial Bold" w:hAnsi="Arial Bold" w:cs="Arial"/>
        <w:color w:val="B1005D"/>
      </w:rPr>
    </w:pPr>
    <w:r w:rsidRPr="008D47E2">
      <w:rPr>
        <w:rFonts w:ascii="Arial Bold" w:hAnsi="Arial Bold" w:cs="Arial"/>
        <w:b/>
        <w:color w:val="B1005D"/>
        <w:sz w:val="18"/>
        <w:szCs w:val="18"/>
      </w:rPr>
      <w:t>Procurement Activity Plan 2023–24</w:t>
    </w:r>
    <w:r w:rsidR="00C8737B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D8A0223" wp14:editId="5280BD0C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CD000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2411" w14:textId="77777777" w:rsidR="00BB122F" w:rsidRPr="00833658" w:rsidRDefault="00BF1962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7AC5E2F" wp14:editId="4AA5E3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7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70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A378AB" w14:textId="77777777" w:rsidR="00BB122F" w:rsidRPr="00D82005" w:rsidRDefault="008D47E2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D43C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5F3903"/>
    <w:multiLevelType w:val="hybridMultilevel"/>
    <w:tmpl w:val="DF462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5" w15:restartNumberingAfterBreak="0">
    <w:nsid w:val="557771EA"/>
    <w:multiLevelType w:val="hybridMultilevel"/>
    <w:tmpl w:val="B95A2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7" w15:restartNumberingAfterBreak="0">
    <w:nsid w:val="74720EFC"/>
    <w:multiLevelType w:val="hybridMultilevel"/>
    <w:tmpl w:val="13286AE8"/>
    <w:lvl w:ilvl="0" w:tplc="5B2E54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892696977">
    <w:abstractNumId w:val="13"/>
  </w:num>
  <w:num w:numId="2" w16cid:durableId="1016233601">
    <w:abstractNumId w:val="9"/>
  </w:num>
  <w:num w:numId="3" w16cid:durableId="1319380714">
    <w:abstractNumId w:val="10"/>
  </w:num>
  <w:num w:numId="4" w16cid:durableId="110173964">
    <w:abstractNumId w:val="7"/>
  </w:num>
  <w:num w:numId="5" w16cid:durableId="586231864">
    <w:abstractNumId w:val="16"/>
  </w:num>
  <w:num w:numId="6" w16cid:durableId="2116515627">
    <w:abstractNumId w:val="6"/>
  </w:num>
  <w:num w:numId="7" w16cid:durableId="868878734">
    <w:abstractNumId w:val="16"/>
  </w:num>
  <w:num w:numId="8" w16cid:durableId="1761369738">
    <w:abstractNumId w:val="5"/>
  </w:num>
  <w:num w:numId="9" w16cid:durableId="283344407">
    <w:abstractNumId w:val="4"/>
  </w:num>
  <w:num w:numId="10" w16cid:durableId="1600411382">
    <w:abstractNumId w:val="4"/>
  </w:num>
  <w:num w:numId="11" w16cid:durableId="52243711">
    <w:abstractNumId w:val="8"/>
  </w:num>
  <w:num w:numId="12" w16cid:durableId="1719626052">
    <w:abstractNumId w:val="8"/>
  </w:num>
  <w:num w:numId="13" w16cid:durableId="1066877761">
    <w:abstractNumId w:val="3"/>
  </w:num>
  <w:num w:numId="14" w16cid:durableId="1702126822">
    <w:abstractNumId w:val="3"/>
  </w:num>
  <w:num w:numId="15" w16cid:durableId="1686009286">
    <w:abstractNumId w:val="2"/>
  </w:num>
  <w:num w:numId="16" w16cid:durableId="538051075">
    <w:abstractNumId w:val="2"/>
  </w:num>
  <w:num w:numId="17" w16cid:durableId="1515073001">
    <w:abstractNumId w:val="1"/>
  </w:num>
  <w:num w:numId="18" w16cid:durableId="1348214158">
    <w:abstractNumId w:val="1"/>
  </w:num>
  <w:num w:numId="19" w16cid:durableId="23948277">
    <w:abstractNumId w:val="0"/>
  </w:num>
  <w:num w:numId="20" w16cid:durableId="199326006">
    <w:abstractNumId w:val="0"/>
  </w:num>
  <w:num w:numId="21" w16cid:durableId="1584021663">
    <w:abstractNumId w:val="14"/>
  </w:num>
  <w:num w:numId="22" w16cid:durableId="1937127992">
    <w:abstractNumId w:val="14"/>
  </w:num>
  <w:num w:numId="23" w16cid:durableId="714474809">
    <w:abstractNumId w:val="11"/>
  </w:num>
  <w:num w:numId="24" w16cid:durableId="33389200">
    <w:abstractNumId w:val="18"/>
  </w:num>
  <w:num w:numId="25" w16cid:durableId="745110638">
    <w:abstractNumId w:val="17"/>
  </w:num>
  <w:num w:numId="26" w16cid:durableId="1814104713">
    <w:abstractNumId w:val="15"/>
  </w:num>
  <w:num w:numId="27" w16cid:durableId="10453738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E2"/>
    <w:rsid w:val="000A0349"/>
    <w:rsid w:val="000A2FBE"/>
    <w:rsid w:val="000A3C2D"/>
    <w:rsid w:val="000C14B8"/>
    <w:rsid w:val="000C7FB4"/>
    <w:rsid w:val="00112CA5"/>
    <w:rsid w:val="00125593"/>
    <w:rsid w:val="00190A92"/>
    <w:rsid w:val="001A27AB"/>
    <w:rsid w:val="001C4390"/>
    <w:rsid w:val="00204ABA"/>
    <w:rsid w:val="00244E32"/>
    <w:rsid w:val="002915FB"/>
    <w:rsid w:val="002A4595"/>
    <w:rsid w:val="002C3253"/>
    <w:rsid w:val="002C4EF6"/>
    <w:rsid w:val="002E65E7"/>
    <w:rsid w:val="002E6C79"/>
    <w:rsid w:val="0031443C"/>
    <w:rsid w:val="00342B2F"/>
    <w:rsid w:val="003B0DC7"/>
    <w:rsid w:val="003B1728"/>
    <w:rsid w:val="003C0558"/>
    <w:rsid w:val="003F47FD"/>
    <w:rsid w:val="00461300"/>
    <w:rsid w:val="00461773"/>
    <w:rsid w:val="00473E11"/>
    <w:rsid w:val="004935BA"/>
    <w:rsid w:val="004A7464"/>
    <w:rsid w:val="004F62C5"/>
    <w:rsid w:val="005276A4"/>
    <w:rsid w:val="005464A3"/>
    <w:rsid w:val="00553EA4"/>
    <w:rsid w:val="00577E89"/>
    <w:rsid w:val="0058112E"/>
    <w:rsid w:val="00627BED"/>
    <w:rsid w:val="00681A73"/>
    <w:rsid w:val="00687195"/>
    <w:rsid w:val="00694844"/>
    <w:rsid w:val="006A1EEE"/>
    <w:rsid w:val="00702A3E"/>
    <w:rsid w:val="00730398"/>
    <w:rsid w:val="007A74B0"/>
    <w:rsid w:val="007B6802"/>
    <w:rsid w:val="007D25AC"/>
    <w:rsid w:val="00842639"/>
    <w:rsid w:val="00863E11"/>
    <w:rsid w:val="00882054"/>
    <w:rsid w:val="00896DCF"/>
    <w:rsid w:val="008A7E8B"/>
    <w:rsid w:val="008D47E2"/>
    <w:rsid w:val="00904855"/>
    <w:rsid w:val="00945E28"/>
    <w:rsid w:val="00964BC6"/>
    <w:rsid w:val="0096773F"/>
    <w:rsid w:val="00977FFD"/>
    <w:rsid w:val="00997B27"/>
    <w:rsid w:val="009A7877"/>
    <w:rsid w:val="009D3C85"/>
    <w:rsid w:val="009E0D7C"/>
    <w:rsid w:val="00A2406E"/>
    <w:rsid w:val="00A274F0"/>
    <w:rsid w:val="00A36737"/>
    <w:rsid w:val="00A46EAF"/>
    <w:rsid w:val="00AA3C8D"/>
    <w:rsid w:val="00AC5CCF"/>
    <w:rsid w:val="00B957C1"/>
    <w:rsid w:val="00BC1939"/>
    <w:rsid w:val="00BE18AB"/>
    <w:rsid w:val="00BF1962"/>
    <w:rsid w:val="00C16561"/>
    <w:rsid w:val="00C61003"/>
    <w:rsid w:val="00C8737B"/>
    <w:rsid w:val="00C96764"/>
    <w:rsid w:val="00D070E6"/>
    <w:rsid w:val="00D23E34"/>
    <w:rsid w:val="00D30D27"/>
    <w:rsid w:val="00D414EB"/>
    <w:rsid w:val="00D558D1"/>
    <w:rsid w:val="00D71044"/>
    <w:rsid w:val="00D91004"/>
    <w:rsid w:val="00DE0029"/>
    <w:rsid w:val="00E1419A"/>
    <w:rsid w:val="00E50B26"/>
    <w:rsid w:val="00E63153"/>
    <w:rsid w:val="00ED48DB"/>
    <w:rsid w:val="00EE5C2C"/>
    <w:rsid w:val="00F001A6"/>
    <w:rsid w:val="00F02807"/>
    <w:rsid w:val="00F26EEE"/>
    <w:rsid w:val="00F3213F"/>
    <w:rsid w:val="00F570FC"/>
    <w:rsid w:val="00F57126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BA8C5"/>
  <w14:defaultImageDpi w14:val="32767"/>
  <w15:chartTrackingRefBased/>
  <w15:docId w15:val="{19AE97F3-51F9-4CE8-9E20-21068765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47E2"/>
    <w:pPr>
      <w:spacing w:before="100" w:after="100" w:line="260" w:lineRule="atLeast"/>
    </w:pPr>
    <w:rPr>
      <w:rFonts w:ascii="Calibri" w:eastAsia="Times New Roman" w:hAnsi="Calibri" w:cs="Calibri"/>
      <w:sz w:val="22"/>
      <w:szCs w:val="22"/>
      <w:lang w:val="en-AU" w:eastAsia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882054"/>
    <w:pPr>
      <w:numPr>
        <w:numId w:val="3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882054"/>
    <w:pPr>
      <w:numPr>
        <w:ilvl w:val="1"/>
        <w:numId w:val="7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882054"/>
    <w:pPr>
      <w:numPr>
        <w:ilvl w:val="2"/>
        <w:numId w:val="7"/>
      </w:numPr>
      <w:spacing w:after="120" w:line="300" w:lineRule="atLeast"/>
      <w:ind w:left="850" w:hanging="170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3C0558"/>
    <w:pPr>
      <w:numPr>
        <w:numId w:val="10"/>
      </w:numPr>
      <w:tabs>
        <w:tab w:val="clear" w:pos="1492"/>
        <w:tab w:val="left" w:pos="1304"/>
      </w:tabs>
      <w:ind w:left="1276" w:hanging="142"/>
    </w:pPr>
    <w:rPr>
      <w:bCs/>
    </w:r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3C0558"/>
    <w:pPr>
      <w:numPr>
        <w:ilvl w:val="1"/>
        <w:numId w:val="22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3C0558"/>
    <w:pPr>
      <w:numPr>
        <w:ilvl w:val="2"/>
        <w:numId w:val="22"/>
      </w:numPr>
      <w:spacing w:after="120" w:line="300" w:lineRule="atLeast"/>
      <w:ind w:left="1071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n.murray@vla.vic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Dan.murray@vla.vic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.murray@vla.vic.gov.au" TargetMode="External"/><Relationship Id="rId5" Type="http://schemas.openxmlformats.org/officeDocument/2006/relationships/styles" Target="styles.xml"/><Relationship Id="rId15" Type="http://schemas.openxmlformats.org/officeDocument/2006/relationships/hyperlink" Target="mailto:Dan.murray@vla.vic.gov.a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n.murray@vla.vic.gov.au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n.murray@vla.vic.gov.au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legalaid.sharepoint.com/sites/VLAbranding/Shared%20Documents/Fact%20Sheets/VLA%20generic%20(Factshee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E53BFF4B9844088261D938BE45795" ma:contentTypeVersion="2" ma:contentTypeDescription="Create a new document." ma:contentTypeScope="" ma:versionID="e4f44d7a9899a5b6a9fa0d2f7f759a82">
  <xsd:schema xmlns:xsd="http://www.w3.org/2001/XMLSchema" xmlns:xs="http://www.w3.org/2001/XMLSchema" xmlns:p="http://schemas.microsoft.com/office/2006/metadata/properties" xmlns:ns2="5e617d74-34a9-480c-aeda-ffdde7418698" targetNamespace="http://schemas.microsoft.com/office/2006/metadata/properties" ma:root="true" ma:fieldsID="fa96a6cd78d74fa84fe497474d0d94ff" ns2:_="">
    <xsd:import namespace="5e617d74-34a9-480c-aeda-ffdde7418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17d74-34a9-480c-aeda-ffdde7418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329AF-D008-4FD5-8701-63DC375D9D26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5e617d74-34a9-480c-aeda-ffdde7418698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ED59C6-F897-4B36-AF31-D3D7D2CA7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86215-30BE-48B9-99DE-7DAA338A4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17d74-34a9-480c-aeda-ffdde7418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VLA%20generic%20(Factsheet).dotx</Template>
  <TotalTime>14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Activity Plan 2023–24</vt:lpstr>
    </vt:vector>
  </TitlesOfParts>
  <Company>Victoria Legal Aid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Activity Plan 2023–24</dc:title>
  <dc:subject/>
  <dc:creator>Victoria Legal Aid</dc:creator>
  <cp:keywords/>
  <dc:description/>
  <cp:lastModifiedBy>Rhys Owen</cp:lastModifiedBy>
  <cp:revision>1</cp:revision>
  <cp:lastPrinted>2023-01-03T23:40:00Z</cp:lastPrinted>
  <dcterms:created xsi:type="dcterms:W3CDTF">2023-07-28T01:03:00Z</dcterms:created>
  <dcterms:modified xsi:type="dcterms:W3CDTF">2023-07-28T01:17:00Z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1,4,5</vt:lpwstr>
  </property>
  <property fmtid="{D5CDD505-2E9C-101B-9397-08002B2CF9AE}" pid="3" name="ClassificationContentMarkingHeaderFontProps">
    <vt:lpwstr>#000000,11,Calibri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9150236c-7dbd-4fa5-957d-8e3e9c46dc34_Enabled">
    <vt:lpwstr>true</vt:lpwstr>
  </property>
  <property fmtid="{D5CDD505-2E9C-101B-9397-08002B2CF9AE}" pid="6" name="MSIP_Label_9150236c-7dbd-4fa5-957d-8e3e9c46dc34_SetDate">
    <vt:lpwstr>2022-11-29T02:45:05Z</vt:lpwstr>
  </property>
  <property fmtid="{D5CDD505-2E9C-101B-9397-08002B2CF9AE}" pid="7" name="MSIP_Label_9150236c-7dbd-4fa5-957d-8e3e9c46dc34_Method">
    <vt:lpwstr>Privileged</vt:lpwstr>
  </property>
  <property fmtid="{D5CDD505-2E9C-101B-9397-08002B2CF9AE}" pid="8" name="MSIP_Label_9150236c-7dbd-4fa5-957d-8e3e9c46dc34_Name">
    <vt:lpwstr>Official</vt:lpwstr>
  </property>
  <property fmtid="{D5CDD505-2E9C-101B-9397-08002B2CF9AE}" pid="9" name="MSIP_Label_9150236c-7dbd-4fa5-957d-8e3e9c46dc34_SiteId">
    <vt:lpwstr>f6bec780-cd13-49ce-84c7-5d7d94821879</vt:lpwstr>
  </property>
  <property fmtid="{D5CDD505-2E9C-101B-9397-08002B2CF9AE}" pid="10" name="MSIP_Label_9150236c-7dbd-4fa5-957d-8e3e9c46dc34_ActionId">
    <vt:lpwstr>6cc61411-1157-435f-b5c4-55a7936e2cbd</vt:lpwstr>
  </property>
  <property fmtid="{D5CDD505-2E9C-101B-9397-08002B2CF9AE}" pid="11" name="MSIP_Label_9150236c-7dbd-4fa5-957d-8e3e9c46dc34_ContentBits">
    <vt:lpwstr>1</vt:lpwstr>
  </property>
  <property fmtid="{D5CDD505-2E9C-101B-9397-08002B2CF9AE}" pid="12" name="ContentTypeId">
    <vt:lpwstr>0x010100DE3E53BFF4B9844088261D938BE45795</vt:lpwstr>
  </property>
</Properties>
</file>