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73F0" w14:textId="49BB5BF3" w:rsidR="00B371E3" w:rsidRDefault="00851DAD" w:rsidP="00B371E3">
      <w:pPr>
        <w:pStyle w:val="Heading1"/>
      </w:pPr>
      <w:r>
        <w:t xml:space="preserve">Our 2021 and 2023 reporting to the </w:t>
      </w:r>
      <w:r w:rsidR="00B371E3">
        <w:t xml:space="preserve">Commission for Gender Equality in the Public Sector </w:t>
      </w:r>
      <w:r w:rsidR="00C61B51">
        <w:t>(</w:t>
      </w:r>
      <w:r w:rsidR="005E447C">
        <w:t>a</w:t>
      </w:r>
      <w:r w:rsidR="00B371E3">
        <w:t xml:space="preserve">bridged </w:t>
      </w:r>
      <w:r w:rsidR="005E447C">
        <w:t>v</w:t>
      </w:r>
      <w:r w:rsidR="00C61B51">
        <w:t>ersion)</w:t>
      </w:r>
    </w:p>
    <w:p w14:paraId="104614AB" w14:textId="33BC2C3C" w:rsidR="00CC647D" w:rsidRDefault="00B371E3" w:rsidP="00B371E3">
      <w:pPr>
        <w:rPr>
          <w:lang w:eastAsia="en-AU"/>
        </w:rPr>
      </w:pPr>
      <w:r w:rsidRPr="0961E1FF">
        <w:rPr>
          <w:lang w:eastAsia="en-AU"/>
        </w:rPr>
        <w:t xml:space="preserve">Under the </w:t>
      </w:r>
      <w:r w:rsidRPr="0961E1FF">
        <w:rPr>
          <w:i/>
          <w:iCs/>
          <w:lang w:eastAsia="en-AU"/>
        </w:rPr>
        <w:t>Gender Equality Act 2020</w:t>
      </w:r>
      <w:r w:rsidR="007B2B81">
        <w:rPr>
          <w:i/>
          <w:iCs/>
          <w:lang w:eastAsia="en-AU"/>
        </w:rPr>
        <w:t xml:space="preserve"> </w:t>
      </w:r>
      <w:r w:rsidR="007B2B81" w:rsidRPr="002D7092">
        <w:rPr>
          <w:lang w:eastAsia="en-AU"/>
        </w:rPr>
        <w:t>(Vic)</w:t>
      </w:r>
      <w:r w:rsidRPr="002D7092">
        <w:rPr>
          <w:lang w:eastAsia="en-AU"/>
        </w:rPr>
        <w:t>,</w:t>
      </w:r>
      <w:r w:rsidR="00D574F0">
        <w:rPr>
          <w:lang w:eastAsia="en-AU"/>
        </w:rPr>
        <w:t xml:space="preserve"> we have</w:t>
      </w:r>
      <w:r w:rsidRPr="0961E1FF">
        <w:rPr>
          <w:lang w:eastAsia="en-AU"/>
        </w:rPr>
        <w:t xml:space="preserve"> legislative obligations to report on our gender equality progress to the </w:t>
      </w:r>
      <w:hyperlink r:id="rId10" w:history="1">
        <w:r w:rsidRPr="00D574F0">
          <w:rPr>
            <w:rStyle w:val="Hyperlink"/>
            <w:lang w:eastAsia="en-AU"/>
          </w:rPr>
          <w:t>Commission for Gender Equality in the Public Sector.</w:t>
        </w:r>
      </w:hyperlink>
      <w:r w:rsidR="00CC647D" w:rsidRPr="0961E1FF">
        <w:rPr>
          <w:lang w:eastAsia="en-AU"/>
        </w:rPr>
        <w:t xml:space="preserve"> This also includes reporting on progress made in </w:t>
      </w:r>
      <w:bookmarkStart w:id="0" w:name="_Int_UU4Nefz8"/>
      <w:r w:rsidR="00CC647D" w:rsidRPr="0961E1FF">
        <w:rPr>
          <w:lang w:eastAsia="en-AU"/>
        </w:rPr>
        <w:t>our</w:t>
      </w:r>
      <w:bookmarkEnd w:id="0"/>
      <w:r w:rsidR="00CC647D" w:rsidRPr="0961E1FF">
        <w:rPr>
          <w:lang w:eastAsia="en-AU"/>
        </w:rPr>
        <w:t xml:space="preserve"> </w:t>
      </w:r>
      <w:hyperlink>
        <w:r w:rsidR="00CC647D" w:rsidRPr="0961E1FF">
          <w:rPr>
            <w:rStyle w:val="Hyperlink"/>
            <w:lang w:eastAsia="en-AU"/>
          </w:rPr>
          <w:t>Gender Equality Action Plan</w:t>
        </w:r>
      </w:hyperlink>
      <w:r w:rsidR="00C75598">
        <w:rPr>
          <w:rStyle w:val="Hyperlink"/>
          <w:lang w:eastAsia="en-AU"/>
        </w:rPr>
        <w:t xml:space="preserve"> (GEAP)</w:t>
      </w:r>
      <w:r w:rsidR="00CC647D" w:rsidRPr="0961E1FF">
        <w:rPr>
          <w:lang w:eastAsia="en-AU"/>
        </w:rPr>
        <w:t xml:space="preserve">. </w:t>
      </w:r>
      <w:r w:rsidRPr="0961E1FF">
        <w:rPr>
          <w:lang w:eastAsia="en-AU"/>
        </w:rPr>
        <w:t xml:space="preserve"> </w:t>
      </w:r>
    </w:p>
    <w:p w14:paraId="0D917377" w14:textId="54F9CCAB" w:rsidR="00A13893" w:rsidRDefault="00D574F0" w:rsidP="00B371E3">
      <w:pPr>
        <w:rPr>
          <w:lang w:eastAsia="en-AU"/>
        </w:rPr>
      </w:pPr>
      <w:r>
        <w:rPr>
          <w:lang w:eastAsia="en-AU"/>
        </w:rPr>
        <w:t>We have</w:t>
      </w:r>
      <w:r w:rsidR="00B371E3">
        <w:rPr>
          <w:lang w:eastAsia="en-AU"/>
        </w:rPr>
        <w:t xml:space="preserve"> received confirmation that </w:t>
      </w:r>
      <w:r w:rsidR="00A13893">
        <w:rPr>
          <w:lang w:eastAsia="en-AU"/>
        </w:rPr>
        <w:t xml:space="preserve">we are compliant and have </w:t>
      </w:r>
      <w:r w:rsidR="00B371E3">
        <w:rPr>
          <w:lang w:eastAsia="en-AU"/>
        </w:rPr>
        <w:t xml:space="preserve">made some progress across the seven-gender equality indicators within the reporting period for 2021 to 2023. </w:t>
      </w:r>
    </w:p>
    <w:p w14:paraId="0067DE20" w14:textId="35890127" w:rsidR="00B371E3" w:rsidRPr="00B371E3" w:rsidRDefault="00B371E3" w:rsidP="00B371E3">
      <w:pPr>
        <w:rPr>
          <w:lang w:eastAsia="en-AU"/>
        </w:rPr>
      </w:pPr>
      <w:r>
        <w:rPr>
          <w:lang w:eastAsia="en-AU"/>
        </w:rPr>
        <w:t xml:space="preserve">This document is an abridged summary of </w:t>
      </w:r>
      <w:r w:rsidR="00A13893">
        <w:rPr>
          <w:lang w:eastAsia="en-AU"/>
        </w:rPr>
        <w:t>key areas in the submission.</w:t>
      </w:r>
    </w:p>
    <w:p w14:paraId="0E99C4B6" w14:textId="05439707" w:rsidR="00AA3C8D" w:rsidRDefault="00B371E3" w:rsidP="00B371E3">
      <w:pPr>
        <w:pStyle w:val="Heading1"/>
      </w:pPr>
      <w:r>
        <w:t xml:space="preserve">Gender </w:t>
      </w:r>
      <w:r w:rsidR="005E447C">
        <w:t>i</w:t>
      </w:r>
      <w:r>
        <w:t xml:space="preserve">mpact </w:t>
      </w:r>
      <w:r w:rsidR="005E447C">
        <w:t>a</w:t>
      </w:r>
      <w:r>
        <w:t>ssessments</w:t>
      </w:r>
    </w:p>
    <w:p w14:paraId="18EBE184" w14:textId="77777777" w:rsidR="00F45FF8" w:rsidRDefault="00AA6AF3" w:rsidP="00B371E3">
      <w:pPr>
        <w:rPr>
          <w:lang w:eastAsia="en-AU"/>
        </w:rPr>
      </w:pPr>
      <w:r w:rsidRPr="00AA6AF3">
        <w:rPr>
          <w:lang w:eastAsia="en-AU"/>
        </w:rPr>
        <w:t>Gender impact assessments</w:t>
      </w:r>
      <w:r w:rsidR="00FD1372">
        <w:rPr>
          <w:lang w:eastAsia="en-AU"/>
        </w:rPr>
        <w:t xml:space="preserve"> (GIAs)</w:t>
      </w:r>
      <w:r w:rsidRPr="00AA6AF3">
        <w:rPr>
          <w:lang w:eastAsia="en-AU"/>
        </w:rPr>
        <w:t xml:space="preserve"> are designed to help organisations think critically about how policies, programs and services will meet the different needs of women, men and gender diverse people.</w:t>
      </w:r>
      <w:r>
        <w:rPr>
          <w:lang w:eastAsia="en-AU"/>
        </w:rPr>
        <w:t xml:space="preserve"> </w:t>
      </w:r>
    </w:p>
    <w:p w14:paraId="493DDB46" w14:textId="128C04EE" w:rsidR="00B371E3" w:rsidRDefault="00B371E3" w:rsidP="00B371E3">
      <w:pPr>
        <w:rPr>
          <w:lang w:eastAsia="en-AU"/>
        </w:rPr>
      </w:pPr>
      <w:r>
        <w:rPr>
          <w:lang w:eastAsia="en-AU"/>
        </w:rPr>
        <w:t xml:space="preserve">During the reporting period, </w:t>
      </w:r>
      <w:r w:rsidR="00B55C48">
        <w:rPr>
          <w:lang w:eastAsia="en-AU"/>
        </w:rPr>
        <w:t xml:space="preserve">we </w:t>
      </w:r>
      <w:r>
        <w:rPr>
          <w:lang w:eastAsia="en-AU"/>
        </w:rPr>
        <w:t xml:space="preserve">completed three </w:t>
      </w:r>
      <w:r w:rsidR="00B55C48">
        <w:rPr>
          <w:lang w:eastAsia="en-AU"/>
        </w:rPr>
        <w:t>g</w:t>
      </w:r>
      <w:r>
        <w:rPr>
          <w:lang w:eastAsia="en-AU"/>
        </w:rPr>
        <w:t xml:space="preserve">ender </w:t>
      </w:r>
      <w:r w:rsidR="00B55C48">
        <w:rPr>
          <w:lang w:eastAsia="en-AU"/>
        </w:rPr>
        <w:t>i</w:t>
      </w:r>
      <w:r>
        <w:rPr>
          <w:lang w:eastAsia="en-AU"/>
        </w:rPr>
        <w:t xml:space="preserve">mpact </w:t>
      </w:r>
      <w:r w:rsidR="00B55C48">
        <w:rPr>
          <w:lang w:eastAsia="en-AU"/>
        </w:rPr>
        <w:t>a</w:t>
      </w:r>
      <w:r>
        <w:rPr>
          <w:lang w:eastAsia="en-AU"/>
        </w:rPr>
        <w:t xml:space="preserve">ssessments, </w:t>
      </w:r>
      <w:r w:rsidR="0050264F">
        <w:rPr>
          <w:lang w:eastAsia="en-AU"/>
        </w:rPr>
        <w:t>including making and implementing recommendations.</w:t>
      </w:r>
    </w:p>
    <w:p w14:paraId="6DF80A2D" w14:textId="20A5EABD" w:rsidR="00AA6AF3" w:rsidRPr="00C61B51" w:rsidRDefault="00C61B51" w:rsidP="002D7092">
      <w:pPr>
        <w:pStyle w:val="Heading3"/>
      </w:pPr>
      <w:r w:rsidRPr="00C61B51">
        <w:t xml:space="preserve">Help Before Court </w:t>
      </w:r>
      <w:r w:rsidR="00621BAB">
        <w:t>s</w:t>
      </w:r>
      <w:r w:rsidRPr="00C61B51">
        <w:t>ervice</w:t>
      </w:r>
    </w:p>
    <w:p w14:paraId="732AA358" w14:textId="182B2B0E" w:rsidR="00C61B51" w:rsidRPr="00C61B51" w:rsidRDefault="00C61B51" w:rsidP="002D7092">
      <w:pPr>
        <w:pStyle w:val="Heading4"/>
        <w:rPr>
          <w:szCs w:val="20"/>
        </w:rPr>
      </w:pPr>
      <w:r w:rsidRPr="00C61B51">
        <w:t>Recommendation</w:t>
      </w:r>
      <w:r>
        <w:t>s</w:t>
      </w:r>
    </w:p>
    <w:p w14:paraId="45C954D0" w14:textId="4B1F7C1F" w:rsidR="00C61B51" w:rsidRPr="000839EB" w:rsidRDefault="00C61B51" w:rsidP="002D7092">
      <w:pPr>
        <w:pStyle w:val="ListParagraph"/>
        <w:numPr>
          <w:ilvl w:val="0"/>
          <w:numId w:val="34"/>
        </w:numPr>
        <w:spacing w:before="60"/>
        <w:rPr>
          <w:szCs w:val="20"/>
          <w:lang w:eastAsia="en-AU"/>
        </w:rPr>
      </w:pPr>
      <w:r w:rsidRPr="000839EB">
        <w:rPr>
          <w:szCs w:val="20"/>
          <w:lang w:eastAsia="en-AU"/>
        </w:rPr>
        <w:t>Share and make readily available pre-existing resources in the Help Before Court Best Practice Guide such as the Best Practice Framework for Specialist Family Violence Court and trauma-informed lawyering intranet page</w:t>
      </w:r>
      <w:r w:rsidR="000839EB">
        <w:rPr>
          <w:szCs w:val="20"/>
          <w:lang w:eastAsia="en-AU"/>
        </w:rPr>
        <w:t>.</w:t>
      </w:r>
      <w:r w:rsidRPr="000839EB">
        <w:rPr>
          <w:szCs w:val="20"/>
          <w:lang w:eastAsia="en-AU"/>
        </w:rPr>
        <w:t xml:space="preserve"> </w:t>
      </w:r>
    </w:p>
    <w:p w14:paraId="57C7947D" w14:textId="11E98868" w:rsidR="00C61B51" w:rsidRPr="000839EB" w:rsidRDefault="00C61B51" w:rsidP="002D7092">
      <w:pPr>
        <w:pStyle w:val="ListParagraph"/>
        <w:numPr>
          <w:ilvl w:val="0"/>
          <w:numId w:val="34"/>
        </w:numPr>
        <w:spacing w:before="60"/>
        <w:rPr>
          <w:szCs w:val="20"/>
          <w:lang w:eastAsia="en-AU"/>
        </w:rPr>
      </w:pPr>
      <w:r w:rsidRPr="000839EB">
        <w:rPr>
          <w:szCs w:val="20"/>
          <w:lang w:eastAsia="en-AU"/>
        </w:rPr>
        <w:t>Introduce a new legal aid guideline to support women (including trans gender women) and gender diverse people pleading not guilty to criminal charges where they have been misidentified as a perpetrator of family violence</w:t>
      </w:r>
      <w:r w:rsidR="000839EB">
        <w:rPr>
          <w:szCs w:val="20"/>
          <w:lang w:eastAsia="en-AU"/>
        </w:rPr>
        <w:t>.</w:t>
      </w:r>
      <w:r w:rsidRPr="000839EB">
        <w:rPr>
          <w:szCs w:val="20"/>
          <w:lang w:eastAsia="en-AU"/>
        </w:rPr>
        <w:t xml:space="preserve"> </w:t>
      </w:r>
    </w:p>
    <w:p w14:paraId="1E9872F4" w14:textId="1A64123A" w:rsidR="00C61B51" w:rsidRPr="000839EB" w:rsidRDefault="00C61B51" w:rsidP="002D7092">
      <w:pPr>
        <w:pStyle w:val="ListParagraph"/>
        <w:numPr>
          <w:ilvl w:val="0"/>
          <w:numId w:val="34"/>
        </w:numPr>
        <w:spacing w:before="60"/>
        <w:rPr>
          <w:szCs w:val="20"/>
          <w:lang w:eastAsia="en-AU"/>
        </w:rPr>
      </w:pPr>
      <w:r w:rsidRPr="000839EB">
        <w:rPr>
          <w:szCs w:val="20"/>
          <w:lang w:eastAsia="en-AU"/>
        </w:rPr>
        <w:t xml:space="preserve">Make the quick exit button available when using the intake tool to apply for </w:t>
      </w:r>
      <w:r w:rsidR="00902A15">
        <w:rPr>
          <w:szCs w:val="20"/>
          <w:lang w:eastAsia="en-AU"/>
        </w:rPr>
        <w:t>Help Before Court</w:t>
      </w:r>
      <w:r w:rsidR="000839EB">
        <w:rPr>
          <w:szCs w:val="20"/>
          <w:lang w:eastAsia="en-AU"/>
        </w:rPr>
        <w:t>.</w:t>
      </w:r>
      <w:r w:rsidRPr="000839EB">
        <w:rPr>
          <w:szCs w:val="20"/>
          <w:lang w:eastAsia="en-AU"/>
        </w:rPr>
        <w:t xml:space="preserve"> </w:t>
      </w:r>
    </w:p>
    <w:p w14:paraId="597EB190" w14:textId="0C1BFBD0" w:rsidR="00C61B51" w:rsidRPr="000839EB" w:rsidRDefault="00C61B51" w:rsidP="002D7092">
      <w:pPr>
        <w:pStyle w:val="ListParagraph"/>
        <w:numPr>
          <w:ilvl w:val="0"/>
          <w:numId w:val="34"/>
        </w:numPr>
        <w:spacing w:before="60"/>
        <w:rPr>
          <w:szCs w:val="20"/>
          <w:lang w:eastAsia="en-AU"/>
        </w:rPr>
      </w:pPr>
      <w:r w:rsidRPr="000839EB">
        <w:rPr>
          <w:szCs w:val="20"/>
          <w:lang w:eastAsia="en-AU"/>
        </w:rPr>
        <w:t>User testing of new intake tool with Shared Experience and Support (SEAS) and Women with Disabilities</w:t>
      </w:r>
      <w:r w:rsidR="00AB4BC3">
        <w:rPr>
          <w:szCs w:val="20"/>
          <w:lang w:eastAsia="en-AU"/>
        </w:rPr>
        <w:t>.</w:t>
      </w:r>
      <w:r w:rsidRPr="000839EB">
        <w:rPr>
          <w:szCs w:val="20"/>
          <w:lang w:eastAsia="en-AU"/>
        </w:rPr>
        <w:t xml:space="preserve"> </w:t>
      </w:r>
    </w:p>
    <w:p w14:paraId="6C6EC09E" w14:textId="28980BA4" w:rsidR="00C61B51" w:rsidRPr="000839EB" w:rsidRDefault="00C61B51" w:rsidP="002D7092">
      <w:pPr>
        <w:pStyle w:val="ListParagraph"/>
        <w:numPr>
          <w:ilvl w:val="0"/>
          <w:numId w:val="34"/>
        </w:numPr>
        <w:spacing w:before="60"/>
        <w:rPr>
          <w:szCs w:val="20"/>
          <w:lang w:eastAsia="en-AU"/>
        </w:rPr>
      </w:pPr>
      <w:r w:rsidRPr="000839EB">
        <w:rPr>
          <w:szCs w:val="20"/>
          <w:lang w:eastAsia="en-AU"/>
        </w:rPr>
        <w:t>Include people who have experienced family violence or recent trauma in the definition of a priority client under the guidelines</w:t>
      </w:r>
      <w:r w:rsidR="008C6B34">
        <w:rPr>
          <w:szCs w:val="20"/>
          <w:lang w:eastAsia="en-AU"/>
        </w:rPr>
        <w:t>.</w:t>
      </w:r>
      <w:r w:rsidRPr="000839EB">
        <w:rPr>
          <w:szCs w:val="20"/>
          <w:lang w:eastAsia="en-AU"/>
        </w:rPr>
        <w:t xml:space="preserve"> </w:t>
      </w:r>
    </w:p>
    <w:p w14:paraId="6FE06F65" w14:textId="6C036B71" w:rsidR="00C61B51" w:rsidRPr="000839EB" w:rsidRDefault="00C61B51" w:rsidP="002D7092">
      <w:pPr>
        <w:pStyle w:val="ListParagraph"/>
        <w:numPr>
          <w:ilvl w:val="0"/>
          <w:numId w:val="34"/>
        </w:numPr>
        <w:spacing w:before="60"/>
        <w:rPr>
          <w:szCs w:val="20"/>
          <w:lang w:eastAsia="en-AU"/>
        </w:rPr>
      </w:pPr>
      <w:r w:rsidRPr="000839EB">
        <w:rPr>
          <w:szCs w:val="20"/>
          <w:lang w:eastAsia="en-AU"/>
        </w:rPr>
        <w:t xml:space="preserve">Record best contact times via </w:t>
      </w:r>
      <w:r w:rsidR="00B3229B">
        <w:rPr>
          <w:szCs w:val="20"/>
          <w:lang w:eastAsia="en-AU"/>
        </w:rPr>
        <w:t>Legal Aid Services Online (</w:t>
      </w:r>
      <w:r w:rsidRPr="000839EB">
        <w:rPr>
          <w:szCs w:val="20"/>
          <w:lang w:eastAsia="en-AU"/>
        </w:rPr>
        <w:t>LASO</w:t>
      </w:r>
      <w:r w:rsidR="00B3229B">
        <w:rPr>
          <w:szCs w:val="20"/>
          <w:lang w:eastAsia="en-AU"/>
        </w:rPr>
        <w:t>),</w:t>
      </w:r>
      <w:r w:rsidRPr="000839EB">
        <w:rPr>
          <w:szCs w:val="20"/>
          <w:lang w:eastAsia="en-AU"/>
        </w:rPr>
        <w:t xml:space="preserve"> as will the new intake tool</w:t>
      </w:r>
      <w:r w:rsidR="008C6B34">
        <w:rPr>
          <w:szCs w:val="20"/>
          <w:lang w:eastAsia="en-AU"/>
        </w:rPr>
        <w:t>.</w:t>
      </w:r>
      <w:r w:rsidRPr="000839EB">
        <w:rPr>
          <w:szCs w:val="20"/>
          <w:lang w:eastAsia="en-AU"/>
        </w:rPr>
        <w:t xml:space="preserve"> </w:t>
      </w:r>
    </w:p>
    <w:p w14:paraId="101E7B97" w14:textId="5A3DB839" w:rsidR="00C61B51" w:rsidRPr="000839EB" w:rsidRDefault="00C61B51" w:rsidP="002D7092">
      <w:pPr>
        <w:pStyle w:val="ListParagraph"/>
        <w:numPr>
          <w:ilvl w:val="0"/>
          <w:numId w:val="34"/>
        </w:numPr>
        <w:spacing w:before="60"/>
        <w:rPr>
          <w:szCs w:val="20"/>
          <w:lang w:eastAsia="en-AU"/>
        </w:rPr>
      </w:pPr>
      <w:r w:rsidRPr="000839EB">
        <w:rPr>
          <w:szCs w:val="20"/>
          <w:lang w:eastAsia="en-AU"/>
        </w:rPr>
        <w:t>Develop lived experience user testing plan for the new intake tool</w:t>
      </w:r>
      <w:r w:rsidR="00B3229B">
        <w:rPr>
          <w:szCs w:val="20"/>
          <w:lang w:eastAsia="en-AU"/>
        </w:rPr>
        <w:t>.</w:t>
      </w:r>
      <w:r w:rsidRPr="000839EB">
        <w:rPr>
          <w:szCs w:val="20"/>
          <w:lang w:eastAsia="en-AU"/>
        </w:rPr>
        <w:t xml:space="preserve"> </w:t>
      </w:r>
    </w:p>
    <w:p w14:paraId="7C781A1B" w14:textId="12BA5926" w:rsidR="00C61B51" w:rsidRPr="000839EB" w:rsidRDefault="00C61B51" w:rsidP="002D7092">
      <w:pPr>
        <w:pStyle w:val="ListParagraph"/>
        <w:numPr>
          <w:ilvl w:val="0"/>
          <w:numId w:val="34"/>
        </w:numPr>
        <w:spacing w:before="60"/>
        <w:rPr>
          <w:szCs w:val="20"/>
          <w:lang w:eastAsia="en-AU"/>
        </w:rPr>
      </w:pPr>
      <w:r w:rsidRPr="000839EB">
        <w:rPr>
          <w:szCs w:val="20"/>
          <w:lang w:eastAsia="en-AU"/>
        </w:rPr>
        <w:t xml:space="preserve">Include in </w:t>
      </w:r>
      <w:r w:rsidR="00B3229B">
        <w:rPr>
          <w:szCs w:val="20"/>
          <w:lang w:eastAsia="en-AU"/>
        </w:rPr>
        <w:t>d</w:t>
      </w:r>
      <w:r w:rsidRPr="000839EB">
        <w:rPr>
          <w:szCs w:val="20"/>
          <w:lang w:eastAsia="en-AU"/>
        </w:rPr>
        <w:t xml:space="preserve">uty </w:t>
      </w:r>
      <w:r w:rsidR="00B3229B">
        <w:rPr>
          <w:szCs w:val="20"/>
          <w:lang w:eastAsia="en-AU"/>
        </w:rPr>
        <w:t>l</w:t>
      </w:r>
      <w:r w:rsidRPr="000839EB">
        <w:rPr>
          <w:szCs w:val="20"/>
          <w:lang w:eastAsia="en-AU"/>
        </w:rPr>
        <w:t>awyer and Help Before Court guidelines a minimum service guarantee for Aboriginal and/or Torres Strait Islander help seekers.</w:t>
      </w:r>
    </w:p>
    <w:p w14:paraId="268E7E3D" w14:textId="11FAD27C" w:rsidR="00C61B51" w:rsidRPr="000839EB" w:rsidRDefault="00C61B51" w:rsidP="002D7092">
      <w:pPr>
        <w:pStyle w:val="ListParagraph"/>
        <w:numPr>
          <w:ilvl w:val="0"/>
          <w:numId w:val="34"/>
        </w:numPr>
        <w:spacing w:before="60"/>
        <w:rPr>
          <w:szCs w:val="20"/>
          <w:lang w:eastAsia="en-AU"/>
        </w:rPr>
      </w:pPr>
      <w:r w:rsidRPr="000839EB">
        <w:rPr>
          <w:szCs w:val="20"/>
          <w:lang w:eastAsia="en-AU"/>
        </w:rPr>
        <w:t>Introduce a new legal aid guideline to support Aboriginal and/or Torres Strait Islander clients who seek to plead not guilty to charges</w:t>
      </w:r>
      <w:r w:rsidR="00B027B4">
        <w:rPr>
          <w:szCs w:val="20"/>
          <w:lang w:eastAsia="en-AU"/>
        </w:rPr>
        <w:t>.</w:t>
      </w:r>
    </w:p>
    <w:p w14:paraId="438DAA86" w14:textId="15C79218" w:rsidR="00C61B51" w:rsidRPr="00AA6AF3" w:rsidRDefault="00902A15" w:rsidP="00C61B51">
      <w:pPr>
        <w:spacing w:before="60"/>
        <w:rPr>
          <w:szCs w:val="20"/>
          <w:lang w:eastAsia="en-AU"/>
        </w:rPr>
      </w:pPr>
      <w:r w:rsidRPr="002D7092">
        <w:rPr>
          <w:rStyle w:val="Heading4Char"/>
        </w:rPr>
        <w:t>Actions underway</w:t>
      </w:r>
    </w:p>
    <w:p w14:paraId="2CD3B1A5" w14:textId="613DB471" w:rsidR="00C61B51" w:rsidRPr="00902A15" w:rsidRDefault="00C61B51" w:rsidP="002D7092">
      <w:pPr>
        <w:pStyle w:val="ListParagraph"/>
        <w:numPr>
          <w:ilvl w:val="0"/>
          <w:numId w:val="36"/>
        </w:numPr>
        <w:spacing w:before="60"/>
        <w:rPr>
          <w:szCs w:val="20"/>
          <w:lang w:eastAsia="en-AU"/>
        </w:rPr>
      </w:pPr>
      <w:r w:rsidRPr="00902A15">
        <w:rPr>
          <w:szCs w:val="20"/>
          <w:lang w:eastAsia="en-AU"/>
        </w:rPr>
        <w:t xml:space="preserve">Monitor staff completion of relevant components in the Client Safety Training framework for the Help Before Court </w:t>
      </w:r>
      <w:r w:rsidR="00AB4BC3">
        <w:rPr>
          <w:szCs w:val="20"/>
          <w:lang w:eastAsia="en-AU"/>
        </w:rPr>
        <w:t>i</w:t>
      </w:r>
      <w:r w:rsidRPr="00902A15">
        <w:rPr>
          <w:szCs w:val="20"/>
          <w:lang w:eastAsia="en-AU"/>
        </w:rPr>
        <w:t xml:space="preserve">ntake </w:t>
      </w:r>
      <w:r w:rsidR="00AB4BC3">
        <w:rPr>
          <w:szCs w:val="20"/>
          <w:lang w:eastAsia="en-AU"/>
        </w:rPr>
        <w:t>t</w:t>
      </w:r>
      <w:r w:rsidRPr="00902A15">
        <w:rPr>
          <w:szCs w:val="20"/>
          <w:lang w:eastAsia="en-AU"/>
        </w:rPr>
        <w:t>eam</w:t>
      </w:r>
      <w:r w:rsidR="00AB4BC3">
        <w:rPr>
          <w:szCs w:val="20"/>
          <w:lang w:eastAsia="en-AU"/>
        </w:rPr>
        <w:t>.</w:t>
      </w:r>
    </w:p>
    <w:p w14:paraId="5052CE0C" w14:textId="17402B2B" w:rsidR="00C61B51" w:rsidRPr="00902A15" w:rsidRDefault="00C61B51" w:rsidP="002D7092">
      <w:pPr>
        <w:pStyle w:val="ListParagraph"/>
        <w:numPr>
          <w:ilvl w:val="0"/>
          <w:numId w:val="36"/>
        </w:numPr>
        <w:spacing w:before="60"/>
        <w:rPr>
          <w:szCs w:val="20"/>
          <w:lang w:eastAsia="en-AU"/>
        </w:rPr>
      </w:pPr>
      <w:r w:rsidRPr="00902A15">
        <w:rPr>
          <w:szCs w:val="20"/>
          <w:lang w:eastAsia="en-AU"/>
        </w:rPr>
        <w:t>Develop further training to support frontline workers in identifying and assisting clients who have been misidentified and charged with a crime</w:t>
      </w:r>
      <w:r w:rsidR="00B027B4">
        <w:rPr>
          <w:szCs w:val="20"/>
          <w:lang w:eastAsia="en-AU"/>
        </w:rPr>
        <w:t>.</w:t>
      </w:r>
      <w:r w:rsidRPr="00902A15">
        <w:rPr>
          <w:szCs w:val="20"/>
          <w:lang w:eastAsia="en-AU"/>
        </w:rPr>
        <w:t xml:space="preserve"> </w:t>
      </w:r>
    </w:p>
    <w:p w14:paraId="13B78AAA" w14:textId="02249C69" w:rsidR="00C61B51" w:rsidRPr="00902A15" w:rsidRDefault="00C61B51" w:rsidP="002D7092">
      <w:pPr>
        <w:pStyle w:val="ListParagraph"/>
        <w:numPr>
          <w:ilvl w:val="0"/>
          <w:numId w:val="36"/>
        </w:numPr>
        <w:spacing w:before="60"/>
        <w:rPr>
          <w:szCs w:val="20"/>
          <w:lang w:eastAsia="en-AU"/>
        </w:rPr>
      </w:pPr>
      <w:r w:rsidRPr="00902A15">
        <w:rPr>
          <w:szCs w:val="20"/>
          <w:lang w:eastAsia="en-AU"/>
        </w:rPr>
        <w:lastRenderedPageBreak/>
        <w:t xml:space="preserve">Explore opportunities to collaborate with the Family Violence </w:t>
      </w:r>
      <w:r w:rsidR="00D860C1">
        <w:rPr>
          <w:szCs w:val="20"/>
          <w:lang w:eastAsia="en-AU"/>
        </w:rPr>
        <w:t>p</w:t>
      </w:r>
      <w:r w:rsidRPr="00902A15">
        <w:rPr>
          <w:szCs w:val="20"/>
          <w:lang w:eastAsia="en-AU"/>
        </w:rPr>
        <w:t>rogram to increase awareness and resources around the misidentification of women and gender diverse people, especially those from marginalised groups, who have been misidentified as the perpetrator of family violence</w:t>
      </w:r>
      <w:r w:rsidR="00D860C1">
        <w:rPr>
          <w:szCs w:val="20"/>
          <w:lang w:eastAsia="en-AU"/>
        </w:rPr>
        <w:t>.</w:t>
      </w:r>
      <w:r w:rsidRPr="00902A15">
        <w:rPr>
          <w:szCs w:val="20"/>
          <w:lang w:eastAsia="en-AU"/>
        </w:rPr>
        <w:t xml:space="preserve"> </w:t>
      </w:r>
    </w:p>
    <w:p w14:paraId="034F493E" w14:textId="6A85083C" w:rsidR="00C61B51" w:rsidRPr="00902A15" w:rsidRDefault="00C61B51" w:rsidP="002D7092">
      <w:pPr>
        <w:pStyle w:val="ListParagraph"/>
        <w:numPr>
          <w:ilvl w:val="0"/>
          <w:numId w:val="36"/>
        </w:numPr>
        <w:spacing w:before="60"/>
        <w:rPr>
          <w:szCs w:val="20"/>
          <w:lang w:eastAsia="en-AU"/>
        </w:rPr>
      </w:pPr>
      <w:r w:rsidRPr="00902A15">
        <w:rPr>
          <w:szCs w:val="20"/>
          <w:lang w:eastAsia="en-AU"/>
        </w:rPr>
        <w:t>Add recommended cultural, specialist and gender-specific referrals to statewide support services</w:t>
      </w:r>
      <w:r w:rsidR="00C06ED9">
        <w:rPr>
          <w:szCs w:val="20"/>
          <w:lang w:eastAsia="en-AU"/>
        </w:rPr>
        <w:t xml:space="preserve"> </w:t>
      </w:r>
      <w:r w:rsidR="00C06ED9" w:rsidRPr="00902A15">
        <w:rPr>
          <w:szCs w:val="20"/>
          <w:lang w:eastAsia="en-AU"/>
        </w:rPr>
        <w:t>to</w:t>
      </w:r>
      <w:r w:rsidR="00C06ED9">
        <w:rPr>
          <w:szCs w:val="20"/>
          <w:lang w:eastAsia="en-AU"/>
        </w:rPr>
        <w:t xml:space="preserve"> the</w:t>
      </w:r>
      <w:r w:rsidR="00C06ED9" w:rsidRPr="00902A15">
        <w:rPr>
          <w:szCs w:val="20"/>
          <w:lang w:eastAsia="en-AU"/>
        </w:rPr>
        <w:t xml:space="preserve"> Help Before Court </w:t>
      </w:r>
      <w:r w:rsidR="007948FB">
        <w:rPr>
          <w:szCs w:val="20"/>
          <w:lang w:eastAsia="en-AU"/>
        </w:rPr>
        <w:t>b</w:t>
      </w:r>
      <w:r w:rsidR="00C06ED9" w:rsidRPr="00902A15">
        <w:rPr>
          <w:szCs w:val="20"/>
          <w:lang w:eastAsia="en-AU"/>
        </w:rPr>
        <w:t xml:space="preserve">est </w:t>
      </w:r>
      <w:r w:rsidR="007948FB">
        <w:rPr>
          <w:szCs w:val="20"/>
          <w:lang w:eastAsia="en-AU"/>
        </w:rPr>
        <w:t>p</w:t>
      </w:r>
      <w:r w:rsidR="00C06ED9" w:rsidRPr="00902A15">
        <w:rPr>
          <w:szCs w:val="20"/>
          <w:lang w:eastAsia="en-AU"/>
        </w:rPr>
        <w:t xml:space="preserve">ractice </w:t>
      </w:r>
      <w:r w:rsidR="007948FB">
        <w:rPr>
          <w:szCs w:val="20"/>
          <w:lang w:eastAsia="en-AU"/>
        </w:rPr>
        <w:t>g</w:t>
      </w:r>
      <w:r w:rsidR="00C06ED9" w:rsidRPr="00902A15">
        <w:rPr>
          <w:szCs w:val="20"/>
          <w:lang w:eastAsia="en-AU"/>
        </w:rPr>
        <w:t>uide</w:t>
      </w:r>
      <w:r w:rsidR="006E7B4C">
        <w:rPr>
          <w:szCs w:val="20"/>
          <w:lang w:eastAsia="en-AU"/>
        </w:rPr>
        <w:t>, such as the</w:t>
      </w:r>
      <w:r w:rsidRPr="00902A15">
        <w:rPr>
          <w:szCs w:val="20"/>
          <w:lang w:eastAsia="en-AU"/>
        </w:rPr>
        <w:t xml:space="preserve"> Women and Mentoring program (WAM)</w:t>
      </w:r>
      <w:r w:rsidR="006E7B4C">
        <w:rPr>
          <w:szCs w:val="20"/>
          <w:lang w:eastAsia="en-AU"/>
        </w:rPr>
        <w:t>.</w:t>
      </w:r>
      <w:r w:rsidRPr="00902A15">
        <w:rPr>
          <w:szCs w:val="20"/>
          <w:lang w:eastAsia="en-AU"/>
        </w:rPr>
        <w:t xml:space="preserve"> </w:t>
      </w:r>
    </w:p>
    <w:p w14:paraId="13B98CD1" w14:textId="6CCA5D6C" w:rsidR="00C61B51" w:rsidRPr="00C06ED9" w:rsidRDefault="00C61B51" w:rsidP="002D7092">
      <w:pPr>
        <w:pStyle w:val="ListParagraph"/>
        <w:numPr>
          <w:ilvl w:val="0"/>
          <w:numId w:val="36"/>
        </w:numPr>
        <w:spacing w:before="60"/>
        <w:rPr>
          <w:szCs w:val="20"/>
          <w:lang w:eastAsia="en-AU"/>
        </w:rPr>
      </w:pPr>
      <w:r w:rsidRPr="00902A15">
        <w:rPr>
          <w:szCs w:val="20"/>
          <w:lang w:eastAsia="en-AU"/>
        </w:rPr>
        <w:t xml:space="preserve">Add </w:t>
      </w:r>
      <w:r w:rsidR="00C06ED9" w:rsidRPr="00902A15">
        <w:rPr>
          <w:szCs w:val="20"/>
          <w:lang w:eastAsia="en-AU"/>
        </w:rPr>
        <w:t>referral details for support services</w:t>
      </w:r>
      <w:r w:rsidR="00C06ED9">
        <w:rPr>
          <w:szCs w:val="20"/>
          <w:lang w:eastAsia="en-AU"/>
        </w:rPr>
        <w:t xml:space="preserve"> </w:t>
      </w:r>
      <w:r w:rsidRPr="00C06ED9">
        <w:rPr>
          <w:szCs w:val="20"/>
          <w:lang w:eastAsia="en-AU"/>
        </w:rPr>
        <w:t>to communications with help seekers</w:t>
      </w:r>
      <w:r w:rsidR="006E7B4C">
        <w:rPr>
          <w:szCs w:val="20"/>
          <w:lang w:eastAsia="en-AU"/>
        </w:rPr>
        <w:t xml:space="preserve">, </w:t>
      </w:r>
      <w:r w:rsidRPr="00C06ED9">
        <w:rPr>
          <w:szCs w:val="20"/>
          <w:lang w:eastAsia="en-AU"/>
        </w:rPr>
        <w:t>e.g. emails/SMS/webpages</w:t>
      </w:r>
      <w:r w:rsidR="006E7B4C">
        <w:rPr>
          <w:szCs w:val="20"/>
          <w:lang w:eastAsia="en-AU"/>
        </w:rPr>
        <w:t>.</w:t>
      </w:r>
    </w:p>
    <w:p w14:paraId="505BF7BB" w14:textId="1A3E807E" w:rsidR="00C61B51" w:rsidRPr="00902A15" w:rsidRDefault="00C61B51" w:rsidP="002D7092">
      <w:pPr>
        <w:pStyle w:val="ListParagraph"/>
        <w:numPr>
          <w:ilvl w:val="0"/>
          <w:numId w:val="36"/>
        </w:numPr>
        <w:spacing w:before="60"/>
        <w:rPr>
          <w:szCs w:val="20"/>
          <w:lang w:eastAsia="en-AU"/>
        </w:rPr>
      </w:pPr>
      <w:r w:rsidRPr="00902A15">
        <w:rPr>
          <w:szCs w:val="20"/>
          <w:lang w:eastAsia="en-AU"/>
        </w:rPr>
        <w:t xml:space="preserve">Add background on gendered communication preferences and considerations </w:t>
      </w:r>
      <w:r w:rsidR="007948FB" w:rsidRPr="00902A15">
        <w:rPr>
          <w:szCs w:val="20"/>
          <w:lang w:eastAsia="en-AU"/>
        </w:rPr>
        <w:t xml:space="preserve">to Help Before Court </w:t>
      </w:r>
      <w:r w:rsidR="00DC7A68">
        <w:rPr>
          <w:szCs w:val="20"/>
          <w:lang w:eastAsia="en-AU"/>
        </w:rPr>
        <w:t>b</w:t>
      </w:r>
      <w:r w:rsidR="007948FB" w:rsidRPr="00902A15">
        <w:rPr>
          <w:szCs w:val="20"/>
          <w:lang w:eastAsia="en-AU"/>
        </w:rPr>
        <w:t xml:space="preserve">est </w:t>
      </w:r>
      <w:r w:rsidR="00DC7A68">
        <w:rPr>
          <w:szCs w:val="20"/>
          <w:lang w:eastAsia="en-AU"/>
        </w:rPr>
        <w:t>p</w:t>
      </w:r>
      <w:r w:rsidR="007948FB" w:rsidRPr="00902A15">
        <w:rPr>
          <w:szCs w:val="20"/>
          <w:lang w:eastAsia="en-AU"/>
        </w:rPr>
        <w:t xml:space="preserve">ractice </w:t>
      </w:r>
      <w:r w:rsidR="00DC7A68">
        <w:rPr>
          <w:szCs w:val="20"/>
          <w:lang w:eastAsia="en-AU"/>
        </w:rPr>
        <w:t>g</w:t>
      </w:r>
      <w:r w:rsidR="007948FB" w:rsidRPr="00902A15">
        <w:rPr>
          <w:szCs w:val="20"/>
          <w:lang w:eastAsia="en-AU"/>
        </w:rPr>
        <w:t>uide</w:t>
      </w:r>
      <w:r w:rsidR="007948FB">
        <w:rPr>
          <w:szCs w:val="20"/>
          <w:lang w:eastAsia="en-AU"/>
        </w:rPr>
        <w:t>.</w:t>
      </w:r>
    </w:p>
    <w:p w14:paraId="733BAE8D" w14:textId="35ADF4DD" w:rsidR="00C61B51" w:rsidRPr="00902A15" w:rsidRDefault="00C61B51" w:rsidP="002D7092">
      <w:pPr>
        <w:pStyle w:val="ListParagraph"/>
        <w:numPr>
          <w:ilvl w:val="0"/>
          <w:numId w:val="36"/>
        </w:numPr>
        <w:spacing w:before="60"/>
        <w:rPr>
          <w:szCs w:val="20"/>
          <w:lang w:eastAsia="en-AU"/>
        </w:rPr>
      </w:pPr>
      <w:r w:rsidRPr="00902A15">
        <w:rPr>
          <w:szCs w:val="20"/>
          <w:lang w:eastAsia="en-AU"/>
        </w:rPr>
        <w:t>Educate and encourage staff to adhere to best contact times if nominated</w:t>
      </w:r>
      <w:r w:rsidR="007948FB">
        <w:rPr>
          <w:szCs w:val="20"/>
          <w:lang w:eastAsia="en-AU"/>
        </w:rPr>
        <w:t>,</w:t>
      </w:r>
      <w:r w:rsidRPr="00902A15">
        <w:rPr>
          <w:szCs w:val="20"/>
          <w:lang w:eastAsia="en-AU"/>
        </w:rPr>
        <w:t xml:space="preserve"> including adding a note to the </w:t>
      </w:r>
      <w:r w:rsidR="007948FB" w:rsidRPr="00902A15">
        <w:rPr>
          <w:szCs w:val="20"/>
          <w:lang w:eastAsia="en-AU"/>
        </w:rPr>
        <w:t>H</w:t>
      </w:r>
      <w:r w:rsidR="007948FB">
        <w:rPr>
          <w:szCs w:val="20"/>
          <w:lang w:eastAsia="en-AU"/>
        </w:rPr>
        <w:t>elp Before Court</w:t>
      </w:r>
      <w:r w:rsidR="007948FB" w:rsidRPr="00902A15">
        <w:rPr>
          <w:szCs w:val="20"/>
          <w:lang w:eastAsia="en-AU"/>
        </w:rPr>
        <w:t xml:space="preserve"> </w:t>
      </w:r>
      <w:r w:rsidR="007948FB">
        <w:rPr>
          <w:szCs w:val="20"/>
          <w:lang w:eastAsia="en-AU"/>
        </w:rPr>
        <w:t>b</w:t>
      </w:r>
      <w:r w:rsidRPr="00902A15">
        <w:rPr>
          <w:szCs w:val="20"/>
          <w:lang w:eastAsia="en-AU"/>
        </w:rPr>
        <w:t xml:space="preserve">est </w:t>
      </w:r>
      <w:r w:rsidR="007948FB">
        <w:rPr>
          <w:szCs w:val="20"/>
          <w:lang w:eastAsia="en-AU"/>
        </w:rPr>
        <w:t>p</w:t>
      </w:r>
      <w:r w:rsidRPr="00902A15">
        <w:rPr>
          <w:szCs w:val="20"/>
          <w:lang w:eastAsia="en-AU"/>
        </w:rPr>
        <w:t xml:space="preserve">ractice </w:t>
      </w:r>
      <w:r w:rsidR="007948FB">
        <w:rPr>
          <w:szCs w:val="20"/>
          <w:lang w:eastAsia="en-AU"/>
        </w:rPr>
        <w:t>g</w:t>
      </w:r>
      <w:r w:rsidRPr="00902A15">
        <w:rPr>
          <w:szCs w:val="20"/>
          <w:lang w:eastAsia="en-AU"/>
        </w:rPr>
        <w:t xml:space="preserve">uide and </w:t>
      </w:r>
      <w:r w:rsidR="007948FB">
        <w:rPr>
          <w:szCs w:val="20"/>
          <w:lang w:eastAsia="en-AU"/>
        </w:rPr>
        <w:t>i</w:t>
      </w:r>
      <w:r w:rsidRPr="00902A15">
        <w:rPr>
          <w:szCs w:val="20"/>
          <w:lang w:eastAsia="en-AU"/>
        </w:rPr>
        <w:t xml:space="preserve">ntake </w:t>
      </w:r>
      <w:r w:rsidR="007948FB">
        <w:rPr>
          <w:szCs w:val="20"/>
          <w:lang w:eastAsia="en-AU"/>
        </w:rPr>
        <w:t>t</w:t>
      </w:r>
      <w:r w:rsidRPr="00902A15">
        <w:rPr>
          <w:szCs w:val="20"/>
          <w:lang w:eastAsia="en-AU"/>
        </w:rPr>
        <w:t>eam position document</w:t>
      </w:r>
      <w:r w:rsidR="00DC7A68">
        <w:rPr>
          <w:szCs w:val="20"/>
          <w:lang w:eastAsia="en-AU"/>
        </w:rPr>
        <w:t>.</w:t>
      </w:r>
    </w:p>
    <w:p w14:paraId="53A44D75" w14:textId="6D97A03E" w:rsidR="00C61B51" w:rsidRPr="00902A15" w:rsidRDefault="00C61B51" w:rsidP="002D7092">
      <w:pPr>
        <w:pStyle w:val="ListParagraph"/>
        <w:numPr>
          <w:ilvl w:val="0"/>
          <w:numId w:val="36"/>
        </w:numPr>
        <w:spacing w:before="60"/>
        <w:rPr>
          <w:szCs w:val="20"/>
          <w:lang w:eastAsia="en-AU"/>
        </w:rPr>
      </w:pPr>
      <w:r w:rsidRPr="00902A15">
        <w:rPr>
          <w:szCs w:val="20"/>
          <w:lang w:eastAsia="en-AU"/>
        </w:rPr>
        <w:t>Consider which materials to translate (possibly an email to be sent out to people who indicate they require an interpreter)</w:t>
      </w:r>
      <w:r w:rsidR="00DC7A68">
        <w:rPr>
          <w:szCs w:val="20"/>
          <w:lang w:eastAsia="en-AU"/>
        </w:rPr>
        <w:t>.</w:t>
      </w:r>
    </w:p>
    <w:p w14:paraId="613C739E" w14:textId="4FE46352" w:rsidR="00C61B51" w:rsidRPr="00902A15" w:rsidRDefault="00C61B51" w:rsidP="002D7092">
      <w:pPr>
        <w:pStyle w:val="ListParagraph"/>
        <w:numPr>
          <w:ilvl w:val="0"/>
          <w:numId w:val="36"/>
        </w:numPr>
        <w:spacing w:before="60"/>
        <w:rPr>
          <w:szCs w:val="20"/>
          <w:lang w:eastAsia="en-AU"/>
        </w:rPr>
      </w:pPr>
      <w:r w:rsidRPr="00902A15">
        <w:rPr>
          <w:szCs w:val="20"/>
          <w:lang w:eastAsia="en-AU"/>
        </w:rPr>
        <w:t xml:space="preserve">Include a question on the </w:t>
      </w:r>
      <w:r w:rsidR="00DC7A68">
        <w:rPr>
          <w:szCs w:val="20"/>
          <w:lang w:eastAsia="en-AU"/>
        </w:rPr>
        <w:t>i</w:t>
      </w:r>
      <w:r w:rsidRPr="00902A15">
        <w:rPr>
          <w:szCs w:val="20"/>
          <w:lang w:eastAsia="en-AU"/>
        </w:rPr>
        <w:t xml:space="preserve">ntake </w:t>
      </w:r>
      <w:r w:rsidR="00DC7A68">
        <w:rPr>
          <w:szCs w:val="20"/>
          <w:lang w:eastAsia="en-AU"/>
        </w:rPr>
        <w:t>t</w:t>
      </w:r>
      <w:r w:rsidRPr="00902A15">
        <w:rPr>
          <w:szCs w:val="20"/>
          <w:lang w:eastAsia="en-AU"/>
        </w:rPr>
        <w:t>ool about whether the help seeker speaks another language and requires an interpreter</w:t>
      </w:r>
      <w:r w:rsidR="00B93930">
        <w:rPr>
          <w:szCs w:val="20"/>
          <w:lang w:eastAsia="en-AU"/>
        </w:rPr>
        <w:t>.</w:t>
      </w:r>
    </w:p>
    <w:p w14:paraId="672C66BD" w14:textId="6CAF567D" w:rsidR="00C61B51" w:rsidRPr="00902A15" w:rsidRDefault="00C61B51" w:rsidP="002D7092">
      <w:pPr>
        <w:pStyle w:val="ListParagraph"/>
        <w:numPr>
          <w:ilvl w:val="0"/>
          <w:numId w:val="36"/>
        </w:numPr>
        <w:spacing w:before="60"/>
        <w:rPr>
          <w:szCs w:val="20"/>
          <w:lang w:eastAsia="en-AU"/>
        </w:rPr>
      </w:pPr>
      <w:r w:rsidRPr="00902A15">
        <w:rPr>
          <w:szCs w:val="20"/>
          <w:lang w:eastAsia="en-AU"/>
        </w:rPr>
        <w:t xml:space="preserve">Include the Aboriginal and Torres Strait Islander referral pathways in the Help Before Court </w:t>
      </w:r>
      <w:r w:rsidR="00B93930">
        <w:rPr>
          <w:szCs w:val="20"/>
          <w:lang w:eastAsia="en-AU"/>
        </w:rPr>
        <w:t>b</w:t>
      </w:r>
      <w:r w:rsidRPr="00902A15">
        <w:rPr>
          <w:szCs w:val="20"/>
          <w:lang w:eastAsia="en-AU"/>
        </w:rPr>
        <w:t xml:space="preserve">est </w:t>
      </w:r>
      <w:r w:rsidR="00B93930">
        <w:rPr>
          <w:szCs w:val="20"/>
          <w:lang w:eastAsia="en-AU"/>
        </w:rPr>
        <w:t>p</w:t>
      </w:r>
      <w:r w:rsidRPr="00902A15">
        <w:rPr>
          <w:szCs w:val="20"/>
          <w:lang w:eastAsia="en-AU"/>
        </w:rPr>
        <w:t xml:space="preserve">ractice </w:t>
      </w:r>
      <w:r w:rsidR="00B93930">
        <w:rPr>
          <w:szCs w:val="20"/>
          <w:lang w:eastAsia="en-AU"/>
        </w:rPr>
        <w:t>g</w:t>
      </w:r>
      <w:r w:rsidRPr="00902A15">
        <w:rPr>
          <w:szCs w:val="20"/>
          <w:lang w:eastAsia="en-AU"/>
        </w:rPr>
        <w:t>uide</w:t>
      </w:r>
      <w:r w:rsidR="00B93930">
        <w:rPr>
          <w:szCs w:val="20"/>
          <w:lang w:eastAsia="en-AU"/>
        </w:rPr>
        <w:t>.</w:t>
      </w:r>
    </w:p>
    <w:p w14:paraId="1FC80C4A" w14:textId="1D95EB87" w:rsidR="00C61B51" w:rsidRPr="00902A15" w:rsidRDefault="00C61B51" w:rsidP="002D7092">
      <w:pPr>
        <w:pStyle w:val="ListParagraph"/>
        <w:numPr>
          <w:ilvl w:val="0"/>
          <w:numId w:val="36"/>
        </w:numPr>
        <w:rPr>
          <w:szCs w:val="20"/>
          <w:lang w:eastAsia="en-AU"/>
        </w:rPr>
      </w:pPr>
      <w:r w:rsidRPr="00902A15">
        <w:rPr>
          <w:szCs w:val="20"/>
          <w:lang w:eastAsia="en-AU"/>
        </w:rPr>
        <w:t>Educate staff around the importance of specialist referrals for Aboriginal and Torres Strait Islander services</w:t>
      </w:r>
      <w:r w:rsidR="00B93930">
        <w:rPr>
          <w:szCs w:val="20"/>
          <w:lang w:eastAsia="en-AU"/>
        </w:rPr>
        <w:t>.</w:t>
      </w:r>
    </w:p>
    <w:p w14:paraId="312746C0" w14:textId="7E8169B4" w:rsidR="00C61B51" w:rsidRPr="00C61B51" w:rsidRDefault="00C61B51" w:rsidP="002D7092">
      <w:pPr>
        <w:pStyle w:val="Heading3"/>
      </w:pPr>
      <w:r w:rsidRPr="00C61B51">
        <w:t xml:space="preserve">Child </w:t>
      </w:r>
      <w:r w:rsidR="00621BAB">
        <w:t>s</w:t>
      </w:r>
      <w:r w:rsidRPr="00C61B51">
        <w:t xml:space="preserve">afety </w:t>
      </w:r>
      <w:r w:rsidR="00621BAB">
        <w:t>and</w:t>
      </w:r>
      <w:r w:rsidRPr="00C61B51">
        <w:t xml:space="preserve"> </w:t>
      </w:r>
      <w:r w:rsidR="00621BAB">
        <w:t>w</w:t>
      </w:r>
      <w:r w:rsidRPr="00C61B51">
        <w:t xml:space="preserve">ellbeing </w:t>
      </w:r>
      <w:r w:rsidR="00621BAB">
        <w:t>p</w:t>
      </w:r>
      <w:r w:rsidRPr="00C61B51">
        <w:t>olicy</w:t>
      </w:r>
    </w:p>
    <w:p w14:paraId="6C79DA0B" w14:textId="45C10C4F" w:rsidR="00DB4F13" w:rsidRPr="002D7092" w:rsidRDefault="00C61B51" w:rsidP="002D7092">
      <w:pPr>
        <w:pStyle w:val="Heading4"/>
        <w:rPr>
          <w:rStyle w:val="Heading4Char"/>
        </w:rPr>
      </w:pPr>
      <w:r>
        <w:t>Recommendation</w:t>
      </w:r>
    </w:p>
    <w:p w14:paraId="00BA45E2" w14:textId="0DC74A52" w:rsidR="00FD1372" w:rsidRDefault="00C61B51" w:rsidP="00C61B51">
      <w:pPr>
        <w:rPr>
          <w:lang w:eastAsia="en-AU"/>
        </w:rPr>
      </w:pPr>
      <w:r>
        <w:rPr>
          <w:lang w:eastAsia="en-AU"/>
        </w:rPr>
        <w:t>Consult</w:t>
      </w:r>
      <w:r w:rsidRPr="00AA6AF3">
        <w:rPr>
          <w:lang w:eastAsia="en-AU"/>
        </w:rPr>
        <w:t xml:space="preserve"> with </w:t>
      </w:r>
      <w:r w:rsidR="00243058">
        <w:rPr>
          <w:lang w:eastAsia="en-AU"/>
        </w:rPr>
        <w:t>Family, Youth and Children’s Law</w:t>
      </w:r>
      <w:r w:rsidR="00243058" w:rsidRPr="00AA6AF3">
        <w:rPr>
          <w:lang w:eastAsia="en-AU"/>
        </w:rPr>
        <w:t xml:space="preserve"> </w:t>
      </w:r>
      <w:r w:rsidRPr="00AA6AF3">
        <w:rPr>
          <w:lang w:eastAsia="en-AU"/>
        </w:rPr>
        <w:t>and C</w:t>
      </w:r>
      <w:r w:rsidR="00927651">
        <w:rPr>
          <w:lang w:eastAsia="en-AU"/>
        </w:rPr>
        <w:t>riminal Law</w:t>
      </w:r>
      <w:r w:rsidRPr="00AA6AF3">
        <w:rPr>
          <w:lang w:eastAsia="en-AU"/>
        </w:rPr>
        <w:t xml:space="preserve"> to </w:t>
      </w:r>
      <w:r>
        <w:rPr>
          <w:lang w:eastAsia="en-AU"/>
        </w:rPr>
        <w:t>determine</w:t>
      </w:r>
      <w:r w:rsidRPr="00AA6AF3">
        <w:rPr>
          <w:lang w:eastAsia="en-AU"/>
        </w:rPr>
        <w:t xml:space="preserve"> if they have </w:t>
      </w:r>
      <w:r>
        <w:rPr>
          <w:lang w:eastAsia="en-AU"/>
        </w:rPr>
        <w:t>considered the</w:t>
      </w:r>
      <w:r w:rsidRPr="00AA6AF3">
        <w:rPr>
          <w:lang w:eastAsia="en-AU"/>
        </w:rPr>
        <w:t xml:space="preserve"> issues</w:t>
      </w:r>
      <w:r>
        <w:rPr>
          <w:lang w:eastAsia="en-AU"/>
        </w:rPr>
        <w:t xml:space="preserve"> and opportunities</w:t>
      </w:r>
      <w:r w:rsidRPr="00AA6AF3">
        <w:rPr>
          <w:lang w:eastAsia="en-AU"/>
        </w:rPr>
        <w:t xml:space="preserve"> raised through the GIA process for this policy</w:t>
      </w:r>
      <w:r>
        <w:rPr>
          <w:lang w:eastAsia="en-AU"/>
        </w:rPr>
        <w:t>, such as</w:t>
      </w:r>
      <w:r w:rsidR="00FD1372">
        <w:rPr>
          <w:lang w:eastAsia="en-AU"/>
        </w:rPr>
        <w:t>:</w:t>
      </w:r>
    </w:p>
    <w:p w14:paraId="7BF33A0C" w14:textId="574C7AF5" w:rsidR="00FD1372" w:rsidRDefault="00C61B51" w:rsidP="002D7092">
      <w:pPr>
        <w:pStyle w:val="ListParagraph"/>
        <w:numPr>
          <w:ilvl w:val="0"/>
          <w:numId w:val="37"/>
        </w:numPr>
        <w:rPr>
          <w:lang w:eastAsia="en-AU"/>
        </w:rPr>
      </w:pPr>
      <w:r w:rsidRPr="00AA6AF3">
        <w:rPr>
          <w:lang w:eastAsia="en-AU"/>
        </w:rPr>
        <w:t>asking children more about their views of our services and adjusting them to make them more accessible and child friendly</w:t>
      </w:r>
    </w:p>
    <w:p w14:paraId="202D4F9D" w14:textId="61B51BAA" w:rsidR="00C61B51" w:rsidRDefault="00C61B51" w:rsidP="002D7092">
      <w:pPr>
        <w:pStyle w:val="ListParagraph"/>
        <w:numPr>
          <w:ilvl w:val="0"/>
          <w:numId w:val="37"/>
        </w:numPr>
        <w:rPr>
          <w:lang w:eastAsia="en-AU"/>
        </w:rPr>
      </w:pPr>
      <w:r w:rsidRPr="00AA6AF3">
        <w:rPr>
          <w:lang w:eastAsia="en-AU"/>
        </w:rPr>
        <w:t>collecting demographic data and better survey data from child clients and analysing it so we can adjust our services to meet their needs.</w:t>
      </w:r>
    </w:p>
    <w:p w14:paraId="0675DF44" w14:textId="6221A24E" w:rsidR="00C61B51" w:rsidRDefault="00C61B51" w:rsidP="00DB4F13">
      <w:pPr>
        <w:pStyle w:val="Heading3"/>
      </w:pPr>
      <w:r>
        <w:t xml:space="preserve">Victims </w:t>
      </w:r>
      <w:r w:rsidR="00621BAB">
        <w:t>c</w:t>
      </w:r>
      <w:r>
        <w:t xml:space="preserve">harter </w:t>
      </w:r>
      <w:r w:rsidR="00621BAB">
        <w:t>p</w:t>
      </w:r>
      <w:r>
        <w:t>olicy</w:t>
      </w:r>
    </w:p>
    <w:p w14:paraId="0E9F8992" w14:textId="1B217A0A" w:rsidR="00DB4F13" w:rsidRPr="002D7092" w:rsidRDefault="00DB4F13" w:rsidP="002D7092">
      <w:pPr>
        <w:pStyle w:val="Heading4"/>
        <w:rPr>
          <w:b w:val="0"/>
          <w:bCs w:val="0"/>
        </w:rPr>
      </w:pPr>
      <w:r>
        <w:t>Recommendation</w:t>
      </w:r>
    </w:p>
    <w:p w14:paraId="426E0440" w14:textId="5BABE845" w:rsidR="00C61B51" w:rsidRPr="00C61B51" w:rsidRDefault="00C61B51" w:rsidP="00C61B51">
      <w:pPr>
        <w:rPr>
          <w:b/>
          <w:bCs/>
          <w:lang w:eastAsia="en-AU"/>
        </w:rPr>
      </w:pPr>
      <w:r w:rsidRPr="00AA6AF3">
        <w:rPr>
          <w:szCs w:val="20"/>
          <w:lang w:eastAsia="en-AU"/>
        </w:rPr>
        <w:t>Provid</w:t>
      </w:r>
      <w:r>
        <w:rPr>
          <w:lang w:eastAsia="en-AU"/>
        </w:rPr>
        <w:t xml:space="preserve">e </w:t>
      </w:r>
      <w:r w:rsidRPr="00AA6AF3">
        <w:rPr>
          <w:szCs w:val="20"/>
          <w:lang w:eastAsia="en-AU"/>
        </w:rPr>
        <w:t>generalised data and information about how crime affects gender differently</w:t>
      </w:r>
      <w:r w:rsidR="00F97B9F">
        <w:rPr>
          <w:szCs w:val="20"/>
          <w:lang w:eastAsia="en-AU"/>
        </w:rPr>
        <w:t>,</w:t>
      </w:r>
      <w:r w:rsidRPr="00AA6AF3">
        <w:rPr>
          <w:szCs w:val="20"/>
          <w:lang w:eastAsia="en-AU"/>
        </w:rPr>
        <w:t xml:space="preserve"> to highlight the different experience of crime</w:t>
      </w:r>
      <w:r w:rsidR="00F97B9F">
        <w:rPr>
          <w:szCs w:val="20"/>
          <w:lang w:eastAsia="en-AU"/>
        </w:rPr>
        <w:t>.</w:t>
      </w:r>
      <w:r w:rsidRPr="00AA6AF3">
        <w:rPr>
          <w:szCs w:val="20"/>
          <w:lang w:eastAsia="en-AU"/>
        </w:rPr>
        <w:t xml:space="preserve"> </w:t>
      </w:r>
      <w:r w:rsidR="00F15D7A">
        <w:rPr>
          <w:lang w:eastAsia="en-AU"/>
        </w:rPr>
        <w:t>Education examples should be</w:t>
      </w:r>
      <w:r>
        <w:rPr>
          <w:lang w:eastAsia="en-AU"/>
        </w:rPr>
        <w:t xml:space="preserve"> included in the Victims Charter </w:t>
      </w:r>
      <w:r w:rsidR="00621BAB">
        <w:rPr>
          <w:lang w:eastAsia="en-AU"/>
        </w:rPr>
        <w:t>m</w:t>
      </w:r>
      <w:r>
        <w:rPr>
          <w:lang w:eastAsia="en-AU"/>
        </w:rPr>
        <w:t>odule and link these examples back to the general data.</w:t>
      </w:r>
    </w:p>
    <w:p w14:paraId="1F9D0AB1" w14:textId="5174DF10" w:rsidR="00461300" w:rsidRDefault="00C61B51" w:rsidP="00C61B51">
      <w:pPr>
        <w:pStyle w:val="Heading2"/>
      </w:pPr>
      <w:r>
        <w:t xml:space="preserve">Gender </w:t>
      </w:r>
      <w:r w:rsidR="003D703B">
        <w:t>e</w:t>
      </w:r>
      <w:r>
        <w:t xml:space="preserve">quality </w:t>
      </w:r>
      <w:r w:rsidR="003D703B">
        <w:t>i</w:t>
      </w:r>
      <w:r>
        <w:t xml:space="preserve">ndicator </w:t>
      </w:r>
      <w:r w:rsidR="003D703B">
        <w:t>p</w:t>
      </w:r>
      <w:r>
        <w:t>rogress</w:t>
      </w:r>
    </w:p>
    <w:p w14:paraId="19498CE8" w14:textId="509DFBC8" w:rsidR="00C61B51" w:rsidRDefault="003D703B" w:rsidP="00C61B51">
      <w:pPr>
        <w:rPr>
          <w:lang w:eastAsia="en-AU"/>
        </w:rPr>
      </w:pPr>
      <w:r>
        <w:rPr>
          <w:lang w:eastAsia="en-AU"/>
        </w:rPr>
        <w:t>We have</w:t>
      </w:r>
      <w:r w:rsidR="00A13893">
        <w:rPr>
          <w:lang w:eastAsia="en-AU"/>
        </w:rPr>
        <w:t xml:space="preserve"> made some progress across the seven-gender equality indicators. </w:t>
      </w:r>
    </w:p>
    <w:p w14:paraId="7DBBAE50" w14:textId="00476F48" w:rsidR="00A13893" w:rsidRPr="00A13893" w:rsidRDefault="00A13893" w:rsidP="002D7092">
      <w:pPr>
        <w:pStyle w:val="Heading3"/>
        <w:numPr>
          <w:ilvl w:val="0"/>
          <w:numId w:val="38"/>
        </w:numPr>
      </w:pPr>
      <w:r w:rsidRPr="00A13893">
        <w:t xml:space="preserve">Gender </w:t>
      </w:r>
      <w:r w:rsidR="003D703B">
        <w:t>c</w:t>
      </w:r>
      <w:r w:rsidRPr="00A13893">
        <w:t xml:space="preserve">omposition of </w:t>
      </w:r>
      <w:r w:rsidR="002968D0">
        <w:t>a</w:t>
      </w:r>
      <w:r w:rsidRPr="00A13893">
        <w:t xml:space="preserve">ll </w:t>
      </w:r>
      <w:r w:rsidR="002968D0">
        <w:t>l</w:t>
      </w:r>
      <w:r w:rsidRPr="00A13893">
        <w:t xml:space="preserve">evels of the </w:t>
      </w:r>
      <w:r w:rsidR="002968D0">
        <w:t>w</w:t>
      </w:r>
      <w:r w:rsidRPr="00A13893">
        <w:t>orkforce</w:t>
      </w:r>
    </w:p>
    <w:p w14:paraId="2BB40BDA" w14:textId="37611036" w:rsidR="00F45FF8" w:rsidRDefault="00A13893" w:rsidP="00A13893">
      <w:pPr>
        <w:rPr>
          <w:lang w:eastAsia="en-AU"/>
        </w:rPr>
      </w:pPr>
      <w:r w:rsidRPr="0961E1FF">
        <w:rPr>
          <w:lang w:eastAsia="en-AU"/>
        </w:rPr>
        <w:t>In 2023, women made up 75</w:t>
      </w:r>
      <w:r w:rsidR="00FC4F25">
        <w:rPr>
          <w:lang w:eastAsia="en-AU"/>
        </w:rPr>
        <w:t xml:space="preserve"> per cent</w:t>
      </w:r>
      <w:r w:rsidRPr="0961E1FF">
        <w:rPr>
          <w:lang w:eastAsia="en-AU"/>
        </w:rPr>
        <w:t xml:space="preserve"> of the workforce, a slight decrease from 76</w:t>
      </w:r>
      <w:r w:rsidR="00FC4F25">
        <w:rPr>
          <w:lang w:eastAsia="en-AU"/>
        </w:rPr>
        <w:t xml:space="preserve"> per cent</w:t>
      </w:r>
      <w:r w:rsidRPr="0961E1FF">
        <w:rPr>
          <w:lang w:eastAsia="en-AU"/>
        </w:rPr>
        <w:t xml:space="preserve"> in 2021. </w:t>
      </w:r>
    </w:p>
    <w:p w14:paraId="29148423" w14:textId="21B7C7E7" w:rsidR="00E418D9" w:rsidRDefault="00A13893" w:rsidP="00A13893">
      <w:pPr>
        <w:rPr>
          <w:lang w:eastAsia="en-AU"/>
        </w:rPr>
      </w:pPr>
      <w:r w:rsidRPr="0961E1FF">
        <w:rPr>
          <w:lang w:eastAsia="en-AU"/>
        </w:rPr>
        <w:t>Gender-diverse staff accounted for less than 1</w:t>
      </w:r>
      <w:r w:rsidR="00FC4F25">
        <w:rPr>
          <w:lang w:eastAsia="en-AU"/>
        </w:rPr>
        <w:t xml:space="preserve"> per cent</w:t>
      </w:r>
      <w:r w:rsidRPr="0961E1FF">
        <w:rPr>
          <w:lang w:eastAsia="en-AU"/>
        </w:rPr>
        <w:t xml:space="preserve"> of the workforce, highlighting the need to improve data collection in this area, which has been a focus through GEAP actions</w:t>
      </w:r>
      <w:r w:rsidR="00E418D9">
        <w:rPr>
          <w:lang w:eastAsia="en-AU"/>
        </w:rPr>
        <w:t>:</w:t>
      </w:r>
    </w:p>
    <w:p w14:paraId="4774F4E6" w14:textId="23E16556" w:rsidR="00E418D9" w:rsidRDefault="00A13893" w:rsidP="002D7092">
      <w:pPr>
        <w:pStyle w:val="ListParagraph"/>
        <w:numPr>
          <w:ilvl w:val="0"/>
          <w:numId w:val="39"/>
        </w:numPr>
        <w:rPr>
          <w:lang w:eastAsia="en-AU"/>
        </w:rPr>
      </w:pPr>
      <w:r w:rsidRPr="0961E1FF">
        <w:rPr>
          <w:lang w:eastAsia="en-AU"/>
        </w:rPr>
        <w:t>7.1</w:t>
      </w:r>
      <w:r w:rsidR="00CF2C4D">
        <w:rPr>
          <w:lang w:eastAsia="en-AU"/>
        </w:rPr>
        <w:t xml:space="preserve"> – </w:t>
      </w:r>
      <w:r w:rsidR="00CF2C4D" w:rsidRPr="00CF2C4D">
        <w:rPr>
          <w:lang w:eastAsia="en-AU"/>
        </w:rPr>
        <w:t>Explore ways to improve data collection on gender diversity composition in the payroll system</w:t>
      </w:r>
      <w:r w:rsidR="00E418D9">
        <w:rPr>
          <w:lang w:eastAsia="en-AU"/>
        </w:rPr>
        <w:t>.</w:t>
      </w:r>
      <w:r w:rsidRPr="0961E1FF">
        <w:rPr>
          <w:lang w:eastAsia="en-AU"/>
        </w:rPr>
        <w:t xml:space="preserve"> </w:t>
      </w:r>
    </w:p>
    <w:p w14:paraId="3E76DAE2" w14:textId="18F95C53" w:rsidR="00B21E07" w:rsidRDefault="00A13893" w:rsidP="002D7092">
      <w:pPr>
        <w:pStyle w:val="ListParagraph"/>
        <w:numPr>
          <w:ilvl w:val="0"/>
          <w:numId w:val="39"/>
        </w:numPr>
        <w:rPr>
          <w:lang w:eastAsia="en-AU"/>
        </w:rPr>
      </w:pPr>
      <w:r w:rsidRPr="0961E1FF">
        <w:rPr>
          <w:lang w:eastAsia="en-AU"/>
        </w:rPr>
        <w:t>7.2</w:t>
      </w:r>
      <w:r w:rsidR="00CF2C4D">
        <w:rPr>
          <w:lang w:eastAsia="en-AU"/>
        </w:rPr>
        <w:t xml:space="preserve"> – </w:t>
      </w:r>
      <w:r w:rsidR="00B21E07" w:rsidRPr="00B21E07">
        <w:rPr>
          <w:lang w:eastAsia="en-AU"/>
        </w:rPr>
        <w:t xml:space="preserve">Encourage staff to update personal information in </w:t>
      </w:r>
      <w:r w:rsidR="00B21E07">
        <w:rPr>
          <w:lang w:eastAsia="en-AU"/>
        </w:rPr>
        <w:t>our</w:t>
      </w:r>
      <w:r w:rsidR="00B21E07" w:rsidRPr="00B21E07">
        <w:rPr>
          <w:lang w:eastAsia="en-AU"/>
        </w:rPr>
        <w:t xml:space="preserve"> payroll system</w:t>
      </w:r>
      <w:r w:rsidR="00B21E07">
        <w:rPr>
          <w:lang w:eastAsia="en-AU"/>
        </w:rPr>
        <w:t>.</w:t>
      </w:r>
      <w:r w:rsidRPr="0961E1FF">
        <w:rPr>
          <w:lang w:eastAsia="en-AU"/>
        </w:rPr>
        <w:t xml:space="preserve"> </w:t>
      </w:r>
    </w:p>
    <w:p w14:paraId="78C003BC" w14:textId="3157ABF4" w:rsidR="005B3C2F" w:rsidRDefault="00A13893" w:rsidP="00A13893">
      <w:pPr>
        <w:rPr>
          <w:lang w:eastAsia="en-AU"/>
        </w:rPr>
      </w:pPr>
      <w:r w:rsidRPr="0961E1FF">
        <w:rPr>
          <w:lang w:eastAsia="en-AU"/>
        </w:rPr>
        <w:t>Since 2021, organisational restructures and the creation of new roles, including executive-level positions, have occurred. Women hold 88</w:t>
      </w:r>
      <w:r w:rsidR="00FC4F25">
        <w:rPr>
          <w:lang w:eastAsia="en-AU"/>
        </w:rPr>
        <w:t xml:space="preserve"> per cent</w:t>
      </w:r>
      <w:r w:rsidRPr="0961E1FF">
        <w:rPr>
          <w:lang w:eastAsia="en-AU"/>
        </w:rPr>
        <w:t xml:space="preserve"> of part-time roles, with more women in part-time positions than men across all levels. </w:t>
      </w:r>
    </w:p>
    <w:p w14:paraId="67A6AA31" w14:textId="0B6C7447" w:rsidR="00A13893" w:rsidRPr="00A13893" w:rsidRDefault="00A13893" w:rsidP="00A13893">
      <w:pPr>
        <w:rPr>
          <w:lang w:eastAsia="en-AU"/>
        </w:rPr>
      </w:pPr>
      <w:r w:rsidRPr="0961E1FF">
        <w:rPr>
          <w:lang w:eastAsia="en-AU"/>
        </w:rPr>
        <w:t xml:space="preserve">In 2023, workforce data analysis shifted from a hierarchy-based approach to </w:t>
      </w:r>
      <w:r w:rsidR="00416F65">
        <w:rPr>
          <w:lang w:eastAsia="en-AU"/>
        </w:rPr>
        <w:t>our Enterprise Agreement</w:t>
      </w:r>
      <w:r w:rsidRPr="0961E1FF">
        <w:rPr>
          <w:lang w:eastAsia="en-AU"/>
        </w:rPr>
        <w:t xml:space="preserve"> classifications, aligning more closely with internal communication and pay gap analysis. However, this change complicates direct comparisons with 2021 data.</w:t>
      </w:r>
    </w:p>
    <w:p w14:paraId="6831E136" w14:textId="49B8599F" w:rsidR="00A13893" w:rsidRPr="00A13893" w:rsidRDefault="00A13893" w:rsidP="002D7092">
      <w:pPr>
        <w:pStyle w:val="Heading3"/>
        <w:numPr>
          <w:ilvl w:val="0"/>
          <w:numId w:val="38"/>
        </w:numPr>
      </w:pPr>
      <w:r w:rsidRPr="00A13893">
        <w:t xml:space="preserve">Gender </w:t>
      </w:r>
      <w:r w:rsidR="003D703B">
        <w:t>c</w:t>
      </w:r>
      <w:r w:rsidRPr="00A13893">
        <w:t xml:space="preserve">omposition of </w:t>
      </w:r>
      <w:r w:rsidR="003D703B">
        <w:t>g</w:t>
      </w:r>
      <w:r w:rsidRPr="00A13893">
        <w:t xml:space="preserve">overning </w:t>
      </w:r>
      <w:r w:rsidR="003D703B">
        <w:t>b</w:t>
      </w:r>
      <w:r w:rsidRPr="00A13893">
        <w:t>odies</w:t>
      </w:r>
    </w:p>
    <w:p w14:paraId="150CECA3" w14:textId="6BC4560C" w:rsidR="00F45FF8" w:rsidRDefault="00A13893" w:rsidP="00A13893">
      <w:pPr>
        <w:rPr>
          <w:lang w:eastAsia="en-AU"/>
        </w:rPr>
      </w:pPr>
      <w:r w:rsidRPr="00A13893">
        <w:rPr>
          <w:lang w:eastAsia="en-AU"/>
        </w:rPr>
        <w:t xml:space="preserve">As </w:t>
      </w:r>
      <w:r>
        <w:rPr>
          <w:lang w:eastAsia="en-AU"/>
        </w:rPr>
        <w:t>of</w:t>
      </w:r>
      <w:r w:rsidRPr="00A13893">
        <w:rPr>
          <w:lang w:eastAsia="en-AU"/>
        </w:rPr>
        <w:t xml:space="preserve"> 30 June 2023, our governing body was gender balanced, </w:t>
      </w:r>
      <w:r w:rsidR="00F87F3E">
        <w:rPr>
          <w:lang w:eastAsia="en-AU"/>
        </w:rPr>
        <w:t>with 50</w:t>
      </w:r>
      <w:r w:rsidR="00FC4F25">
        <w:rPr>
          <w:lang w:eastAsia="en-AU"/>
        </w:rPr>
        <w:t xml:space="preserve"> per cent</w:t>
      </w:r>
      <w:r w:rsidRPr="00A13893">
        <w:rPr>
          <w:lang w:eastAsia="en-AU"/>
        </w:rPr>
        <w:t xml:space="preserve"> men and </w:t>
      </w:r>
      <w:r w:rsidR="00F87F3E">
        <w:rPr>
          <w:lang w:eastAsia="en-AU"/>
        </w:rPr>
        <w:t>50</w:t>
      </w:r>
      <w:r w:rsidR="00FC4F25">
        <w:rPr>
          <w:lang w:eastAsia="en-AU"/>
        </w:rPr>
        <w:t xml:space="preserve"> per cent</w:t>
      </w:r>
      <w:r w:rsidR="00F87F3E">
        <w:rPr>
          <w:lang w:eastAsia="en-AU"/>
        </w:rPr>
        <w:t xml:space="preserve"> </w:t>
      </w:r>
      <w:r w:rsidRPr="00A13893">
        <w:rPr>
          <w:lang w:eastAsia="en-AU"/>
        </w:rPr>
        <w:t>women</w:t>
      </w:r>
      <w:r w:rsidR="00F87F3E">
        <w:rPr>
          <w:lang w:eastAsia="en-AU"/>
        </w:rPr>
        <w:t>. T</w:t>
      </w:r>
      <w:r w:rsidRPr="00A13893">
        <w:rPr>
          <w:lang w:eastAsia="en-AU"/>
        </w:rPr>
        <w:t>his is an improvement from 2021 when the split was 57</w:t>
      </w:r>
      <w:r w:rsidR="00FC4F25">
        <w:rPr>
          <w:lang w:eastAsia="en-AU"/>
        </w:rPr>
        <w:t xml:space="preserve"> per cent</w:t>
      </w:r>
      <w:r w:rsidR="00F87F3E">
        <w:rPr>
          <w:lang w:eastAsia="en-AU"/>
        </w:rPr>
        <w:t xml:space="preserve"> men and </w:t>
      </w:r>
      <w:r w:rsidRPr="00A13893">
        <w:rPr>
          <w:lang w:eastAsia="en-AU"/>
        </w:rPr>
        <w:t>43</w:t>
      </w:r>
      <w:r w:rsidR="00FC4F25">
        <w:rPr>
          <w:lang w:eastAsia="en-AU"/>
        </w:rPr>
        <w:t xml:space="preserve"> per cent</w:t>
      </w:r>
      <w:r w:rsidRPr="00A13893">
        <w:rPr>
          <w:lang w:eastAsia="en-AU"/>
        </w:rPr>
        <w:t xml:space="preserve"> </w:t>
      </w:r>
      <w:r w:rsidR="00F87F3E">
        <w:rPr>
          <w:lang w:eastAsia="en-AU"/>
        </w:rPr>
        <w:t>women</w:t>
      </w:r>
      <w:r w:rsidRPr="00A13893">
        <w:rPr>
          <w:lang w:eastAsia="en-AU"/>
        </w:rPr>
        <w:t xml:space="preserve">. </w:t>
      </w:r>
    </w:p>
    <w:p w14:paraId="7A1DB0C8" w14:textId="6625EE9D" w:rsidR="00A13893" w:rsidRDefault="00A13893" w:rsidP="00A13893">
      <w:pPr>
        <w:rPr>
          <w:lang w:eastAsia="en-AU"/>
        </w:rPr>
      </w:pPr>
      <w:r w:rsidRPr="00A13893">
        <w:rPr>
          <w:lang w:eastAsia="en-AU"/>
        </w:rPr>
        <w:t>However, this was in part due to a vacancy on the Board</w:t>
      </w:r>
      <w:r w:rsidR="00FC4F25">
        <w:rPr>
          <w:lang w:eastAsia="en-AU"/>
        </w:rPr>
        <w:t>,</w:t>
      </w:r>
      <w:r w:rsidRPr="00A13893">
        <w:rPr>
          <w:lang w:eastAsia="en-AU"/>
        </w:rPr>
        <w:t xml:space="preserve"> meaning there were only six positions filled at the time of reporting in 2023.</w:t>
      </w:r>
    </w:p>
    <w:p w14:paraId="60DF809D" w14:textId="059E146A" w:rsidR="00A13893" w:rsidRPr="00A13893" w:rsidRDefault="00A13893" w:rsidP="002D7092">
      <w:pPr>
        <w:pStyle w:val="Heading3"/>
        <w:numPr>
          <w:ilvl w:val="0"/>
          <w:numId w:val="38"/>
        </w:numPr>
      </w:pPr>
      <w:r w:rsidRPr="00A13893">
        <w:t>Equal remuneration for work of equal or comparable value, across all levels of the workforce</w:t>
      </w:r>
    </w:p>
    <w:p w14:paraId="204E88EB" w14:textId="2C77AEF4" w:rsidR="00D824FA" w:rsidRDefault="00A13893" w:rsidP="00A13893">
      <w:pPr>
        <w:rPr>
          <w:lang w:eastAsia="en-AU"/>
        </w:rPr>
      </w:pPr>
      <w:r w:rsidRPr="00A13893">
        <w:rPr>
          <w:lang w:eastAsia="en-AU"/>
        </w:rPr>
        <w:t>In 2021</w:t>
      </w:r>
      <w:r w:rsidR="00D824FA">
        <w:rPr>
          <w:lang w:eastAsia="en-AU"/>
        </w:rPr>
        <w:t>,</w:t>
      </w:r>
      <w:r w:rsidRPr="00A13893">
        <w:rPr>
          <w:lang w:eastAsia="en-AU"/>
        </w:rPr>
        <w:t xml:space="preserve"> </w:t>
      </w:r>
      <w:r w:rsidR="00D020E5">
        <w:rPr>
          <w:lang w:eastAsia="en-AU"/>
        </w:rPr>
        <w:t>our</w:t>
      </w:r>
      <w:r w:rsidR="00D020E5" w:rsidRPr="00A13893">
        <w:rPr>
          <w:lang w:eastAsia="en-AU"/>
        </w:rPr>
        <w:t xml:space="preserve"> </w:t>
      </w:r>
      <w:r w:rsidRPr="00A13893">
        <w:rPr>
          <w:lang w:eastAsia="en-AU"/>
        </w:rPr>
        <w:t>mean base salary gap and mean total remuneration pay gap for women were both 13.2</w:t>
      </w:r>
      <w:r w:rsidR="00FC4F25">
        <w:rPr>
          <w:lang w:eastAsia="en-AU"/>
        </w:rPr>
        <w:t xml:space="preserve"> per cent</w:t>
      </w:r>
      <w:r w:rsidRPr="00A13893">
        <w:rPr>
          <w:lang w:eastAsia="en-AU"/>
        </w:rPr>
        <w:t>. In 2023</w:t>
      </w:r>
      <w:r w:rsidR="00D824FA">
        <w:rPr>
          <w:lang w:eastAsia="en-AU"/>
        </w:rPr>
        <w:t>,</w:t>
      </w:r>
      <w:r w:rsidRPr="00A13893">
        <w:rPr>
          <w:lang w:eastAsia="en-AU"/>
        </w:rPr>
        <w:t xml:space="preserve"> </w:t>
      </w:r>
      <w:r w:rsidR="00D020E5">
        <w:rPr>
          <w:lang w:eastAsia="en-AU"/>
        </w:rPr>
        <w:t>our</w:t>
      </w:r>
      <w:r w:rsidR="00D020E5" w:rsidRPr="00A13893">
        <w:rPr>
          <w:lang w:eastAsia="en-AU"/>
        </w:rPr>
        <w:t xml:space="preserve"> </w:t>
      </w:r>
      <w:r w:rsidRPr="00A13893">
        <w:rPr>
          <w:lang w:eastAsia="en-AU"/>
        </w:rPr>
        <w:t>mean base salary pay gap was 10.5</w:t>
      </w:r>
      <w:r w:rsidR="00FC4F25">
        <w:rPr>
          <w:lang w:eastAsia="en-AU"/>
        </w:rPr>
        <w:t xml:space="preserve"> per cent</w:t>
      </w:r>
      <w:r w:rsidRPr="00A13893">
        <w:rPr>
          <w:lang w:eastAsia="en-AU"/>
        </w:rPr>
        <w:t xml:space="preserve"> for women and 15</w:t>
      </w:r>
      <w:r w:rsidR="00FC4F25">
        <w:rPr>
          <w:lang w:eastAsia="en-AU"/>
        </w:rPr>
        <w:t xml:space="preserve"> per cent</w:t>
      </w:r>
      <w:r w:rsidRPr="00A13893">
        <w:rPr>
          <w:lang w:eastAsia="en-AU"/>
        </w:rPr>
        <w:t xml:space="preserve"> for gender diverse staff. </w:t>
      </w:r>
    </w:p>
    <w:p w14:paraId="7426AB7F" w14:textId="68A40735" w:rsidR="00A13893" w:rsidRPr="00A13893" w:rsidRDefault="00A13893" w:rsidP="00A13893">
      <w:pPr>
        <w:rPr>
          <w:lang w:eastAsia="en-AU"/>
        </w:rPr>
      </w:pPr>
      <w:r w:rsidRPr="00A13893">
        <w:rPr>
          <w:lang w:eastAsia="en-AU"/>
        </w:rPr>
        <w:t>In 2023 the mean total remuneration pay gap for women is 10.8</w:t>
      </w:r>
      <w:r w:rsidR="00FC4F25">
        <w:rPr>
          <w:lang w:eastAsia="en-AU"/>
        </w:rPr>
        <w:t xml:space="preserve"> per cent</w:t>
      </w:r>
      <w:r w:rsidRPr="00A13893">
        <w:rPr>
          <w:lang w:eastAsia="en-AU"/>
        </w:rPr>
        <w:t xml:space="preserve"> which has also improved since 2021. The mean total remuneration pay gap for gender diverse staff is 26.5</w:t>
      </w:r>
      <w:r w:rsidR="00FC4F25">
        <w:rPr>
          <w:lang w:eastAsia="en-AU"/>
        </w:rPr>
        <w:t xml:space="preserve"> per cent</w:t>
      </w:r>
      <w:r w:rsidR="00D020E5">
        <w:rPr>
          <w:lang w:eastAsia="en-AU"/>
        </w:rPr>
        <w:t>,</w:t>
      </w:r>
      <w:r w:rsidRPr="00A13893">
        <w:rPr>
          <w:lang w:eastAsia="en-AU"/>
        </w:rPr>
        <w:t xml:space="preserve"> noting there are very few staff in this cohort.</w:t>
      </w:r>
    </w:p>
    <w:p w14:paraId="33D9B1D5" w14:textId="6CCEE0B4" w:rsidR="00D824FA" w:rsidRDefault="00D020E5" w:rsidP="00A13893">
      <w:pPr>
        <w:rPr>
          <w:lang w:eastAsia="en-AU"/>
        </w:rPr>
      </w:pPr>
      <w:r>
        <w:rPr>
          <w:lang w:eastAsia="en-AU"/>
        </w:rPr>
        <w:t>We</w:t>
      </w:r>
      <w:r w:rsidRPr="00A13893">
        <w:rPr>
          <w:lang w:eastAsia="en-AU"/>
        </w:rPr>
        <w:t xml:space="preserve"> </w:t>
      </w:r>
      <w:r w:rsidR="00A13893" w:rsidRPr="00A13893">
        <w:rPr>
          <w:lang w:eastAsia="en-AU"/>
        </w:rPr>
        <w:t>undertake</w:t>
      </w:r>
      <w:r>
        <w:rPr>
          <w:lang w:eastAsia="en-AU"/>
        </w:rPr>
        <w:t xml:space="preserve"> </w:t>
      </w:r>
      <w:r w:rsidR="00A13893" w:rsidRPr="00A13893">
        <w:rPr>
          <w:lang w:eastAsia="en-AU"/>
        </w:rPr>
        <w:t xml:space="preserve">an annual gender pay gap analysis and communicate information about the gap at different classification levels with staff in conjunction with International Women’s Day. </w:t>
      </w:r>
    </w:p>
    <w:p w14:paraId="64C1C552" w14:textId="5EE19DBC" w:rsidR="00D824FA" w:rsidRDefault="00A13893" w:rsidP="00A13893">
      <w:pPr>
        <w:rPr>
          <w:lang w:eastAsia="en-AU"/>
        </w:rPr>
      </w:pPr>
      <w:r w:rsidRPr="00A13893">
        <w:rPr>
          <w:lang w:eastAsia="en-AU"/>
        </w:rPr>
        <w:t xml:space="preserve">We continue to work to address the </w:t>
      </w:r>
      <w:r w:rsidR="00991205">
        <w:rPr>
          <w:lang w:eastAsia="en-AU"/>
        </w:rPr>
        <w:t>gender pay gaps</w:t>
      </w:r>
      <w:r w:rsidR="00991205" w:rsidRPr="00A13893">
        <w:rPr>
          <w:lang w:eastAsia="en-AU"/>
        </w:rPr>
        <w:t xml:space="preserve"> </w:t>
      </w:r>
      <w:r w:rsidRPr="00A13893">
        <w:rPr>
          <w:lang w:eastAsia="en-AU"/>
        </w:rPr>
        <w:t xml:space="preserve">identified at each classification level and analyse the drivers. We note that at some classification levels the </w:t>
      </w:r>
      <w:r w:rsidR="00991205">
        <w:rPr>
          <w:lang w:eastAsia="en-AU"/>
        </w:rPr>
        <w:t>gender pay gap</w:t>
      </w:r>
      <w:r w:rsidR="00991205" w:rsidRPr="00A13893">
        <w:rPr>
          <w:lang w:eastAsia="en-AU"/>
        </w:rPr>
        <w:t xml:space="preserve"> </w:t>
      </w:r>
      <w:r w:rsidRPr="00A13893">
        <w:rPr>
          <w:lang w:eastAsia="en-AU"/>
        </w:rPr>
        <w:t xml:space="preserve">is in favour of women. </w:t>
      </w:r>
    </w:p>
    <w:p w14:paraId="172B208E" w14:textId="1E25E49B" w:rsidR="00A13893" w:rsidRDefault="000B17ED" w:rsidP="00A13893">
      <w:pPr>
        <w:rPr>
          <w:lang w:eastAsia="en-AU"/>
        </w:rPr>
      </w:pPr>
      <w:r>
        <w:rPr>
          <w:lang w:eastAsia="en-AU"/>
        </w:rPr>
        <w:t>Our</w:t>
      </w:r>
      <w:r w:rsidR="00A13893" w:rsidRPr="00A13893">
        <w:rPr>
          <w:lang w:eastAsia="en-AU"/>
        </w:rPr>
        <w:t xml:space="preserve"> overall gender pay gap for women is now in line with the </w:t>
      </w:r>
      <w:r w:rsidR="00991205">
        <w:rPr>
          <w:lang w:eastAsia="en-AU"/>
        </w:rPr>
        <w:t>Victorian Public Service (</w:t>
      </w:r>
      <w:r w:rsidR="00A13893" w:rsidRPr="00A13893">
        <w:rPr>
          <w:lang w:eastAsia="en-AU"/>
        </w:rPr>
        <w:t>VPS</w:t>
      </w:r>
      <w:r w:rsidR="00991205">
        <w:rPr>
          <w:lang w:eastAsia="en-AU"/>
        </w:rPr>
        <w:t>)</w:t>
      </w:r>
      <w:r w:rsidR="00A13893" w:rsidRPr="00A13893">
        <w:rPr>
          <w:lang w:eastAsia="en-AU"/>
        </w:rPr>
        <w:t xml:space="preserve"> gender pay gap</w:t>
      </w:r>
      <w:r w:rsidR="00991205">
        <w:rPr>
          <w:lang w:eastAsia="en-AU"/>
        </w:rPr>
        <w:t>,</w:t>
      </w:r>
      <w:r w:rsidR="00A13893" w:rsidRPr="00A13893">
        <w:rPr>
          <w:lang w:eastAsia="en-AU"/>
        </w:rPr>
        <w:t xml:space="preserve"> as per our commitment in GEAP action 1.2</w:t>
      </w:r>
      <w:r w:rsidR="003D703B">
        <w:rPr>
          <w:lang w:eastAsia="en-AU"/>
        </w:rPr>
        <w:t xml:space="preserve"> – </w:t>
      </w:r>
      <w:r w:rsidR="00A13893" w:rsidRPr="00A13893">
        <w:rPr>
          <w:lang w:eastAsia="en-AU"/>
        </w:rPr>
        <w:t xml:space="preserve">Gender </w:t>
      </w:r>
      <w:proofErr w:type="gramStart"/>
      <w:r w:rsidR="00A13893">
        <w:rPr>
          <w:lang w:eastAsia="en-AU"/>
        </w:rPr>
        <w:t>p</w:t>
      </w:r>
      <w:r w:rsidR="00A13893" w:rsidRPr="00A13893">
        <w:rPr>
          <w:lang w:eastAsia="en-AU"/>
        </w:rPr>
        <w:t>ay</w:t>
      </w:r>
      <w:proofErr w:type="gramEnd"/>
      <w:r w:rsidR="00A13893" w:rsidRPr="00A13893">
        <w:rPr>
          <w:lang w:eastAsia="en-AU"/>
        </w:rPr>
        <w:t xml:space="preserve"> gap data is reported to the Board annually.</w:t>
      </w:r>
    </w:p>
    <w:p w14:paraId="200B28F2" w14:textId="62C45993" w:rsidR="00A13893" w:rsidRDefault="00A13893" w:rsidP="002D7092">
      <w:pPr>
        <w:pStyle w:val="Heading3"/>
        <w:numPr>
          <w:ilvl w:val="0"/>
          <w:numId w:val="38"/>
        </w:numPr>
      </w:pPr>
      <w:r w:rsidRPr="00A13893">
        <w:t>Sexual Harassment in the workplace</w:t>
      </w:r>
    </w:p>
    <w:p w14:paraId="518141C9" w14:textId="2EBFE288" w:rsidR="002E4B29" w:rsidRDefault="003115CE" w:rsidP="00A13893">
      <w:pPr>
        <w:rPr>
          <w:lang w:eastAsia="en-AU"/>
        </w:rPr>
      </w:pPr>
      <w:r>
        <w:rPr>
          <w:lang w:eastAsia="en-AU"/>
        </w:rPr>
        <w:t xml:space="preserve">We </w:t>
      </w:r>
      <w:r w:rsidR="002E4B29">
        <w:rPr>
          <w:lang w:eastAsia="en-AU"/>
        </w:rPr>
        <w:t>ha</w:t>
      </w:r>
      <w:r>
        <w:rPr>
          <w:lang w:eastAsia="en-AU"/>
        </w:rPr>
        <w:t>ve</w:t>
      </w:r>
      <w:r w:rsidR="00A13893" w:rsidRPr="00A13893">
        <w:rPr>
          <w:lang w:eastAsia="en-AU"/>
        </w:rPr>
        <w:t xml:space="preserve"> implemented all the</w:t>
      </w:r>
      <w:r w:rsidR="00A13893">
        <w:rPr>
          <w:lang w:eastAsia="en-AU"/>
        </w:rPr>
        <w:t xml:space="preserve"> Victorian Equal Opportunity Human Rights Centre</w:t>
      </w:r>
      <w:r w:rsidR="00A13893" w:rsidRPr="00A13893">
        <w:rPr>
          <w:lang w:eastAsia="en-AU"/>
        </w:rPr>
        <w:t xml:space="preserve"> </w:t>
      </w:r>
      <w:r w:rsidR="00A13893">
        <w:rPr>
          <w:lang w:eastAsia="en-AU"/>
        </w:rPr>
        <w:t>(</w:t>
      </w:r>
      <w:r w:rsidR="00A13893" w:rsidRPr="00A13893">
        <w:rPr>
          <w:lang w:eastAsia="en-AU"/>
        </w:rPr>
        <w:t>VEOHRC</w:t>
      </w:r>
      <w:r w:rsidR="00A13893">
        <w:rPr>
          <w:lang w:eastAsia="en-AU"/>
        </w:rPr>
        <w:t>)</w:t>
      </w:r>
      <w:r w:rsidR="00A13893" w:rsidRPr="00A13893">
        <w:rPr>
          <w:lang w:eastAsia="en-AU"/>
        </w:rPr>
        <w:t xml:space="preserve"> recommendations</w:t>
      </w:r>
      <w:r w:rsidR="002E4B29">
        <w:rPr>
          <w:lang w:eastAsia="en-AU"/>
        </w:rPr>
        <w:t>.</w:t>
      </w:r>
      <w:r w:rsidR="00A13893" w:rsidRPr="00A13893">
        <w:rPr>
          <w:lang w:eastAsia="en-AU"/>
        </w:rPr>
        <w:t xml:space="preserve"> </w:t>
      </w:r>
    </w:p>
    <w:p w14:paraId="5E60EF7A" w14:textId="5DBE9053" w:rsidR="00D57146" w:rsidRDefault="00500F55" w:rsidP="00A13893">
      <w:pPr>
        <w:rPr>
          <w:lang w:eastAsia="en-AU"/>
        </w:rPr>
      </w:pPr>
      <w:r>
        <w:rPr>
          <w:lang w:eastAsia="en-AU"/>
        </w:rPr>
        <w:t>Our Speak Up</w:t>
      </w:r>
      <w:r w:rsidR="00A13893" w:rsidRPr="00A13893">
        <w:rPr>
          <w:lang w:eastAsia="en-AU"/>
        </w:rPr>
        <w:t xml:space="preserve"> reporting tool</w:t>
      </w:r>
      <w:r>
        <w:rPr>
          <w:lang w:eastAsia="en-AU"/>
        </w:rPr>
        <w:t xml:space="preserve"> is now</w:t>
      </w:r>
      <w:r w:rsidR="00A13893" w:rsidRPr="00A13893">
        <w:rPr>
          <w:lang w:eastAsia="en-AU"/>
        </w:rPr>
        <w:t xml:space="preserve"> in place</w:t>
      </w:r>
      <w:r>
        <w:rPr>
          <w:lang w:eastAsia="en-AU"/>
        </w:rPr>
        <w:t xml:space="preserve">, </w:t>
      </w:r>
      <w:r w:rsidR="00A13893" w:rsidRPr="00A13893">
        <w:rPr>
          <w:lang w:eastAsia="en-AU"/>
        </w:rPr>
        <w:t>where complainants can choose to remain anonymous</w:t>
      </w:r>
      <w:r w:rsidR="007476FC">
        <w:rPr>
          <w:lang w:eastAsia="en-AU"/>
        </w:rPr>
        <w:t>. We have also developed</w:t>
      </w:r>
      <w:r w:rsidR="00A13893" w:rsidRPr="00A13893">
        <w:rPr>
          <w:lang w:eastAsia="en-AU"/>
        </w:rPr>
        <w:t xml:space="preserve"> and a standalone Prevention of </w:t>
      </w:r>
      <w:r w:rsidR="007476FC">
        <w:rPr>
          <w:lang w:eastAsia="en-AU"/>
        </w:rPr>
        <w:t>s</w:t>
      </w:r>
      <w:r w:rsidR="00A13893" w:rsidRPr="00A13893">
        <w:rPr>
          <w:lang w:eastAsia="en-AU"/>
        </w:rPr>
        <w:t xml:space="preserve">exual </w:t>
      </w:r>
      <w:r w:rsidR="007476FC">
        <w:rPr>
          <w:lang w:eastAsia="en-AU"/>
        </w:rPr>
        <w:t>h</w:t>
      </w:r>
      <w:r w:rsidR="00A13893" w:rsidRPr="00A13893">
        <w:rPr>
          <w:lang w:eastAsia="en-AU"/>
        </w:rPr>
        <w:t xml:space="preserve">arassment </w:t>
      </w:r>
      <w:r w:rsidR="007476FC">
        <w:rPr>
          <w:lang w:eastAsia="en-AU"/>
        </w:rPr>
        <w:t>p</w:t>
      </w:r>
      <w:r w:rsidR="00A13893" w:rsidRPr="00A13893">
        <w:rPr>
          <w:lang w:eastAsia="en-AU"/>
        </w:rPr>
        <w:t xml:space="preserve">olicy. </w:t>
      </w:r>
    </w:p>
    <w:p w14:paraId="16C6EBA0" w14:textId="77777777" w:rsidR="00664083" w:rsidRDefault="00A13893" w:rsidP="00A13893">
      <w:pPr>
        <w:rPr>
          <w:lang w:eastAsia="en-AU"/>
        </w:rPr>
      </w:pPr>
      <w:r w:rsidRPr="00A13893">
        <w:rPr>
          <w:lang w:eastAsia="en-AU"/>
        </w:rPr>
        <w:t>Reporting options for people making a complaint have also been updated to enable the collection of demographic data in line with GEAP actions</w:t>
      </w:r>
      <w:r w:rsidR="00664083">
        <w:rPr>
          <w:lang w:eastAsia="en-AU"/>
        </w:rPr>
        <w:t>:</w:t>
      </w:r>
    </w:p>
    <w:p w14:paraId="5C2DCDBF" w14:textId="55C6BFFE" w:rsidR="00664083" w:rsidRDefault="00CF6C29" w:rsidP="002D7092">
      <w:pPr>
        <w:pStyle w:val="ListParagraph"/>
        <w:numPr>
          <w:ilvl w:val="0"/>
          <w:numId w:val="40"/>
        </w:numPr>
        <w:rPr>
          <w:lang w:eastAsia="en-AU"/>
        </w:rPr>
      </w:pPr>
      <w:r>
        <w:rPr>
          <w:lang w:eastAsia="en-AU"/>
        </w:rPr>
        <w:t xml:space="preserve">4.1 </w:t>
      </w:r>
      <w:r w:rsidR="00664083">
        <w:rPr>
          <w:lang w:eastAsia="en-AU"/>
        </w:rPr>
        <w:t xml:space="preserve">– </w:t>
      </w:r>
      <w:r w:rsidR="00664083" w:rsidRPr="00664083">
        <w:rPr>
          <w:lang w:eastAsia="en-AU"/>
        </w:rPr>
        <w:t xml:space="preserve">Implementation of the recommendations from the 2021 Victorian Equal Opportunity and Human Rights Commission (VEOHRC) review of our sexual harassment policy and processes </w:t>
      </w:r>
    </w:p>
    <w:p w14:paraId="48B4AFAA" w14:textId="22D94680" w:rsidR="00A13893" w:rsidRDefault="00CF6C29" w:rsidP="002D7092">
      <w:pPr>
        <w:pStyle w:val="ListParagraph"/>
        <w:numPr>
          <w:ilvl w:val="0"/>
          <w:numId w:val="40"/>
        </w:numPr>
        <w:rPr>
          <w:lang w:eastAsia="en-AU"/>
        </w:rPr>
      </w:pPr>
      <w:r>
        <w:rPr>
          <w:lang w:eastAsia="en-AU"/>
        </w:rPr>
        <w:t xml:space="preserve">4.2 </w:t>
      </w:r>
      <w:r w:rsidR="00C52486">
        <w:rPr>
          <w:lang w:eastAsia="en-AU"/>
        </w:rPr>
        <w:t xml:space="preserve">– </w:t>
      </w:r>
      <w:r w:rsidR="00C52486" w:rsidRPr="00C52486">
        <w:rPr>
          <w:lang w:eastAsia="en-AU"/>
        </w:rPr>
        <w:t xml:space="preserve">Implement a new model of reporting sexual harassment, bullying and discrimination (including anonymous reporting options, and questions in the staff </w:t>
      </w:r>
      <w:r w:rsidR="00C52486">
        <w:rPr>
          <w:lang w:eastAsia="en-AU"/>
        </w:rPr>
        <w:t>gender, diversity and inclusion</w:t>
      </w:r>
      <w:r w:rsidR="00C52486" w:rsidRPr="00C52486">
        <w:rPr>
          <w:lang w:eastAsia="en-AU"/>
        </w:rPr>
        <w:t xml:space="preserve"> survey), supported by updating our </w:t>
      </w:r>
      <w:r>
        <w:rPr>
          <w:lang w:eastAsia="en-AU"/>
        </w:rPr>
        <w:t>r</w:t>
      </w:r>
      <w:r w:rsidR="00C52486" w:rsidRPr="00C52486">
        <w:rPr>
          <w:lang w:eastAsia="en-AU"/>
        </w:rPr>
        <w:t xml:space="preserve">espectful </w:t>
      </w:r>
      <w:r>
        <w:rPr>
          <w:lang w:eastAsia="en-AU"/>
        </w:rPr>
        <w:t>w</w:t>
      </w:r>
      <w:r w:rsidR="00C52486" w:rsidRPr="00C52486">
        <w:rPr>
          <w:lang w:eastAsia="en-AU"/>
        </w:rPr>
        <w:t xml:space="preserve">orkplace </w:t>
      </w:r>
      <w:r>
        <w:rPr>
          <w:lang w:eastAsia="en-AU"/>
        </w:rPr>
        <w:t>b</w:t>
      </w:r>
      <w:r w:rsidR="00C52486" w:rsidRPr="00C52486">
        <w:rPr>
          <w:lang w:eastAsia="en-AU"/>
        </w:rPr>
        <w:t>ehaviours training</w:t>
      </w:r>
      <w:r w:rsidR="00C52486">
        <w:rPr>
          <w:lang w:eastAsia="en-AU"/>
        </w:rPr>
        <w:t>.</w:t>
      </w:r>
      <w:r w:rsidR="00A13893" w:rsidRPr="00A13893">
        <w:rPr>
          <w:lang w:eastAsia="en-AU"/>
        </w:rPr>
        <w:t xml:space="preserve"> </w:t>
      </w:r>
    </w:p>
    <w:p w14:paraId="4A13988A" w14:textId="5EB002C7" w:rsidR="00F45FF8" w:rsidRDefault="00A13893" w:rsidP="00A13893">
      <w:pPr>
        <w:rPr>
          <w:lang w:eastAsia="en-AU"/>
        </w:rPr>
      </w:pPr>
      <w:r w:rsidRPr="00A13893">
        <w:rPr>
          <w:lang w:eastAsia="en-AU"/>
        </w:rPr>
        <w:t xml:space="preserve">In 2021 we reported </w:t>
      </w:r>
      <w:r w:rsidR="00162D06">
        <w:rPr>
          <w:lang w:eastAsia="en-AU"/>
        </w:rPr>
        <w:t>seven</w:t>
      </w:r>
      <w:r w:rsidRPr="00A13893">
        <w:rPr>
          <w:lang w:eastAsia="en-AU"/>
        </w:rPr>
        <w:t xml:space="preserve"> sexual harassment complaints and in 2023 this had increased to </w:t>
      </w:r>
      <w:r w:rsidR="00162D06">
        <w:rPr>
          <w:lang w:eastAsia="en-AU"/>
        </w:rPr>
        <w:t>eight</w:t>
      </w:r>
      <w:r w:rsidRPr="00A13893">
        <w:rPr>
          <w:lang w:eastAsia="en-AU"/>
        </w:rPr>
        <w:t xml:space="preserve"> complaints. In the 2023 People </w:t>
      </w:r>
      <w:r w:rsidR="00162D06">
        <w:rPr>
          <w:lang w:eastAsia="en-AU"/>
        </w:rPr>
        <w:t>m</w:t>
      </w:r>
      <w:r w:rsidRPr="00A13893">
        <w:rPr>
          <w:lang w:eastAsia="en-AU"/>
        </w:rPr>
        <w:t xml:space="preserve">atter </w:t>
      </w:r>
      <w:r w:rsidR="00162D06">
        <w:rPr>
          <w:lang w:eastAsia="en-AU"/>
        </w:rPr>
        <w:t>s</w:t>
      </w:r>
      <w:r w:rsidRPr="00A13893">
        <w:rPr>
          <w:lang w:eastAsia="en-AU"/>
        </w:rPr>
        <w:t>urvey</w:t>
      </w:r>
      <w:r w:rsidR="0044037A">
        <w:rPr>
          <w:lang w:eastAsia="en-AU"/>
        </w:rPr>
        <w:t>,</w:t>
      </w:r>
      <w:r w:rsidRPr="00A13893">
        <w:rPr>
          <w:lang w:eastAsia="en-AU"/>
        </w:rPr>
        <w:t xml:space="preserve"> 7</w:t>
      </w:r>
      <w:r w:rsidR="00FC4F25">
        <w:rPr>
          <w:lang w:eastAsia="en-AU"/>
        </w:rPr>
        <w:t xml:space="preserve"> per cent</w:t>
      </w:r>
      <w:r w:rsidRPr="00A13893">
        <w:rPr>
          <w:lang w:eastAsia="en-AU"/>
        </w:rPr>
        <w:t xml:space="preserve"> of women and 2</w:t>
      </w:r>
      <w:r w:rsidR="00FC4F25">
        <w:rPr>
          <w:lang w:eastAsia="en-AU"/>
        </w:rPr>
        <w:t xml:space="preserve"> per cent</w:t>
      </w:r>
      <w:r w:rsidRPr="00A13893">
        <w:rPr>
          <w:lang w:eastAsia="en-AU"/>
        </w:rPr>
        <w:t xml:space="preserve"> of men reported experiencing sexual harassment behaviours at work</w:t>
      </w:r>
      <w:r w:rsidR="006C5CBB">
        <w:rPr>
          <w:lang w:eastAsia="en-AU"/>
        </w:rPr>
        <w:t xml:space="preserve">. </w:t>
      </w:r>
    </w:p>
    <w:p w14:paraId="355FBE67" w14:textId="21678561" w:rsidR="00F45FF8" w:rsidRDefault="006C5CBB" w:rsidP="00A13893">
      <w:pPr>
        <w:rPr>
          <w:lang w:eastAsia="en-AU"/>
        </w:rPr>
      </w:pPr>
      <w:r>
        <w:rPr>
          <w:lang w:eastAsia="en-AU"/>
        </w:rPr>
        <w:t>This</w:t>
      </w:r>
      <w:r w:rsidR="00A13893" w:rsidRPr="00A13893">
        <w:rPr>
          <w:lang w:eastAsia="en-AU"/>
        </w:rPr>
        <w:t xml:space="preserve"> </w:t>
      </w:r>
      <w:r w:rsidRPr="00A13893">
        <w:rPr>
          <w:lang w:eastAsia="en-AU"/>
        </w:rPr>
        <w:t>indicat</w:t>
      </w:r>
      <w:r>
        <w:rPr>
          <w:lang w:eastAsia="en-AU"/>
        </w:rPr>
        <w:t>es that</w:t>
      </w:r>
      <w:r w:rsidRPr="00A13893">
        <w:rPr>
          <w:lang w:eastAsia="en-AU"/>
        </w:rPr>
        <w:t xml:space="preserve"> </w:t>
      </w:r>
      <w:r w:rsidR="00A13893" w:rsidRPr="00A13893">
        <w:rPr>
          <w:lang w:eastAsia="en-AU"/>
        </w:rPr>
        <w:t>sexual harassment is still being underreported in terms of formal complaints</w:t>
      </w:r>
      <w:r w:rsidR="00C9522A">
        <w:rPr>
          <w:lang w:eastAsia="en-AU"/>
        </w:rPr>
        <w:t>,</w:t>
      </w:r>
      <w:r w:rsidR="00A13893" w:rsidRPr="00A13893">
        <w:rPr>
          <w:lang w:eastAsia="en-AU"/>
        </w:rPr>
        <w:t xml:space="preserve"> and in the short-term an increase in complaints would signify increasing trust in the reporting system. </w:t>
      </w:r>
    </w:p>
    <w:p w14:paraId="59241DE6" w14:textId="51152F53" w:rsidR="00A13893" w:rsidRDefault="00D63DB3" w:rsidP="00A13893">
      <w:pPr>
        <w:rPr>
          <w:lang w:eastAsia="en-AU"/>
        </w:rPr>
      </w:pPr>
      <w:r w:rsidRPr="00D63DB3">
        <w:rPr>
          <w:lang w:eastAsia="en-AU"/>
        </w:rPr>
        <w:t xml:space="preserve">To address these issues and reinforce our commitment to gender equality, </w:t>
      </w:r>
      <w:r w:rsidR="00C9522A">
        <w:rPr>
          <w:lang w:eastAsia="en-AU"/>
        </w:rPr>
        <w:t>we have</w:t>
      </w:r>
      <w:r w:rsidRPr="00D63DB3">
        <w:rPr>
          <w:lang w:eastAsia="en-AU"/>
        </w:rPr>
        <w:t xml:space="preserve"> implemented mandatory </w:t>
      </w:r>
      <w:r w:rsidR="00C9522A">
        <w:rPr>
          <w:lang w:eastAsia="en-AU"/>
        </w:rPr>
        <w:t>r</w:t>
      </w:r>
      <w:r w:rsidRPr="00D63DB3">
        <w:rPr>
          <w:lang w:eastAsia="en-AU"/>
        </w:rPr>
        <w:t xml:space="preserve">espectful </w:t>
      </w:r>
      <w:r w:rsidR="00C9522A">
        <w:rPr>
          <w:lang w:eastAsia="en-AU"/>
        </w:rPr>
        <w:t>w</w:t>
      </w:r>
      <w:r w:rsidRPr="00D63DB3">
        <w:rPr>
          <w:lang w:eastAsia="en-AU"/>
        </w:rPr>
        <w:t xml:space="preserve">orkplace </w:t>
      </w:r>
      <w:r w:rsidR="00C9522A">
        <w:rPr>
          <w:lang w:eastAsia="en-AU"/>
        </w:rPr>
        <w:t>b</w:t>
      </w:r>
      <w:r w:rsidRPr="00D63DB3">
        <w:rPr>
          <w:lang w:eastAsia="en-AU"/>
        </w:rPr>
        <w:t>ehaviour training for all staff</w:t>
      </w:r>
      <w:r w:rsidR="00C9522A">
        <w:rPr>
          <w:lang w:eastAsia="en-AU"/>
        </w:rPr>
        <w:t>,</w:t>
      </w:r>
      <w:r w:rsidRPr="00D63DB3">
        <w:rPr>
          <w:lang w:eastAsia="en-AU"/>
        </w:rPr>
        <w:t xml:space="preserve"> as part of our efforts to educate and address inappropriate behaviour.</w:t>
      </w:r>
    </w:p>
    <w:p w14:paraId="524F24FA" w14:textId="34C57678" w:rsidR="00A13893" w:rsidRDefault="00F2134E" w:rsidP="002D7092">
      <w:pPr>
        <w:pStyle w:val="Heading3"/>
        <w:numPr>
          <w:ilvl w:val="0"/>
          <w:numId w:val="38"/>
        </w:numPr>
      </w:pPr>
      <w:r>
        <w:t>Recruitment and promotion practices in the workplace</w:t>
      </w:r>
    </w:p>
    <w:p w14:paraId="5C95BBFA" w14:textId="165EA1FA" w:rsidR="00340FD9" w:rsidRDefault="00A13893" w:rsidP="00A13893">
      <w:pPr>
        <w:rPr>
          <w:lang w:eastAsia="en-AU"/>
        </w:rPr>
      </w:pPr>
      <w:r w:rsidRPr="00A13893">
        <w:rPr>
          <w:lang w:eastAsia="en-AU"/>
        </w:rPr>
        <w:t>Many of our GEAP actions have focused on recruiting diverse women and improv</w:t>
      </w:r>
      <w:r>
        <w:rPr>
          <w:lang w:eastAsia="en-AU"/>
        </w:rPr>
        <w:t>ing</w:t>
      </w:r>
      <w:r w:rsidRPr="00A13893">
        <w:rPr>
          <w:lang w:eastAsia="en-AU"/>
        </w:rPr>
        <w:t xml:space="preserve"> career development and promotion opportunities for diverse women</w:t>
      </w:r>
      <w:r>
        <w:rPr>
          <w:lang w:eastAsia="en-AU"/>
        </w:rPr>
        <w:t xml:space="preserve">. </w:t>
      </w:r>
      <w:r w:rsidR="00340FD9">
        <w:rPr>
          <w:lang w:eastAsia="en-AU"/>
        </w:rPr>
        <w:t>These include:</w:t>
      </w:r>
    </w:p>
    <w:p w14:paraId="4F96EB8D" w14:textId="4D74963D" w:rsidR="00340FD9" w:rsidRDefault="00340FD9" w:rsidP="002D7092">
      <w:pPr>
        <w:pStyle w:val="ListParagraph"/>
        <w:numPr>
          <w:ilvl w:val="0"/>
          <w:numId w:val="41"/>
        </w:numPr>
        <w:rPr>
          <w:lang w:eastAsia="en-AU"/>
        </w:rPr>
      </w:pPr>
      <w:r w:rsidRPr="00A13893">
        <w:rPr>
          <w:lang w:eastAsia="en-AU"/>
        </w:rPr>
        <w:t>5.2</w:t>
      </w:r>
      <w:r w:rsidR="007E0A42">
        <w:rPr>
          <w:lang w:eastAsia="en-AU"/>
        </w:rPr>
        <w:t xml:space="preserve"> – </w:t>
      </w:r>
      <w:r w:rsidR="007E0A42" w:rsidRPr="007E0A42">
        <w:rPr>
          <w:lang w:eastAsia="en-AU"/>
        </w:rPr>
        <w:t>Strengthen attraction and branding strategies to increase applicants who are women and women from diverse backgrounds</w:t>
      </w:r>
      <w:r w:rsidR="007E0A42">
        <w:rPr>
          <w:lang w:eastAsia="en-AU"/>
        </w:rPr>
        <w:t>.</w:t>
      </w:r>
    </w:p>
    <w:p w14:paraId="6E9E9212" w14:textId="7D4B6F37" w:rsidR="00340FD9" w:rsidRDefault="00340FD9" w:rsidP="002D7092">
      <w:pPr>
        <w:pStyle w:val="ListParagraph"/>
        <w:numPr>
          <w:ilvl w:val="0"/>
          <w:numId w:val="41"/>
        </w:numPr>
        <w:rPr>
          <w:lang w:eastAsia="en-AU"/>
        </w:rPr>
      </w:pPr>
      <w:r w:rsidRPr="00A13893">
        <w:rPr>
          <w:lang w:eastAsia="en-AU"/>
        </w:rPr>
        <w:t>5.3</w:t>
      </w:r>
      <w:r w:rsidR="007E0A42">
        <w:rPr>
          <w:lang w:eastAsia="en-AU"/>
        </w:rPr>
        <w:t xml:space="preserve"> – </w:t>
      </w:r>
      <w:r w:rsidR="007E0A42" w:rsidRPr="007E0A42">
        <w:rPr>
          <w:lang w:eastAsia="en-AU"/>
        </w:rPr>
        <w:t>Understanding and addressing barriers to employment of women, trans and gender diverse staff and women of diverse backgrounds</w:t>
      </w:r>
      <w:r w:rsidR="007E0A42">
        <w:rPr>
          <w:lang w:eastAsia="en-AU"/>
        </w:rPr>
        <w:t>.</w:t>
      </w:r>
    </w:p>
    <w:p w14:paraId="0FC170E0" w14:textId="63271798" w:rsidR="00340FD9" w:rsidRDefault="00340FD9" w:rsidP="002D7092">
      <w:pPr>
        <w:pStyle w:val="ListParagraph"/>
        <w:numPr>
          <w:ilvl w:val="0"/>
          <w:numId w:val="41"/>
        </w:numPr>
        <w:rPr>
          <w:lang w:eastAsia="en-AU"/>
        </w:rPr>
      </w:pPr>
      <w:r w:rsidRPr="00A13893">
        <w:rPr>
          <w:lang w:eastAsia="en-AU"/>
        </w:rPr>
        <w:t>5.6</w:t>
      </w:r>
      <w:r w:rsidR="001769AA">
        <w:rPr>
          <w:lang w:eastAsia="en-AU"/>
        </w:rPr>
        <w:t xml:space="preserve"> – </w:t>
      </w:r>
      <w:r w:rsidR="001769AA" w:rsidRPr="001769AA">
        <w:rPr>
          <w:lang w:eastAsia="en-AU"/>
        </w:rPr>
        <w:t>Provide increased opportunities for leadership training and development to support career pathways and promotion of women, trans and gender diverse staff and women of diverse backgrounds</w:t>
      </w:r>
      <w:r w:rsidR="001769AA">
        <w:rPr>
          <w:lang w:eastAsia="en-AU"/>
        </w:rPr>
        <w:t>.</w:t>
      </w:r>
    </w:p>
    <w:p w14:paraId="1F00D91A" w14:textId="5A3D7586" w:rsidR="00A13893" w:rsidRPr="00A13893" w:rsidRDefault="00A13893" w:rsidP="00A13893">
      <w:pPr>
        <w:rPr>
          <w:lang w:eastAsia="en-AU"/>
        </w:rPr>
      </w:pPr>
      <w:r w:rsidRPr="00A13893">
        <w:rPr>
          <w:lang w:eastAsia="en-AU"/>
        </w:rPr>
        <w:t xml:space="preserve">Selection for the </w:t>
      </w:r>
      <w:r w:rsidR="000C2719">
        <w:rPr>
          <w:lang w:eastAsia="en-AU"/>
        </w:rPr>
        <w:t>L</w:t>
      </w:r>
      <w:r w:rsidRPr="00A13893">
        <w:rPr>
          <w:lang w:eastAsia="en-AU"/>
        </w:rPr>
        <w:t xml:space="preserve">eadership and </w:t>
      </w:r>
      <w:r w:rsidR="000C2719">
        <w:rPr>
          <w:lang w:eastAsia="en-AU"/>
        </w:rPr>
        <w:t>m</w:t>
      </w:r>
      <w:r w:rsidRPr="00A13893">
        <w:rPr>
          <w:lang w:eastAsia="en-AU"/>
        </w:rPr>
        <w:t xml:space="preserve">entoring </w:t>
      </w:r>
      <w:r w:rsidR="001769AA">
        <w:rPr>
          <w:lang w:eastAsia="en-AU"/>
        </w:rPr>
        <w:t>p</w:t>
      </w:r>
      <w:r w:rsidRPr="00A13893">
        <w:rPr>
          <w:lang w:eastAsia="en-AU"/>
        </w:rPr>
        <w:t xml:space="preserve">rogram has had a focus on ensuring the participant group is diverse. The 2023 program commenced with a diverse group of staff including culturally diverse staff, staff with disability, First Nations staff and gender diverse staff.  </w:t>
      </w:r>
    </w:p>
    <w:p w14:paraId="5D1CEEBC" w14:textId="77777777" w:rsidR="008E300F" w:rsidRDefault="00A13893" w:rsidP="00A13893">
      <w:pPr>
        <w:rPr>
          <w:lang w:eastAsia="en-AU"/>
        </w:rPr>
      </w:pPr>
      <w:r w:rsidRPr="0961E1FF">
        <w:rPr>
          <w:lang w:eastAsia="en-AU"/>
        </w:rPr>
        <w:t>In 2021 women made up</w:t>
      </w:r>
      <w:r w:rsidR="008E300F">
        <w:rPr>
          <w:lang w:eastAsia="en-AU"/>
        </w:rPr>
        <w:t>:</w:t>
      </w:r>
    </w:p>
    <w:p w14:paraId="4ADE1F73" w14:textId="61EB43FD" w:rsidR="008E300F" w:rsidRDefault="00A13893" w:rsidP="002D7092">
      <w:pPr>
        <w:pStyle w:val="ListParagraph"/>
        <w:numPr>
          <w:ilvl w:val="0"/>
          <w:numId w:val="42"/>
        </w:numPr>
        <w:rPr>
          <w:lang w:eastAsia="en-AU"/>
        </w:rPr>
      </w:pPr>
      <w:r w:rsidRPr="0961E1FF">
        <w:rPr>
          <w:lang w:eastAsia="en-AU"/>
        </w:rPr>
        <w:t>74</w:t>
      </w:r>
      <w:r w:rsidR="00FC4F25">
        <w:rPr>
          <w:lang w:eastAsia="en-AU"/>
        </w:rPr>
        <w:t xml:space="preserve"> per cent</w:t>
      </w:r>
      <w:r w:rsidRPr="0961E1FF">
        <w:rPr>
          <w:lang w:eastAsia="en-AU"/>
        </w:rPr>
        <w:t xml:space="preserve"> of recruits </w:t>
      </w:r>
    </w:p>
    <w:p w14:paraId="793DC27D" w14:textId="171C6E02" w:rsidR="008E300F" w:rsidRDefault="00A13893" w:rsidP="002D7092">
      <w:pPr>
        <w:pStyle w:val="ListParagraph"/>
        <w:numPr>
          <w:ilvl w:val="0"/>
          <w:numId w:val="42"/>
        </w:numPr>
        <w:rPr>
          <w:lang w:eastAsia="en-AU"/>
        </w:rPr>
      </w:pPr>
      <w:r w:rsidRPr="0961E1FF">
        <w:rPr>
          <w:lang w:eastAsia="en-AU"/>
        </w:rPr>
        <w:t>87</w:t>
      </w:r>
      <w:r w:rsidR="00FC4F25">
        <w:rPr>
          <w:lang w:eastAsia="en-AU"/>
        </w:rPr>
        <w:t xml:space="preserve"> per cent</w:t>
      </w:r>
      <w:r w:rsidRPr="0961E1FF">
        <w:rPr>
          <w:lang w:eastAsia="en-AU"/>
        </w:rPr>
        <w:t xml:space="preserve"> of promotions</w:t>
      </w:r>
    </w:p>
    <w:p w14:paraId="11298AE3" w14:textId="12922C57" w:rsidR="008E300F" w:rsidRDefault="00A13893" w:rsidP="002D7092">
      <w:pPr>
        <w:pStyle w:val="ListParagraph"/>
        <w:numPr>
          <w:ilvl w:val="0"/>
          <w:numId w:val="42"/>
        </w:numPr>
        <w:rPr>
          <w:lang w:eastAsia="en-AU"/>
        </w:rPr>
      </w:pPr>
      <w:r w:rsidRPr="0961E1FF">
        <w:rPr>
          <w:lang w:eastAsia="en-AU"/>
        </w:rPr>
        <w:t>81</w:t>
      </w:r>
      <w:r w:rsidR="00FC4F25">
        <w:rPr>
          <w:lang w:eastAsia="en-AU"/>
        </w:rPr>
        <w:t xml:space="preserve"> per cent</w:t>
      </w:r>
      <w:r w:rsidRPr="0961E1FF">
        <w:rPr>
          <w:lang w:eastAsia="en-AU"/>
        </w:rPr>
        <w:t xml:space="preserve"> higher duties</w:t>
      </w:r>
    </w:p>
    <w:p w14:paraId="3175B90B" w14:textId="19B520EC" w:rsidR="008E300F" w:rsidRDefault="00A13893" w:rsidP="002D7092">
      <w:pPr>
        <w:pStyle w:val="ListParagraph"/>
        <w:numPr>
          <w:ilvl w:val="0"/>
          <w:numId w:val="42"/>
        </w:numPr>
        <w:rPr>
          <w:lang w:eastAsia="en-AU"/>
        </w:rPr>
      </w:pPr>
      <w:r w:rsidRPr="0961E1FF">
        <w:rPr>
          <w:lang w:eastAsia="en-AU"/>
        </w:rPr>
        <w:t>83</w:t>
      </w:r>
      <w:r w:rsidR="00FC4F25">
        <w:rPr>
          <w:lang w:eastAsia="en-AU"/>
        </w:rPr>
        <w:t xml:space="preserve"> per cent</w:t>
      </w:r>
      <w:r w:rsidRPr="0961E1FF">
        <w:rPr>
          <w:lang w:eastAsia="en-AU"/>
        </w:rPr>
        <w:t xml:space="preserve"> secondmen</w:t>
      </w:r>
      <w:r w:rsidR="008E300F">
        <w:rPr>
          <w:lang w:eastAsia="en-AU"/>
        </w:rPr>
        <w:t>ts</w:t>
      </w:r>
      <w:r w:rsidRPr="0961E1FF">
        <w:rPr>
          <w:lang w:eastAsia="en-AU"/>
        </w:rPr>
        <w:t xml:space="preserve"> </w:t>
      </w:r>
    </w:p>
    <w:p w14:paraId="2CE8D5B3" w14:textId="7977E450" w:rsidR="008E300F" w:rsidRDefault="00A13893" w:rsidP="002D7092">
      <w:pPr>
        <w:pStyle w:val="ListParagraph"/>
        <w:numPr>
          <w:ilvl w:val="0"/>
          <w:numId w:val="42"/>
        </w:numPr>
        <w:rPr>
          <w:lang w:eastAsia="en-AU"/>
        </w:rPr>
      </w:pPr>
      <w:r w:rsidRPr="0961E1FF">
        <w:rPr>
          <w:lang w:eastAsia="en-AU"/>
        </w:rPr>
        <w:t>78</w:t>
      </w:r>
      <w:r w:rsidR="00FC4F25">
        <w:rPr>
          <w:lang w:eastAsia="en-AU"/>
        </w:rPr>
        <w:t xml:space="preserve"> per cent</w:t>
      </w:r>
      <w:r w:rsidRPr="0961E1FF">
        <w:rPr>
          <w:lang w:eastAsia="en-AU"/>
        </w:rPr>
        <w:t xml:space="preserve"> career development</w:t>
      </w:r>
    </w:p>
    <w:p w14:paraId="6B2272CD" w14:textId="077EB937" w:rsidR="008E300F" w:rsidRDefault="00A13893" w:rsidP="002D7092">
      <w:pPr>
        <w:pStyle w:val="ListParagraph"/>
        <w:numPr>
          <w:ilvl w:val="0"/>
          <w:numId w:val="42"/>
        </w:numPr>
        <w:rPr>
          <w:lang w:eastAsia="en-AU"/>
        </w:rPr>
      </w:pPr>
      <w:r w:rsidRPr="0961E1FF">
        <w:rPr>
          <w:lang w:eastAsia="en-AU"/>
        </w:rPr>
        <w:t>78</w:t>
      </w:r>
      <w:r w:rsidR="00FC4F25">
        <w:rPr>
          <w:lang w:eastAsia="en-AU"/>
        </w:rPr>
        <w:t xml:space="preserve"> per cent</w:t>
      </w:r>
      <w:r w:rsidRPr="0961E1FF">
        <w:rPr>
          <w:lang w:eastAsia="en-AU"/>
        </w:rPr>
        <w:t xml:space="preserve"> of exits. </w:t>
      </w:r>
    </w:p>
    <w:p w14:paraId="73664BBF" w14:textId="77777777" w:rsidR="008E300F" w:rsidRDefault="00A13893" w:rsidP="00A13893">
      <w:pPr>
        <w:rPr>
          <w:lang w:eastAsia="en-AU"/>
        </w:rPr>
      </w:pPr>
      <w:r w:rsidRPr="0961E1FF">
        <w:rPr>
          <w:lang w:eastAsia="en-AU"/>
        </w:rPr>
        <w:t>In 2023 there has been a slight decrease for women across all categories except recruitment, with women making up</w:t>
      </w:r>
      <w:r w:rsidR="008E300F">
        <w:rPr>
          <w:lang w:eastAsia="en-AU"/>
        </w:rPr>
        <w:t>:</w:t>
      </w:r>
    </w:p>
    <w:p w14:paraId="1A0631C1" w14:textId="740CB49E" w:rsidR="008E300F" w:rsidRDefault="00A13893" w:rsidP="002D7092">
      <w:pPr>
        <w:pStyle w:val="ListParagraph"/>
        <w:numPr>
          <w:ilvl w:val="0"/>
          <w:numId w:val="43"/>
        </w:numPr>
        <w:rPr>
          <w:lang w:eastAsia="en-AU"/>
        </w:rPr>
      </w:pPr>
      <w:r w:rsidRPr="0961E1FF">
        <w:rPr>
          <w:lang w:eastAsia="en-AU"/>
        </w:rPr>
        <w:t>77</w:t>
      </w:r>
      <w:r w:rsidR="00FC4F25">
        <w:rPr>
          <w:lang w:eastAsia="en-AU"/>
        </w:rPr>
        <w:t xml:space="preserve"> per cent</w:t>
      </w:r>
      <w:r w:rsidRPr="0961E1FF">
        <w:rPr>
          <w:lang w:eastAsia="en-AU"/>
        </w:rPr>
        <w:t xml:space="preserve"> of recruits</w:t>
      </w:r>
    </w:p>
    <w:p w14:paraId="4D2483DE" w14:textId="34B16ABB" w:rsidR="008E300F" w:rsidRDefault="00A13893" w:rsidP="002D7092">
      <w:pPr>
        <w:pStyle w:val="ListParagraph"/>
        <w:numPr>
          <w:ilvl w:val="0"/>
          <w:numId w:val="43"/>
        </w:numPr>
        <w:rPr>
          <w:lang w:eastAsia="en-AU"/>
        </w:rPr>
      </w:pPr>
      <w:r w:rsidRPr="0961E1FF">
        <w:rPr>
          <w:lang w:eastAsia="en-AU"/>
        </w:rPr>
        <w:t>81</w:t>
      </w:r>
      <w:r w:rsidR="00FC4F25">
        <w:rPr>
          <w:lang w:eastAsia="en-AU"/>
        </w:rPr>
        <w:t xml:space="preserve"> per cent</w:t>
      </w:r>
      <w:r w:rsidRPr="0961E1FF">
        <w:rPr>
          <w:lang w:eastAsia="en-AU"/>
        </w:rPr>
        <w:t xml:space="preserve"> of promotions</w:t>
      </w:r>
    </w:p>
    <w:p w14:paraId="308F38EF" w14:textId="776CFFF9" w:rsidR="008E300F" w:rsidRDefault="00A13893" w:rsidP="002D7092">
      <w:pPr>
        <w:pStyle w:val="ListParagraph"/>
        <w:numPr>
          <w:ilvl w:val="0"/>
          <w:numId w:val="43"/>
        </w:numPr>
        <w:rPr>
          <w:lang w:eastAsia="en-AU"/>
        </w:rPr>
      </w:pPr>
      <w:r w:rsidRPr="0961E1FF">
        <w:rPr>
          <w:lang w:eastAsia="en-AU"/>
        </w:rPr>
        <w:t>76</w:t>
      </w:r>
      <w:r w:rsidR="00FC4F25">
        <w:rPr>
          <w:lang w:eastAsia="en-AU"/>
        </w:rPr>
        <w:t xml:space="preserve"> per cent</w:t>
      </w:r>
      <w:r w:rsidRPr="0961E1FF">
        <w:rPr>
          <w:lang w:eastAsia="en-AU"/>
        </w:rPr>
        <w:t xml:space="preserve"> higher duties</w:t>
      </w:r>
    </w:p>
    <w:p w14:paraId="3C70EDB1" w14:textId="725549DD" w:rsidR="008E300F" w:rsidRDefault="00A13893" w:rsidP="002D7092">
      <w:pPr>
        <w:pStyle w:val="ListParagraph"/>
        <w:numPr>
          <w:ilvl w:val="0"/>
          <w:numId w:val="43"/>
        </w:numPr>
        <w:rPr>
          <w:lang w:eastAsia="en-AU"/>
        </w:rPr>
      </w:pPr>
      <w:r w:rsidRPr="0961E1FF">
        <w:rPr>
          <w:lang w:eastAsia="en-AU"/>
        </w:rPr>
        <w:t>73</w:t>
      </w:r>
      <w:r w:rsidR="00FC4F25">
        <w:rPr>
          <w:lang w:eastAsia="en-AU"/>
        </w:rPr>
        <w:t xml:space="preserve"> per cent</w:t>
      </w:r>
      <w:r w:rsidRPr="0961E1FF">
        <w:rPr>
          <w:lang w:eastAsia="en-AU"/>
        </w:rPr>
        <w:t xml:space="preserve"> secondment</w:t>
      </w:r>
    </w:p>
    <w:p w14:paraId="17F36192" w14:textId="071E5980" w:rsidR="008E300F" w:rsidRDefault="00A13893" w:rsidP="002D7092">
      <w:pPr>
        <w:pStyle w:val="ListParagraph"/>
        <w:numPr>
          <w:ilvl w:val="0"/>
          <w:numId w:val="43"/>
        </w:numPr>
        <w:rPr>
          <w:lang w:eastAsia="en-AU"/>
        </w:rPr>
      </w:pPr>
      <w:r w:rsidRPr="0961E1FF">
        <w:rPr>
          <w:lang w:eastAsia="en-AU"/>
        </w:rPr>
        <w:t>75</w:t>
      </w:r>
      <w:r w:rsidR="00FC4F25">
        <w:rPr>
          <w:lang w:eastAsia="en-AU"/>
        </w:rPr>
        <w:t xml:space="preserve"> per cent</w:t>
      </w:r>
      <w:r w:rsidRPr="0961E1FF">
        <w:rPr>
          <w:lang w:eastAsia="en-AU"/>
        </w:rPr>
        <w:t xml:space="preserve"> career development </w:t>
      </w:r>
    </w:p>
    <w:p w14:paraId="45229552" w14:textId="325C47B0" w:rsidR="008E300F" w:rsidRDefault="00A13893" w:rsidP="002D7092">
      <w:pPr>
        <w:pStyle w:val="ListParagraph"/>
        <w:numPr>
          <w:ilvl w:val="0"/>
          <w:numId w:val="43"/>
        </w:numPr>
        <w:rPr>
          <w:lang w:eastAsia="en-AU"/>
        </w:rPr>
      </w:pPr>
      <w:r w:rsidRPr="0961E1FF">
        <w:rPr>
          <w:lang w:eastAsia="en-AU"/>
        </w:rPr>
        <w:t>76</w:t>
      </w:r>
      <w:r w:rsidR="00FC4F25">
        <w:rPr>
          <w:lang w:eastAsia="en-AU"/>
        </w:rPr>
        <w:t xml:space="preserve"> per cent</w:t>
      </w:r>
      <w:r w:rsidRPr="0961E1FF">
        <w:rPr>
          <w:lang w:eastAsia="en-AU"/>
        </w:rPr>
        <w:t xml:space="preserve"> of exits. </w:t>
      </w:r>
    </w:p>
    <w:p w14:paraId="00C867F4" w14:textId="7F0A31B9" w:rsidR="00A13893" w:rsidRDefault="00A13893" w:rsidP="00A13893">
      <w:pPr>
        <w:rPr>
          <w:lang w:eastAsia="en-AU"/>
        </w:rPr>
      </w:pPr>
      <w:r w:rsidRPr="0961E1FF">
        <w:rPr>
          <w:lang w:eastAsia="en-AU"/>
        </w:rPr>
        <w:t>However, the 2023 rates remain aligned with the overall gender composition of our workforce.</w:t>
      </w:r>
    </w:p>
    <w:p w14:paraId="1B2C5EBC" w14:textId="6AAE86C7" w:rsidR="00A13893" w:rsidRDefault="00D63DB3" w:rsidP="002D7092">
      <w:pPr>
        <w:pStyle w:val="Heading3"/>
        <w:numPr>
          <w:ilvl w:val="0"/>
          <w:numId w:val="38"/>
        </w:numPr>
      </w:pPr>
      <w:r w:rsidRPr="00D63DB3">
        <w:t xml:space="preserve">Availability and </w:t>
      </w:r>
      <w:r w:rsidR="0045757D" w:rsidRPr="00D63DB3">
        <w:t>u</w:t>
      </w:r>
      <w:r w:rsidR="0045757D">
        <w:t>se</w:t>
      </w:r>
      <w:r w:rsidR="0045757D" w:rsidRPr="00D63DB3">
        <w:t xml:space="preserve"> </w:t>
      </w:r>
      <w:r w:rsidRPr="00D63DB3">
        <w:t>of terms, conditions and practices relating to family violence leave, flexible working arrangements</w:t>
      </w:r>
      <w:r w:rsidR="0044037A">
        <w:t xml:space="preserve"> and</w:t>
      </w:r>
      <w:r w:rsidRPr="00D63DB3">
        <w:t xml:space="preserve"> working arrangements supporting employees with family or caring responsibilities</w:t>
      </w:r>
    </w:p>
    <w:p w14:paraId="269E0035" w14:textId="44757BB3" w:rsidR="00D63DB3" w:rsidRDefault="00C865AA" w:rsidP="00D63DB3">
      <w:pPr>
        <w:rPr>
          <w:lang w:eastAsia="en-AU"/>
        </w:rPr>
      </w:pPr>
      <w:r>
        <w:rPr>
          <w:lang w:eastAsia="en-AU"/>
        </w:rPr>
        <w:t>We have</w:t>
      </w:r>
      <w:r w:rsidR="00D63DB3" w:rsidRPr="00D63DB3">
        <w:rPr>
          <w:lang w:eastAsia="en-AU"/>
        </w:rPr>
        <w:t xml:space="preserve"> put in place several policies that support flexible working arrangements includ</w:t>
      </w:r>
      <w:r w:rsidR="00D63DB3">
        <w:rPr>
          <w:lang w:eastAsia="en-AU"/>
        </w:rPr>
        <w:t>ing:</w:t>
      </w:r>
      <w:r w:rsidR="00D63DB3" w:rsidRPr="00D63DB3">
        <w:rPr>
          <w:lang w:eastAsia="en-AU"/>
        </w:rPr>
        <w:t xml:space="preserve"> </w:t>
      </w:r>
    </w:p>
    <w:p w14:paraId="0D63038D" w14:textId="6A176215" w:rsidR="00D63DB3" w:rsidRDefault="00C865AA" w:rsidP="00D63DB3">
      <w:pPr>
        <w:pStyle w:val="ListParagraph"/>
        <w:numPr>
          <w:ilvl w:val="0"/>
          <w:numId w:val="32"/>
        </w:numPr>
        <w:rPr>
          <w:lang w:eastAsia="en-AU"/>
        </w:rPr>
      </w:pPr>
      <w:r>
        <w:rPr>
          <w:lang w:eastAsia="en-AU"/>
        </w:rPr>
        <w:t>f</w:t>
      </w:r>
      <w:r w:rsidR="00D63DB3" w:rsidRPr="00D63DB3">
        <w:rPr>
          <w:lang w:eastAsia="en-AU"/>
        </w:rPr>
        <w:t xml:space="preserve">lexible </w:t>
      </w:r>
      <w:r w:rsidR="00D63DB3">
        <w:rPr>
          <w:lang w:eastAsia="en-AU"/>
        </w:rPr>
        <w:t>w</w:t>
      </w:r>
      <w:r w:rsidR="00D63DB3" w:rsidRPr="00D63DB3">
        <w:rPr>
          <w:lang w:eastAsia="en-AU"/>
        </w:rPr>
        <w:t>ork guidance</w:t>
      </w:r>
    </w:p>
    <w:p w14:paraId="7889ECF6" w14:textId="0274E91C" w:rsidR="00D63DB3" w:rsidRDefault="00C865AA" w:rsidP="00D63DB3">
      <w:pPr>
        <w:pStyle w:val="ListParagraph"/>
        <w:numPr>
          <w:ilvl w:val="0"/>
          <w:numId w:val="32"/>
        </w:numPr>
        <w:rPr>
          <w:lang w:eastAsia="en-AU"/>
        </w:rPr>
      </w:pPr>
      <w:r>
        <w:rPr>
          <w:lang w:eastAsia="en-AU"/>
        </w:rPr>
        <w:t>w</w:t>
      </w:r>
      <w:r w:rsidR="00D63DB3" w:rsidRPr="00D63DB3">
        <w:rPr>
          <w:lang w:eastAsia="en-AU"/>
        </w:rPr>
        <w:t>orkplace adjustments policy</w:t>
      </w:r>
    </w:p>
    <w:p w14:paraId="6B330EC9" w14:textId="344191D1" w:rsidR="00D63DB3" w:rsidRDefault="00C865AA" w:rsidP="00D63DB3">
      <w:pPr>
        <w:pStyle w:val="ListParagraph"/>
        <w:numPr>
          <w:ilvl w:val="0"/>
          <w:numId w:val="32"/>
        </w:numPr>
        <w:rPr>
          <w:lang w:eastAsia="en-AU"/>
        </w:rPr>
      </w:pPr>
      <w:r>
        <w:rPr>
          <w:lang w:eastAsia="en-AU"/>
        </w:rPr>
        <w:t>i</w:t>
      </w:r>
      <w:r w:rsidR="00D63DB3" w:rsidRPr="00D63DB3">
        <w:rPr>
          <w:lang w:eastAsia="en-AU"/>
        </w:rPr>
        <w:t xml:space="preserve">ndividual </w:t>
      </w:r>
      <w:r>
        <w:rPr>
          <w:lang w:eastAsia="en-AU"/>
        </w:rPr>
        <w:t>f</w:t>
      </w:r>
      <w:r w:rsidR="00D63DB3" w:rsidRPr="00D63DB3">
        <w:rPr>
          <w:lang w:eastAsia="en-AU"/>
        </w:rPr>
        <w:t xml:space="preserve">lexibility </w:t>
      </w:r>
      <w:r>
        <w:rPr>
          <w:lang w:eastAsia="en-AU"/>
        </w:rPr>
        <w:t>a</w:t>
      </w:r>
      <w:r w:rsidR="00D63DB3" w:rsidRPr="00D63DB3">
        <w:rPr>
          <w:lang w:eastAsia="en-AU"/>
        </w:rPr>
        <w:t xml:space="preserve">rrangements to vary the </w:t>
      </w:r>
      <w:r>
        <w:rPr>
          <w:lang w:eastAsia="en-AU"/>
        </w:rPr>
        <w:t>o</w:t>
      </w:r>
      <w:r w:rsidR="00D63DB3" w:rsidRPr="00D63DB3">
        <w:rPr>
          <w:lang w:eastAsia="en-AU"/>
        </w:rPr>
        <w:t xml:space="preserve">rdinary </w:t>
      </w:r>
      <w:r>
        <w:rPr>
          <w:lang w:eastAsia="en-AU"/>
        </w:rPr>
        <w:t>h</w:t>
      </w:r>
      <w:r w:rsidR="00D63DB3" w:rsidRPr="00D63DB3">
        <w:rPr>
          <w:lang w:eastAsia="en-AU"/>
        </w:rPr>
        <w:t xml:space="preserve">ours of </w:t>
      </w:r>
      <w:r>
        <w:rPr>
          <w:lang w:eastAsia="en-AU"/>
        </w:rPr>
        <w:t>w</w:t>
      </w:r>
      <w:r w:rsidR="00D63DB3" w:rsidRPr="00D63DB3">
        <w:rPr>
          <w:lang w:eastAsia="en-AU"/>
        </w:rPr>
        <w:t xml:space="preserve">ork </w:t>
      </w:r>
    </w:p>
    <w:p w14:paraId="2CF6D25A" w14:textId="25034131" w:rsidR="00D63DB3" w:rsidRDefault="00C865AA" w:rsidP="00D63DB3">
      <w:pPr>
        <w:pStyle w:val="ListParagraph"/>
        <w:numPr>
          <w:ilvl w:val="0"/>
          <w:numId w:val="32"/>
        </w:numPr>
        <w:rPr>
          <w:lang w:eastAsia="en-AU"/>
        </w:rPr>
      </w:pPr>
      <w:r>
        <w:rPr>
          <w:lang w:eastAsia="en-AU"/>
        </w:rPr>
        <w:t>p</w:t>
      </w:r>
      <w:r w:rsidR="00D63DB3" w:rsidRPr="00D63DB3">
        <w:rPr>
          <w:lang w:eastAsia="en-AU"/>
        </w:rPr>
        <w:t>art-time employment</w:t>
      </w:r>
    </w:p>
    <w:p w14:paraId="0F4330DA" w14:textId="619AB14E" w:rsidR="00D63DB3" w:rsidRDefault="00C865AA" w:rsidP="00D63DB3">
      <w:pPr>
        <w:pStyle w:val="ListParagraph"/>
        <w:numPr>
          <w:ilvl w:val="0"/>
          <w:numId w:val="32"/>
        </w:numPr>
        <w:rPr>
          <w:lang w:eastAsia="en-AU"/>
        </w:rPr>
      </w:pPr>
      <w:r>
        <w:rPr>
          <w:lang w:eastAsia="en-AU"/>
        </w:rPr>
        <w:t>p</w:t>
      </w:r>
      <w:r w:rsidR="00D63DB3" w:rsidRPr="00D63DB3">
        <w:rPr>
          <w:lang w:eastAsia="en-AU"/>
        </w:rPr>
        <w:t>urchased leave</w:t>
      </w:r>
    </w:p>
    <w:p w14:paraId="1F41B194" w14:textId="02BA700D" w:rsidR="00D63DB3" w:rsidRDefault="00C865AA" w:rsidP="00D63DB3">
      <w:pPr>
        <w:pStyle w:val="ListParagraph"/>
        <w:numPr>
          <w:ilvl w:val="0"/>
          <w:numId w:val="32"/>
        </w:numPr>
        <w:rPr>
          <w:lang w:eastAsia="en-AU"/>
        </w:rPr>
      </w:pPr>
      <w:r>
        <w:rPr>
          <w:lang w:eastAsia="en-AU"/>
        </w:rPr>
        <w:t>f</w:t>
      </w:r>
      <w:r w:rsidR="00D63DB3" w:rsidRPr="00D63DB3">
        <w:rPr>
          <w:lang w:eastAsia="en-AU"/>
        </w:rPr>
        <w:t xml:space="preserve">lexitime (including access to excessive flexi leave) </w:t>
      </w:r>
    </w:p>
    <w:p w14:paraId="2E4329AB" w14:textId="45C6CCB3" w:rsidR="00D63DB3" w:rsidRDefault="00C865AA" w:rsidP="00D63DB3">
      <w:pPr>
        <w:pStyle w:val="ListParagraph"/>
        <w:numPr>
          <w:ilvl w:val="0"/>
          <w:numId w:val="32"/>
        </w:numPr>
        <w:rPr>
          <w:lang w:eastAsia="en-AU"/>
        </w:rPr>
      </w:pPr>
      <w:r>
        <w:rPr>
          <w:lang w:eastAsia="en-AU"/>
        </w:rPr>
        <w:t>p</w:t>
      </w:r>
      <w:r w:rsidR="00D63DB3" w:rsidRPr="00D63DB3">
        <w:rPr>
          <w:lang w:eastAsia="en-AU"/>
        </w:rPr>
        <w:t xml:space="preserve">arental </w:t>
      </w:r>
      <w:r>
        <w:rPr>
          <w:lang w:eastAsia="en-AU"/>
        </w:rPr>
        <w:t>l</w:t>
      </w:r>
      <w:r w:rsidR="00D63DB3" w:rsidRPr="00D63DB3">
        <w:rPr>
          <w:lang w:eastAsia="en-AU"/>
        </w:rPr>
        <w:t>eave including primary, secondary paid and unpaid leave</w:t>
      </w:r>
    </w:p>
    <w:p w14:paraId="2CC5D92E" w14:textId="209A9E40" w:rsidR="00D63DB3" w:rsidRDefault="00C865AA" w:rsidP="00D63DB3">
      <w:pPr>
        <w:pStyle w:val="ListParagraph"/>
        <w:numPr>
          <w:ilvl w:val="0"/>
          <w:numId w:val="32"/>
        </w:numPr>
        <w:rPr>
          <w:lang w:eastAsia="en-AU"/>
        </w:rPr>
      </w:pPr>
      <w:r>
        <w:rPr>
          <w:lang w:eastAsia="en-AU"/>
        </w:rPr>
        <w:t>s</w:t>
      </w:r>
      <w:r w:rsidR="00D63DB3" w:rsidRPr="00D63DB3">
        <w:rPr>
          <w:lang w:eastAsia="en-AU"/>
        </w:rPr>
        <w:t>urrogacy leave</w:t>
      </w:r>
    </w:p>
    <w:p w14:paraId="7BC13FEA" w14:textId="654F09F6" w:rsidR="00D63DB3" w:rsidRDefault="00C865AA" w:rsidP="00D63DB3">
      <w:pPr>
        <w:pStyle w:val="ListParagraph"/>
        <w:numPr>
          <w:ilvl w:val="0"/>
          <w:numId w:val="32"/>
        </w:numPr>
        <w:rPr>
          <w:lang w:eastAsia="en-AU"/>
        </w:rPr>
      </w:pPr>
      <w:r>
        <w:rPr>
          <w:lang w:eastAsia="en-AU"/>
        </w:rPr>
        <w:t>f</w:t>
      </w:r>
      <w:r w:rsidR="00D63DB3" w:rsidRPr="00D63DB3">
        <w:rPr>
          <w:lang w:eastAsia="en-AU"/>
        </w:rPr>
        <w:t xml:space="preserve">oster and kinship care leave </w:t>
      </w:r>
    </w:p>
    <w:p w14:paraId="700437B8" w14:textId="243E153C" w:rsidR="00D63DB3" w:rsidRPr="00D63DB3" w:rsidRDefault="00C865AA" w:rsidP="00D63DB3">
      <w:pPr>
        <w:pStyle w:val="ListParagraph"/>
        <w:numPr>
          <w:ilvl w:val="0"/>
          <w:numId w:val="32"/>
        </w:numPr>
        <w:rPr>
          <w:lang w:eastAsia="en-AU"/>
        </w:rPr>
      </w:pPr>
      <w:r>
        <w:rPr>
          <w:lang w:eastAsia="en-AU"/>
        </w:rPr>
        <w:t>f</w:t>
      </w:r>
      <w:r w:rsidR="00D63DB3" w:rsidRPr="00D63DB3">
        <w:rPr>
          <w:lang w:eastAsia="en-AU"/>
        </w:rPr>
        <w:t xml:space="preserve">amily violence leave. </w:t>
      </w:r>
    </w:p>
    <w:p w14:paraId="27955588" w14:textId="221A0A54" w:rsidR="00C35E3A" w:rsidRDefault="00D63DB3" w:rsidP="00D63DB3">
      <w:pPr>
        <w:rPr>
          <w:lang w:eastAsia="en-AU"/>
        </w:rPr>
      </w:pPr>
      <w:r w:rsidRPr="00D63DB3">
        <w:rPr>
          <w:lang w:eastAsia="en-AU"/>
        </w:rPr>
        <w:t>In 2021</w:t>
      </w:r>
      <w:r w:rsidR="00C865AA">
        <w:rPr>
          <w:lang w:eastAsia="en-AU"/>
        </w:rPr>
        <w:t>,</w:t>
      </w:r>
      <w:r w:rsidRPr="00D63DB3">
        <w:rPr>
          <w:lang w:eastAsia="en-AU"/>
        </w:rPr>
        <w:t xml:space="preserve"> 38</w:t>
      </w:r>
      <w:r w:rsidR="00FC4F25">
        <w:rPr>
          <w:lang w:eastAsia="en-AU"/>
        </w:rPr>
        <w:t xml:space="preserve"> per cent</w:t>
      </w:r>
      <w:r w:rsidRPr="00D63DB3">
        <w:rPr>
          <w:lang w:eastAsia="en-AU"/>
        </w:rPr>
        <w:t xml:space="preserve"> of staff were on a formal flexible working arrangement</w:t>
      </w:r>
      <w:r w:rsidR="007C631E">
        <w:rPr>
          <w:lang w:eastAsia="en-AU"/>
        </w:rPr>
        <w:t>, compared to</w:t>
      </w:r>
      <w:r w:rsidRPr="00D63DB3">
        <w:rPr>
          <w:lang w:eastAsia="en-AU"/>
        </w:rPr>
        <w:t xml:space="preserve"> 35</w:t>
      </w:r>
      <w:r w:rsidR="00FC4F25">
        <w:rPr>
          <w:lang w:eastAsia="en-AU"/>
        </w:rPr>
        <w:t xml:space="preserve"> per cent</w:t>
      </w:r>
      <w:r w:rsidRPr="00D63DB3">
        <w:rPr>
          <w:lang w:eastAsia="en-AU"/>
        </w:rPr>
        <w:t xml:space="preserve"> of staff </w:t>
      </w:r>
      <w:r w:rsidR="007C631E">
        <w:rPr>
          <w:lang w:eastAsia="en-AU"/>
        </w:rPr>
        <w:t>in 2023.</w:t>
      </w:r>
      <w:r w:rsidRPr="00D63DB3">
        <w:rPr>
          <w:lang w:eastAsia="en-AU"/>
        </w:rPr>
        <w:t xml:space="preserve"> </w:t>
      </w:r>
      <w:r w:rsidR="007C631E">
        <w:rPr>
          <w:lang w:eastAsia="en-AU"/>
        </w:rPr>
        <w:t>There has been</w:t>
      </w:r>
      <w:r w:rsidRPr="00D63DB3">
        <w:rPr>
          <w:lang w:eastAsia="en-AU"/>
        </w:rPr>
        <w:t xml:space="preserve"> minimal change in the number of women using flexible arrangements. </w:t>
      </w:r>
    </w:p>
    <w:p w14:paraId="6BE4D60A" w14:textId="30DA2D37" w:rsidR="0098694B" w:rsidRDefault="00C35E3A" w:rsidP="00D63DB3">
      <w:pPr>
        <w:rPr>
          <w:lang w:eastAsia="en-AU"/>
        </w:rPr>
      </w:pPr>
      <w:r>
        <w:rPr>
          <w:lang w:eastAsia="en-AU"/>
        </w:rPr>
        <w:t>O</w:t>
      </w:r>
      <w:r w:rsidR="00D63DB3" w:rsidRPr="00D63DB3">
        <w:rPr>
          <w:lang w:eastAsia="en-AU"/>
        </w:rPr>
        <w:t>f staff who took parental leave</w:t>
      </w:r>
      <w:r>
        <w:rPr>
          <w:lang w:eastAsia="en-AU"/>
        </w:rPr>
        <w:t xml:space="preserve"> </w:t>
      </w:r>
      <w:r w:rsidR="00B50ABE">
        <w:rPr>
          <w:lang w:eastAsia="en-AU"/>
        </w:rPr>
        <w:t>i</w:t>
      </w:r>
      <w:r w:rsidRPr="00D63DB3">
        <w:rPr>
          <w:lang w:eastAsia="en-AU"/>
        </w:rPr>
        <w:t>n 2023</w:t>
      </w:r>
      <w:r w:rsidR="00D63DB3" w:rsidRPr="00D63DB3">
        <w:rPr>
          <w:lang w:eastAsia="en-AU"/>
        </w:rPr>
        <w:t>, 3</w:t>
      </w:r>
      <w:r w:rsidR="00FC4F25">
        <w:rPr>
          <w:lang w:eastAsia="en-AU"/>
        </w:rPr>
        <w:t xml:space="preserve"> per cent</w:t>
      </w:r>
      <w:r w:rsidR="00D63DB3" w:rsidRPr="00D63DB3">
        <w:rPr>
          <w:lang w:eastAsia="en-AU"/>
        </w:rPr>
        <w:t xml:space="preserve"> were men</w:t>
      </w:r>
      <w:r w:rsidR="00D63DB3">
        <w:rPr>
          <w:lang w:eastAsia="en-AU"/>
        </w:rPr>
        <w:t>, an increase from</w:t>
      </w:r>
      <w:r w:rsidR="00D63DB3" w:rsidRPr="00D63DB3">
        <w:rPr>
          <w:lang w:eastAsia="en-AU"/>
        </w:rPr>
        <w:t xml:space="preserve"> 0</w:t>
      </w:r>
      <w:r w:rsidR="00FC4F25">
        <w:rPr>
          <w:lang w:eastAsia="en-AU"/>
        </w:rPr>
        <w:t xml:space="preserve"> per cent</w:t>
      </w:r>
      <w:r w:rsidR="00D63DB3" w:rsidRPr="00D63DB3">
        <w:rPr>
          <w:lang w:eastAsia="en-AU"/>
        </w:rPr>
        <w:t xml:space="preserve"> in 2021. </w:t>
      </w:r>
    </w:p>
    <w:p w14:paraId="4516BF14" w14:textId="22888F0E" w:rsidR="00D63DB3" w:rsidRPr="00D63DB3" w:rsidRDefault="00D63DB3" w:rsidP="00D63DB3">
      <w:pPr>
        <w:rPr>
          <w:lang w:eastAsia="en-AU"/>
        </w:rPr>
      </w:pPr>
      <w:r w:rsidRPr="00D63DB3">
        <w:rPr>
          <w:lang w:eastAsia="en-AU"/>
        </w:rPr>
        <w:t>The number of staff accessing family violence leave has increased by one person between 2021 and 2023. While many more staff have taken carer's leave in 2023 this may also be influenced by the covid lockdowns that were in place in 2021.</w:t>
      </w:r>
    </w:p>
    <w:p w14:paraId="1125AABC" w14:textId="1B75CF2E" w:rsidR="00A13893" w:rsidRPr="00D63DB3" w:rsidRDefault="00D63DB3" w:rsidP="002D7092">
      <w:pPr>
        <w:pStyle w:val="Heading3"/>
        <w:numPr>
          <w:ilvl w:val="0"/>
          <w:numId w:val="38"/>
        </w:numPr>
      </w:pPr>
      <w:r w:rsidRPr="00D63DB3">
        <w:t>Gendered segregation within the workplace</w:t>
      </w:r>
    </w:p>
    <w:p w14:paraId="22C22369" w14:textId="37B4F02A" w:rsidR="00C636BA" w:rsidRDefault="00D63DB3" w:rsidP="00D63DB3">
      <w:pPr>
        <w:rPr>
          <w:lang w:eastAsia="en-AU"/>
        </w:rPr>
      </w:pPr>
      <w:r w:rsidRPr="00D63DB3">
        <w:rPr>
          <w:lang w:eastAsia="en-AU"/>
        </w:rPr>
        <w:t>In 2021</w:t>
      </w:r>
      <w:r w:rsidR="0098694B">
        <w:rPr>
          <w:lang w:eastAsia="en-AU"/>
        </w:rPr>
        <w:t>,</w:t>
      </w:r>
      <w:r w:rsidRPr="00D63DB3">
        <w:rPr>
          <w:lang w:eastAsia="en-AU"/>
        </w:rPr>
        <w:t xml:space="preserve"> with women making up 76</w:t>
      </w:r>
      <w:r w:rsidR="00FC4F25">
        <w:rPr>
          <w:lang w:eastAsia="en-AU"/>
        </w:rPr>
        <w:t xml:space="preserve"> per cent</w:t>
      </w:r>
      <w:r w:rsidRPr="00D63DB3">
        <w:rPr>
          <w:lang w:eastAsia="en-AU"/>
        </w:rPr>
        <w:t xml:space="preserve"> of the overall workforce, women were overrepresented as clerical and administrative workers (88</w:t>
      </w:r>
      <w:r w:rsidR="00FC4F25">
        <w:rPr>
          <w:lang w:eastAsia="en-AU"/>
        </w:rPr>
        <w:t xml:space="preserve"> per cent</w:t>
      </w:r>
      <w:r w:rsidRPr="00D63DB3">
        <w:rPr>
          <w:lang w:eastAsia="en-AU"/>
        </w:rPr>
        <w:t>) and underrepresented in manager roles (65</w:t>
      </w:r>
      <w:r w:rsidR="00FC4F25">
        <w:rPr>
          <w:lang w:eastAsia="en-AU"/>
        </w:rPr>
        <w:t xml:space="preserve"> per cent</w:t>
      </w:r>
      <w:r w:rsidRPr="00D63DB3">
        <w:rPr>
          <w:lang w:eastAsia="en-AU"/>
        </w:rPr>
        <w:t xml:space="preserve">). </w:t>
      </w:r>
    </w:p>
    <w:p w14:paraId="0A1A3C60" w14:textId="110B1CF3" w:rsidR="00C636BA" w:rsidRDefault="00D63DB3" w:rsidP="00D63DB3">
      <w:pPr>
        <w:rPr>
          <w:lang w:eastAsia="en-AU"/>
        </w:rPr>
      </w:pPr>
      <w:r w:rsidRPr="00D63DB3">
        <w:rPr>
          <w:lang w:eastAsia="en-AU"/>
        </w:rPr>
        <w:t>In 2023</w:t>
      </w:r>
      <w:r w:rsidR="00C636BA">
        <w:rPr>
          <w:lang w:eastAsia="en-AU"/>
        </w:rPr>
        <w:t>,</w:t>
      </w:r>
      <w:r w:rsidRPr="00D63DB3">
        <w:rPr>
          <w:lang w:eastAsia="en-AU"/>
        </w:rPr>
        <w:t xml:space="preserve"> with women making up 75</w:t>
      </w:r>
      <w:r w:rsidR="00FC4F25">
        <w:rPr>
          <w:lang w:eastAsia="en-AU"/>
        </w:rPr>
        <w:t xml:space="preserve"> per cent</w:t>
      </w:r>
      <w:r w:rsidRPr="00D63DB3">
        <w:rPr>
          <w:lang w:eastAsia="en-AU"/>
        </w:rPr>
        <w:t xml:space="preserve"> of the overall workforce, women still make up 85</w:t>
      </w:r>
      <w:r w:rsidR="00FC4F25">
        <w:rPr>
          <w:lang w:eastAsia="en-AU"/>
        </w:rPr>
        <w:t xml:space="preserve"> per cent</w:t>
      </w:r>
      <w:r w:rsidRPr="00D63DB3">
        <w:rPr>
          <w:lang w:eastAsia="en-AU"/>
        </w:rPr>
        <w:t xml:space="preserve"> of clerical and administrative workers but only 60</w:t>
      </w:r>
      <w:r w:rsidR="00FC4F25">
        <w:rPr>
          <w:lang w:eastAsia="en-AU"/>
        </w:rPr>
        <w:t xml:space="preserve"> per cent</w:t>
      </w:r>
      <w:r w:rsidRPr="00D63DB3">
        <w:rPr>
          <w:lang w:eastAsia="en-AU"/>
        </w:rPr>
        <w:t xml:space="preserve"> of managers. </w:t>
      </w:r>
    </w:p>
    <w:p w14:paraId="221FFAF0" w14:textId="759E0BCF" w:rsidR="00D63DB3" w:rsidRPr="00D63DB3" w:rsidRDefault="00D63DB3" w:rsidP="00D63DB3">
      <w:pPr>
        <w:rPr>
          <w:lang w:eastAsia="en-AU"/>
        </w:rPr>
      </w:pPr>
      <w:r w:rsidRPr="00D63DB3">
        <w:rPr>
          <w:lang w:eastAsia="en-AU"/>
        </w:rPr>
        <w:t>For professionals the split is 70</w:t>
      </w:r>
      <w:r w:rsidR="00FC4F25">
        <w:rPr>
          <w:lang w:eastAsia="en-AU"/>
        </w:rPr>
        <w:t xml:space="preserve"> per cent</w:t>
      </w:r>
      <w:r w:rsidR="00C636BA">
        <w:rPr>
          <w:lang w:eastAsia="en-AU"/>
        </w:rPr>
        <w:t xml:space="preserve"> women compared to </w:t>
      </w:r>
      <w:r w:rsidRPr="00D63DB3">
        <w:rPr>
          <w:lang w:eastAsia="en-AU"/>
        </w:rPr>
        <w:t>30</w:t>
      </w:r>
      <w:r w:rsidR="00FC4F25">
        <w:rPr>
          <w:lang w:eastAsia="en-AU"/>
        </w:rPr>
        <w:t xml:space="preserve"> per cent</w:t>
      </w:r>
      <w:r w:rsidRPr="00D63DB3">
        <w:rPr>
          <w:lang w:eastAsia="en-AU"/>
        </w:rPr>
        <w:t xml:space="preserve"> </w:t>
      </w:r>
      <w:r w:rsidR="00C636BA">
        <w:rPr>
          <w:lang w:eastAsia="en-AU"/>
        </w:rPr>
        <w:t>men. T</w:t>
      </w:r>
      <w:r w:rsidRPr="00D63DB3">
        <w:rPr>
          <w:lang w:eastAsia="en-AU"/>
        </w:rPr>
        <w:t xml:space="preserve">his has remained stable since 2021. Insufficient data is available to report on gender diverse staff. </w:t>
      </w:r>
    </w:p>
    <w:p w14:paraId="284B8B9C" w14:textId="4B380048" w:rsidR="00F63C72" w:rsidRDefault="00C636BA" w:rsidP="00D63DB3">
      <w:pPr>
        <w:rPr>
          <w:lang w:eastAsia="en-AU"/>
        </w:rPr>
      </w:pPr>
      <w:r>
        <w:rPr>
          <w:lang w:eastAsia="en-AU"/>
        </w:rPr>
        <w:t>We are</w:t>
      </w:r>
      <w:r w:rsidR="00D63DB3" w:rsidRPr="00D63DB3">
        <w:rPr>
          <w:lang w:eastAsia="en-AU"/>
        </w:rPr>
        <w:t xml:space="preserve"> actively working to address the underrepresentation of women in management positions by increasing opportunities for leadership training and development. This includes supporting career pathways and promotion for women, transgender, and gender-diverse staff, as well as women from</w:t>
      </w:r>
      <w:r w:rsidR="00D63DB3">
        <w:rPr>
          <w:lang w:eastAsia="en-AU"/>
        </w:rPr>
        <w:t xml:space="preserve"> culturally</w:t>
      </w:r>
      <w:r w:rsidR="00D63DB3" w:rsidRPr="00D63DB3">
        <w:rPr>
          <w:lang w:eastAsia="en-AU"/>
        </w:rPr>
        <w:t xml:space="preserve"> diverse backgrounds. </w:t>
      </w:r>
    </w:p>
    <w:p w14:paraId="38B1EBE3" w14:textId="3E6F9C34" w:rsidR="00F63C72" w:rsidRDefault="00F63C72" w:rsidP="00D63DB3">
      <w:pPr>
        <w:rPr>
          <w:lang w:eastAsia="en-AU"/>
        </w:rPr>
      </w:pPr>
      <w:r>
        <w:rPr>
          <w:lang w:eastAsia="en-AU"/>
        </w:rPr>
        <w:t>Our</w:t>
      </w:r>
      <w:r w:rsidR="00D63DB3" w:rsidRPr="00D63DB3">
        <w:rPr>
          <w:lang w:eastAsia="en-AU"/>
        </w:rPr>
        <w:t xml:space="preserve"> approach to recruitment</w:t>
      </w:r>
      <w:r>
        <w:rPr>
          <w:lang w:eastAsia="en-AU"/>
        </w:rPr>
        <w:t xml:space="preserve"> also</w:t>
      </w:r>
      <w:r w:rsidR="00D63DB3" w:rsidRPr="00D63DB3">
        <w:rPr>
          <w:lang w:eastAsia="en-AU"/>
        </w:rPr>
        <w:t xml:space="preserve"> reflects this commitment, aligned with GEAP actions</w:t>
      </w:r>
      <w:r>
        <w:rPr>
          <w:lang w:eastAsia="en-AU"/>
        </w:rPr>
        <w:t>:</w:t>
      </w:r>
    </w:p>
    <w:p w14:paraId="7C1F9F42" w14:textId="51358E75" w:rsidR="00F63C72" w:rsidRDefault="00D63DB3" w:rsidP="002D7092">
      <w:pPr>
        <w:pStyle w:val="ListParagraph"/>
        <w:numPr>
          <w:ilvl w:val="0"/>
          <w:numId w:val="44"/>
        </w:numPr>
        <w:rPr>
          <w:lang w:eastAsia="en-AU"/>
        </w:rPr>
      </w:pPr>
      <w:r w:rsidRPr="00D63DB3">
        <w:rPr>
          <w:lang w:eastAsia="en-AU"/>
        </w:rPr>
        <w:t xml:space="preserve">2.1 </w:t>
      </w:r>
      <w:r w:rsidR="005E39AB">
        <w:rPr>
          <w:lang w:eastAsia="en-AU"/>
        </w:rPr>
        <w:t xml:space="preserve">– </w:t>
      </w:r>
      <w:r w:rsidR="005E39AB" w:rsidRPr="005E39AB">
        <w:rPr>
          <w:lang w:eastAsia="en-AU"/>
        </w:rPr>
        <w:t>Provide career opportunities to support the appointment/promotion of women, trans and gender diverse women and women of diverse backgrounds to senior management and executive roles</w:t>
      </w:r>
      <w:r w:rsidR="005E39AB">
        <w:rPr>
          <w:lang w:eastAsia="en-AU"/>
        </w:rPr>
        <w:t>.</w:t>
      </w:r>
    </w:p>
    <w:p w14:paraId="21D41D4E" w14:textId="3A7D4C82" w:rsidR="00D63DB3" w:rsidRDefault="00D63DB3" w:rsidP="002D7092">
      <w:pPr>
        <w:pStyle w:val="ListParagraph"/>
        <w:numPr>
          <w:ilvl w:val="0"/>
          <w:numId w:val="44"/>
        </w:numPr>
        <w:rPr>
          <w:lang w:eastAsia="en-AU"/>
        </w:rPr>
      </w:pPr>
      <w:r w:rsidRPr="00D63DB3">
        <w:rPr>
          <w:lang w:eastAsia="en-AU"/>
        </w:rPr>
        <w:t>5.6</w:t>
      </w:r>
      <w:r w:rsidR="005E39AB">
        <w:rPr>
          <w:lang w:eastAsia="en-AU"/>
        </w:rPr>
        <w:t xml:space="preserve"> – </w:t>
      </w:r>
      <w:r w:rsidR="005E39AB" w:rsidRPr="005E39AB">
        <w:rPr>
          <w:lang w:eastAsia="en-AU"/>
        </w:rPr>
        <w:t>Provide increased opportunities for leadership training and development to support career pathways and promotion of women, trans and gender diverse staff and women of diverse backgrounds</w:t>
      </w:r>
      <w:r w:rsidR="005E39AB">
        <w:rPr>
          <w:lang w:eastAsia="en-AU"/>
        </w:rPr>
        <w:t>.</w:t>
      </w:r>
    </w:p>
    <w:p w14:paraId="511DB854" w14:textId="79E29A26" w:rsidR="00FC1996" w:rsidRPr="00D63DB3" w:rsidRDefault="00FC1996" w:rsidP="002D7092">
      <w:pPr>
        <w:pStyle w:val="Heading2"/>
      </w:pPr>
      <w:r>
        <w:t>More information</w:t>
      </w:r>
    </w:p>
    <w:p w14:paraId="28DBAEE2" w14:textId="2CD80761" w:rsidR="006436AE" w:rsidRDefault="006436AE" w:rsidP="00D63DB3">
      <w:pPr>
        <w:rPr>
          <w:lang w:eastAsia="en-AU"/>
        </w:rPr>
      </w:pPr>
      <w:r>
        <w:rPr>
          <w:lang w:eastAsia="en-AU"/>
        </w:rPr>
        <w:t xml:space="preserve">Read our </w:t>
      </w:r>
      <w:hyperlink r:id="rId11" w:history="1">
        <w:r w:rsidRPr="00D84852">
          <w:rPr>
            <w:rStyle w:val="Hyperlink"/>
            <w:lang w:eastAsia="en-AU"/>
          </w:rPr>
          <w:t>Gender Equality Action Plan</w:t>
        </w:r>
      </w:hyperlink>
      <w:r>
        <w:rPr>
          <w:lang w:eastAsia="en-AU"/>
        </w:rPr>
        <w:t>.</w:t>
      </w:r>
    </w:p>
    <w:p w14:paraId="1926D851" w14:textId="28BABAF0" w:rsidR="00D63DB3" w:rsidRPr="00D63DB3" w:rsidRDefault="00D63DB3" w:rsidP="00D63DB3">
      <w:pPr>
        <w:rPr>
          <w:lang w:eastAsia="en-AU"/>
        </w:rPr>
      </w:pPr>
      <w:r>
        <w:rPr>
          <w:lang w:eastAsia="en-AU"/>
        </w:rPr>
        <w:t>For more information</w:t>
      </w:r>
      <w:r w:rsidR="00D84852">
        <w:rPr>
          <w:lang w:eastAsia="en-AU"/>
        </w:rPr>
        <w:t>,</w:t>
      </w:r>
      <w:r>
        <w:rPr>
          <w:lang w:eastAsia="en-AU"/>
        </w:rPr>
        <w:t xml:space="preserve"> contact </w:t>
      </w:r>
      <w:r w:rsidR="00D84852">
        <w:rPr>
          <w:lang w:eastAsia="en-AU"/>
        </w:rPr>
        <w:t xml:space="preserve">our </w:t>
      </w:r>
      <w:hyperlink r:id="rId12" w:history="1">
        <w:r w:rsidRPr="00FC1996">
          <w:rPr>
            <w:rStyle w:val="Hyperlink"/>
            <w:lang w:eastAsia="en-AU"/>
          </w:rPr>
          <w:t xml:space="preserve">Diversity, </w:t>
        </w:r>
        <w:r w:rsidR="00FC1996" w:rsidRPr="00FC1996">
          <w:rPr>
            <w:rStyle w:val="Hyperlink"/>
            <w:lang w:eastAsia="en-AU"/>
          </w:rPr>
          <w:t>E</w:t>
        </w:r>
        <w:r w:rsidRPr="00FC1996">
          <w:rPr>
            <w:rStyle w:val="Hyperlink"/>
            <w:lang w:eastAsia="en-AU"/>
          </w:rPr>
          <w:t>quity and Inclusion team</w:t>
        </w:r>
      </w:hyperlink>
      <w:r w:rsidR="00FC1996">
        <w:rPr>
          <w:lang w:eastAsia="en-AU"/>
        </w:rPr>
        <w:t>.</w:t>
      </w:r>
    </w:p>
    <w:sectPr w:rsidR="00D63DB3" w:rsidRPr="00D63DB3" w:rsidSect="002D7092">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9" w:footer="284"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717B" w14:textId="77777777" w:rsidR="00D31DD1" w:rsidRDefault="00D31DD1">
      <w:pPr>
        <w:spacing w:after="0" w:line="240" w:lineRule="auto"/>
      </w:pPr>
      <w:r>
        <w:separator/>
      </w:r>
    </w:p>
  </w:endnote>
  <w:endnote w:type="continuationSeparator" w:id="0">
    <w:p w14:paraId="46EAC681" w14:textId="77777777" w:rsidR="00D31DD1" w:rsidRDefault="00D31DD1">
      <w:pPr>
        <w:spacing w:after="0" w:line="240" w:lineRule="auto"/>
      </w:pPr>
      <w:r>
        <w:continuationSeparator/>
      </w:r>
    </w:p>
  </w:endnote>
  <w:endnote w:type="continuationNotice" w:id="1">
    <w:p w14:paraId="7A9746E5" w14:textId="77777777" w:rsidR="00D31DD1" w:rsidRDefault="00D31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EEA2" w14:textId="77777777" w:rsidR="00D311E0" w:rsidRDefault="00C8737B" w:rsidP="000E5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058396" w14:textId="77777777" w:rsidR="00D311E0" w:rsidRDefault="00D311E0" w:rsidP="000E5C7F">
    <w:pPr>
      <w:pStyle w:val="Footer"/>
      <w:ind w:right="360" w:firstLine="360"/>
    </w:pPr>
  </w:p>
  <w:p w14:paraId="4795D6F3" w14:textId="77777777" w:rsidR="00D311E0" w:rsidRDefault="00D31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915A" w14:textId="77777777" w:rsidR="00D311E0" w:rsidRDefault="00C8737B" w:rsidP="000E5C7F">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3752A301" wp14:editId="7844400A">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42803"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FB4C" w14:textId="77777777" w:rsidR="00D311E0" w:rsidRPr="008636E1" w:rsidRDefault="00C8737B" w:rsidP="000E5C7F">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6FABE79D" wp14:editId="30E17190">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298C67"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B178" w14:textId="77777777" w:rsidR="00D31DD1" w:rsidRDefault="00D31DD1">
      <w:pPr>
        <w:spacing w:after="0" w:line="240" w:lineRule="auto"/>
      </w:pPr>
      <w:r>
        <w:separator/>
      </w:r>
    </w:p>
  </w:footnote>
  <w:footnote w:type="continuationSeparator" w:id="0">
    <w:p w14:paraId="459BE3B9" w14:textId="77777777" w:rsidR="00D31DD1" w:rsidRDefault="00D31DD1">
      <w:pPr>
        <w:spacing w:after="0" w:line="240" w:lineRule="auto"/>
      </w:pPr>
      <w:r>
        <w:continuationSeparator/>
      </w:r>
    </w:p>
  </w:footnote>
  <w:footnote w:type="continuationNotice" w:id="1">
    <w:p w14:paraId="19CDFDB5" w14:textId="77777777" w:rsidR="00D31DD1" w:rsidRDefault="00D31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7EDF" w14:textId="77777777" w:rsidR="00D311E0" w:rsidRDefault="00BF1962" w:rsidP="000E5C7F">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4" behindDoc="0" locked="0" layoutInCell="1" allowOverlap="1" wp14:anchorId="5E6BEE07" wp14:editId="6D976F56">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E8125"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BEE07"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CE8125"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5F99E77C" w14:textId="77777777" w:rsidR="00D311E0" w:rsidRDefault="00D311E0" w:rsidP="000E5C7F">
    <w:pPr>
      <w:pStyle w:val="Header"/>
      <w:ind w:right="360"/>
    </w:pPr>
  </w:p>
  <w:p w14:paraId="2E525BE9" w14:textId="77777777" w:rsidR="00D311E0" w:rsidRDefault="00D311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E228" w14:textId="77777777" w:rsidR="00D311E0" w:rsidRPr="006A6FC6" w:rsidRDefault="00BF1962" w:rsidP="000E5C7F">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72576" behindDoc="0" locked="0" layoutInCell="1" allowOverlap="1" wp14:anchorId="65972C8D" wp14:editId="7395163B">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920C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72C8D"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F920C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2727CA83" w14:textId="1EA246C8" w:rsidR="00D311E0" w:rsidRPr="00EF7C5C" w:rsidRDefault="00ED6D1F" w:rsidP="000E5C7F">
    <w:pPr>
      <w:spacing w:line="240" w:lineRule="auto"/>
      <w:ind w:left="-330"/>
      <w:rPr>
        <w:rFonts w:ascii="Arial Bold" w:hAnsi="Arial Bold" w:cs="Arial"/>
        <w:color w:val="B1005D"/>
      </w:rPr>
    </w:pPr>
    <w:r w:rsidRPr="00ED6D1F">
      <w:rPr>
        <w:rFonts w:ascii="Arial Bold" w:hAnsi="Arial Bold" w:cs="Arial"/>
        <w:b/>
        <w:color w:val="B1005D"/>
        <w:sz w:val="18"/>
        <w:szCs w:val="18"/>
      </w:rPr>
      <w:t>Commission for Gender Equality in the Public Sector reporting 2021–2023 (abridged version)</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7216" behindDoc="1" locked="1" layoutInCell="1" allowOverlap="1" wp14:anchorId="3982BCAF" wp14:editId="678D6B1A">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4A5B"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CDB9" w14:textId="77777777" w:rsidR="00D311E0" w:rsidRPr="00833658" w:rsidRDefault="00BF1962" w:rsidP="000E5C7F">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6D59C84D" wp14:editId="286617CD">
          <wp:simplePos x="0" y="0"/>
          <wp:positionH relativeFrom="page">
            <wp:posOffset>0</wp:posOffset>
          </wp:positionH>
          <wp:positionV relativeFrom="page">
            <wp:posOffset>0</wp:posOffset>
          </wp:positionV>
          <wp:extent cx="7560000" cy="1270800"/>
          <wp:effectExtent l="0" t="0" r="0" b="0"/>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182825" w14:textId="77777777" w:rsidR="00D311E0" w:rsidRPr="00D82005" w:rsidRDefault="00D311E0" w:rsidP="000E5C7F">
    <w:pPr>
      <w:pStyle w:val="VLAPublicationdate"/>
      <w:spacing w:before="240" w:after="1200"/>
    </w:pPr>
  </w:p>
</w:hdr>
</file>

<file path=word/intelligence2.xml><?xml version="1.0" encoding="utf-8"?>
<int2:intelligence xmlns:int2="http://schemas.microsoft.com/office/intelligence/2020/intelligence" xmlns:oel="http://schemas.microsoft.com/office/2019/extlst">
  <int2:observations>
    <int2:bookmark int2:bookmarkName="_Int_UU4Nefz8" int2:invalidationBookmarkName="" int2:hashCode="LNdIS8GxX8z/gi" int2:id="jxSw6Z4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4BB"/>
    <w:multiLevelType w:val="hybridMultilevel"/>
    <w:tmpl w:val="5076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A11699"/>
    <w:multiLevelType w:val="hybridMultilevel"/>
    <w:tmpl w:val="1C14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C20566"/>
    <w:multiLevelType w:val="hybridMultilevel"/>
    <w:tmpl w:val="9FB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B1056"/>
    <w:multiLevelType w:val="hybridMultilevel"/>
    <w:tmpl w:val="E6F4C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3514F1"/>
    <w:multiLevelType w:val="hybridMultilevel"/>
    <w:tmpl w:val="141A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B5443"/>
    <w:multiLevelType w:val="hybridMultilevel"/>
    <w:tmpl w:val="7694815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1856AA1"/>
    <w:multiLevelType w:val="hybridMultilevel"/>
    <w:tmpl w:val="FAF655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577D4"/>
    <w:multiLevelType w:val="hybridMultilevel"/>
    <w:tmpl w:val="94A63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51860"/>
    <w:multiLevelType w:val="hybridMultilevel"/>
    <w:tmpl w:val="98EC38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7724F"/>
    <w:multiLevelType w:val="hybridMultilevel"/>
    <w:tmpl w:val="2A84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BF65195"/>
    <w:multiLevelType w:val="hybridMultilevel"/>
    <w:tmpl w:val="9F32D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A21B2C"/>
    <w:multiLevelType w:val="hybridMultilevel"/>
    <w:tmpl w:val="26F03A84"/>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7" w15:restartNumberingAfterBreak="0">
    <w:nsid w:val="5B760A63"/>
    <w:multiLevelType w:val="hybridMultilevel"/>
    <w:tmpl w:val="3D38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520B7"/>
    <w:multiLevelType w:val="hybridMultilevel"/>
    <w:tmpl w:val="B052E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F40D77"/>
    <w:multiLevelType w:val="hybridMultilevel"/>
    <w:tmpl w:val="806E6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3E1F3C"/>
    <w:multiLevelType w:val="hybridMultilevel"/>
    <w:tmpl w:val="E3803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165D8A"/>
    <w:multiLevelType w:val="hybridMultilevel"/>
    <w:tmpl w:val="384E8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D6E3F3B"/>
    <w:multiLevelType w:val="hybridMultilevel"/>
    <w:tmpl w:val="EB4A1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881"/>
    <w:multiLevelType w:val="hybridMultilevel"/>
    <w:tmpl w:val="2F24F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6D4691"/>
    <w:multiLevelType w:val="multilevel"/>
    <w:tmpl w:val="42AC0EA2"/>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2696977">
    <w:abstractNumId w:val="22"/>
  </w:num>
  <w:num w:numId="2" w16cid:durableId="1016233601">
    <w:abstractNumId w:val="9"/>
  </w:num>
  <w:num w:numId="3" w16cid:durableId="1319380714">
    <w:abstractNumId w:val="16"/>
  </w:num>
  <w:num w:numId="4" w16cid:durableId="110173964">
    <w:abstractNumId w:val="7"/>
  </w:num>
  <w:num w:numId="5" w16cid:durableId="586231864">
    <w:abstractNumId w:val="26"/>
  </w:num>
  <w:num w:numId="6" w16cid:durableId="2116515627">
    <w:abstractNumId w:val="6"/>
  </w:num>
  <w:num w:numId="7" w16cid:durableId="868878734">
    <w:abstractNumId w:val="26"/>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23"/>
  </w:num>
  <w:num w:numId="22" w16cid:durableId="1937127992">
    <w:abstractNumId w:val="23"/>
  </w:num>
  <w:num w:numId="23" w16cid:durableId="714474809">
    <w:abstractNumId w:val="18"/>
  </w:num>
  <w:num w:numId="24" w16cid:durableId="33389200">
    <w:abstractNumId w:val="32"/>
  </w:num>
  <w:num w:numId="25" w16cid:durableId="384565881">
    <w:abstractNumId w:val="31"/>
  </w:num>
  <w:num w:numId="26" w16cid:durableId="2043548902">
    <w:abstractNumId w:val="30"/>
  </w:num>
  <w:num w:numId="27" w16cid:durableId="1351224928">
    <w:abstractNumId w:val="20"/>
  </w:num>
  <w:num w:numId="28" w16cid:durableId="432633859">
    <w:abstractNumId w:val="28"/>
  </w:num>
  <w:num w:numId="29" w16cid:durableId="707145315">
    <w:abstractNumId w:val="24"/>
  </w:num>
  <w:num w:numId="30" w16cid:durableId="448815210">
    <w:abstractNumId w:val="17"/>
  </w:num>
  <w:num w:numId="31" w16cid:durableId="544758750">
    <w:abstractNumId w:val="25"/>
  </w:num>
  <w:num w:numId="32" w16cid:durableId="1761288515">
    <w:abstractNumId w:val="15"/>
  </w:num>
  <w:num w:numId="33" w16cid:durableId="533930921">
    <w:abstractNumId w:val="19"/>
  </w:num>
  <w:num w:numId="34" w16cid:durableId="412436640">
    <w:abstractNumId w:val="13"/>
  </w:num>
  <w:num w:numId="35" w16cid:durableId="2081058078">
    <w:abstractNumId w:val="29"/>
  </w:num>
  <w:num w:numId="36" w16cid:durableId="1684211402">
    <w:abstractNumId w:val="34"/>
  </w:num>
  <w:num w:numId="37" w16cid:durableId="1932855829">
    <w:abstractNumId w:val="10"/>
  </w:num>
  <w:num w:numId="38" w16cid:durableId="1399480836">
    <w:abstractNumId w:val="35"/>
  </w:num>
  <w:num w:numId="39" w16cid:durableId="227692179">
    <w:abstractNumId w:val="14"/>
  </w:num>
  <w:num w:numId="40" w16cid:durableId="346716414">
    <w:abstractNumId w:val="33"/>
  </w:num>
  <w:num w:numId="41" w16cid:durableId="1598755567">
    <w:abstractNumId w:val="12"/>
  </w:num>
  <w:num w:numId="42" w16cid:durableId="1714189978">
    <w:abstractNumId w:val="21"/>
  </w:num>
  <w:num w:numId="43" w16cid:durableId="398944471">
    <w:abstractNumId w:val="27"/>
  </w:num>
  <w:num w:numId="44" w16cid:durableId="1555044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E3"/>
    <w:rsid w:val="000839EB"/>
    <w:rsid w:val="0009189E"/>
    <w:rsid w:val="000A0349"/>
    <w:rsid w:val="000A2FBE"/>
    <w:rsid w:val="000A3C2D"/>
    <w:rsid w:val="000B17ED"/>
    <w:rsid w:val="000C14B8"/>
    <w:rsid w:val="000C2719"/>
    <w:rsid w:val="000C7FB4"/>
    <w:rsid w:val="000E5C7F"/>
    <w:rsid w:val="00112CA5"/>
    <w:rsid w:val="00125593"/>
    <w:rsid w:val="001461E1"/>
    <w:rsid w:val="00162D06"/>
    <w:rsid w:val="001769AA"/>
    <w:rsid w:val="00190A92"/>
    <w:rsid w:val="001A27AB"/>
    <w:rsid w:val="001B2557"/>
    <w:rsid w:val="001C4390"/>
    <w:rsid w:val="00204ABA"/>
    <w:rsid w:val="00207E30"/>
    <w:rsid w:val="00213893"/>
    <w:rsid w:val="00243058"/>
    <w:rsid w:val="00243BF0"/>
    <w:rsid w:val="00244E32"/>
    <w:rsid w:val="00255819"/>
    <w:rsid w:val="0027241C"/>
    <w:rsid w:val="002915FB"/>
    <w:rsid w:val="002968D0"/>
    <w:rsid w:val="002A0E0B"/>
    <w:rsid w:val="002A4595"/>
    <w:rsid w:val="002B3501"/>
    <w:rsid w:val="002C3253"/>
    <w:rsid w:val="002C4EF6"/>
    <w:rsid w:val="002D7092"/>
    <w:rsid w:val="002E4B29"/>
    <w:rsid w:val="002E65E7"/>
    <w:rsid w:val="002E6C79"/>
    <w:rsid w:val="002F4170"/>
    <w:rsid w:val="003115CE"/>
    <w:rsid w:val="0031443C"/>
    <w:rsid w:val="00340FD9"/>
    <w:rsid w:val="00342B2F"/>
    <w:rsid w:val="003B0DC7"/>
    <w:rsid w:val="003B1728"/>
    <w:rsid w:val="003B6827"/>
    <w:rsid w:val="003C0558"/>
    <w:rsid w:val="003D703B"/>
    <w:rsid w:val="003E5473"/>
    <w:rsid w:val="003F47FD"/>
    <w:rsid w:val="00416F65"/>
    <w:rsid w:val="0044037A"/>
    <w:rsid w:val="0045757D"/>
    <w:rsid w:val="00461300"/>
    <w:rsid w:val="00461773"/>
    <w:rsid w:val="00473E11"/>
    <w:rsid w:val="0048443D"/>
    <w:rsid w:val="004935BA"/>
    <w:rsid w:val="004A7464"/>
    <w:rsid w:val="004B1109"/>
    <w:rsid w:val="004B74D7"/>
    <w:rsid w:val="004F62C5"/>
    <w:rsid w:val="00500F55"/>
    <w:rsid w:val="0050264F"/>
    <w:rsid w:val="005276A4"/>
    <w:rsid w:val="005464A3"/>
    <w:rsid w:val="00553EA4"/>
    <w:rsid w:val="005764FB"/>
    <w:rsid w:val="00577E89"/>
    <w:rsid w:val="0058112E"/>
    <w:rsid w:val="005B3C2F"/>
    <w:rsid w:val="005C2020"/>
    <w:rsid w:val="005E39AB"/>
    <w:rsid w:val="005E447C"/>
    <w:rsid w:val="00621BAB"/>
    <w:rsid w:val="00627BED"/>
    <w:rsid w:val="006436AE"/>
    <w:rsid w:val="00664083"/>
    <w:rsid w:val="00681A73"/>
    <w:rsid w:val="00687195"/>
    <w:rsid w:val="00694844"/>
    <w:rsid w:val="006A1EEE"/>
    <w:rsid w:val="006C5CBB"/>
    <w:rsid w:val="006D71A8"/>
    <w:rsid w:val="006E1449"/>
    <w:rsid w:val="006E7B4C"/>
    <w:rsid w:val="00702A3E"/>
    <w:rsid w:val="00730398"/>
    <w:rsid w:val="007476FC"/>
    <w:rsid w:val="007948FB"/>
    <w:rsid w:val="007A6964"/>
    <w:rsid w:val="007A74B0"/>
    <w:rsid w:val="007B191F"/>
    <w:rsid w:val="007B2B81"/>
    <w:rsid w:val="007B6802"/>
    <w:rsid w:val="007C631E"/>
    <w:rsid w:val="007D25AC"/>
    <w:rsid w:val="007E0A42"/>
    <w:rsid w:val="00803EA6"/>
    <w:rsid w:val="00842639"/>
    <w:rsid w:val="00851DAD"/>
    <w:rsid w:val="00863E11"/>
    <w:rsid w:val="00871687"/>
    <w:rsid w:val="00882054"/>
    <w:rsid w:val="00884CD6"/>
    <w:rsid w:val="00896DCF"/>
    <w:rsid w:val="008A7E8B"/>
    <w:rsid w:val="008C6B34"/>
    <w:rsid w:val="008E023A"/>
    <w:rsid w:val="008E300F"/>
    <w:rsid w:val="008F79B5"/>
    <w:rsid w:val="00902A15"/>
    <w:rsid w:val="00904855"/>
    <w:rsid w:val="009057D0"/>
    <w:rsid w:val="00927651"/>
    <w:rsid w:val="00945E28"/>
    <w:rsid w:val="00964BC6"/>
    <w:rsid w:val="0096773F"/>
    <w:rsid w:val="00977FFD"/>
    <w:rsid w:val="0098694B"/>
    <w:rsid w:val="00991205"/>
    <w:rsid w:val="00997B27"/>
    <w:rsid w:val="009A7877"/>
    <w:rsid w:val="009D3C85"/>
    <w:rsid w:val="009E0D7C"/>
    <w:rsid w:val="00A13893"/>
    <w:rsid w:val="00A15ACC"/>
    <w:rsid w:val="00A2406E"/>
    <w:rsid w:val="00A274F0"/>
    <w:rsid w:val="00A36737"/>
    <w:rsid w:val="00A46EAF"/>
    <w:rsid w:val="00AA3C8D"/>
    <w:rsid w:val="00AA6AF3"/>
    <w:rsid w:val="00AB4BC3"/>
    <w:rsid w:val="00AC3225"/>
    <w:rsid w:val="00AC5A4F"/>
    <w:rsid w:val="00AC5CCF"/>
    <w:rsid w:val="00AE4A54"/>
    <w:rsid w:val="00AF149E"/>
    <w:rsid w:val="00B027B4"/>
    <w:rsid w:val="00B21E07"/>
    <w:rsid w:val="00B3229B"/>
    <w:rsid w:val="00B371E3"/>
    <w:rsid w:val="00B50ABE"/>
    <w:rsid w:val="00B55C48"/>
    <w:rsid w:val="00B840AC"/>
    <w:rsid w:val="00B93930"/>
    <w:rsid w:val="00B957C1"/>
    <w:rsid w:val="00BB2D71"/>
    <w:rsid w:val="00BC1939"/>
    <w:rsid w:val="00BC2B7F"/>
    <w:rsid w:val="00BE18AB"/>
    <w:rsid w:val="00BF1962"/>
    <w:rsid w:val="00C06ED9"/>
    <w:rsid w:val="00C15BB0"/>
    <w:rsid w:val="00C16561"/>
    <w:rsid w:val="00C35E3A"/>
    <w:rsid w:val="00C43FF3"/>
    <w:rsid w:val="00C52486"/>
    <w:rsid w:val="00C61003"/>
    <w:rsid w:val="00C61B51"/>
    <w:rsid w:val="00C636BA"/>
    <w:rsid w:val="00C75598"/>
    <w:rsid w:val="00C865AA"/>
    <w:rsid w:val="00C8737B"/>
    <w:rsid w:val="00C9522A"/>
    <w:rsid w:val="00C96764"/>
    <w:rsid w:val="00CC647D"/>
    <w:rsid w:val="00CE3879"/>
    <w:rsid w:val="00CF2C4D"/>
    <w:rsid w:val="00CF498A"/>
    <w:rsid w:val="00CF6C29"/>
    <w:rsid w:val="00D020E5"/>
    <w:rsid w:val="00D070E6"/>
    <w:rsid w:val="00D23E34"/>
    <w:rsid w:val="00D30D27"/>
    <w:rsid w:val="00D311E0"/>
    <w:rsid w:val="00D31DD1"/>
    <w:rsid w:val="00D414EB"/>
    <w:rsid w:val="00D558D1"/>
    <w:rsid w:val="00D57146"/>
    <w:rsid w:val="00D574F0"/>
    <w:rsid w:val="00D63DB3"/>
    <w:rsid w:val="00D71044"/>
    <w:rsid w:val="00D824FA"/>
    <w:rsid w:val="00D84852"/>
    <w:rsid w:val="00D860C1"/>
    <w:rsid w:val="00D87958"/>
    <w:rsid w:val="00D91004"/>
    <w:rsid w:val="00DB4F13"/>
    <w:rsid w:val="00DB6D4E"/>
    <w:rsid w:val="00DC7A68"/>
    <w:rsid w:val="00DE0029"/>
    <w:rsid w:val="00E03EFA"/>
    <w:rsid w:val="00E044C4"/>
    <w:rsid w:val="00E1419A"/>
    <w:rsid w:val="00E418D9"/>
    <w:rsid w:val="00E50B26"/>
    <w:rsid w:val="00E63153"/>
    <w:rsid w:val="00ED48DB"/>
    <w:rsid w:val="00ED6D1F"/>
    <w:rsid w:val="00EE5C2C"/>
    <w:rsid w:val="00EF5440"/>
    <w:rsid w:val="00F001A6"/>
    <w:rsid w:val="00F02807"/>
    <w:rsid w:val="00F15D7A"/>
    <w:rsid w:val="00F2134E"/>
    <w:rsid w:val="00F21713"/>
    <w:rsid w:val="00F26EEE"/>
    <w:rsid w:val="00F3213F"/>
    <w:rsid w:val="00F45FF8"/>
    <w:rsid w:val="00F570FC"/>
    <w:rsid w:val="00F57126"/>
    <w:rsid w:val="00F63C72"/>
    <w:rsid w:val="00F66BAE"/>
    <w:rsid w:val="00F719F3"/>
    <w:rsid w:val="00F87F3E"/>
    <w:rsid w:val="00F961F0"/>
    <w:rsid w:val="00F97B9F"/>
    <w:rsid w:val="00FA07AB"/>
    <w:rsid w:val="00FB23BC"/>
    <w:rsid w:val="00FC1996"/>
    <w:rsid w:val="00FC4F25"/>
    <w:rsid w:val="00FD1372"/>
    <w:rsid w:val="0155889A"/>
    <w:rsid w:val="0961E1FF"/>
    <w:rsid w:val="17BE6D1E"/>
    <w:rsid w:val="1EC8C32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CB6A"/>
  <w14:defaultImageDpi w14:val="32767"/>
  <w15:chartTrackingRefBased/>
  <w15:docId w15:val="{2E59E4C4-8398-4803-BEC0-69A9DC2C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CF498A"/>
    <w:rPr>
      <w:color w:val="954F72" w:themeColor="followedHyperlink"/>
      <w:u w:val="single"/>
    </w:rPr>
  </w:style>
  <w:style w:type="character" w:styleId="CommentReference">
    <w:name w:val="annotation reference"/>
    <w:basedOn w:val="DefaultParagraphFont"/>
    <w:uiPriority w:val="99"/>
    <w:semiHidden/>
    <w:unhideWhenUsed/>
    <w:rsid w:val="003E5473"/>
    <w:rPr>
      <w:sz w:val="16"/>
      <w:szCs w:val="16"/>
    </w:rPr>
  </w:style>
  <w:style w:type="paragraph" w:styleId="CommentText">
    <w:name w:val="annotation text"/>
    <w:basedOn w:val="Normal"/>
    <w:link w:val="CommentTextChar"/>
    <w:uiPriority w:val="99"/>
    <w:unhideWhenUsed/>
    <w:rsid w:val="003E5473"/>
    <w:pPr>
      <w:spacing w:line="240" w:lineRule="auto"/>
    </w:pPr>
    <w:rPr>
      <w:sz w:val="20"/>
      <w:szCs w:val="20"/>
    </w:rPr>
  </w:style>
  <w:style w:type="character" w:customStyle="1" w:styleId="CommentTextChar">
    <w:name w:val="Comment Text Char"/>
    <w:basedOn w:val="DefaultParagraphFont"/>
    <w:link w:val="CommentText"/>
    <w:uiPriority w:val="99"/>
    <w:rsid w:val="003E5473"/>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E5473"/>
    <w:rPr>
      <w:b/>
      <w:bCs/>
    </w:rPr>
  </w:style>
  <w:style w:type="character" w:customStyle="1" w:styleId="CommentSubjectChar">
    <w:name w:val="Comment Subject Char"/>
    <w:basedOn w:val="CommentTextChar"/>
    <w:link w:val="CommentSubject"/>
    <w:uiPriority w:val="99"/>
    <w:semiHidden/>
    <w:rsid w:val="003E5473"/>
    <w:rPr>
      <w:rFonts w:ascii="Arial" w:eastAsia="Times New Roman" w:hAnsi="Arial" w:cs="Times New Roman"/>
      <w:b/>
      <w:bCs/>
      <w:sz w:val="20"/>
      <w:szCs w:val="20"/>
      <w:lang w:val="en-AU"/>
    </w:rPr>
  </w:style>
  <w:style w:type="character" w:styleId="Mention">
    <w:name w:val="Mention"/>
    <w:basedOn w:val="DefaultParagraphFont"/>
    <w:uiPriority w:val="99"/>
    <w:unhideWhenUsed/>
    <w:rsid w:val="003E54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1586">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24376307">
      <w:bodyDiv w:val="1"/>
      <w:marLeft w:val="0"/>
      <w:marRight w:val="0"/>
      <w:marTop w:val="0"/>
      <w:marBottom w:val="0"/>
      <w:divBdr>
        <w:top w:val="none" w:sz="0" w:space="0" w:color="auto"/>
        <w:left w:val="none" w:sz="0" w:space="0" w:color="auto"/>
        <w:bottom w:val="none" w:sz="0" w:space="0" w:color="auto"/>
        <w:right w:val="none" w:sz="0" w:space="0" w:color="auto"/>
      </w:divBdr>
    </w:div>
    <w:div w:id="78854964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92609692">
      <w:bodyDiv w:val="1"/>
      <w:marLeft w:val="0"/>
      <w:marRight w:val="0"/>
      <w:marTop w:val="0"/>
      <w:marBottom w:val="0"/>
      <w:divBdr>
        <w:top w:val="none" w:sz="0" w:space="0" w:color="auto"/>
        <w:left w:val="none" w:sz="0" w:space="0" w:color="auto"/>
        <w:bottom w:val="none" w:sz="0" w:space="0" w:color="auto"/>
        <w:right w:val="none" w:sz="0" w:space="0" w:color="auto"/>
      </w:divBdr>
      <w:divsChild>
        <w:div w:id="133255143">
          <w:marLeft w:val="0"/>
          <w:marRight w:val="0"/>
          <w:marTop w:val="0"/>
          <w:marBottom w:val="0"/>
          <w:divBdr>
            <w:top w:val="none" w:sz="0" w:space="0" w:color="auto"/>
            <w:left w:val="none" w:sz="0" w:space="0" w:color="auto"/>
            <w:bottom w:val="none" w:sz="0" w:space="0" w:color="auto"/>
            <w:right w:val="none" w:sz="0" w:space="0" w:color="auto"/>
          </w:divBdr>
        </w:div>
        <w:div w:id="150144329">
          <w:marLeft w:val="0"/>
          <w:marRight w:val="0"/>
          <w:marTop w:val="0"/>
          <w:marBottom w:val="0"/>
          <w:divBdr>
            <w:top w:val="none" w:sz="0" w:space="0" w:color="auto"/>
            <w:left w:val="none" w:sz="0" w:space="0" w:color="auto"/>
            <w:bottom w:val="none" w:sz="0" w:space="0" w:color="auto"/>
            <w:right w:val="none" w:sz="0" w:space="0" w:color="auto"/>
          </w:divBdr>
        </w:div>
        <w:div w:id="191189828">
          <w:marLeft w:val="0"/>
          <w:marRight w:val="0"/>
          <w:marTop w:val="0"/>
          <w:marBottom w:val="0"/>
          <w:divBdr>
            <w:top w:val="none" w:sz="0" w:space="0" w:color="auto"/>
            <w:left w:val="none" w:sz="0" w:space="0" w:color="auto"/>
            <w:bottom w:val="none" w:sz="0" w:space="0" w:color="auto"/>
            <w:right w:val="none" w:sz="0" w:space="0" w:color="auto"/>
          </w:divBdr>
        </w:div>
        <w:div w:id="192232751">
          <w:marLeft w:val="0"/>
          <w:marRight w:val="0"/>
          <w:marTop w:val="0"/>
          <w:marBottom w:val="0"/>
          <w:divBdr>
            <w:top w:val="none" w:sz="0" w:space="0" w:color="auto"/>
            <w:left w:val="none" w:sz="0" w:space="0" w:color="auto"/>
            <w:bottom w:val="none" w:sz="0" w:space="0" w:color="auto"/>
            <w:right w:val="none" w:sz="0" w:space="0" w:color="auto"/>
          </w:divBdr>
        </w:div>
        <w:div w:id="367489683">
          <w:marLeft w:val="0"/>
          <w:marRight w:val="0"/>
          <w:marTop w:val="0"/>
          <w:marBottom w:val="0"/>
          <w:divBdr>
            <w:top w:val="none" w:sz="0" w:space="0" w:color="auto"/>
            <w:left w:val="none" w:sz="0" w:space="0" w:color="auto"/>
            <w:bottom w:val="none" w:sz="0" w:space="0" w:color="auto"/>
            <w:right w:val="none" w:sz="0" w:space="0" w:color="auto"/>
          </w:divBdr>
        </w:div>
        <w:div w:id="398984228">
          <w:marLeft w:val="0"/>
          <w:marRight w:val="0"/>
          <w:marTop w:val="0"/>
          <w:marBottom w:val="0"/>
          <w:divBdr>
            <w:top w:val="none" w:sz="0" w:space="0" w:color="auto"/>
            <w:left w:val="none" w:sz="0" w:space="0" w:color="auto"/>
            <w:bottom w:val="none" w:sz="0" w:space="0" w:color="auto"/>
            <w:right w:val="none" w:sz="0" w:space="0" w:color="auto"/>
          </w:divBdr>
        </w:div>
        <w:div w:id="485585270">
          <w:marLeft w:val="0"/>
          <w:marRight w:val="0"/>
          <w:marTop w:val="0"/>
          <w:marBottom w:val="0"/>
          <w:divBdr>
            <w:top w:val="none" w:sz="0" w:space="0" w:color="auto"/>
            <w:left w:val="none" w:sz="0" w:space="0" w:color="auto"/>
            <w:bottom w:val="none" w:sz="0" w:space="0" w:color="auto"/>
            <w:right w:val="none" w:sz="0" w:space="0" w:color="auto"/>
          </w:divBdr>
        </w:div>
        <w:div w:id="622660445">
          <w:marLeft w:val="0"/>
          <w:marRight w:val="0"/>
          <w:marTop w:val="0"/>
          <w:marBottom w:val="0"/>
          <w:divBdr>
            <w:top w:val="none" w:sz="0" w:space="0" w:color="auto"/>
            <w:left w:val="none" w:sz="0" w:space="0" w:color="auto"/>
            <w:bottom w:val="none" w:sz="0" w:space="0" w:color="auto"/>
            <w:right w:val="none" w:sz="0" w:space="0" w:color="auto"/>
          </w:divBdr>
        </w:div>
        <w:div w:id="795106860">
          <w:marLeft w:val="0"/>
          <w:marRight w:val="0"/>
          <w:marTop w:val="0"/>
          <w:marBottom w:val="0"/>
          <w:divBdr>
            <w:top w:val="none" w:sz="0" w:space="0" w:color="auto"/>
            <w:left w:val="none" w:sz="0" w:space="0" w:color="auto"/>
            <w:bottom w:val="none" w:sz="0" w:space="0" w:color="auto"/>
            <w:right w:val="none" w:sz="0" w:space="0" w:color="auto"/>
          </w:divBdr>
        </w:div>
        <w:div w:id="982347465">
          <w:marLeft w:val="0"/>
          <w:marRight w:val="0"/>
          <w:marTop w:val="0"/>
          <w:marBottom w:val="0"/>
          <w:divBdr>
            <w:top w:val="none" w:sz="0" w:space="0" w:color="auto"/>
            <w:left w:val="none" w:sz="0" w:space="0" w:color="auto"/>
            <w:bottom w:val="none" w:sz="0" w:space="0" w:color="auto"/>
            <w:right w:val="none" w:sz="0" w:space="0" w:color="auto"/>
          </w:divBdr>
        </w:div>
        <w:div w:id="1209488125">
          <w:marLeft w:val="0"/>
          <w:marRight w:val="0"/>
          <w:marTop w:val="0"/>
          <w:marBottom w:val="0"/>
          <w:divBdr>
            <w:top w:val="none" w:sz="0" w:space="0" w:color="auto"/>
            <w:left w:val="none" w:sz="0" w:space="0" w:color="auto"/>
            <w:bottom w:val="none" w:sz="0" w:space="0" w:color="auto"/>
            <w:right w:val="none" w:sz="0" w:space="0" w:color="auto"/>
          </w:divBdr>
        </w:div>
        <w:div w:id="1288008413">
          <w:marLeft w:val="0"/>
          <w:marRight w:val="0"/>
          <w:marTop w:val="0"/>
          <w:marBottom w:val="0"/>
          <w:divBdr>
            <w:top w:val="none" w:sz="0" w:space="0" w:color="auto"/>
            <w:left w:val="none" w:sz="0" w:space="0" w:color="auto"/>
            <w:bottom w:val="none" w:sz="0" w:space="0" w:color="auto"/>
            <w:right w:val="none" w:sz="0" w:space="0" w:color="auto"/>
          </w:divBdr>
        </w:div>
        <w:div w:id="1350836431">
          <w:marLeft w:val="0"/>
          <w:marRight w:val="0"/>
          <w:marTop w:val="0"/>
          <w:marBottom w:val="0"/>
          <w:divBdr>
            <w:top w:val="none" w:sz="0" w:space="0" w:color="auto"/>
            <w:left w:val="none" w:sz="0" w:space="0" w:color="auto"/>
            <w:bottom w:val="none" w:sz="0" w:space="0" w:color="auto"/>
            <w:right w:val="none" w:sz="0" w:space="0" w:color="auto"/>
          </w:divBdr>
        </w:div>
        <w:div w:id="1420835097">
          <w:marLeft w:val="0"/>
          <w:marRight w:val="0"/>
          <w:marTop w:val="0"/>
          <w:marBottom w:val="0"/>
          <w:divBdr>
            <w:top w:val="none" w:sz="0" w:space="0" w:color="auto"/>
            <w:left w:val="none" w:sz="0" w:space="0" w:color="auto"/>
            <w:bottom w:val="none" w:sz="0" w:space="0" w:color="auto"/>
            <w:right w:val="none" w:sz="0" w:space="0" w:color="auto"/>
          </w:divBdr>
        </w:div>
        <w:div w:id="1427648784">
          <w:marLeft w:val="0"/>
          <w:marRight w:val="0"/>
          <w:marTop w:val="0"/>
          <w:marBottom w:val="0"/>
          <w:divBdr>
            <w:top w:val="none" w:sz="0" w:space="0" w:color="auto"/>
            <w:left w:val="none" w:sz="0" w:space="0" w:color="auto"/>
            <w:bottom w:val="none" w:sz="0" w:space="0" w:color="auto"/>
            <w:right w:val="none" w:sz="0" w:space="0" w:color="auto"/>
          </w:divBdr>
        </w:div>
        <w:div w:id="1515683654">
          <w:marLeft w:val="0"/>
          <w:marRight w:val="0"/>
          <w:marTop w:val="0"/>
          <w:marBottom w:val="0"/>
          <w:divBdr>
            <w:top w:val="none" w:sz="0" w:space="0" w:color="auto"/>
            <w:left w:val="none" w:sz="0" w:space="0" w:color="auto"/>
            <w:bottom w:val="none" w:sz="0" w:space="0" w:color="auto"/>
            <w:right w:val="none" w:sz="0" w:space="0" w:color="auto"/>
          </w:divBdr>
        </w:div>
        <w:div w:id="1552573968">
          <w:marLeft w:val="0"/>
          <w:marRight w:val="0"/>
          <w:marTop w:val="0"/>
          <w:marBottom w:val="0"/>
          <w:divBdr>
            <w:top w:val="none" w:sz="0" w:space="0" w:color="auto"/>
            <w:left w:val="none" w:sz="0" w:space="0" w:color="auto"/>
            <w:bottom w:val="none" w:sz="0" w:space="0" w:color="auto"/>
            <w:right w:val="none" w:sz="0" w:space="0" w:color="auto"/>
          </w:divBdr>
        </w:div>
        <w:div w:id="1554269722">
          <w:marLeft w:val="0"/>
          <w:marRight w:val="0"/>
          <w:marTop w:val="0"/>
          <w:marBottom w:val="0"/>
          <w:divBdr>
            <w:top w:val="none" w:sz="0" w:space="0" w:color="auto"/>
            <w:left w:val="none" w:sz="0" w:space="0" w:color="auto"/>
            <w:bottom w:val="none" w:sz="0" w:space="0" w:color="auto"/>
            <w:right w:val="none" w:sz="0" w:space="0" w:color="auto"/>
          </w:divBdr>
        </w:div>
        <w:div w:id="1655450913">
          <w:marLeft w:val="0"/>
          <w:marRight w:val="0"/>
          <w:marTop w:val="0"/>
          <w:marBottom w:val="0"/>
          <w:divBdr>
            <w:top w:val="none" w:sz="0" w:space="0" w:color="auto"/>
            <w:left w:val="none" w:sz="0" w:space="0" w:color="auto"/>
            <w:bottom w:val="none" w:sz="0" w:space="0" w:color="auto"/>
            <w:right w:val="none" w:sz="0" w:space="0" w:color="auto"/>
          </w:divBdr>
        </w:div>
        <w:div w:id="1658917711">
          <w:marLeft w:val="0"/>
          <w:marRight w:val="0"/>
          <w:marTop w:val="0"/>
          <w:marBottom w:val="0"/>
          <w:divBdr>
            <w:top w:val="none" w:sz="0" w:space="0" w:color="auto"/>
            <w:left w:val="none" w:sz="0" w:space="0" w:color="auto"/>
            <w:bottom w:val="none" w:sz="0" w:space="0" w:color="auto"/>
            <w:right w:val="none" w:sz="0" w:space="0" w:color="auto"/>
          </w:divBdr>
        </w:div>
        <w:div w:id="1689016015">
          <w:marLeft w:val="0"/>
          <w:marRight w:val="0"/>
          <w:marTop w:val="0"/>
          <w:marBottom w:val="0"/>
          <w:divBdr>
            <w:top w:val="none" w:sz="0" w:space="0" w:color="auto"/>
            <w:left w:val="none" w:sz="0" w:space="0" w:color="auto"/>
            <w:bottom w:val="none" w:sz="0" w:space="0" w:color="auto"/>
            <w:right w:val="none" w:sz="0" w:space="0" w:color="auto"/>
          </w:divBdr>
        </w:div>
        <w:div w:id="1790128912">
          <w:marLeft w:val="0"/>
          <w:marRight w:val="0"/>
          <w:marTop w:val="0"/>
          <w:marBottom w:val="0"/>
          <w:divBdr>
            <w:top w:val="none" w:sz="0" w:space="0" w:color="auto"/>
            <w:left w:val="none" w:sz="0" w:space="0" w:color="auto"/>
            <w:bottom w:val="none" w:sz="0" w:space="0" w:color="auto"/>
            <w:right w:val="none" w:sz="0" w:space="0" w:color="auto"/>
          </w:divBdr>
        </w:div>
        <w:div w:id="1933509662">
          <w:marLeft w:val="0"/>
          <w:marRight w:val="0"/>
          <w:marTop w:val="0"/>
          <w:marBottom w:val="0"/>
          <w:divBdr>
            <w:top w:val="none" w:sz="0" w:space="0" w:color="auto"/>
            <w:left w:val="none" w:sz="0" w:space="0" w:color="auto"/>
            <w:bottom w:val="none" w:sz="0" w:space="0" w:color="auto"/>
            <w:right w:val="none" w:sz="0" w:space="0" w:color="auto"/>
          </w:divBdr>
        </w:div>
        <w:div w:id="2140680224">
          <w:marLeft w:val="0"/>
          <w:marRight w:val="0"/>
          <w:marTop w:val="0"/>
          <w:marBottom w:val="0"/>
          <w:divBdr>
            <w:top w:val="none" w:sz="0" w:space="0" w:color="auto"/>
            <w:left w:val="none" w:sz="0" w:space="0" w:color="auto"/>
            <w:bottom w:val="none" w:sz="0" w:space="0" w:color="auto"/>
            <w:right w:val="none" w:sz="0" w:space="0" w:color="auto"/>
          </w:divBdr>
        </w:div>
      </w:divsChild>
    </w:div>
    <w:div w:id="1105463007">
      <w:bodyDiv w:val="1"/>
      <w:marLeft w:val="0"/>
      <w:marRight w:val="0"/>
      <w:marTop w:val="0"/>
      <w:marBottom w:val="0"/>
      <w:divBdr>
        <w:top w:val="none" w:sz="0" w:space="0" w:color="auto"/>
        <w:left w:val="none" w:sz="0" w:space="0" w:color="auto"/>
        <w:bottom w:val="none" w:sz="0" w:space="0" w:color="auto"/>
        <w:right w:val="none" w:sz="0" w:space="0" w:color="auto"/>
      </w:divBdr>
      <w:divsChild>
        <w:div w:id="10226211">
          <w:marLeft w:val="0"/>
          <w:marRight w:val="0"/>
          <w:marTop w:val="0"/>
          <w:marBottom w:val="0"/>
          <w:divBdr>
            <w:top w:val="none" w:sz="0" w:space="0" w:color="auto"/>
            <w:left w:val="none" w:sz="0" w:space="0" w:color="auto"/>
            <w:bottom w:val="none" w:sz="0" w:space="0" w:color="auto"/>
            <w:right w:val="none" w:sz="0" w:space="0" w:color="auto"/>
          </w:divBdr>
        </w:div>
        <w:div w:id="114643313">
          <w:marLeft w:val="0"/>
          <w:marRight w:val="0"/>
          <w:marTop w:val="0"/>
          <w:marBottom w:val="0"/>
          <w:divBdr>
            <w:top w:val="none" w:sz="0" w:space="0" w:color="auto"/>
            <w:left w:val="none" w:sz="0" w:space="0" w:color="auto"/>
            <w:bottom w:val="none" w:sz="0" w:space="0" w:color="auto"/>
            <w:right w:val="none" w:sz="0" w:space="0" w:color="auto"/>
          </w:divBdr>
        </w:div>
        <w:div w:id="161361785">
          <w:marLeft w:val="0"/>
          <w:marRight w:val="0"/>
          <w:marTop w:val="0"/>
          <w:marBottom w:val="0"/>
          <w:divBdr>
            <w:top w:val="none" w:sz="0" w:space="0" w:color="auto"/>
            <w:left w:val="none" w:sz="0" w:space="0" w:color="auto"/>
            <w:bottom w:val="none" w:sz="0" w:space="0" w:color="auto"/>
            <w:right w:val="none" w:sz="0" w:space="0" w:color="auto"/>
          </w:divBdr>
        </w:div>
        <w:div w:id="165829067">
          <w:marLeft w:val="0"/>
          <w:marRight w:val="0"/>
          <w:marTop w:val="0"/>
          <w:marBottom w:val="0"/>
          <w:divBdr>
            <w:top w:val="none" w:sz="0" w:space="0" w:color="auto"/>
            <w:left w:val="none" w:sz="0" w:space="0" w:color="auto"/>
            <w:bottom w:val="none" w:sz="0" w:space="0" w:color="auto"/>
            <w:right w:val="none" w:sz="0" w:space="0" w:color="auto"/>
          </w:divBdr>
        </w:div>
        <w:div w:id="203298238">
          <w:marLeft w:val="0"/>
          <w:marRight w:val="0"/>
          <w:marTop w:val="0"/>
          <w:marBottom w:val="0"/>
          <w:divBdr>
            <w:top w:val="none" w:sz="0" w:space="0" w:color="auto"/>
            <w:left w:val="none" w:sz="0" w:space="0" w:color="auto"/>
            <w:bottom w:val="none" w:sz="0" w:space="0" w:color="auto"/>
            <w:right w:val="none" w:sz="0" w:space="0" w:color="auto"/>
          </w:divBdr>
        </w:div>
        <w:div w:id="353191020">
          <w:marLeft w:val="0"/>
          <w:marRight w:val="0"/>
          <w:marTop w:val="0"/>
          <w:marBottom w:val="0"/>
          <w:divBdr>
            <w:top w:val="none" w:sz="0" w:space="0" w:color="auto"/>
            <w:left w:val="none" w:sz="0" w:space="0" w:color="auto"/>
            <w:bottom w:val="none" w:sz="0" w:space="0" w:color="auto"/>
            <w:right w:val="none" w:sz="0" w:space="0" w:color="auto"/>
          </w:divBdr>
        </w:div>
        <w:div w:id="636420376">
          <w:marLeft w:val="0"/>
          <w:marRight w:val="0"/>
          <w:marTop w:val="0"/>
          <w:marBottom w:val="0"/>
          <w:divBdr>
            <w:top w:val="none" w:sz="0" w:space="0" w:color="auto"/>
            <w:left w:val="none" w:sz="0" w:space="0" w:color="auto"/>
            <w:bottom w:val="none" w:sz="0" w:space="0" w:color="auto"/>
            <w:right w:val="none" w:sz="0" w:space="0" w:color="auto"/>
          </w:divBdr>
        </w:div>
        <w:div w:id="675570832">
          <w:marLeft w:val="0"/>
          <w:marRight w:val="0"/>
          <w:marTop w:val="0"/>
          <w:marBottom w:val="0"/>
          <w:divBdr>
            <w:top w:val="none" w:sz="0" w:space="0" w:color="auto"/>
            <w:left w:val="none" w:sz="0" w:space="0" w:color="auto"/>
            <w:bottom w:val="none" w:sz="0" w:space="0" w:color="auto"/>
            <w:right w:val="none" w:sz="0" w:space="0" w:color="auto"/>
          </w:divBdr>
        </w:div>
        <w:div w:id="806820428">
          <w:marLeft w:val="0"/>
          <w:marRight w:val="0"/>
          <w:marTop w:val="0"/>
          <w:marBottom w:val="0"/>
          <w:divBdr>
            <w:top w:val="none" w:sz="0" w:space="0" w:color="auto"/>
            <w:left w:val="none" w:sz="0" w:space="0" w:color="auto"/>
            <w:bottom w:val="none" w:sz="0" w:space="0" w:color="auto"/>
            <w:right w:val="none" w:sz="0" w:space="0" w:color="auto"/>
          </w:divBdr>
        </w:div>
        <w:div w:id="954825240">
          <w:marLeft w:val="0"/>
          <w:marRight w:val="0"/>
          <w:marTop w:val="0"/>
          <w:marBottom w:val="0"/>
          <w:divBdr>
            <w:top w:val="none" w:sz="0" w:space="0" w:color="auto"/>
            <w:left w:val="none" w:sz="0" w:space="0" w:color="auto"/>
            <w:bottom w:val="none" w:sz="0" w:space="0" w:color="auto"/>
            <w:right w:val="none" w:sz="0" w:space="0" w:color="auto"/>
          </w:divBdr>
        </w:div>
        <w:div w:id="1067921878">
          <w:marLeft w:val="0"/>
          <w:marRight w:val="0"/>
          <w:marTop w:val="0"/>
          <w:marBottom w:val="0"/>
          <w:divBdr>
            <w:top w:val="none" w:sz="0" w:space="0" w:color="auto"/>
            <w:left w:val="none" w:sz="0" w:space="0" w:color="auto"/>
            <w:bottom w:val="none" w:sz="0" w:space="0" w:color="auto"/>
            <w:right w:val="none" w:sz="0" w:space="0" w:color="auto"/>
          </w:divBdr>
        </w:div>
        <w:div w:id="1103962214">
          <w:marLeft w:val="0"/>
          <w:marRight w:val="0"/>
          <w:marTop w:val="0"/>
          <w:marBottom w:val="0"/>
          <w:divBdr>
            <w:top w:val="none" w:sz="0" w:space="0" w:color="auto"/>
            <w:left w:val="none" w:sz="0" w:space="0" w:color="auto"/>
            <w:bottom w:val="none" w:sz="0" w:space="0" w:color="auto"/>
            <w:right w:val="none" w:sz="0" w:space="0" w:color="auto"/>
          </w:divBdr>
        </w:div>
        <w:div w:id="1211769262">
          <w:marLeft w:val="0"/>
          <w:marRight w:val="0"/>
          <w:marTop w:val="0"/>
          <w:marBottom w:val="0"/>
          <w:divBdr>
            <w:top w:val="none" w:sz="0" w:space="0" w:color="auto"/>
            <w:left w:val="none" w:sz="0" w:space="0" w:color="auto"/>
            <w:bottom w:val="none" w:sz="0" w:space="0" w:color="auto"/>
            <w:right w:val="none" w:sz="0" w:space="0" w:color="auto"/>
          </w:divBdr>
        </w:div>
        <w:div w:id="1242300796">
          <w:marLeft w:val="0"/>
          <w:marRight w:val="0"/>
          <w:marTop w:val="0"/>
          <w:marBottom w:val="0"/>
          <w:divBdr>
            <w:top w:val="none" w:sz="0" w:space="0" w:color="auto"/>
            <w:left w:val="none" w:sz="0" w:space="0" w:color="auto"/>
            <w:bottom w:val="none" w:sz="0" w:space="0" w:color="auto"/>
            <w:right w:val="none" w:sz="0" w:space="0" w:color="auto"/>
          </w:divBdr>
        </w:div>
        <w:div w:id="1248348831">
          <w:marLeft w:val="0"/>
          <w:marRight w:val="0"/>
          <w:marTop w:val="0"/>
          <w:marBottom w:val="0"/>
          <w:divBdr>
            <w:top w:val="none" w:sz="0" w:space="0" w:color="auto"/>
            <w:left w:val="none" w:sz="0" w:space="0" w:color="auto"/>
            <w:bottom w:val="none" w:sz="0" w:space="0" w:color="auto"/>
            <w:right w:val="none" w:sz="0" w:space="0" w:color="auto"/>
          </w:divBdr>
        </w:div>
        <w:div w:id="1467091774">
          <w:marLeft w:val="0"/>
          <w:marRight w:val="0"/>
          <w:marTop w:val="0"/>
          <w:marBottom w:val="0"/>
          <w:divBdr>
            <w:top w:val="none" w:sz="0" w:space="0" w:color="auto"/>
            <w:left w:val="none" w:sz="0" w:space="0" w:color="auto"/>
            <w:bottom w:val="none" w:sz="0" w:space="0" w:color="auto"/>
            <w:right w:val="none" w:sz="0" w:space="0" w:color="auto"/>
          </w:divBdr>
        </w:div>
        <w:div w:id="1478181033">
          <w:marLeft w:val="0"/>
          <w:marRight w:val="0"/>
          <w:marTop w:val="0"/>
          <w:marBottom w:val="0"/>
          <w:divBdr>
            <w:top w:val="none" w:sz="0" w:space="0" w:color="auto"/>
            <w:left w:val="none" w:sz="0" w:space="0" w:color="auto"/>
            <w:bottom w:val="none" w:sz="0" w:space="0" w:color="auto"/>
            <w:right w:val="none" w:sz="0" w:space="0" w:color="auto"/>
          </w:divBdr>
        </w:div>
        <w:div w:id="1578513674">
          <w:marLeft w:val="0"/>
          <w:marRight w:val="0"/>
          <w:marTop w:val="0"/>
          <w:marBottom w:val="0"/>
          <w:divBdr>
            <w:top w:val="none" w:sz="0" w:space="0" w:color="auto"/>
            <w:left w:val="none" w:sz="0" w:space="0" w:color="auto"/>
            <w:bottom w:val="none" w:sz="0" w:space="0" w:color="auto"/>
            <w:right w:val="none" w:sz="0" w:space="0" w:color="auto"/>
          </w:divBdr>
        </w:div>
        <w:div w:id="1602107041">
          <w:marLeft w:val="0"/>
          <w:marRight w:val="0"/>
          <w:marTop w:val="0"/>
          <w:marBottom w:val="0"/>
          <w:divBdr>
            <w:top w:val="none" w:sz="0" w:space="0" w:color="auto"/>
            <w:left w:val="none" w:sz="0" w:space="0" w:color="auto"/>
            <w:bottom w:val="none" w:sz="0" w:space="0" w:color="auto"/>
            <w:right w:val="none" w:sz="0" w:space="0" w:color="auto"/>
          </w:divBdr>
        </w:div>
        <w:div w:id="1739472623">
          <w:marLeft w:val="0"/>
          <w:marRight w:val="0"/>
          <w:marTop w:val="0"/>
          <w:marBottom w:val="0"/>
          <w:divBdr>
            <w:top w:val="none" w:sz="0" w:space="0" w:color="auto"/>
            <w:left w:val="none" w:sz="0" w:space="0" w:color="auto"/>
            <w:bottom w:val="none" w:sz="0" w:space="0" w:color="auto"/>
            <w:right w:val="none" w:sz="0" w:space="0" w:color="auto"/>
          </w:divBdr>
        </w:div>
        <w:div w:id="1837305011">
          <w:marLeft w:val="0"/>
          <w:marRight w:val="0"/>
          <w:marTop w:val="0"/>
          <w:marBottom w:val="0"/>
          <w:divBdr>
            <w:top w:val="none" w:sz="0" w:space="0" w:color="auto"/>
            <w:left w:val="none" w:sz="0" w:space="0" w:color="auto"/>
            <w:bottom w:val="none" w:sz="0" w:space="0" w:color="auto"/>
            <w:right w:val="none" w:sz="0" w:space="0" w:color="auto"/>
          </w:divBdr>
        </w:div>
        <w:div w:id="1865632851">
          <w:marLeft w:val="0"/>
          <w:marRight w:val="0"/>
          <w:marTop w:val="0"/>
          <w:marBottom w:val="0"/>
          <w:divBdr>
            <w:top w:val="none" w:sz="0" w:space="0" w:color="auto"/>
            <w:left w:val="none" w:sz="0" w:space="0" w:color="auto"/>
            <w:bottom w:val="none" w:sz="0" w:space="0" w:color="auto"/>
            <w:right w:val="none" w:sz="0" w:space="0" w:color="auto"/>
          </w:divBdr>
        </w:div>
        <w:div w:id="2090689138">
          <w:marLeft w:val="0"/>
          <w:marRight w:val="0"/>
          <w:marTop w:val="0"/>
          <w:marBottom w:val="0"/>
          <w:divBdr>
            <w:top w:val="none" w:sz="0" w:space="0" w:color="auto"/>
            <w:left w:val="none" w:sz="0" w:space="0" w:color="auto"/>
            <w:bottom w:val="none" w:sz="0" w:space="0" w:color="auto"/>
            <w:right w:val="none" w:sz="0" w:space="0" w:color="auto"/>
          </w:divBdr>
        </w:div>
        <w:div w:id="2099401423">
          <w:marLeft w:val="0"/>
          <w:marRight w:val="0"/>
          <w:marTop w:val="0"/>
          <w:marBottom w:val="0"/>
          <w:divBdr>
            <w:top w:val="none" w:sz="0" w:space="0" w:color="auto"/>
            <w:left w:val="none" w:sz="0" w:space="0" w:color="auto"/>
            <w:bottom w:val="none" w:sz="0" w:space="0" w:color="auto"/>
            <w:right w:val="none" w:sz="0" w:space="0" w:color="auto"/>
          </w:divBdr>
        </w:div>
      </w:divsChild>
    </w:div>
    <w:div w:id="1125975167">
      <w:bodyDiv w:val="1"/>
      <w:marLeft w:val="0"/>
      <w:marRight w:val="0"/>
      <w:marTop w:val="0"/>
      <w:marBottom w:val="0"/>
      <w:divBdr>
        <w:top w:val="none" w:sz="0" w:space="0" w:color="auto"/>
        <w:left w:val="none" w:sz="0" w:space="0" w:color="auto"/>
        <w:bottom w:val="none" w:sz="0" w:space="0" w:color="auto"/>
        <w:right w:val="none" w:sz="0" w:space="0" w:color="auto"/>
      </w:divBdr>
    </w:div>
    <w:div w:id="1502430492">
      <w:bodyDiv w:val="1"/>
      <w:marLeft w:val="0"/>
      <w:marRight w:val="0"/>
      <w:marTop w:val="0"/>
      <w:marBottom w:val="0"/>
      <w:divBdr>
        <w:top w:val="none" w:sz="0" w:space="0" w:color="auto"/>
        <w:left w:val="none" w:sz="0" w:space="0" w:color="auto"/>
        <w:bottom w:val="none" w:sz="0" w:space="0" w:color="auto"/>
        <w:right w:val="none" w:sz="0" w:space="0" w:color="auto"/>
      </w:divBdr>
    </w:div>
    <w:div w:id="1861700674">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DandI@vla.vic.gov.au?subject=Gender%20Equality%20Action%20Pl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vic.gov.au/gender-equality-action-pla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enderequalitycommission.vic.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8" ma:contentTypeDescription="Create a new document." ma:contentTypeScope="" ma:versionID="22b54077f5a0ae06b0acba8e4f47f280">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4f20fc47ef37300551487e3399c9bde"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775886-7b5c-4383-a016-55f3f90db340"/>
    <lcf76f155ced4ddcb4097134ff3c332f xmlns="d28afa16-d941-4884-a971-dcbf16555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7BA5B-0CA8-4B39-A673-DEA682A4929A}">
  <ds:schemaRefs>
    <ds:schemaRef ds:uri="http://schemas.microsoft.com/sharepoint/v3/contenttype/forms"/>
  </ds:schemaRefs>
</ds:datastoreItem>
</file>

<file path=customXml/itemProps2.xml><?xml version="1.0" encoding="utf-8"?>
<ds:datastoreItem xmlns:ds="http://schemas.openxmlformats.org/officeDocument/2006/customXml" ds:itemID="{F4F86A42-25F8-4442-A480-124369F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1C054-08D7-4C08-8228-3B28763E35C6}">
  <ds:schemaRefs>
    <ds:schemaRef ds:uri="ef775886-7b5c-4383-a016-55f3f90db34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d28afa16-d941-4884-a971-dcbf16555f9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0</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2021 and 2023 reporting to the Commission for Gender Equality in the Public Sector (abridged version)</dc:title>
  <dc:subject/>
  <dc:creator>Amanda Marriott</dc:creator>
  <cp:keywords/>
  <dc:description/>
  <cp:lastModifiedBy>Jennifer Arch</cp:lastModifiedBy>
  <cp:revision>2</cp:revision>
  <cp:lastPrinted>2023-01-03T23:40:00Z</cp:lastPrinted>
  <dcterms:created xsi:type="dcterms:W3CDTF">2024-12-18T23:10:00Z</dcterms:created>
  <dcterms:modified xsi:type="dcterms:W3CDTF">2024-12-18T23:10:00Z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0x010100599D83A6F58F4E49961191C2B1DF48DF</vt:lpwstr>
  </property>
  <property fmtid="{D5CDD505-2E9C-101B-9397-08002B2CF9AE}" pid="13" name="MediaServiceImageTags">
    <vt:lpwstr/>
  </property>
</Properties>
</file>