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2207" w14:textId="77777777" w:rsidR="00E6688C" w:rsidRDefault="00D718A9" w:rsidP="00E6688C">
      <w:pPr>
        <w:pStyle w:val="VLAtitle"/>
      </w:pPr>
      <w:bookmarkStart w:id="0" w:name="_GoBack"/>
      <w:bookmarkEnd w:id="0"/>
      <w:r>
        <w:t xml:space="preserve">A </w:t>
      </w:r>
      <w:r w:rsidR="00450BC7">
        <w:t>Sentencing Guidelines C</w:t>
      </w:r>
      <w:r>
        <w:t>ouncil for Victoria</w:t>
      </w:r>
    </w:p>
    <w:p w14:paraId="40DA2E8D" w14:textId="77777777" w:rsidR="00E6688C" w:rsidRDefault="007E3445" w:rsidP="00E6688C">
      <w:pPr>
        <w:pStyle w:val="VLAsubtitle"/>
      </w:pPr>
      <w:r>
        <w:t xml:space="preserve">Submission to </w:t>
      </w:r>
      <w:r w:rsidR="00D718A9">
        <w:t>the Sentencing Advisory Council</w:t>
      </w:r>
    </w:p>
    <w:p w14:paraId="0D38A00E" w14:textId="59BC9EC0" w:rsidR="00E6688C" w:rsidRDefault="00081A81" w:rsidP="00E6688C">
      <w:pPr>
        <w:pStyle w:val="VLAdate"/>
      </w:pPr>
      <w:r>
        <w:t>1</w:t>
      </w:r>
      <w:r w:rsidR="00DA268A">
        <w:t>5</w:t>
      </w:r>
      <w:r>
        <w:t xml:space="preserve"> January</w:t>
      </w:r>
      <w:r w:rsidR="00D718A9">
        <w:t xml:space="preserve"> 201</w:t>
      </w:r>
      <w:r>
        <w:t>8</w:t>
      </w:r>
    </w:p>
    <w:p w14:paraId="506101D7" w14:textId="77777777" w:rsidR="00853BDA" w:rsidRDefault="00853BDA" w:rsidP="00946548">
      <w:pPr>
        <w:sectPr w:rsidR="00853BDA" w:rsidSect="00DA29C4">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3969" w:left="1134" w:header="851" w:footer="2835" w:gutter="0"/>
          <w:paperSrc w:first="7" w:other="7"/>
          <w:cols w:space="720"/>
          <w:titlePg/>
          <w:docGrid w:linePitch="299"/>
        </w:sectPr>
      </w:pPr>
    </w:p>
    <w:p w14:paraId="34907D42" w14:textId="07877373"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8D5298">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262212E3"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043B5401" w14:textId="77777777" w:rsidR="00696BAC" w:rsidRPr="00E24A08" w:rsidRDefault="00696BAC" w:rsidP="002A7402">
      <w:pPr>
        <w:pStyle w:val="Confidentialityclause"/>
        <w:rPr>
          <w:bCs w:val="0"/>
        </w:rPr>
      </w:pPr>
    </w:p>
    <w:p w14:paraId="73124D0D" w14:textId="77777777" w:rsidR="00CE4C2F" w:rsidRPr="00CC0C03" w:rsidRDefault="00CE4C2F" w:rsidP="00CC0C03">
      <w:pPr>
        <w:sectPr w:rsidR="00CE4C2F" w:rsidRPr="00CC0C03" w:rsidSect="007538CC">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14:paraId="2022EFC0" w14:textId="77777777" w:rsidR="001F38C7" w:rsidRDefault="002B4970" w:rsidP="001F38C7">
      <w:pPr>
        <w:pStyle w:val="Contents"/>
        <w:rPr>
          <w:noProof/>
        </w:rPr>
      </w:pPr>
      <w:r w:rsidRPr="0056464E">
        <w:lastRenderedPageBreak/>
        <w:t>Contents</w:t>
      </w:r>
      <w:r w:rsidR="004E0688">
        <w:rPr>
          <w:sz w:val="20"/>
        </w:rPr>
        <w:fldChar w:fldCharType="begin"/>
      </w:r>
      <w:r w:rsidR="004E0688">
        <w:instrText xml:space="preserve"> TOC \h \z \t "Heading 1,1,Heading 2,2,Heading 3,3,Appendix,1" </w:instrText>
      </w:r>
      <w:r w:rsidR="004E0688">
        <w:rPr>
          <w:sz w:val="20"/>
        </w:rPr>
        <w:fldChar w:fldCharType="separate"/>
      </w:r>
    </w:p>
    <w:p w14:paraId="77544E52" w14:textId="1F54C9B8" w:rsidR="001F38C7" w:rsidRDefault="00564773">
      <w:pPr>
        <w:pStyle w:val="TOC1"/>
        <w:rPr>
          <w:rFonts w:asciiTheme="minorHAnsi" w:eastAsiaTheme="minorEastAsia" w:hAnsiTheme="minorHAnsi" w:cstheme="minorBidi"/>
          <w:b w:val="0"/>
          <w:noProof/>
          <w:sz w:val="22"/>
          <w:szCs w:val="22"/>
          <w:lang w:eastAsia="en-AU"/>
        </w:rPr>
      </w:pPr>
      <w:hyperlink w:anchor="_Toc500860623" w:history="1">
        <w:r w:rsidR="00DA268A">
          <w:rPr>
            <w:rStyle w:val="Hyperlink"/>
            <w:noProof/>
          </w:rPr>
          <w:t>About Victoria L</w:t>
        </w:r>
        <w:r w:rsidR="001F38C7" w:rsidRPr="00F02D68">
          <w:rPr>
            <w:rStyle w:val="Hyperlink"/>
            <w:noProof/>
          </w:rPr>
          <w:t>egal Aid</w:t>
        </w:r>
        <w:r w:rsidR="001F38C7">
          <w:rPr>
            <w:noProof/>
            <w:webHidden/>
          </w:rPr>
          <w:tab/>
        </w:r>
        <w:r w:rsidR="001F38C7">
          <w:rPr>
            <w:noProof/>
            <w:webHidden/>
          </w:rPr>
          <w:fldChar w:fldCharType="begin"/>
        </w:r>
        <w:r w:rsidR="001F38C7">
          <w:rPr>
            <w:noProof/>
            <w:webHidden/>
          </w:rPr>
          <w:instrText xml:space="preserve"> PAGEREF _Toc500860623 \h </w:instrText>
        </w:r>
        <w:r w:rsidR="001F38C7">
          <w:rPr>
            <w:noProof/>
            <w:webHidden/>
          </w:rPr>
        </w:r>
        <w:r w:rsidR="001F38C7">
          <w:rPr>
            <w:noProof/>
            <w:webHidden/>
          </w:rPr>
          <w:fldChar w:fldCharType="separate"/>
        </w:r>
        <w:r w:rsidR="004578E7">
          <w:rPr>
            <w:noProof/>
            <w:webHidden/>
          </w:rPr>
          <w:t>1</w:t>
        </w:r>
        <w:r w:rsidR="001F38C7">
          <w:rPr>
            <w:noProof/>
            <w:webHidden/>
          </w:rPr>
          <w:fldChar w:fldCharType="end"/>
        </w:r>
      </w:hyperlink>
    </w:p>
    <w:p w14:paraId="784D9B1E" w14:textId="1C715653" w:rsidR="001F38C7" w:rsidRDefault="00564773">
      <w:pPr>
        <w:pStyle w:val="TOC1"/>
        <w:rPr>
          <w:rFonts w:asciiTheme="minorHAnsi" w:eastAsiaTheme="minorEastAsia" w:hAnsiTheme="minorHAnsi" w:cstheme="minorBidi"/>
          <w:b w:val="0"/>
          <w:noProof/>
          <w:sz w:val="22"/>
          <w:szCs w:val="22"/>
          <w:lang w:eastAsia="en-AU"/>
        </w:rPr>
      </w:pPr>
      <w:hyperlink w:anchor="_Toc500860624" w:history="1">
        <w:r w:rsidR="001F38C7" w:rsidRPr="00F02D68">
          <w:rPr>
            <w:rStyle w:val="Hyperlink"/>
            <w:noProof/>
          </w:rPr>
          <w:t>Executive Summary</w:t>
        </w:r>
        <w:r w:rsidR="001F38C7">
          <w:rPr>
            <w:noProof/>
            <w:webHidden/>
          </w:rPr>
          <w:tab/>
        </w:r>
        <w:r w:rsidR="001F38C7">
          <w:rPr>
            <w:noProof/>
            <w:webHidden/>
          </w:rPr>
          <w:fldChar w:fldCharType="begin"/>
        </w:r>
        <w:r w:rsidR="001F38C7">
          <w:rPr>
            <w:noProof/>
            <w:webHidden/>
          </w:rPr>
          <w:instrText xml:space="preserve"> PAGEREF _Toc500860624 \h </w:instrText>
        </w:r>
        <w:r w:rsidR="001F38C7">
          <w:rPr>
            <w:noProof/>
            <w:webHidden/>
          </w:rPr>
        </w:r>
        <w:r w:rsidR="001F38C7">
          <w:rPr>
            <w:noProof/>
            <w:webHidden/>
          </w:rPr>
          <w:fldChar w:fldCharType="separate"/>
        </w:r>
        <w:r w:rsidR="004578E7">
          <w:rPr>
            <w:noProof/>
            <w:webHidden/>
          </w:rPr>
          <w:t>2</w:t>
        </w:r>
        <w:r w:rsidR="001F38C7">
          <w:rPr>
            <w:noProof/>
            <w:webHidden/>
          </w:rPr>
          <w:fldChar w:fldCharType="end"/>
        </w:r>
      </w:hyperlink>
    </w:p>
    <w:p w14:paraId="5444CD80" w14:textId="5D1DCAB0" w:rsidR="001F38C7" w:rsidRDefault="00564773">
      <w:pPr>
        <w:pStyle w:val="TOC1"/>
        <w:rPr>
          <w:rFonts w:asciiTheme="minorHAnsi" w:eastAsiaTheme="minorEastAsia" w:hAnsiTheme="minorHAnsi" w:cstheme="minorBidi"/>
          <w:b w:val="0"/>
          <w:noProof/>
          <w:sz w:val="22"/>
          <w:szCs w:val="22"/>
          <w:lang w:eastAsia="en-AU"/>
        </w:rPr>
      </w:pPr>
      <w:hyperlink w:anchor="_Toc500860625" w:history="1">
        <w:r w:rsidR="001F38C7" w:rsidRPr="00F02D68">
          <w:rPr>
            <w:rStyle w:val="Hyperlink"/>
            <w:noProof/>
          </w:rPr>
          <w:t>Summary of recommendations</w:t>
        </w:r>
        <w:r w:rsidR="001F38C7">
          <w:rPr>
            <w:noProof/>
            <w:webHidden/>
          </w:rPr>
          <w:tab/>
        </w:r>
        <w:r w:rsidR="001F38C7">
          <w:rPr>
            <w:noProof/>
            <w:webHidden/>
          </w:rPr>
          <w:fldChar w:fldCharType="begin"/>
        </w:r>
        <w:r w:rsidR="001F38C7">
          <w:rPr>
            <w:noProof/>
            <w:webHidden/>
          </w:rPr>
          <w:instrText xml:space="preserve"> PAGEREF _Toc500860625 \h </w:instrText>
        </w:r>
        <w:r w:rsidR="001F38C7">
          <w:rPr>
            <w:noProof/>
            <w:webHidden/>
          </w:rPr>
        </w:r>
        <w:r w:rsidR="001F38C7">
          <w:rPr>
            <w:noProof/>
            <w:webHidden/>
          </w:rPr>
          <w:fldChar w:fldCharType="separate"/>
        </w:r>
        <w:r w:rsidR="004578E7">
          <w:rPr>
            <w:noProof/>
            <w:webHidden/>
          </w:rPr>
          <w:t>3</w:t>
        </w:r>
        <w:r w:rsidR="001F38C7">
          <w:rPr>
            <w:noProof/>
            <w:webHidden/>
          </w:rPr>
          <w:fldChar w:fldCharType="end"/>
        </w:r>
      </w:hyperlink>
    </w:p>
    <w:p w14:paraId="6E8C8E39" w14:textId="1F6544ED" w:rsidR="001F38C7" w:rsidRDefault="00564773">
      <w:pPr>
        <w:pStyle w:val="TOC2"/>
        <w:rPr>
          <w:rFonts w:asciiTheme="minorHAnsi" w:eastAsiaTheme="minorEastAsia" w:hAnsiTheme="minorHAnsi" w:cstheme="minorBidi"/>
          <w:sz w:val="22"/>
          <w:szCs w:val="22"/>
          <w:lang w:eastAsia="en-AU"/>
        </w:rPr>
      </w:pPr>
      <w:hyperlink w:anchor="_Toc500860626" w:history="1">
        <w:r w:rsidR="001F38C7" w:rsidRPr="00F02D68">
          <w:rPr>
            <w:rStyle w:val="Hyperlink"/>
          </w:rPr>
          <w:t>Guiding purposes of the sentencing guidelines council</w:t>
        </w:r>
        <w:r w:rsidR="001F38C7">
          <w:rPr>
            <w:webHidden/>
          </w:rPr>
          <w:tab/>
        </w:r>
        <w:r w:rsidR="001F38C7">
          <w:rPr>
            <w:webHidden/>
          </w:rPr>
          <w:fldChar w:fldCharType="begin"/>
        </w:r>
        <w:r w:rsidR="001F38C7">
          <w:rPr>
            <w:webHidden/>
          </w:rPr>
          <w:instrText xml:space="preserve"> PAGEREF _Toc500860626 \h </w:instrText>
        </w:r>
        <w:r w:rsidR="001F38C7">
          <w:rPr>
            <w:webHidden/>
          </w:rPr>
        </w:r>
        <w:r w:rsidR="001F38C7">
          <w:rPr>
            <w:webHidden/>
          </w:rPr>
          <w:fldChar w:fldCharType="separate"/>
        </w:r>
        <w:r w:rsidR="004578E7">
          <w:rPr>
            <w:webHidden/>
          </w:rPr>
          <w:t>3</w:t>
        </w:r>
        <w:r w:rsidR="001F38C7">
          <w:rPr>
            <w:webHidden/>
          </w:rPr>
          <w:fldChar w:fldCharType="end"/>
        </w:r>
      </w:hyperlink>
    </w:p>
    <w:p w14:paraId="21392209" w14:textId="4DD146AC" w:rsidR="001F38C7" w:rsidRDefault="00564773">
      <w:pPr>
        <w:pStyle w:val="TOC2"/>
        <w:rPr>
          <w:rFonts w:asciiTheme="minorHAnsi" w:eastAsiaTheme="minorEastAsia" w:hAnsiTheme="minorHAnsi" w:cstheme="minorBidi"/>
          <w:sz w:val="22"/>
          <w:szCs w:val="22"/>
          <w:lang w:eastAsia="en-AU"/>
        </w:rPr>
      </w:pPr>
      <w:hyperlink w:anchor="_Toc500860627" w:history="1">
        <w:r w:rsidR="001F38C7" w:rsidRPr="00F02D68">
          <w:rPr>
            <w:rStyle w:val="Hyperlink"/>
          </w:rPr>
          <w:t>Composition of the sentencing guidelines council</w:t>
        </w:r>
        <w:r w:rsidR="001F38C7">
          <w:rPr>
            <w:webHidden/>
          </w:rPr>
          <w:tab/>
        </w:r>
        <w:r w:rsidR="001F38C7">
          <w:rPr>
            <w:webHidden/>
          </w:rPr>
          <w:fldChar w:fldCharType="begin"/>
        </w:r>
        <w:r w:rsidR="001F38C7">
          <w:rPr>
            <w:webHidden/>
          </w:rPr>
          <w:instrText xml:space="preserve"> PAGEREF _Toc500860627 \h </w:instrText>
        </w:r>
        <w:r w:rsidR="001F38C7">
          <w:rPr>
            <w:webHidden/>
          </w:rPr>
        </w:r>
        <w:r w:rsidR="001F38C7">
          <w:rPr>
            <w:webHidden/>
          </w:rPr>
          <w:fldChar w:fldCharType="separate"/>
        </w:r>
        <w:r w:rsidR="004578E7">
          <w:rPr>
            <w:webHidden/>
          </w:rPr>
          <w:t>4</w:t>
        </w:r>
        <w:r w:rsidR="001F38C7">
          <w:rPr>
            <w:webHidden/>
          </w:rPr>
          <w:fldChar w:fldCharType="end"/>
        </w:r>
      </w:hyperlink>
    </w:p>
    <w:p w14:paraId="27DB7A87" w14:textId="079A5AEF" w:rsidR="001F38C7" w:rsidRDefault="00564773">
      <w:pPr>
        <w:pStyle w:val="TOC2"/>
        <w:rPr>
          <w:rFonts w:asciiTheme="minorHAnsi" w:eastAsiaTheme="minorEastAsia" w:hAnsiTheme="minorHAnsi" w:cstheme="minorBidi"/>
          <w:sz w:val="22"/>
          <w:szCs w:val="22"/>
          <w:lang w:eastAsia="en-AU"/>
        </w:rPr>
      </w:pPr>
      <w:hyperlink w:anchor="_Toc500860628" w:history="1">
        <w:r w:rsidR="001F38C7" w:rsidRPr="00F02D68">
          <w:rPr>
            <w:rStyle w:val="Hyperlink"/>
          </w:rPr>
          <w:t>Nomination and appointment of members to the sentencing guidelines council</w:t>
        </w:r>
        <w:r w:rsidR="001F38C7">
          <w:rPr>
            <w:webHidden/>
          </w:rPr>
          <w:tab/>
        </w:r>
        <w:r w:rsidR="001F38C7">
          <w:rPr>
            <w:webHidden/>
          </w:rPr>
          <w:fldChar w:fldCharType="begin"/>
        </w:r>
        <w:r w:rsidR="001F38C7">
          <w:rPr>
            <w:webHidden/>
          </w:rPr>
          <w:instrText xml:space="preserve"> PAGEREF _Toc500860628 \h </w:instrText>
        </w:r>
        <w:r w:rsidR="001F38C7">
          <w:rPr>
            <w:webHidden/>
          </w:rPr>
        </w:r>
        <w:r w:rsidR="001F38C7">
          <w:rPr>
            <w:webHidden/>
          </w:rPr>
          <w:fldChar w:fldCharType="separate"/>
        </w:r>
        <w:r w:rsidR="004578E7">
          <w:rPr>
            <w:webHidden/>
          </w:rPr>
          <w:t>5</w:t>
        </w:r>
        <w:r w:rsidR="001F38C7">
          <w:rPr>
            <w:webHidden/>
          </w:rPr>
          <w:fldChar w:fldCharType="end"/>
        </w:r>
      </w:hyperlink>
    </w:p>
    <w:p w14:paraId="29F85CEB" w14:textId="3F7A9619" w:rsidR="001F38C7" w:rsidRDefault="00564773">
      <w:pPr>
        <w:pStyle w:val="TOC2"/>
        <w:rPr>
          <w:rFonts w:asciiTheme="minorHAnsi" w:eastAsiaTheme="minorEastAsia" w:hAnsiTheme="minorHAnsi" w:cstheme="minorBidi"/>
          <w:sz w:val="22"/>
          <w:szCs w:val="22"/>
          <w:lang w:eastAsia="en-AU"/>
        </w:rPr>
      </w:pPr>
      <w:hyperlink w:anchor="_Toc500860629" w:history="1">
        <w:r w:rsidR="001F38C7" w:rsidRPr="00F02D68">
          <w:rPr>
            <w:rStyle w:val="Hyperlink"/>
          </w:rPr>
          <w:t>Functions of the sentencing guidelines council</w:t>
        </w:r>
        <w:r w:rsidR="001F38C7">
          <w:rPr>
            <w:webHidden/>
          </w:rPr>
          <w:tab/>
        </w:r>
        <w:r w:rsidR="001F38C7">
          <w:rPr>
            <w:webHidden/>
          </w:rPr>
          <w:fldChar w:fldCharType="begin"/>
        </w:r>
        <w:r w:rsidR="001F38C7">
          <w:rPr>
            <w:webHidden/>
          </w:rPr>
          <w:instrText xml:space="preserve"> PAGEREF _Toc500860629 \h </w:instrText>
        </w:r>
        <w:r w:rsidR="001F38C7">
          <w:rPr>
            <w:webHidden/>
          </w:rPr>
        </w:r>
        <w:r w:rsidR="001F38C7">
          <w:rPr>
            <w:webHidden/>
          </w:rPr>
          <w:fldChar w:fldCharType="separate"/>
        </w:r>
        <w:r w:rsidR="004578E7">
          <w:rPr>
            <w:webHidden/>
          </w:rPr>
          <w:t>5</w:t>
        </w:r>
        <w:r w:rsidR="001F38C7">
          <w:rPr>
            <w:webHidden/>
          </w:rPr>
          <w:fldChar w:fldCharType="end"/>
        </w:r>
      </w:hyperlink>
    </w:p>
    <w:p w14:paraId="38116EF9" w14:textId="2697867F" w:rsidR="001F38C7" w:rsidRDefault="00564773">
      <w:pPr>
        <w:pStyle w:val="TOC2"/>
        <w:rPr>
          <w:rFonts w:asciiTheme="minorHAnsi" w:eastAsiaTheme="minorEastAsia" w:hAnsiTheme="minorHAnsi" w:cstheme="minorBidi"/>
          <w:sz w:val="22"/>
          <w:szCs w:val="22"/>
          <w:lang w:eastAsia="en-AU"/>
        </w:rPr>
      </w:pPr>
      <w:hyperlink w:anchor="_Toc500860630" w:history="1">
        <w:r w:rsidR="001F38C7" w:rsidRPr="00F02D68">
          <w:rPr>
            <w:rStyle w:val="Hyperlink"/>
          </w:rPr>
          <w:t>Initiation of sentencing guidelines</w:t>
        </w:r>
        <w:r w:rsidR="001F38C7">
          <w:rPr>
            <w:webHidden/>
          </w:rPr>
          <w:tab/>
        </w:r>
        <w:r w:rsidR="001F38C7">
          <w:rPr>
            <w:webHidden/>
          </w:rPr>
          <w:fldChar w:fldCharType="begin"/>
        </w:r>
        <w:r w:rsidR="001F38C7">
          <w:rPr>
            <w:webHidden/>
          </w:rPr>
          <w:instrText xml:space="preserve"> PAGEREF _Toc500860630 \h </w:instrText>
        </w:r>
        <w:r w:rsidR="001F38C7">
          <w:rPr>
            <w:webHidden/>
          </w:rPr>
        </w:r>
        <w:r w:rsidR="001F38C7">
          <w:rPr>
            <w:webHidden/>
          </w:rPr>
          <w:fldChar w:fldCharType="separate"/>
        </w:r>
        <w:r w:rsidR="004578E7">
          <w:rPr>
            <w:webHidden/>
          </w:rPr>
          <w:t>5</w:t>
        </w:r>
        <w:r w:rsidR="001F38C7">
          <w:rPr>
            <w:webHidden/>
          </w:rPr>
          <w:fldChar w:fldCharType="end"/>
        </w:r>
      </w:hyperlink>
    </w:p>
    <w:p w14:paraId="0FDB2ADD" w14:textId="551646DF" w:rsidR="001F38C7" w:rsidRDefault="00564773">
      <w:pPr>
        <w:pStyle w:val="TOC2"/>
        <w:rPr>
          <w:rFonts w:asciiTheme="minorHAnsi" w:eastAsiaTheme="minorEastAsia" w:hAnsiTheme="minorHAnsi" w:cstheme="minorBidi"/>
          <w:sz w:val="22"/>
          <w:szCs w:val="22"/>
          <w:lang w:eastAsia="en-AU"/>
        </w:rPr>
      </w:pPr>
      <w:hyperlink w:anchor="_Toc500860631" w:history="1">
        <w:r w:rsidR="001F38C7" w:rsidRPr="00F02D68">
          <w:rPr>
            <w:rStyle w:val="Hyperlink"/>
          </w:rPr>
          <w:t>Consultation on sentencing guidelines</w:t>
        </w:r>
        <w:r w:rsidR="001F38C7">
          <w:rPr>
            <w:webHidden/>
          </w:rPr>
          <w:tab/>
        </w:r>
        <w:r w:rsidR="001F38C7">
          <w:rPr>
            <w:webHidden/>
          </w:rPr>
          <w:fldChar w:fldCharType="begin"/>
        </w:r>
        <w:r w:rsidR="001F38C7">
          <w:rPr>
            <w:webHidden/>
          </w:rPr>
          <w:instrText xml:space="preserve"> PAGEREF _Toc500860631 \h </w:instrText>
        </w:r>
        <w:r w:rsidR="001F38C7">
          <w:rPr>
            <w:webHidden/>
          </w:rPr>
        </w:r>
        <w:r w:rsidR="001F38C7">
          <w:rPr>
            <w:webHidden/>
          </w:rPr>
          <w:fldChar w:fldCharType="separate"/>
        </w:r>
        <w:r w:rsidR="004578E7">
          <w:rPr>
            <w:webHidden/>
          </w:rPr>
          <w:t>6</w:t>
        </w:r>
        <w:r w:rsidR="001F38C7">
          <w:rPr>
            <w:webHidden/>
          </w:rPr>
          <w:fldChar w:fldCharType="end"/>
        </w:r>
      </w:hyperlink>
    </w:p>
    <w:p w14:paraId="6608230B" w14:textId="55C8C9A3" w:rsidR="001F38C7" w:rsidRDefault="00564773">
      <w:pPr>
        <w:pStyle w:val="TOC2"/>
        <w:rPr>
          <w:rFonts w:asciiTheme="minorHAnsi" w:eastAsiaTheme="minorEastAsia" w:hAnsiTheme="minorHAnsi" w:cstheme="minorBidi"/>
          <w:sz w:val="22"/>
          <w:szCs w:val="22"/>
          <w:lang w:eastAsia="en-AU"/>
        </w:rPr>
      </w:pPr>
      <w:hyperlink w:anchor="_Toc500860632" w:history="1">
        <w:r w:rsidR="001F38C7" w:rsidRPr="00F02D68">
          <w:rPr>
            <w:rStyle w:val="Hyperlink"/>
          </w:rPr>
          <w:t>Finalisation, approval and commencement of sentencing guidelines</w:t>
        </w:r>
        <w:r w:rsidR="001F38C7">
          <w:rPr>
            <w:webHidden/>
          </w:rPr>
          <w:tab/>
        </w:r>
        <w:r w:rsidR="001F38C7">
          <w:rPr>
            <w:webHidden/>
          </w:rPr>
          <w:fldChar w:fldCharType="begin"/>
        </w:r>
        <w:r w:rsidR="001F38C7">
          <w:rPr>
            <w:webHidden/>
          </w:rPr>
          <w:instrText xml:space="preserve"> PAGEREF _Toc500860632 \h </w:instrText>
        </w:r>
        <w:r w:rsidR="001F38C7">
          <w:rPr>
            <w:webHidden/>
          </w:rPr>
        </w:r>
        <w:r w:rsidR="001F38C7">
          <w:rPr>
            <w:webHidden/>
          </w:rPr>
          <w:fldChar w:fldCharType="separate"/>
        </w:r>
        <w:r w:rsidR="004578E7">
          <w:rPr>
            <w:webHidden/>
          </w:rPr>
          <w:t>7</w:t>
        </w:r>
        <w:r w:rsidR="001F38C7">
          <w:rPr>
            <w:webHidden/>
          </w:rPr>
          <w:fldChar w:fldCharType="end"/>
        </w:r>
      </w:hyperlink>
    </w:p>
    <w:p w14:paraId="61355721" w14:textId="1244D7B0" w:rsidR="001F38C7" w:rsidRDefault="00564773">
      <w:pPr>
        <w:pStyle w:val="TOC3"/>
        <w:rPr>
          <w:rFonts w:asciiTheme="minorHAnsi" w:eastAsiaTheme="minorEastAsia" w:hAnsiTheme="minorHAnsi" w:cstheme="minorBidi"/>
          <w:sz w:val="22"/>
          <w:szCs w:val="22"/>
          <w:lang w:eastAsia="en-AU"/>
        </w:rPr>
      </w:pPr>
      <w:hyperlink w:anchor="_Toc500860633" w:history="1">
        <w:r w:rsidR="001F38C7" w:rsidRPr="00F02D68">
          <w:rPr>
            <w:rStyle w:val="Hyperlink"/>
          </w:rPr>
          <w:t>Finalisation and approval</w:t>
        </w:r>
        <w:r w:rsidR="001F38C7">
          <w:rPr>
            <w:webHidden/>
          </w:rPr>
          <w:tab/>
        </w:r>
        <w:r w:rsidR="001F38C7">
          <w:rPr>
            <w:webHidden/>
          </w:rPr>
          <w:fldChar w:fldCharType="begin"/>
        </w:r>
        <w:r w:rsidR="001F38C7">
          <w:rPr>
            <w:webHidden/>
          </w:rPr>
          <w:instrText xml:space="preserve"> PAGEREF _Toc500860633 \h </w:instrText>
        </w:r>
        <w:r w:rsidR="001F38C7">
          <w:rPr>
            <w:webHidden/>
          </w:rPr>
        </w:r>
        <w:r w:rsidR="001F38C7">
          <w:rPr>
            <w:webHidden/>
          </w:rPr>
          <w:fldChar w:fldCharType="separate"/>
        </w:r>
        <w:r w:rsidR="004578E7">
          <w:rPr>
            <w:webHidden/>
          </w:rPr>
          <w:t>7</w:t>
        </w:r>
        <w:r w:rsidR="001F38C7">
          <w:rPr>
            <w:webHidden/>
          </w:rPr>
          <w:fldChar w:fldCharType="end"/>
        </w:r>
      </w:hyperlink>
    </w:p>
    <w:p w14:paraId="565C69AC" w14:textId="5841B1AE" w:rsidR="001F38C7" w:rsidRDefault="00564773">
      <w:pPr>
        <w:pStyle w:val="TOC3"/>
        <w:rPr>
          <w:rFonts w:asciiTheme="minorHAnsi" w:eastAsiaTheme="minorEastAsia" w:hAnsiTheme="minorHAnsi" w:cstheme="minorBidi"/>
          <w:sz w:val="22"/>
          <w:szCs w:val="22"/>
          <w:lang w:eastAsia="en-AU"/>
        </w:rPr>
      </w:pPr>
      <w:hyperlink w:anchor="_Toc500860634" w:history="1">
        <w:r w:rsidR="001F38C7" w:rsidRPr="00F02D68">
          <w:rPr>
            <w:rStyle w:val="Hyperlink"/>
          </w:rPr>
          <w:t>Commencement</w:t>
        </w:r>
        <w:r w:rsidR="001F38C7">
          <w:rPr>
            <w:webHidden/>
          </w:rPr>
          <w:tab/>
        </w:r>
        <w:r w:rsidR="001F38C7">
          <w:rPr>
            <w:webHidden/>
          </w:rPr>
          <w:fldChar w:fldCharType="begin"/>
        </w:r>
        <w:r w:rsidR="001F38C7">
          <w:rPr>
            <w:webHidden/>
          </w:rPr>
          <w:instrText xml:space="preserve"> PAGEREF _Toc500860634 \h </w:instrText>
        </w:r>
        <w:r w:rsidR="001F38C7">
          <w:rPr>
            <w:webHidden/>
          </w:rPr>
        </w:r>
        <w:r w:rsidR="001F38C7">
          <w:rPr>
            <w:webHidden/>
          </w:rPr>
          <w:fldChar w:fldCharType="separate"/>
        </w:r>
        <w:r w:rsidR="004578E7">
          <w:rPr>
            <w:webHidden/>
          </w:rPr>
          <w:t>7</w:t>
        </w:r>
        <w:r w:rsidR="001F38C7">
          <w:rPr>
            <w:webHidden/>
          </w:rPr>
          <w:fldChar w:fldCharType="end"/>
        </w:r>
      </w:hyperlink>
    </w:p>
    <w:p w14:paraId="324EDFC6" w14:textId="1AE3C7EA" w:rsidR="001F38C7" w:rsidRDefault="00564773">
      <w:pPr>
        <w:pStyle w:val="TOC2"/>
        <w:rPr>
          <w:rFonts w:asciiTheme="minorHAnsi" w:eastAsiaTheme="minorEastAsia" w:hAnsiTheme="minorHAnsi" w:cstheme="minorBidi"/>
          <w:sz w:val="22"/>
          <w:szCs w:val="22"/>
          <w:lang w:eastAsia="en-AU"/>
        </w:rPr>
      </w:pPr>
      <w:hyperlink w:anchor="_Toc500860635" w:history="1">
        <w:r w:rsidR="001F38C7" w:rsidRPr="00F02D68">
          <w:rPr>
            <w:rStyle w:val="Hyperlink"/>
          </w:rPr>
          <w:t>Notice requirements for sentencing guidelines</w:t>
        </w:r>
        <w:r w:rsidR="001F38C7">
          <w:rPr>
            <w:webHidden/>
          </w:rPr>
          <w:tab/>
        </w:r>
        <w:r w:rsidR="001F38C7">
          <w:rPr>
            <w:webHidden/>
          </w:rPr>
          <w:fldChar w:fldCharType="begin"/>
        </w:r>
        <w:r w:rsidR="001F38C7">
          <w:rPr>
            <w:webHidden/>
          </w:rPr>
          <w:instrText xml:space="preserve"> PAGEREF _Toc500860635 \h </w:instrText>
        </w:r>
        <w:r w:rsidR="001F38C7">
          <w:rPr>
            <w:webHidden/>
          </w:rPr>
        </w:r>
        <w:r w:rsidR="001F38C7">
          <w:rPr>
            <w:webHidden/>
          </w:rPr>
          <w:fldChar w:fldCharType="separate"/>
        </w:r>
        <w:r w:rsidR="004578E7">
          <w:rPr>
            <w:webHidden/>
          </w:rPr>
          <w:t>7</w:t>
        </w:r>
        <w:r w:rsidR="001F38C7">
          <w:rPr>
            <w:webHidden/>
          </w:rPr>
          <w:fldChar w:fldCharType="end"/>
        </w:r>
      </w:hyperlink>
    </w:p>
    <w:p w14:paraId="16EB852D" w14:textId="521A5C4E" w:rsidR="001F38C7" w:rsidRDefault="00564773">
      <w:pPr>
        <w:pStyle w:val="TOC2"/>
        <w:rPr>
          <w:rFonts w:asciiTheme="minorHAnsi" w:eastAsiaTheme="minorEastAsia" w:hAnsiTheme="minorHAnsi" w:cstheme="minorBidi"/>
          <w:sz w:val="22"/>
          <w:szCs w:val="22"/>
          <w:lang w:eastAsia="en-AU"/>
        </w:rPr>
      </w:pPr>
      <w:hyperlink w:anchor="_Toc500860636" w:history="1">
        <w:r w:rsidR="001F38C7" w:rsidRPr="00F02D68">
          <w:rPr>
            <w:rStyle w:val="Hyperlink"/>
          </w:rPr>
          <w:t>Form and content of sentencing guideline</w:t>
        </w:r>
        <w:r w:rsidR="001F38C7">
          <w:rPr>
            <w:webHidden/>
          </w:rPr>
          <w:tab/>
        </w:r>
        <w:r w:rsidR="001F38C7">
          <w:rPr>
            <w:webHidden/>
          </w:rPr>
          <w:fldChar w:fldCharType="begin"/>
        </w:r>
        <w:r w:rsidR="001F38C7">
          <w:rPr>
            <w:webHidden/>
          </w:rPr>
          <w:instrText xml:space="preserve"> PAGEREF _Toc500860636 \h </w:instrText>
        </w:r>
        <w:r w:rsidR="001F38C7">
          <w:rPr>
            <w:webHidden/>
          </w:rPr>
        </w:r>
        <w:r w:rsidR="001F38C7">
          <w:rPr>
            <w:webHidden/>
          </w:rPr>
          <w:fldChar w:fldCharType="separate"/>
        </w:r>
        <w:r w:rsidR="004578E7">
          <w:rPr>
            <w:webHidden/>
          </w:rPr>
          <w:t>7</w:t>
        </w:r>
        <w:r w:rsidR="001F38C7">
          <w:rPr>
            <w:webHidden/>
          </w:rPr>
          <w:fldChar w:fldCharType="end"/>
        </w:r>
      </w:hyperlink>
    </w:p>
    <w:p w14:paraId="6460C572" w14:textId="28E124F8" w:rsidR="001F38C7" w:rsidRDefault="00564773">
      <w:pPr>
        <w:pStyle w:val="TOC2"/>
        <w:rPr>
          <w:rFonts w:asciiTheme="minorHAnsi" w:eastAsiaTheme="minorEastAsia" w:hAnsiTheme="minorHAnsi" w:cstheme="minorBidi"/>
          <w:sz w:val="22"/>
          <w:szCs w:val="22"/>
          <w:lang w:eastAsia="en-AU"/>
        </w:rPr>
      </w:pPr>
      <w:hyperlink w:anchor="_Toc500860637" w:history="1">
        <w:r w:rsidR="001F38C7" w:rsidRPr="00F02D68">
          <w:rPr>
            <w:rStyle w:val="Hyperlink"/>
          </w:rPr>
          <w:t>The effect of a sentencing guideline</w:t>
        </w:r>
        <w:r w:rsidR="001F38C7">
          <w:rPr>
            <w:webHidden/>
          </w:rPr>
          <w:tab/>
        </w:r>
        <w:r w:rsidR="001F38C7">
          <w:rPr>
            <w:webHidden/>
          </w:rPr>
          <w:fldChar w:fldCharType="begin"/>
        </w:r>
        <w:r w:rsidR="001F38C7">
          <w:rPr>
            <w:webHidden/>
          </w:rPr>
          <w:instrText xml:space="preserve"> PAGEREF _Toc500860637 \h </w:instrText>
        </w:r>
        <w:r w:rsidR="001F38C7">
          <w:rPr>
            <w:webHidden/>
          </w:rPr>
        </w:r>
        <w:r w:rsidR="001F38C7">
          <w:rPr>
            <w:webHidden/>
          </w:rPr>
          <w:fldChar w:fldCharType="separate"/>
        </w:r>
        <w:r w:rsidR="004578E7">
          <w:rPr>
            <w:webHidden/>
          </w:rPr>
          <w:t>7</w:t>
        </w:r>
        <w:r w:rsidR="001F38C7">
          <w:rPr>
            <w:webHidden/>
          </w:rPr>
          <w:fldChar w:fldCharType="end"/>
        </w:r>
      </w:hyperlink>
    </w:p>
    <w:p w14:paraId="6F8385CC" w14:textId="121920AD" w:rsidR="001F38C7" w:rsidRDefault="00564773">
      <w:pPr>
        <w:pStyle w:val="TOC2"/>
        <w:rPr>
          <w:rFonts w:asciiTheme="minorHAnsi" w:eastAsiaTheme="minorEastAsia" w:hAnsiTheme="minorHAnsi" w:cstheme="minorBidi"/>
          <w:sz w:val="22"/>
          <w:szCs w:val="22"/>
          <w:lang w:eastAsia="en-AU"/>
        </w:rPr>
      </w:pPr>
      <w:hyperlink w:anchor="_Toc500860638" w:history="1">
        <w:r w:rsidR="001F38C7" w:rsidRPr="00F02D68">
          <w:rPr>
            <w:rStyle w:val="Hyperlink"/>
          </w:rPr>
          <w:t>Application of sentencing guidelines (at first instance)</w:t>
        </w:r>
        <w:r w:rsidR="001F38C7">
          <w:rPr>
            <w:webHidden/>
          </w:rPr>
          <w:tab/>
        </w:r>
        <w:r w:rsidR="001F38C7">
          <w:rPr>
            <w:webHidden/>
          </w:rPr>
          <w:fldChar w:fldCharType="begin"/>
        </w:r>
        <w:r w:rsidR="001F38C7">
          <w:rPr>
            <w:webHidden/>
          </w:rPr>
          <w:instrText xml:space="preserve"> PAGEREF _Toc500860638 \h </w:instrText>
        </w:r>
        <w:r w:rsidR="001F38C7">
          <w:rPr>
            <w:webHidden/>
          </w:rPr>
        </w:r>
        <w:r w:rsidR="001F38C7">
          <w:rPr>
            <w:webHidden/>
          </w:rPr>
          <w:fldChar w:fldCharType="separate"/>
        </w:r>
        <w:r w:rsidR="004578E7">
          <w:rPr>
            <w:webHidden/>
          </w:rPr>
          <w:t>8</w:t>
        </w:r>
        <w:r w:rsidR="001F38C7">
          <w:rPr>
            <w:webHidden/>
          </w:rPr>
          <w:fldChar w:fldCharType="end"/>
        </w:r>
      </w:hyperlink>
    </w:p>
    <w:p w14:paraId="23B0C5B8" w14:textId="576C341D" w:rsidR="001F38C7" w:rsidRDefault="00564773">
      <w:pPr>
        <w:pStyle w:val="TOC2"/>
        <w:rPr>
          <w:rFonts w:asciiTheme="minorHAnsi" w:eastAsiaTheme="minorEastAsia" w:hAnsiTheme="minorHAnsi" w:cstheme="minorBidi"/>
          <w:sz w:val="22"/>
          <w:szCs w:val="22"/>
          <w:lang w:eastAsia="en-AU"/>
        </w:rPr>
      </w:pPr>
      <w:hyperlink w:anchor="_Toc500860639" w:history="1">
        <w:r w:rsidR="001F38C7" w:rsidRPr="00F02D68">
          <w:rPr>
            <w:rStyle w:val="Hyperlink"/>
          </w:rPr>
          <w:t>Application of a new sentencing guideline when resentencing</w:t>
        </w:r>
        <w:r w:rsidR="001F38C7">
          <w:rPr>
            <w:webHidden/>
          </w:rPr>
          <w:tab/>
        </w:r>
        <w:r w:rsidR="001F38C7">
          <w:rPr>
            <w:webHidden/>
          </w:rPr>
          <w:fldChar w:fldCharType="begin"/>
        </w:r>
        <w:r w:rsidR="001F38C7">
          <w:rPr>
            <w:webHidden/>
          </w:rPr>
          <w:instrText xml:space="preserve"> PAGEREF _Toc500860639 \h </w:instrText>
        </w:r>
        <w:r w:rsidR="001F38C7">
          <w:rPr>
            <w:webHidden/>
          </w:rPr>
        </w:r>
        <w:r w:rsidR="001F38C7">
          <w:rPr>
            <w:webHidden/>
          </w:rPr>
          <w:fldChar w:fldCharType="separate"/>
        </w:r>
        <w:r w:rsidR="004578E7">
          <w:rPr>
            <w:webHidden/>
          </w:rPr>
          <w:t>8</w:t>
        </w:r>
        <w:r w:rsidR="001F38C7">
          <w:rPr>
            <w:webHidden/>
          </w:rPr>
          <w:fldChar w:fldCharType="end"/>
        </w:r>
      </w:hyperlink>
    </w:p>
    <w:p w14:paraId="4F9DD8D1" w14:textId="53948AB7" w:rsidR="001F38C7" w:rsidRDefault="00564773">
      <w:pPr>
        <w:pStyle w:val="TOC2"/>
        <w:rPr>
          <w:rFonts w:asciiTheme="minorHAnsi" w:eastAsiaTheme="minorEastAsia" w:hAnsiTheme="minorHAnsi" w:cstheme="minorBidi"/>
          <w:sz w:val="22"/>
          <w:szCs w:val="22"/>
          <w:lang w:eastAsia="en-AU"/>
        </w:rPr>
      </w:pPr>
      <w:hyperlink w:anchor="_Toc500860640" w:history="1">
        <w:r w:rsidR="001F38C7" w:rsidRPr="00F02D68">
          <w:rPr>
            <w:rStyle w:val="Hyperlink"/>
          </w:rPr>
          <w:t>Effect of a sentencing guideline on common law precedents</w:t>
        </w:r>
        <w:r w:rsidR="001F38C7">
          <w:rPr>
            <w:webHidden/>
          </w:rPr>
          <w:tab/>
        </w:r>
        <w:r w:rsidR="001F38C7">
          <w:rPr>
            <w:webHidden/>
          </w:rPr>
          <w:fldChar w:fldCharType="begin"/>
        </w:r>
        <w:r w:rsidR="001F38C7">
          <w:rPr>
            <w:webHidden/>
          </w:rPr>
          <w:instrText xml:space="preserve"> PAGEREF _Toc500860640 \h </w:instrText>
        </w:r>
        <w:r w:rsidR="001F38C7">
          <w:rPr>
            <w:webHidden/>
          </w:rPr>
        </w:r>
        <w:r w:rsidR="001F38C7">
          <w:rPr>
            <w:webHidden/>
          </w:rPr>
          <w:fldChar w:fldCharType="separate"/>
        </w:r>
        <w:r w:rsidR="004578E7">
          <w:rPr>
            <w:webHidden/>
          </w:rPr>
          <w:t>9</w:t>
        </w:r>
        <w:r w:rsidR="001F38C7">
          <w:rPr>
            <w:webHidden/>
          </w:rPr>
          <w:fldChar w:fldCharType="end"/>
        </w:r>
      </w:hyperlink>
    </w:p>
    <w:p w14:paraId="7593B3DF" w14:textId="3216E9AB" w:rsidR="001F38C7" w:rsidRDefault="00564773">
      <w:pPr>
        <w:pStyle w:val="TOC2"/>
        <w:rPr>
          <w:rFonts w:asciiTheme="minorHAnsi" w:eastAsiaTheme="minorEastAsia" w:hAnsiTheme="minorHAnsi" w:cstheme="minorBidi"/>
          <w:sz w:val="22"/>
          <w:szCs w:val="22"/>
          <w:lang w:eastAsia="en-AU"/>
        </w:rPr>
      </w:pPr>
      <w:hyperlink w:anchor="_Toc500860641" w:history="1">
        <w:r w:rsidR="001F38C7" w:rsidRPr="00F02D68">
          <w:rPr>
            <w:rStyle w:val="Hyperlink"/>
          </w:rPr>
          <w:t>Retention of guideline judgment powers</w:t>
        </w:r>
        <w:r w:rsidR="001F38C7">
          <w:rPr>
            <w:webHidden/>
          </w:rPr>
          <w:tab/>
        </w:r>
        <w:r w:rsidR="001F38C7">
          <w:rPr>
            <w:webHidden/>
          </w:rPr>
          <w:fldChar w:fldCharType="begin"/>
        </w:r>
        <w:r w:rsidR="001F38C7">
          <w:rPr>
            <w:webHidden/>
          </w:rPr>
          <w:instrText xml:space="preserve"> PAGEREF _Toc500860641 \h </w:instrText>
        </w:r>
        <w:r w:rsidR="001F38C7">
          <w:rPr>
            <w:webHidden/>
          </w:rPr>
        </w:r>
        <w:r w:rsidR="001F38C7">
          <w:rPr>
            <w:webHidden/>
          </w:rPr>
          <w:fldChar w:fldCharType="separate"/>
        </w:r>
        <w:r w:rsidR="004578E7">
          <w:rPr>
            <w:webHidden/>
          </w:rPr>
          <w:t>9</w:t>
        </w:r>
        <w:r w:rsidR="001F38C7">
          <w:rPr>
            <w:webHidden/>
          </w:rPr>
          <w:fldChar w:fldCharType="end"/>
        </w:r>
      </w:hyperlink>
    </w:p>
    <w:p w14:paraId="3E686C12" w14:textId="77777777" w:rsidR="002B4970" w:rsidRPr="00A37C6E" w:rsidRDefault="004E0688" w:rsidP="001F38C7">
      <w:pPr>
        <w:pStyle w:val="Heading2"/>
        <w:sectPr w:rsidR="002B4970" w:rsidRPr="00A37C6E" w:rsidSect="00DA29C4">
          <w:headerReference w:type="default" r:id="rId18"/>
          <w:footerReference w:type="default" r:id="rId19"/>
          <w:pgSz w:w="11906" w:h="16838"/>
          <w:pgMar w:top="1418" w:right="992" w:bottom="1134" w:left="1134" w:header="851" w:footer="284" w:gutter="0"/>
          <w:paperSrc w:first="7" w:other="7"/>
          <w:pgNumType w:fmt="lowerRoman" w:start="1"/>
          <w:cols w:space="720"/>
          <w:docGrid w:linePitch="299"/>
        </w:sectPr>
      </w:pPr>
      <w:r>
        <w:fldChar w:fldCharType="end"/>
      </w:r>
      <w:r w:rsidR="001F38C7" w:rsidRPr="001F38C7">
        <w:t xml:space="preserve"> </w:t>
      </w:r>
    </w:p>
    <w:p w14:paraId="4706C455" w14:textId="77777777" w:rsidR="007550FB" w:rsidRPr="00D718A9" w:rsidRDefault="007825F3" w:rsidP="00D718A9">
      <w:pPr>
        <w:pStyle w:val="Heading1"/>
      </w:pPr>
      <w:bookmarkStart w:id="1" w:name="_Toc500860623"/>
      <w:r w:rsidRPr="00D718A9">
        <w:lastRenderedPageBreak/>
        <w:t xml:space="preserve">About Victoria </w:t>
      </w:r>
      <w:r w:rsidR="00056388">
        <w:t>L</w:t>
      </w:r>
      <w:r w:rsidRPr="00D718A9">
        <w:t>egal Aid</w:t>
      </w:r>
      <w:bookmarkEnd w:id="1"/>
    </w:p>
    <w:p w14:paraId="69A6C9E4" w14:textId="77777777" w:rsidR="00257158" w:rsidRPr="003F1956" w:rsidRDefault="00257158" w:rsidP="00D718A9">
      <w:pPr>
        <w:rPr>
          <w:rFonts w:ascii="Calibri" w:hAnsi="Calibri"/>
          <w:sz w:val="24"/>
        </w:rPr>
      </w:pPr>
      <w:r w:rsidRPr="003F1956">
        <w:t xml:space="preserve">Victoria Legal Aid (VLA) is an independent statutory authority established under the </w:t>
      </w:r>
      <w:r w:rsidRPr="003F1956">
        <w:rPr>
          <w:i/>
        </w:rPr>
        <w:t>Legal Aid Act</w:t>
      </w:r>
      <w:r w:rsidRPr="003F1956">
        <w:t xml:space="preserve"> </w:t>
      </w:r>
      <w:r w:rsidRPr="003F1956">
        <w:rPr>
          <w:i/>
        </w:rPr>
        <w:t xml:space="preserve">1978 </w:t>
      </w:r>
      <w:r w:rsidRPr="003F1956">
        <w:t xml:space="preserve">(Vic) to provide the community with legal assistance and improved access to justice. </w:t>
      </w:r>
      <w:r w:rsidR="00056388">
        <w:rPr>
          <w:lang w:val="en"/>
        </w:rPr>
        <w:t xml:space="preserve">We </w:t>
      </w:r>
      <w:r w:rsidR="00056388" w:rsidRPr="00984408">
        <w:rPr>
          <w:lang w:val="en"/>
        </w:rPr>
        <w:t>promote a fair and just society where rights and responsibilities are upheld</w:t>
      </w:r>
      <w:r w:rsidR="00056388">
        <w:rPr>
          <w:lang w:val="en"/>
        </w:rPr>
        <w:t xml:space="preserve">, providing </w:t>
      </w:r>
      <w:r w:rsidRPr="003F1956">
        <w:t>legal representation, advice and assistance to socially and economically disadvantaged Victorians in areas including criminal law, child protection, family breakdown, family violence, crime compensation, mental health, guardianship and administration, immigration, social security, discrimination, tenancy, fines and debt. Many of VLA’s clients face multiple and intersecting legal problems across the criminal, civil and family jurisdictions.</w:t>
      </w:r>
    </w:p>
    <w:p w14:paraId="3E9C27F0" w14:textId="77777777" w:rsidR="00257158" w:rsidRPr="003F1956" w:rsidRDefault="00257158" w:rsidP="00D718A9">
      <w:r w:rsidRPr="003F1956">
        <w:t>As the largest criminal defence practice in the State, VLA provides duty lawyer services, advice</w:t>
      </w:r>
      <w:r w:rsidR="00B63899">
        <w:t>,</w:t>
      </w:r>
      <w:r w:rsidRPr="003F1956">
        <w:t xml:space="preserve"> and representation to eligible persons charged with a criminal offence through our in-house criminal legal practice. VLA also funds eligible criminal law services provided by private practitioners, delivers community legal education and provides a free telephone advice service. In </w:t>
      </w:r>
      <w:r w:rsidR="00A46702">
        <w:t>2016-</w:t>
      </w:r>
      <w:r w:rsidR="00930B4B">
        <w:t>17</w:t>
      </w:r>
      <w:r w:rsidR="00A46702">
        <w:t>,</w:t>
      </w:r>
      <w:r w:rsidRPr="003F1956">
        <w:t xml:space="preserve"> VLA assisted </w:t>
      </w:r>
      <w:r w:rsidR="00930B4B">
        <w:t>51,502</w:t>
      </w:r>
      <w:r w:rsidRPr="003F1956">
        <w:t xml:space="preserve"> clients with a criminal law problem,</w:t>
      </w:r>
      <w:r w:rsidRPr="003F1956">
        <w:rPr>
          <w:rStyle w:val="FootnoteReference"/>
        </w:rPr>
        <w:footnoteReference w:id="1"/>
      </w:r>
      <w:r w:rsidRPr="003F1956">
        <w:t xml:space="preserve"> many of whom are socially and economically isolated, have a disability or mental illness and/or are from culturally and ling</w:t>
      </w:r>
      <w:r w:rsidR="00A46702">
        <w:t>uistically diverse backgrounds.</w:t>
      </w:r>
    </w:p>
    <w:p w14:paraId="07B5028D" w14:textId="77777777" w:rsidR="00543737" w:rsidRDefault="00543737" w:rsidP="00D718A9">
      <w:r>
        <w:t>In addition to helping individuals resolve their legal problems, VLA works to address the barriers that prevent people from accessing the justice system. By participating in law reform, we influence the efficient running of the justice system and ensure that the actions of government agencies are held to account. We take on important cases and campaigns that aim to improve the law and mak</w:t>
      </w:r>
      <w:r w:rsidR="00F533C9">
        <w:t>e it fairer for all Victorians.</w:t>
      </w:r>
    </w:p>
    <w:p w14:paraId="462F7EF7" w14:textId="77777777" w:rsidR="00F533C9" w:rsidRPr="003F1956" w:rsidRDefault="00F533C9" w:rsidP="00F533C9">
      <w:r w:rsidRPr="003F1956">
        <w:t>VLA is committed to encouraging a fair and transparent justice system and to using evidence and its experience to improve legal service delivery.</w:t>
      </w:r>
      <w:r w:rsidRPr="003F1956">
        <w:rPr>
          <w:rStyle w:val="FootnoteReference"/>
        </w:rPr>
        <w:footnoteReference w:id="2"/>
      </w:r>
      <w:r>
        <w:t xml:space="preserve"> </w:t>
      </w:r>
    </w:p>
    <w:p w14:paraId="272695DC" w14:textId="77777777" w:rsidR="00F533C9" w:rsidRPr="003F1956" w:rsidRDefault="00F533C9" w:rsidP="00F533C9">
      <w:pPr>
        <w:rPr>
          <w:rFonts w:cs="Arial"/>
          <w:i/>
          <w:sz w:val="20"/>
          <w:szCs w:val="20"/>
        </w:rPr>
      </w:pPr>
      <w:r w:rsidRPr="003F1956">
        <w:t>Given our significant presence in both summary and indictable jurisdictions, VLA is in a unique position to comment</w:t>
      </w:r>
      <w:r>
        <w:t xml:space="preserve"> on the questions raised by the issues paper prepared by the Sentencing Advisory Council. </w:t>
      </w:r>
      <w:r w:rsidRPr="00D718A9">
        <w:t>VLA has also been directly involved in two cases of particular</w:t>
      </w:r>
      <w:r>
        <w:t xml:space="preserve"> relevance to this r</w:t>
      </w:r>
      <w:r w:rsidRPr="00D718A9">
        <w:t xml:space="preserve">eference – </w:t>
      </w:r>
      <w:r w:rsidRPr="00D718A9">
        <w:rPr>
          <w:i/>
        </w:rPr>
        <w:t xml:space="preserve">DPP v Walters </w:t>
      </w:r>
      <w:r w:rsidRPr="00D718A9">
        <w:rPr>
          <w:i/>
          <w:lang w:eastAsia="en-AU"/>
        </w:rPr>
        <w:t>(a pseudonym)</w:t>
      </w:r>
      <w:r w:rsidRPr="00D718A9">
        <w:rPr>
          <w:rStyle w:val="FootnoteReference"/>
        </w:rPr>
        <w:footnoteReference w:id="3"/>
      </w:r>
      <w:r w:rsidRPr="00D718A9">
        <w:t xml:space="preserve"> and </w:t>
      </w:r>
      <w:proofErr w:type="spellStart"/>
      <w:r w:rsidRPr="00D718A9">
        <w:rPr>
          <w:i/>
        </w:rPr>
        <w:t>Boulton</w:t>
      </w:r>
      <w:proofErr w:type="spellEnd"/>
      <w:r w:rsidRPr="00D718A9">
        <w:rPr>
          <w:i/>
        </w:rPr>
        <w:t xml:space="preserve"> v The Queen</w:t>
      </w:r>
      <w:r w:rsidRPr="00D718A9">
        <w:t>.</w:t>
      </w:r>
      <w:r w:rsidRPr="00D718A9">
        <w:rPr>
          <w:rStyle w:val="FootnoteReference"/>
        </w:rPr>
        <w:footnoteReference w:id="4"/>
      </w:r>
    </w:p>
    <w:p w14:paraId="0E4FE162" w14:textId="77777777" w:rsidR="007825F3" w:rsidRPr="00D718A9" w:rsidRDefault="007D7535" w:rsidP="00D718A9">
      <w:pPr>
        <w:pStyle w:val="Heading1"/>
      </w:pPr>
      <w:r>
        <w:br w:type="page"/>
      </w:r>
      <w:bookmarkStart w:id="2" w:name="_Toc500860624"/>
      <w:r w:rsidR="007825F3" w:rsidRPr="003D285F">
        <w:lastRenderedPageBreak/>
        <w:t>Executive Summary</w:t>
      </w:r>
      <w:bookmarkEnd w:id="2"/>
    </w:p>
    <w:p w14:paraId="29861284" w14:textId="77777777" w:rsidR="00B44C19" w:rsidRDefault="00543737" w:rsidP="00D718A9">
      <w:pPr>
        <w:rPr>
          <w:i/>
        </w:rPr>
      </w:pPr>
      <w:r w:rsidRPr="00543737">
        <w:rPr>
          <w:lang w:val="en"/>
        </w:rPr>
        <w:t xml:space="preserve">VLA </w:t>
      </w:r>
      <w:r w:rsidRPr="00543737">
        <w:t xml:space="preserve">welcomes the opportunity to contribute to the Sentencing Advisory Council’s (SAC) </w:t>
      </w:r>
      <w:r w:rsidR="00F533C9">
        <w:t>consultation</w:t>
      </w:r>
      <w:r w:rsidRPr="00543737">
        <w:t xml:space="preserve"> on </w:t>
      </w:r>
      <w:r w:rsidRPr="00543737">
        <w:rPr>
          <w:i/>
        </w:rPr>
        <w:t>A Sentencing G</w:t>
      </w:r>
      <w:r w:rsidR="00F533C9">
        <w:rPr>
          <w:i/>
        </w:rPr>
        <w:t>uidelines Council for Victoria.</w:t>
      </w:r>
    </w:p>
    <w:p w14:paraId="17812859" w14:textId="158A9967" w:rsidR="00C50F3D" w:rsidRDefault="00056388" w:rsidP="00C50F3D">
      <w:r>
        <w:t>We</w:t>
      </w:r>
      <w:r w:rsidR="00C50F3D">
        <w:t xml:space="preserve"> welcome </w:t>
      </w:r>
      <w:r w:rsidR="00CC2292">
        <w:t xml:space="preserve">the introduction of a Sentencing Guidelines Council in Victoria </w:t>
      </w:r>
      <w:r w:rsidR="00C50F3D">
        <w:t xml:space="preserve">and the positive outcomes that </w:t>
      </w:r>
      <w:r w:rsidR="00CC2292">
        <w:t xml:space="preserve">it </w:t>
      </w:r>
      <w:r w:rsidR="00C50F3D">
        <w:t>can achieve</w:t>
      </w:r>
      <w:r w:rsidR="00E20DB7">
        <w:t xml:space="preserve">, including </w:t>
      </w:r>
      <w:r w:rsidR="00C50F3D">
        <w:t>greater public confidence</w:t>
      </w:r>
      <w:r>
        <w:t xml:space="preserve"> in the criminal justice system</w:t>
      </w:r>
      <w:r w:rsidR="006868EF">
        <w:t xml:space="preserve"> through</w:t>
      </w:r>
      <w:r w:rsidR="00E20DB7">
        <w:t xml:space="preserve"> </w:t>
      </w:r>
      <w:r w:rsidR="00C50F3D">
        <w:t>better understanding of sentencing process</w:t>
      </w:r>
      <w:r w:rsidR="00CC2292">
        <w:t>es</w:t>
      </w:r>
      <w:r w:rsidR="00C50F3D">
        <w:t xml:space="preserve">, and </w:t>
      </w:r>
      <w:r w:rsidR="00E96116">
        <w:t xml:space="preserve">more consistent approaches to sentencing. </w:t>
      </w:r>
    </w:p>
    <w:p w14:paraId="50F5A25E" w14:textId="25CC8D27" w:rsidR="007A50D8" w:rsidRDefault="00E96116" w:rsidP="00CC2292">
      <w:r>
        <w:t xml:space="preserve">A </w:t>
      </w:r>
      <w:r w:rsidR="007A50D8">
        <w:t xml:space="preserve">Sentencing Guidelines Council </w:t>
      </w:r>
      <w:r>
        <w:t xml:space="preserve">is </w:t>
      </w:r>
      <w:r w:rsidR="007A50D8">
        <w:t xml:space="preserve">a way to increase </w:t>
      </w:r>
      <w:r w:rsidR="00CC2292">
        <w:t>public</w:t>
      </w:r>
      <w:r w:rsidR="007A50D8">
        <w:t xml:space="preserve"> confidence </w:t>
      </w:r>
      <w:r w:rsidR="00CC2292">
        <w:t>in the sentencing process and the crim</w:t>
      </w:r>
      <w:r w:rsidR="007A50D8">
        <w:t xml:space="preserve">inal justice system as a whole. </w:t>
      </w:r>
      <w:r>
        <w:t>P</w:t>
      </w:r>
      <w:r w:rsidR="007A50D8">
        <w:t>ublic education, greater transparency, and measures to promote community “buy-in”—all of which can be achieve</w:t>
      </w:r>
      <w:r w:rsidR="009E20BB">
        <w:t>d</w:t>
      </w:r>
      <w:r w:rsidR="007A50D8">
        <w:t xml:space="preserve"> through a Sentencing Guidelines Council—are critical to greater public acceptance and understanding of sentencing practice. </w:t>
      </w:r>
    </w:p>
    <w:p w14:paraId="68629830" w14:textId="52135E2A" w:rsidR="00E96116" w:rsidRDefault="00E96116">
      <w:r>
        <w:t>Conversely, r</w:t>
      </w:r>
      <w:r w:rsidR="007A50D8">
        <w:t>esearch indicates that public dissatisfaction with sentencing practice is tied to a lack of community understanding about sentencing, rather than with sentencing practice itself. We believe that a properly developed and constituted Sentencing Guidelines Council can fill this void in community understanding on an ongoing, long-term basis.</w:t>
      </w:r>
      <w:r w:rsidR="009253F2">
        <w:t xml:space="preserve"> </w:t>
      </w:r>
    </w:p>
    <w:p w14:paraId="7A62C749" w14:textId="2668E36A" w:rsidR="003740B7" w:rsidRDefault="00942AA2">
      <w:pPr>
        <w:rPr>
          <w:szCs w:val="22"/>
        </w:rPr>
      </w:pPr>
      <w:r w:rsidRPr="00F24250">
        <w:rPr>
          <w:szCs w:val="22"/>
          <w:lang w:eastAsia="en-AU"/>
        </w:rPr>
        <w:t xml:space="preserve">VLA supports </w:t>
      </w:r>
      <w:r>
        <w:rPr>
          <w:szCs w:val="22"/>
          <w:lang w:eastAsia="en-AU"/>
        </w:rPr>
        <w:t xml:space="preserve">the </w:t>
      </w:r>
      <w:r w:rsidRPr="00F24250">
        <w:rPr>
          <w:szCs w:val="22"/>
          <w:lang w:eastAsia="en-AU"/>
        </w:rPr>
        <w:t>remov</w:t>
      </w:r>
      <w:r>
        <w:rPr>
          <w:szCs w:val="22"/>
          <w:lang w:eastAsia="en-AU"/>
        </w:rPr>
        <w:t>al of</w:t>
      </w:r>
      <w:r w:rsidRPr="00F24250">
        <w:rPr>
          <w:szCs w:val="22"/>
          <w:lang w:eastAsia="en-AU"/>
        </w:rPr>
        <w:t xml:space="preserve"> unnecessary complexity in sentencing</w:t>
      </w:r>
      <w:r>
        <w:rPr>
          <w:szCs w:val="22"/>
          <w:lang w:eastAsia="en-AU"/>
        </w:rPr>
        <w:t xml:space="preserve"> and the introduction of </w:t>
      </w:r>
      <w:r w:rsidRPr="00075DDE">
        <w:rPr>
          <w:szCs w:val="22"/>
          <w:lang w:eastAsia="en-AU"/>
        </w:rPr>
        <w:t>a simplified and better integrated sentencing framework</w:t>
      </w:r>
      <w:r>
        <w:rPr>
          <w:szCs w:val="22"/>
          <w:lang w:eastAsia="en-AU"/>
        </w:rPr>
        <w:t xml:space="preserve">. </w:t>
      </w:r>
      <w:r w:rsidR="00E96116">
        <w:rPr>
          <w:szCs w:val="22"/>
          <w:lang w:eastAsia="en-AU"/>
        </w:rPr>
        <w:t>O</w:t>
      </w:r>
      <w:r>
        <w:rPr>
          <w:szCs w:val="22"/>
          <w:lang w:eastAsia="en-AU"/>
        </w:rPr>
        <w:t xml:space="preserve">ur </w:t>
      </w:r>
      <w:r w:rsidRPr="00F24250">
        <w:rPr>
          <w:szCs w:val="22"/>
          <w:lang w:eastAsia="en-AU"/>
        </w:rPr>
        <w:t>practice experience is that judicial discretion in sentencing is central to the administration of</w:t>
      </w:r>
      <w:r w:rsidRPr="00075DDE">
        <w:rPr>
          <w:szCs w:val="22"/>
          <w:lang w:eastAsia="en-AU"/>
        </w:rPr>
        <w:t xml:space="preserve"> justice</w:t>
      </w:r>
      <w:r w:rsidR="00E96116">
        <w:rPr>
          <w:szCs w:val="22"/>
          <w:lang w:eastAsia="en-AU"/>
        </w:rPr>
        <w:t xml:space="preserve"> and to just outcomes for all involved in the criminal justice system</w:t>
      </w:r>
      <w:r w:rsidRPr="00075DDE">
        <w:rPr>
          <w:szCs w:val="22"/>
          <w:lang w:eastAsia="en-AU"/>
        </w:rPr>
        <w:t xml:space="preserve">. </w:t>
      </w:r>
      <w:r w:rsidRPr="00075DDE">
        <w:rPr>
          <w:szCs w:val="22"/>
        </w:rPr>
        <w:t>We support a model for a Sentencing Guidelines Council that assists with the difficult task of sentencing by providing guidance and structure</w:t>
      </w:r>
      <w:r>
        <w:rPr>
          <w:szCs w:val="22"/>
        </w:rPr>
        <w:t xml:space="preserve">, without </w:t>
      </w:r>
      <w:r w:rsidRPr="00075DDE">
        <w:rPr>
          <w:szCs w:val="22"/>
        </w:rPr>
        <w:t>interfer</w:t>
      </w:r>
      <w:r>
        <w:rPr>
          <w:szCs w:val="22"/>
        </w:rPr>
        <w:t>ing</w:t>
      </w:r>
      <w:r w:rsidRPr="00075DDE">
        <w:rPr>
          <w:szCs w:val="22"/>
        </w:rPr>
        <w:t xml:space="preserve"> with judicial discretion</w:t>
      </w:r>
      <w:r>
        <w:rPr>
          <w:szCs w:val="22"/>
        </w:rPr>
        <w:t xml:space="preserve">. </w:t>
      </w:r>
    </w:p>
    <w:p w14:paraId="3A84453D" w14:textId="35F5FA28" w:rsidR="00F62F0D" w:rsidRDefault="00056388">
      <w:r w:rsidRPr="00105AC6">
        <w:t xml:space="preserve">VLA’s submission prioritises the need for an open and fair process </w:t>
      </w:r>
      <w:r w:rsidR="00027224">
        <w:t xml:space="preserve">during the development </w:t>
      </w:r>
      <w:r w:rsidR="003740B7">
        <w:t xml:space="preserve">of </w:t>
      </w:r>
      <w:r w:rsidR="00931EFC">
        <w:t>sentencing guidelines.</w:t>
      </w:r>
      <w:r w:rsidR="00027224">
        <w:t xml:space="preserve"> </w:t>
      </w:r>
      <w:r w:rsidR="00931EFC">
        <w:t xml:space="preserve">We </w:t>
      </w:r>
      <w:r w:rsidR="00F105AC">
        <w:t xml:space="preserve">support judicial majority membership on the Council </w:t>
      </w:r>
      <w:r w:rsidR="00E96116">
        <w:t xml:space="preserve">but </w:t>
      </w:r>
      <w:r w:rsidR="00931EFC">
        <w:t xml:space="preserve">note that </w:t>
      </w:r>
      <w:r w:rsidR="00E96116">
        <w:t xml:space="preserve">community </w:t>
      </w:r>
      <w:r w:rsidR="00CC2292">
        <w:t xml:space="preserve">representation </w:t>
      </w:r>
      <w:r w:rsidR="00AF4E2D">
        <w:t xml:space="preserve">is integral </w:t>
      </w:r>
      <w:r w:rsidR="00E96116">
        <w:t xml:space="preserve">to ensure that a range of experiences are </w:t>
      </w:r>
      <w:r w:rsidR="0035742A">
        <w:t>taken</w:t>
      </w:r>
      <w:r w:rsidR="00E96116">
        <w:t xml:space="preserve"> into account and </w:t>
      </w:r>
      <w:r w:rsidR="0035742A">
        <w:t xml:space="preserve">to ensure </w:t>
      </w:r>
      <w:r w:rsidR="00AF4E2D">
        <w:t xml:space="preserve">public confidence in the body. </w:t>
      </w:r>
      <w:r w:rsidR="00CC2292">
        <w:t xml:space="preserve">We support </w:t>
      </w:r>
      <w:r w:rsidR="00AF4E2D">
        <w:t>representation</w:t>
      </w:r>
      <w:r w:rsidR="00931EFC">
        <w:t xml:space="preserve"> on the Council</w:t>
      </w:r>
      <w:r w:rsidR="00CC2292">
        <w:t xml:space="preserve"> that takes into account </w:t>
      </w:r>
      <w:r w:rsidR="00CC2292">
        <w:rPr>
          <w:lang w:val="en-US"/>
        </w:rPr>
        <w:t>the experiences of vulnerable and over</w:t>
      </w:r>
      <w:r w:rsidR="00E96116">
        <w:rPr>
          <w:lang w:val="en-US"/>
        </w:rPr>
        <w:t>-</w:t>
      </w:r>
      <w:r w:rsidR="00CC2292">
        <w:rPr>
          <w:lang w:val="en-US"/>
        </w:rPr>
        <w:t xml:space="preserve">represented groups in our criminal justice system. We draw particular attention to </w:t>
      </w:r>
      <w:r w:rsidR="00AF4E2D">
        <w:t>the</w:t>
      </w:r>
      <w:r w:rsidR="0022198F">
        <w:t xml:space="preserve"> </w:t>
      </w:r>
      <w:r w:rsidR="00CC2292">
        <w:t xml:space="preserve">need to </w:t>
      </w:r>
      <w:r w:rsidR="0022198F">
        <w:t xml:space="preserve">reflect the unique experience of </w:t>
      </w:r>
      <w:r w:rsidR="00CC2292">
        <w:t xml:space="preserve">Aboriginal and Torres Strait Islander people (ATSI) </w:t>
      </w:r>
      <w:r w:rsidR="0022198F">
        <w:t xml:space="preserve">and women in the criminal justice system. </w:t>
      </w:r>
    </w:p>
    <w:p w14:paraId="7F61099A" w14:textId="0312F260" w:rsidR="0022198F" w:rsidRDefault="009E20BB">
      <w:r>
        <w:t xml:space="preserve">VLA’s institutional role means that it has both statutory and legal practice </w:t>
      </w:r>
      <w:r w:rsidR="00F62F0D">
        <w:rPr>
          <w:lang w:val="en-US"/>
        </w:rPr>
        <w:t xml:space="preserve">expertise relating to </w:t>
      </w:r>
      <w:r w:rsidR="00C55AE2">
        <w:rPr>
          <w:lang w:val="en-US"/>
        </w:rPr>
        <w:t xml:space="preserve">the administration of the criminal justice system and </w:t>
      </w:r>
      <w:r w:rsidR="00F62F0D">
        <w:rPr>
          <w:lang w:val="en-US"/>
        </w:rPr>
        <w:t>vulnerable and over</w:t>
      </w:r>
      <w:r w:rsidR="00E96116">
        <w:rPr>
          <w:lang w:val="en-US"/>
        </w:rPr>
        <w:t>-</w:t>
      </w:r>
      <w:r w:rsidR="00F62F0D">
        <w:rPr>
          <w:lang w:val="en-US"/>
        </w:rPr>
        <w:t>represented groups in our criminal justice system</w:t>
      </w:r>
      <w:r w:rsidR="00C55AE2">
        <w:rPr>
          <w:lang w:val="en-US"/>
        </w:rPr>
        <w:t>. VLA</w:t>
      </w:r>
      <w:r w:rsidR="00F62F0D" w:rsidRPr="00F62F0D">
        <w:rPr>
          <w:lang w:val="en"/>
        </w:rPr>
        <w:t xml:space="preserve"> </w:t>
      </w:r>
      <w:r w:rsidR="00C55AE2">
        <w:rPr>
          <w:lang w:val="en"/>
        </w:rPr>
        <w:t>would be able to</w:t>
      </w:r>
      <w:r>
        <w:rPr>
          <w:lang w:val="en"/>
        </w:rPr>
        <w:t xml:space="preserve"> provide quantitative and qualitative evidence to support the </w:t>
      </w:r>
      <w:r w:rsidR="00F62F0D">
        <w:rPr>
          <w:lang w:val="en"/>
        </w:rPr>
        <w:t xml:space="preserve">work of the </w:t>
      </w:r>
      <w:r>
        <w:rPr>
          <w:lang w:val="en"/>
        </w:rPr>
        <w:t xml:space="preserve">proposed </w:t>
      </w:r>
      <w:r w:rsidR="00F62F0D">
        <w:rPr>
          <w:lang w:val="en"/>
        </w:rPr>
        <w:t xml:space="preserve">Sentencing Guidelines Council, and </w:t>
      </w:r>
      <w:r>
        <w:t xml:space="preserve">we recommend that VLA be represented </w:t>
      </w:r>
      <w:r w:rsidR="00F62F0D">
        <w:t>on the Council</w:t>
      </w:r>
      <w:r w:rsidR="00E96116">
        <w:t xml:space="preserve"> </w:t>
      </w:r>
      <w:r w:rsidR="008F461F">
        <w:rPr>
          <w:lang w:val="en"/>
        </w:rPr>
        <w:t>alongside</w:t>
      </w:r>
      <w:r>
        <w:rPr>
          <w:lang w:val="en"/>
        </w:rPr>
        <w:t xml:space="preserve"> the DPP</w:t>
      </w:r>
      <w:r w:rsidR="00E96116">
        <w:rPr>
          <w:lang w:val="en"/>
        </w:rPr>
        <w:t xml:space="preserve"> or </w:t>
      </w:r>
      <w:r>
        <w:rPr>
          <w:lang w:val="en"/>
        </w:rPr>
        <w:t xml:space="preserve">OPP.  This reflects the current role and standing of both institutions in the </w:t>
      </w:r>
      <w:r w:rsidRPr="001F1899">
        <w:rPr>
          <w:i/>
          <w:lang w:val="en"/>
        </w:rPr>
        <w:t>Sentencing Act</w:t>
      </w:r>
      <w:r>
        <w:rPr>
          <w:lang w:val="en"/>
        </w:rPr>
        <w:t xml:space="preserve"> guideline judgment provisions.</w:t>
      </w:r>
    </w:p>
    <w:p w14:paraId="48BA4DFC" w14:textId="4B7F1E74" w:rsidR="00E20DB7" w:rsidRDefault="00F62F0D" w:rsidP="00922C6E">
      <w:r>
        <w:t>We believe that, when consulting other stakeholders and members of the community</w:t>
      </w:r>
      <w:r w:rsidR="003740B7">
        <w:t xml:space="preserve"> on the development of guidelines</w:t>
      </w:r>
      <w:r>
        <w:t>, c</w:t>
      </w:r>
      <w:r w:rsidR="005D2234">
        <w:t xml:space="preserve">onsideration </w:t>
      </w:r>
      <w:r w:rsidR="00166FDF">
        <w:t xml:space="preserve">should be </w:t>
      </w:r>
      <w:r w:rsidR="005D2234">
        <w:t xml:space="preserve">given </w:t>
      </w:r>
      <w:r>
        <w:t>to</w:t>
      </w:r>
      <w:r w:rsidR="005D2234">
        <w:t xml:space="preserve"> inequali</w:t>
      </w:r>
      <w:r w:rsidR="00F07AE8">
        <w:t>ty</w:t>
      </w:r>
      <w:r w:rsidR="005D2234">
        <w:t xml:space="preserve"> of </w:t>
      </w:r>
      <w:r w:rsidR="00984408">
        <w:t>resources</w:t>
      </w:r>
      <w:r w:rsidR="00166FDF">
        <w:t xml:space="preserve"> </w:t>
      </w:r>
      <w:r>
        <w:t xml:space="preserve">and </w:t>
      </w:r>
      <w:r w:rsidR="005D2234">
        <w:t xml:space="preserve">the ability of </w:t>
      </w:r>
      <w:r w:rsidR="00E96116">
        <w:t xml:space="preserve">all </w:t>
      </w:r>
      <w:r w:rsidR="005D2234">
        <w:t xml:space="preserve">parties to be involved in the consultation process. </w:t>
      </w:r>
      <w:r w:rsidR="00E4420E">
        <w:t xml:space="preserve">If </w:t>
      </w:r>
      <w:r w:rsidR="005D2234">
        <w:t xml:space="preserve">stakeholders do not have adequate resources to provide genuine input in </w:t>
      </w:r>
      <w:r w:rsidR="00E20DB7">
        <w:t xml:space="preserve">the consultation </w:t>
      </w:r>
      <w:r w:rsidR="005D2234">
        <w:t>process</w:t>
      </w:r>
      <w:r w:rsidR="00E20DB7">
        <w:t>,</w:t>
      </w:r>
      <w:r w:rsidR="005D2234">
        <w:t xml:space="preserve"> then the </w:t>
      </w:r>
      <w:r w:rsidR="00E20DB7">
        <w:t xml:space="preserve">end result may </w:t>
      </w:r>
      <w:r w:rsidR="005D2234">
        <w:t>be skewe</w:t>
      </w:r>
      <w:r w:rsidR="003740B7">
        <w:t>d</w:t>
      </w:r>
      <w:r w:rsidR="005D2234">
        <w:t xml:space="preserve"> to those that </w:t>
      </w:r>
      <w:r w:rsidR="007C1FED">
        <w:t>do have</w:t>
      </w:r>
      <w:r w:rsidR="005D2234">
        <w:t xml:space="preserve"> </w:t>
      </w:r>
      <w:r w:rsidR="00E20DB7">
        <w:t xml:space="preserve">such resources. </w:t>
      </w:r>
    </w:p>
    <w:p w14:paraId="2E4E8BE6" w14:textId="77777777" w:rsidR="00922C6E" w:rsidRDefault="00315C4A" w:rsidP="00922C6E">
      <w:r w:rsidRPr="003F1956">
        <w:rPr>
          <w:lang w:eastAsia="en-AU"/>
        </w:rPr>
        <w:t>If we are serious about improving p</w:t>
      </w:r>
      <w:r>
        <w:rPr>
          <w:lang w:eastAsia="en-AU"/>
        </w:rPr>
        <w:t>ublic confidence</w:t>
      </w:r>
      <w:r w:rsidRPr="003F1956">
        <w:rPr>
          <w:lang w:eastAsia="en-AU"/>
        </w:rPr>
        <w:t>, non-legislative measures such as community education, research and evaluation should also be prioritised and properly resourced.</w:t>
      </w:r>
    </w:p>
    <w:p w14:paraId="1659B7BF" w14:textId="77777777" w:rsidR="00922C6E" w:rsidRDefault="00922C6E" w:rsidP="00D718A9">
      <w:pPr>
        <w:rPr>
          <w:lang w:eastAsia="en-AU"/>
        </w:rPr>
      </w:pPr>
      <w:r>
        <w:rPr>
          <w:lang w:eastAsia="en-AU"/>
        </w:rPr>
        <w:t>We hope the information we provide is of assistance</w:t>
      </w:r>
      <w:r w:rsidR="00E20DB7">
        <w:rPr>
          <w:lang w:eastAsia="en-AU"/>
        </w:rPr>
        <w:t>, look forward to future close collaboration,</w:t>
      </w:r>
      <w:r>
        <w:rPr>
          <w:lang w:eastAsia="en-AU"/>
        </w:rPr>
        <w:t xml:space="preserve"> and would be pleased to provide any further information </w:t>
      </w:r>
      <w:r w:rsidR="00E20DB7">
        <w:rPr>
          <w:lang w:eastAsia="en-AU"/>
        </w:rPr>
        <w:t xml:space="preserve">as </w:t>
      </w:r>
      <w:r>
        <w:rPr>
          <w:lang w:eastAsia="en-AU"/>
        </w:rPr>
        <w:t xml:space="preserve">required. </w:t>
      </w:r>
    </w:p>
    <w:p w14:paraId="0AEACEEA" w14:textId="77777777" w:rsidR="001F38C7" w:rsidRPr="00D718A9" w:rsidRDefault="00E20DB7" w:rsidP="001F38C7">
      <w:pPr>
        <w:pStyle w:val="Heading1"/>
      </w:pPr>
      <w:bookmarkStart w:id="3" w:name="_Toc500860625"/>
      <w:r>
        <w:lastRenderedPageBreak/>
        <w:t>Our</w:t>
      </w:r>
      <w:r w:rsidR="001F38C7">
        <w:t xml:space="preserve"> recommendations</w:t>
      </w:r>
      <w:bookmarkEnd w:id="3"/>
      <w:r w:rsidR="001F38C7">
        <w:t xml:space="preserve"> </w:t>
      </w:r>
    </w:p>
    <w:p w14:paraId="6D10A725" w14:textId="77777777" w:rsidR="00892D2D" w:rsidRPr="00D718A9" w:rsidRDefault="00E32F35" w:rsidP="00EE0338">
      <w:pPr>
        <w:pStyle w:val="Heading2"/>
      </w:pPr>
      <w:bookmarkStart w:id="4" w:name="_Toc500860626"/>
      <w:r w:rsidRPr="00D718A9">
        <w:t>Guiding p</w:t>
      </w:r>
      <w:r w:rsidR="00892D2D" w:rsidRPr="00D718A9">
        <w:t>urposes of the sentencing guidelines council</w:t>
      </w:r>
      <w:bookmarkEnd w:id="4"/>
    </w:p>
    <w:p w14:paraId="32E922DD" w14:textId="77777777" w:rsidR="003A1C4F" w:rsidRPr="009C1D29" w:rsidRDefault="00F105AC" w:rsidP="00D718A9">
      <w:pPr>
        <w:rPr>
          <w:lang w:eastAsia="en-AU"/>
        </w:rPr>
      </w:pPr>
      <w:r>
        <w:t xml:space="preserve">The proposed </w:t>
      </w:r>
      <w:r w:rsidR="00D952D6">
        <w:t xml:space="preserve">purposes of the </w:t>
      </w:r>
      <w:r w:rsidR="009C1D29" w:rsidRPr="009C1D29">
        <w:t>Sentencing G</w:t>
      </w:r>
      <w:r w:rsidR="003A1C4F" w:rsidRPr="009C1D29">
        <w:t>uideli</w:t>
      </w:r>
      <w:r w:rsidR="009C1D29" w:rsidRPr="009C1D29">
        <w:t>nes C</w:t>
      </w:r>
      <w:r w:rsidR="003A1C4F" w:rsidRPr="009C1D29">
        <w:t xml:space="preserve">ouncil </w:t>
      </w:r>
      <w:r w:rsidR="00E20DB7">
        <w:t xml:space="preserve">are </w:t>
      </w:r>
      <w:r w:rsidR="00D952D6">
        <w:t>to produce sentencing guidelines that</w:t>
      </w:r>
      <w:r w:rsidR="007666D0" w:rsidRPr="009C1D29">
        <w:t>:</w:t>
      </w:r>
    </w:p>
    <w:p w14:paraId="34EB4BD5" w14:textId="77777777" w:rsidR="003A1C4F" w:rsidRPr="00D952D6" w:rsidRDefault="00D952D6" w:rsidP="00FA09AD">
      <w:pPr>
        <w:pStyle w:val="ListBullet"/>
        <w:ind w:left="369" w:hanging="369"/>
      </w:pPr>
      <w:r w:rsidRPr="00D952D6">
        <w:t>promote</w:t>
      </w:r>
      <w:r w:rsidR="003A1C4F" w:rsidRPr="00D952D6">
        <w:t xml:space="preserve"> </w:t>
      </w:r>
      <w:r w:rsidR="003A1C4F" w:rsidRPr="00CC4CFD">
        <w:t>consistency</w:t>
      </w:r>
      <w:r w:rsidR="003A1C4F" w:rsidRPr="00D952D6">
        <w:t xml:space="preserve"> of approach in sentencing; and</w:t>
      </w:r>
    </w:p>
    <w:p w14:paraId="41C8F229" w14:textId="77777777" w:rsidR="003A1C4F" w:rsidRPr="00CC4CFD" w:rsidRDefault="00D952D6" w:rsidP="00FA09AD">
      <w:pPr>
        <w:pStyle w:val="ListBullet"/>
        <w:ind w:left="369" w:hanging="369"/>
      </w:pPr>
      <w:r w:rsidRPr="0071496C">
        <w:rPr>
          <w:rFonts w:cs="Arial"/>
          <w:szCs w:val="22"/>
        </w:rPr>
        <w:t>promote</w:t>
      </w:r>
      <w:r w:rsidR="003A1C4F" w:rsidRPr="00CC4CFD">
        <w:t xml:space="preserve"> public confidence in the criminal justice system.</w:t>
      </w:r>
    </w:p>
    <w:p w14:paraId="54FEE92F" w14:textId="77777777" w:rsidR="006031D8" w:rsidRDefault="00D952D6" w:rsidP="00CC4CFD">
      <w:r>
        <w:t>VLA supports these purposes. P</w:t>
      </w:r>
      <w:r w:rsidR="008E3479">
        <w:t>romoting a consistent</w:t>
      </w:r>
      <w:r w:rsidR="00C82D78">
        <w:t xml:space="preserve"> and easily understood</w:t>
      </w:r>
      <w:r w:rsidR="008E3479">
        <w:t xml:space="preserve"> approach to sentencing has significant benefits for those involved in the criminal justice system</w:t>
      </w:r>
      <w:r w:rsidR="00C82D78">
        <w:t xml:space="preserve"> and for the public at large</w:t>
      </w:r>
      <w:r w:rsidR="008E3479">
        <w:t>. The</w:t>
      </w:r>
      <w:r w:rsidR="00C82D78">
        <w:t>se</w:t>
      </w:r>
      <w:r w:rsidR="008E3479">
        <w:t xml:space="preserve"> benefits inclu</w:t>
      </w:r>
      <w:r w:rsidR="007654B3">
        <w:t xml:space="preserve">de </w:t>
      </w:r>
      <w:r w:rsidR="00CC4CFD">
        <w:t>increas</w:t>
      </w:r>
      <w:r w:rsidR="00C82D78">
        <w:t>ed</w:t>
      </w:r>
      <w:r w:rsidR="00CC4CFD">
        <w:t xml:space="preserve"> transparency and </w:t>
      </w:r>
      <w:r w:rsidR="006031D8">
        <w:t xml:space="preserve">the </w:t>
      </w:r>
      <w:r w:rsidR="007654B3">
        <w:t xml:space="preserve">dispelling </w:t>
      </w:r>
      <w:r w:rsidR="006031D8">
        <w:t xml:space="preserve">of </w:t>
      </w:r>
      <w:r w:rsidR="007654B3">
        <w:t xml:space="preserve">myths around the decision-making </w:t>
      </w:r>
      <w:r w:rsidR="008E3479">
        <w:t>p</w:t>
      </w:r>
      <w:r w:rsidR="007654B3">
        <w:t>rocess</w:t>
      </w:r>
      <w:r w:rsidR="00F36614">
        <w:t xml:space="preserve"> in sentencing</w:t>
      </w:r>
      <w:r w:rsidR="007654B3">
        <w:t xml:space="preserve">. </w:t>
      </w:r>
    </w:p>
    <w:p w14:paraId="52448531" w14:textId="77777777" w:rsidR="000A230F" w:rsidRDefault="000A230F" w:rsidP="00CC4CFD">
      <w:r>
        <w:t xml:space="preserve">We know that with increased education and understanding of the system comes increased confidence by the public, both in the sentencing process and the criminal justice system as a whole. </w:t>
      </w:r>
    </w:p>
    <w:p w14:paraId="29B68FD4" w14:textId="1500C0B7" w:rsidR="00440C65" w:rsidRDefault="00AF4E2D" w:rsidP="00ED25DE">
      <w:r>
        <w:t xml:space="preserve">Research </w:t>
      </w:r>
      <w:r w:rsidR="00103588">
        <w:t xml:space="preserve">in both </w:t>
      </w:r>
      <w:r>
        <w:t xml:space="preserve">Victoria and England demonstrates that if members of the community are provided with the same information as the sentencing judge (for example programs such as ‘Virtual You Be The Judge’), </w:t>
      </w:r>
      <w:r w:rsidRPr="003F1956">
        <w:rPr>
          <w:lang w:eastAsia="en-AU"/>
        </w:rPr>
        <w:t>most users imposed sentences that were roughly consistent with that imposed by the judicial official.</w:t>
      </w:r>
      <w:r w:rsidRPr="003F1956">
        <w:rPr>
          <w:rStyle w:val="FootnoteReference"/>
          <w:lang w:eastAsia="en-AU"/>
        </w:rPr>
        <w:footnoteReference w:id="5"/>
      </w:r>
      <w:r w:rsidRPr="003F1956">
        <w:rPr>
          <w:rStyle w:val="FootnoteReference"/>
          <w:lang w:eastAsia="en-AU"/>
        </w:rPr>
        <w:t xml:space="preserve"> </w:t>
      </w:r>
      <w:r w:rsidR="00ED25DE">
        <w:rPr>
          <w:lang w:eastAsia="en-AU"/>
        </w:rPr>
        <w:t xml:space="preserve"> The studies suggest </w:t>
      </w:r>
      <w:r w:rsidR="00ED25DE" w:rsidRPr="003F1956">
        <w:rPr>
          <w:lang w:eastAsia="en-AU"/>
        </w:rPr>
        <w:t xml:space="preserve">there is a gap between the views of informed and uninformed members of the community, with “informed members of the public overwhelmingly </w:t>
      </w:r>
      <w:proofErr w:type="spellStart"/>
      <w:r w:rsidR="00ED25DE" w:rsidRPr="003F1956">
        <w:rPr>
          <w:lang w:eastAsia="en-AU"/>
        </w:rPr>
        <w:t>approv</w:t>
      </w:r>
      <w:proofErr w:type="spellEnd"/>
      <w:r w:rsidR="00ED25DE" w:rsidRPr="003F1956">
        <w:rPr>
          <w:lang w:eastAsia="en-AU"/>
        </w:rPr>
        <w:t>[</w:t>
      </w:r>
      <w:proofErr w:type="spellStart"/>
      <w:r w:rsidR="00ED25DE" w:rsidRPr="003F1956">
        <w:rPr>
          <w:lang w:eastAsia="en-AU"/>
        </w:rPr>
        <w:t>ing</w:t>
      </w:r>
      <w:proofErr w:type="spellEnd"/>
      <w:r w:rsidR="00ED25DE" w:rsidRPr="003F1956">
        <w:rPr>
          <w:lang w:eastAsia="en-AU"/>
        </w:rPr>
        <w:t>] of the sentences given by our judges”.</w:t>
      </w:r>
      <w:r w:rsidR="00ED25DE" w:rsidRPr="003F1956">
        <w:rPr>
          <w:rStyle w:val="FootnoteReference"/>
          <w:lang w:eastAsia="en-AU"/>
        </w:rPr>
        <w:footnoteReference w:id="6"/>
      </w:r>
      <w:r w:rsidR="00ED25DE" w:rsidRPr="003F1956">
        <w:rPr>
          <w:lang w:eastAsia="en-AU"/>
        </w:rPr>
        <w:t xml:space="preserve"> </w:t>
      </w:r>
      <w:r w:rsidR="006031D8">
        <w:rPr>
          <w:lang w:eastAsia="en-AU"/>
        </w:rPr>
        <w:t>This</w:t>
      </w:r>
      <w:r w:rsidR="00ED25DE">
        <w:rPr>
          <w:lang w:eastAsia="en-AU"/>
        </w:rPr>
        <w:t xml:space="preserve"> </w:t>
      </w:r>
      <w:r w:rsidR="00421F3D">
        <w:rPr>
          <w:lang w:eastAsia="en-AU"/>
        </w:rPr>
        <w:t xml:space="preserve">and other evidence </w:t>
      </w:r>
      <w:r w:rsidR="006031D8">
        <w:rPr>
          <w:lang w:eastAsia="en-AU"/>
        </w:rPr>
        <w:t>suggests that h</w:t>
      </w:r>
      <w:r w:rsidR="0054747F" w:rsidRPr="003F1956">
        <w:rPr>
          <w:lang w:eastAsia="en-AU"/>
        </w:rPr>
        <w:t xml:space="preserve">arsher sentencing </w:t>
      </w:r>
      <w:r w:rsidR="006031D8">
        <w:rPr>
          <w:lang w:eastAsia="en-AU"/>
        </w:rPr>
        <w:t xml:space="preserve">measures </w:t>
      </w:r>
      <w:r w:rsidR="0054747F" w:rsidRPr="003F1956">
        <w:rPr>
          <w:lang w:eastAsia="en-AU"/>
        </w:rPr>
        <w:t xml:space="preserve">will not necessarily lead to greater public confidence in </w:t>
      </w:r>
      <w:r w:rsidR="006031D8">
        <w:rPr>
          <w:lang w:eastAsia="en-AU"/>
        </w:rPr>
        <w:t>the system.</w:t>
      </w:r>
      <w:r w:rsidR="0054747F" w:rsidRPr="003F1956">
        <w:rPr>
          <w:lang w:eastAsia="en-AU"/>
        </w:rPr>
        <w:t xml:space="preserve"> </w:t>
      </w:r>
      <w:r w:rsidR="00440C65">
        <w:t xml:space="preserve">It is therefore very important the Sentencing Guidelines Council </w:t>
      </w:r>
      <w:r w:rsidR="00421F3D">
        <w:t xml:space="preserve">not be established on the basis that </w:t>
      </w:r>
      <w:r w:rsidR="00440C65">
        <w:t>public confidence in the criminal justice system will be increased by increasing ‘starting point’ sentences.</w:t>
      </w:r>
    </w:p>
    <w:p w14:paraId="5BB8887D" w14:textId="6280D8F8" w:rsidR="00440C65" w:rsidRDefault="00227E2C" w:rsidP="00D718A9">
      <w:pPr>
        <w:rPr>
          <w:lang w:eastAsia="en-AU"/>
        </w:rPr>
      </w:pPr>
      <w:r w:rsidRPr="003F1956">
        <w:rPr>
          <w:lang w:eastAsia="en-AU"/>
        </w:rPr>
        <w:t xml:space="preserve">VLA </w:t>
      </w:r>
      <w:r>
        <w:rPr>
          <w:lang w:eastAsia="en-AU"/>
        </w:rPr>
        <w:t xml:space="preserve">notes that it </w:t>
      </w:r>
      <w:r w:rsidRPr="003F1956">
        <w:rPr>
          <w:lang w:eastAsia="en-AU"/>
        </w:rPr>
        <w:t>has an educative role to play</w:t>
      </w:r>
      <w:r>
        <w:rPr>
          <w:lang w:eastAsia="en-AU"/>
        </w:rPr>
        <w:t xml:space="preserve"> in these reforms, alongside its role </w:t>
      </w:r>
      <w:r w:rsidRPr="003F1956">
        <w:rPr>
          <w:lang w:eastAsia="en-AU"/>
        </w:rPr>
        <w:t>in challenging uninformed public perceptions as part of our legislative mandate to</w:t>
      </w:r>
      <w:r w:rsidR="009E20BB">
        <w:rPr>
          <w:lang w:eastAsia="en-AU"/>
        </w:rPr>
        <w:t xml:space="preserve"> perform its functions i</w:t>
      </w:r>
      <w:r w:rsidR="008F461F">
        <w:rPr>
          <w:lang w:eastAsia="en-AU"/>
        </w:rPr>
        <w:t>n</w:t>
      </w:r>
      <w:r w:rsidR="009E20BB">
        <w:rPr>
          <w:lang w:eastAsia="en-AU"/>
        </w:rPr>
        <w:t xml:space="preserve"> a way that</w:t>
      </w:r>
      <w:r w:rsidRPr="003F1956">
        <w:rPr>
          <w:lang w:eastAsia="en-AU"/>
        </w:rPr>
        <w:t xml:space="preserve"> “dispel</w:t>
      </w:r>
      <w:r w:rsidR="009E20BB">
        <w:rPr>
          <w:lang w:eastAsia="en-AU"/>
        </w:rPr>
        <w:t>s</w:t>
      </w:r>
      <w:r w:rsidRPr="003F1956">
        <w:rPr>
          <w:lang w:eastAsia="en-AU"/>
        </w:rPr>
        <w:t xml:space="preserve"> fear and distrust”.</w:t>
      </w:r>
      <w:r w:rsidRPr="003F1956">
        <w:rPr>
          <w:rStyle w:val="FootnoteReference"/>
          <w:lang w:eastAsia="en-AU"/>
        </w:rPr>
        <w:footnoteReference w:id="7"/>
      </w:r>
      <w:r w:rsidRPr="003F1956">
        <w:rPr>
          <w:lang w:eastAsia="en-AU"/>
        </w:rPr>
        <w:t xml:space="preserve"> </w:t>
      </w:r>
      <w:r>
        <w:rPr>
          <w:lang w:eastAsia="en-AU"/>
        </w:rPr>
        <w:t>We look forward to collaborative work in support of these reforms as work progresses. Indeed, t</w:t>
      </w:r>
      <w:r w:rsidR="006031D8">
        <w:rPr>
          <w:lang w:eastAsia="en-AU"/>
        </w:rPr>
        <w:t xml:space="preserve">o create </w:t>
      </w:r>
      <w:r w:rsidR="0054747F" w:rsidRPr="003F1956">
        <w:rPr>
          <w:lang w:eastAsia="en-AU"/>
        </w:rPr>
        <w:t xml:space="preserve">more meaningful engagement </w:t>
      </w:r>
      <w:r w:rsidR="006031D8">
        <w:rPr>
          <w:lang w:eastAsia="en-AU"/>
        </w:rPr>
        <w:t xml:space="preserve">with </w:t>
      </w:r>
      <w:r w:rsidR="0054747F" w:rsidRPr="003F1956">
        <w:rPr>
          <w:lang w:eastAsia="en-AU"/>
        </w:rPr>
        <w:t xml:space="preserve">and understanding of the criminal justice system </w:t>
      </w:r>
      <w:r w:rsidR="006031D8">
        <w:rPr>
          <w:lang w:eastAsia="en-AU"/>
        </w:rPr>
        <w:t xml:space="preserve">amongst the public, </w:t>
      </w:r>
      <w:r>
        <w:rPr>
          <w:lang w:eastAsia="en-AU"/>
        </w:rPr>
        <w:t xml:space="preserve">it has been noted that </w:t>
      </w:r>
      <w:r w:rsidR="006031D8">
        <w:rPr>
          <w:lang w:eastAsia="en-AU"/>
        </w:rPr>
        <w:t>m</w:t>
      </w:r>
      <w:r w:rsidR="0054747F" w:rsidRPr="003F1956">
        <w:rPr>
          <w:lang w:eastAsia="en-AU"/>
        </w:rPr>
        <w:t>ore needs to be done to “‘deal the public in’ in the debate about sentencing and punishment”</w:t>
      </w:r>
      <w:r w:rsidR="006031D8">
        <w:rPr>
          <w:lang w:eastAsia="en-AU"/>
        </w:rPr>
        <w:t>.</w:t>
      </w:r>
      <w:r w:rsidR="0054747F" w:rsidRPr="003F1956">
        <w:rPr>
          <w:rStyle w:val="FootnoteReference"/>
          <w:lang w:eastAsia="en-AU"/>
        </w:rPr>
        <w:footnoteReference w:id="8"/>
      </w:r>
      <w:r w:rsidR="0054747F" w:rsidRPr="003F1956">
        <w:rPr>
          <w:lang w:eastAsia="en-AU"/>
        </w:rPr>
        <w:t xml:space="preserve"> </w:t>
      </w:r>
      <w:r>
        <w:rPr>
          <w:lang w:eastAsia="en-AU"/>
        </w:rPr>
        <w:t>VLA believes that t</w:t>
      </w:r>
      <w:r w:rsidR="006031D8">
        <w:rPr>
          <w:lang w:eastAsia="en-AU"/>
        </w:rPr>
        <w:t xml:space="preserve">he Sentencing Guidelines Council is an important step in this direction. </w:t>
      </w:r>
    </w:p>
    <w:p w14:paraId="51590065" w14:textId="77777777" w:rsidR="00FA09AD" w:rsidRPr="003B515A" w:rsidRDefault="00227E2C" w:rsidP="00FA09AD">
      <w:pPr>
        <w:rPr>
          <w:rFonts w:cs="Arial"/>
          <w:szCs w:val="22"/>
        </w:rPr>
      </w:pPr>
      <w:r>
        <w:rPr>
          <w:lang w:eastAsia="en-AU"/>
        </w:rPr>
        <w:t>Finally, VLA notes that</w:t>
      </w:r>
      <w:r w:rsidR="00FA09AD">
        <w:rPr>
          <w:lang w:eastAsia="en-AU"/>
        </w:rPr>
        <w:t xml:space="preserve"> </w:t>
      </w:r>
      <w:r w:rsidR="00FA09AD">
        <w:rPr>
          <w:szCs w:val="22"/>
        </w:rPr>
        <w:t>t</w:t>
      </w:r>
      <w:r w:rsidR="00FA09AD" w:rsidRPr="007666D0">
        <w:rPr>
          <w:rFonts w:cs="Arial"/>
          <w:szCs w:val="22"/>
        </w:rPr>
        <w:t xml:space="preserve">he separation of powers is a vital ingredient </w:t>
      </w:r>
      <w:r w:rsidR="00FA09AD">
        <w:rPr>
          <w:rFonts w:cs="Arial"/>
          <w:szCs w:val="22"/>
        </w:rPr>
        <w:t>of</w:t>
      </w:r>
      <w:r w:rsidR="00FA09AD" w:rsidRPr="007666D0">
        <w:rPr>
          <w:rFonts w:cs="Arial"/>
          <w:szCs w:val="22"/>
        </w:rPr>
        <w:t xml:space="preserve"> our justice system. </w:t>
      </w:r>
      <w:r w:rsidR="00FA09AD">
        <w:rPr>
          <w:rFonts w:cs="Arial"/>
          <w:szCs w:val="22"/>
        </w:rPr>
        <w:t>We agree with the suggestion in the issues paper (at 2.14) that one of the purposes of the establishing legislation for the Sentencing Guidelines Council should be to preserve judicial independence and judicial discretion.</w:t>
      </w:r>
    </w:p>
    <w:p w14:paraId="5F79EC33" w14:textId="77777777" w:rsidR="00DA268A" w:rsidRDefault="00DA268A" w:rsidP="00D718A9">
      <w:pPr>
        <w:pStyle w:val="Heading2"/>
      </w:pPr>
      <w:bookmarkStart w:id="5" w:name="_Toc500860627"/>
    </w:p>
    <w:p w14:paraId="5E710C7D" w14:textId="716C36A9" w:rsidR="00892D2D" w:rsidRPr="00D718A9" w:rsidRDefault="00892D2D" w:rsidP="00D718A9">
      <w:pPr>
        <w:pStyle w:val="Heading2"/>
      </w:pPr>
      <w:r w:rsidRPr="00D718A9">
        <w:t>Composition of the sentencing guidelines council</w:t>
      </w:r>
      <w:bookmarkEnd w:id="5"/>
    </w:p>
    <w:p w14:paraId="31F90388" w14:textId="77777777" w:rsidR="00CC4CFD" w:rsidRDefault="00A706E0" w:rsidP="00CC4CFD">
      <w:r>
        <w:t>The issues paper proposes</w:t>
      </w:r>
      <w:r w:rsidR="00A045DD">
        <w:t xml:space="preserve"> that the Sentencing Guidelines Council be</w:t>
      </w:r>
      <w:r w:rsidR="00182A44">
        <w:t xml:space="preserve"> composed of</w:t>
      </w:r>
      <w:r w:rsidR="00CC4CFD">
        <w:t>:</w:t>
      </w:r>
    </w:p>
    <w:p w14:paraId="3909565E" w14:textId="77777777" w:rsidR="00436FFB" w:rsidRPr="00182A44" w:rsidRDefault="00CC4CFD" w:rsidP="00182A44">
      <w:pPr>
        <w:pStyle w:val="ListBullet"/>
        <w:ind w:left="369" w:hanging="369"/>
      </w:pPr>
      <w:r w:rsidRPr="00CC4CFD">
        <w:rPr>
          <w:rFonts w:cs="Arial"/>
          <w:szCs w:val="22"/>
        </w:rPr>
        <w:t>s</w:t>
      </w:r>
      <w:r w:rsidR="00F32B8E" w:rsidRPr="00CC4CFD">
        <w:rPr>
          <w:rFonts w:cs="Arial"/>
          <w:szCs w:val="22"/>
        </w:rPr>
        <w:t>even judicial members</w:t>
      </w:r>
      <w:r w:rsidR="00182A44">
        <w:rPr>
          <w:rFonts w:cs="Arial"/>
          <w:szCs w:val="22"/>
        </w:rPr>
        <w:t xml:space="preserve"> (</w:t>
      </w:r>
      <w:r w:rsidR="00F32B8E" w:rsidRPr="00CC4CFD">
        <w:t>two</w:t>
      </w:r>
      <w:r w:rsidR="00182A44">
        <w:t xml:space="preserve"> justices of the Supreme Court </w:t>
      </w:r>
      <w:r w:rsidR="00F32B8E" w:rsidRPr="00CC4CFD">
        <w:t xml:space="preserve">including at least one </w:t>
      </w:r>
      <w:r w:rsidR="00182A44">
        <w:t xml:space="preserve">justice of the Court of Appeal, </w:t>
      </w:r>
      <w:r w:rsidR="00F32B8E" w:rsidRPr="00182A44">
        <w:rPr>
          <w:rFonts w:cs="Arial"/>
          <w:szCs w:val="22"/>
        </w:rPr>
        <w:t xml:space="preserve">two judges </w:t>
      </w:r>
      <w:r w:rsidR="00182A44">
        <w:rPr>
          <w:rFonts w:cs="Arial"/>
          <w:szCs w:val="22"/>
        </w:rPr>
        <w:t xml:space="preserve">of the County Court, </w:t>
      </w:r>
      <w:r w:rsidR="00F32B8E" w:rsidRPr="00182A44">
        <w:rPr>
          <w:rFonts w:cs="Arial"/>
          <w:szCs w:val="22"/>
        </w:rPr>
        <w:t>the President or a magist</w:t>
      </w:r>
      <w:r w:rsidR="00182A44">
        <w:rPr>
          <w:rFonts w:cs="Arial"/>
          <w:szCs w:val="22"/>
        </w:rPr>
        <w:t>rate of the Children’s Court, and two magistrates of the Magistrates’ Court)</w:t>
      </w:r>
      <w:r w:rsidR="00930827">
        <w:rPr>
          <w:rFonts w:cs="Arial"/>
          <w:szCs w:val="22"/>
        </w:rPr>
        <w:t>, and</w:t>
      </w:r>
    </w:p>
    <w:p w14:paraId="49006353" w14:textId="7F32674C" w:rsidR="00F32B8E" w:rsidRPr="00436FFB" w:rsidRDefault="00182A44" w:rsidP="00102E66">
      <w:pPr>
        <w:pStyle w:val="ListBullet"/>
        <w:ind w:left="369" w:hanging="369"/>
      </w:pPr>
      <w:r>
        <w:t>s</w:t>
      </w:r>
      <w:r w:rsidR="00F32B8E" w:rsidRPr="00436FFB">
        <w:t>ix legal and community members who, in the opinion of the Attorney-General,</w:t>
      </w:r>
      <w:r w:rsidR="00A045DD" w:rsidRPr="00436FFB">
        <w:t xml:space="preserve"> have expertise,</w:t>
      </w:r>
      <w:r>
        <w:t xml:space="preserve"> </w:t>
      </w:r>
      <w:r w:rsidR="00F32B8E" w:rsidRPr="00182A44">
        <w:t>knowledge or skills relevant to sentencing and criminal justice</w:t>
      </w:r>
      <w:r w:rsidR="00A045DD" w:rsidRPr="00182A44">
        <w:t xml:space="preserve"> and the work of the sentencing</w:t>
      </w:r>
      <w:r>
        <w:t xml:space="preserve"> </w:t>
      </w:r>
      <w:r w:rsidR="00F32B8E" w:rsidRPr="00182A44">
        <w:t>guidelines council.</w:t>
      </w:r>
      <w:r w:rsidR="001F1899">
        <w:t>o</w:t>
      </w:r>
      <w:r w:rsidR="00F32B8E" w:rsidRPr="00436FFB">
        <w:t xml:space="preserve">ne of </w:t>
      </w:r>
      <w:r w:rsidR="00CC6EFD">
        <w:t xml:space="preserve">the </w:t>
      </w:r>
      <w:r w:rsidR="00F32B8E" w:rsidRPr="00436FFB">
        <w:t>two justices of the Supreme Court appointed as a member of the sentencing guidelines council would also be appointed to act as Chair.</w:t>
      </w:r>
    </w:p>
    <w:p w14:paraId="2EEF49FC" w14:textId="6B20869D" w:rsidR="00D56A12" w:rsidRDefault="00A045DD" w:rsidP="00D56A12">
      <w:r>
        <w:t>VLA supports</w:t>
      </w:r>
      <w:r w:rsidR="001F1899">
        <w:t xml:space="preserve"> the proposed composition of the Sentencing Guidelines Council. We highlight the importance of</w:t>
      </w:r>
      <w:r>
        <w:t xml:space="preserve"> </w:t>
      </w:r>
      <w:r w:rsidR="00F105AC">
        <w:t xml:space="preserve">judicial majority membership </w:t>
      </w:r>
      <w:r w:rsidR="001F1899">
        <w:t xml:space="preserve">and </w:t>
      </w:r>
      <w:r>
        <w:t>representation from all court levels</w:t>
      </w:r>
      <w:r w:rsidR="00182A44">
        <w:t xml:space="preserve">. We also agree that </w:t>
      </w:r>
      <w:r>
        <w:t>there should be flexibility in the ap</w:t>
      </w:r>
      <w:r w:rsidR="00182A44">
        <w:t>pointment of judicial officers, for the reasons identified in paragraph 3.19 of the issues paper.</w:t>
      </w:r>
    </w:p>
    <w:p w14:paraId="6D19CB20" w14:textId="77777777" w:rsidR="00B70D26" w:rsidRDefault="00233A6D" w:rsidP="00D56A12">
      <w:pPr>
        <w:rPr>
          <w:szCs w:val="22"/>
        </w:rPr>
      </w:pPr>
      <w:r>
        <w:t xml:space="preserve">VLA considers that the Sentencing Guidelines Council should include a judicial representative from the </w:t>
      </w:r>
      <w:r>
        <w:rPr>
          <w:lang w:val="en"/>
        </w:rPr>
        <w:t xml:space="preserve">County Koori Court and/or the Koori Court, and that consideration be given to including an Aboriginal Elder or Respected Person as a member of the Council. </w:t>
      </w:r>
      <w:r w:rsidRPr="00BF1109">
        <w:rPr>
          <w:szCs w:val="22"/>
        </w:rPr>
        <w:t xml:space="preserve">The rate of imprisonment for Aboriginal and Torres Strait Islander (ATSI) people in Victoria is </w:t>
      </w:r>
      <w:r w:rsidRPr="00D56A12">
        <w:rPr>
          <w:szCs w:val="22"/>
        </w:rPr>
        <w:t xml:space="preserve">12.6 </w:t>
      </w:r>
      <w:r w:rsidRPr="00BF1109">
        <w:rPr>
          <w:szCs w:val="22"/>
        </w:rPr>
        <w:t xml:space="preserve">times higher than </w:t>
      </w:r>
      <w:r>
        <w:rPr>
          <w:szCs w:val="22"/>
        </w:rPr>
        <w:t xml:space="preserve">for </w:t>
      </w:r>
      <w:r w:rsidRPr="00BF1109">
        <w:rPr>
          <w:szCs w:val="22"/>
        </w:rPr>
        <w:t>non-ATSI people. While ATSI Australians make up 0.7% of Victoria’s total population, they represent 7.7% of the prison population.</w:t>
      </w:r>
      <w:r>
        <w:rPr>
          <w:rStyle w:val="FootnoteReference"/>
          <w:szCs w:val="22"/>
        </w:rPr>
        <w:footnoteReference w:id="9"/>
      </w:r>
      <w:r>
        <w:rPr>
          <w:szCs w:val="22"/>
        </w:rPr>
        <w:t xml:space="preserve"> This constitutes an increase of 29.9</w:t>
      </w:r>
      <w:r w:rsidRPr="003F55BB">
        <w:rPr>
          <w:szCs w:val="22"/>
        </w:rPr>
        <w:t xml:space="preserve">% </w:t>
      </w:r>
      <w:r>
        <w:rPr>
          <w:szCs w:val="22"/>
        </w:rPr>
        <w:t xml:space="preserve">from </w:t>
      </w:r>
      <w:r w:rsidRPr="003F55BB">
        <w:rPr>
          <w:szCs w:val="22"/>
        </w:rPr>
        <w:t>July 2015</w:t>
      </w:r>
      <w:r>
        <w:rPr>
          <w:szCs w:val="22"/>
        </w:rPr>
        <w:t>.</w:t>
      </w:r>
      <w:r w:rsidRPr="003F55BB">
        <w:rPr>
          <w:rStyle w:val="FootnoteReference"/>
          <w:sz w:val="20"/>
          <w:szCs w:val="20"/>
        </w:rPr>
        <w:footnoteReference w:id="10"/>
      </w:r>
    </w:p>
    <w:p w14:paraId="2CF6126D" w14:textId="2E3651FB" w:rsidR="00930827" w:rsidRDefault="00B70D26" w:rsidP="00D56A12">
      <w:r>
        <w:rPr>
          <w:szCs w:val="22"/>
        </w:rPr>
        <w:t>G</w:t>
      </w:r>
      <w:r w:rsidR="00930827">
        <w:rPr>
          <w:szCs w:val="22"/>
        </w:rPr>
        <w:t xml:space="preserve">uidelines produced by the Sentencing Guidelines Council will only promote public confidence in the criminal justice system if there is </w:t>
      </w:r>
      <w:r w:rsidR="00307CDB">
        <w:rPr>
          <w:szCs w:val="22"/>
        </w:rPr>
        <w:t>balanced</w:t>
      </w:r>
      <w:r w:rsidR="00930827">
        <w:rPr>
          <w:szCs w:val="22"/>
        </w:rPr>
        <w:t xml:space="preserve"> representation</w:t>
      </w:r>
      <w:r>
        <w:rPr>
          <w:szCs w:val="22"/>
        </w:rPr>
        <w:t xml:space="preserve"> amongst the non-judicial members. </w:t>
      </w:r>
      <w:r w:rsidR="00D56A12">
        <w:t xml:space="preserve">VLA </w:t>
      </w:r>
      <w:r w:rsidR="00930827">
        <w:t>recommends</w:t>
      </w:r>
      <w:r w:rsidR="00D56A12">
        <w:t xml:space="preserve"> </w:t>
      </w:r>
      <w:r w:rsidR="00182A44">
        <w:t>that</w:t>
      </w:r>
      <w:r w:rsidR="00930827">
        <w:t>:</w:t>
      </w:r>
    </w:p>
    <w:p w14:paraId="30BF88E5" w14:textId="60F7ECDA" w:rsidR="0071496C" w:rsidRDefault="00CC6EFD" w:rsidP="007E4096">
      <w:pPr>
        <w:pStyle w:val="ListBullet"/>
        <w:ind w:left="369" w:hanging="369"/>
        <w:rPr>
          <w:szCs w:val="22"/>
          <w:lang w:val="en-US"/>
        </w:rPr>
      </w:pPr>
      <w:r w:rsidRPr="007E4096">
        <w:rPr>
          <w:lang w:val="en-US"/>
        </w:rPr>
        <w:t>T</w:t>
      </w:r>
      <w:r w:rsidR="00930827" w:rsidRPr="007E4096">
        <w:rPr>
          <w:lang w:val="en-US"/>
        </w:rPr>
        <w:t>he</w:t>
      </w:r>
      <w:r w:rsidR="00930827" w:rsidRPr="007E4096">
        <w:rPr>
          <w:lang w:val="en"/>
        </w:rPr>
        <w:t xml:space="preserve"> unique experience of women in the criminal justice system be </w:t>
      </w:r>
      <w:proofErr w:type="spellStart"/>
      <w:r w:rsidR="00930827" w:rsidRPr="007E4096">
        <w:rPr>
          <w:lang w:val="en"/>
        </w:rPr>
        <w:t>recognised</w:t>
      </w:r>
      <w:proofErr w:type="spellEnd"/>
      <w:r w:rsidR="00930827" w:rsidRPr="007E4096">
        <w:rPr>
          <w:lang w:val="en"/>
        </w:rPr>
        <w:t xml:space="preserve"> through representation on the Sentencing Guidelines Council.</w:t>
      </w:r>
      <w:r w:rsidRPr="007E4096">
        <w:rPr>
          <w:szCs w:val="22"/>
        </w:rPr>
        <w:t xml:space="preserve"> From 2006 to 2016 Victoria’s female prison population increased by 75%, compared with the male</w:t>
      </w:r>
      <w:r w:rsidRPr="007E4096">
        <w:rPr>
          <w:szCs w:val="22"/>
          <w:lang w:val="en-US"/>
        </w:rPr>
        <w:t xml:space="preserve"> prison population which increased by 66%.</w:t>
      </w:r>
      <w:r w:rsidRPr="00E20DB7">
        <w:rPr>
          <w:rStyle w:val="FootnoteReference"/>
          <w:szCs w:val="22"/>
          <w:lang w:val="en-US"/>
        </w:rPr>
        <w:footnoteReference w:id="11"/>
      </w:r>
      <w:r w:rsidRPr="007E4096">
        <w:rPr>
          <w:szCs w:val="22"/>
          <w:lang w:val="en-US"/>
        </w:rPr>
        <w:t xml:space="preserve"> </w:t>
      </w:r>
      <w:r w:rsidRPr="007E4096">
        <w:rPr>
          <w:szCs w:val="22"/>
        </w:rPr>
        <w:t xml:space="preserve">VLA provides legal assistance to women via our criminal law program and our Prisoner Legal Help telephone service. </w:t>
      </w:r>
      <w:r w:rsidRPr="007E4096">
        <w:rPr>
          <w:szCs w:val="22"/>
          <w:lang w:val="en-US"/>
        </w:rPr>
        <w:t>Our lawyers see first</w:t>
      </w:r>
      <w:r w:rsidR="00421F3D">
        <w:rPr>
          <w:szCs w:val="22"/>
          <w:lang w:val="en-US"/>
        </w:rPr>
        <w:t>-</w:t>
      </w:r>
      <w:r w:rsidRPr="007E4096">
        <w:rPr>
          <w:szCs w:val="22"/>
          <w:lang w:val="en-US"/>
        </w:rPr>
        <w:t>hand the complex and interconnected problems that women who come into contact with the criminal justice system experience</w:t>
      </w:r>
      <w:r w:rsidR="00E20DB7" w:rsidRPr="007E4096">
        <w:rPr>
          <w:szCs w:val="22"/>
          <w:lang w:val="en-US"/>
        </w:rPr>
        <w:t xml:space="preserve">, including </w:t>
      </w:r>
      <w:r w:rsidRPr="007E4096">
        <w:rPr>
          <w:szCs w:val="22"/>
          <w:lang w:val="en-US"/>
        </w:rPr>
        <w:t xml:space="preserve">mental illness, substance abuse, homelessness, </w:t>
      </w:r>
      <w:r w:rsidRPr="007E4096">
        <w:rPr>
          <w:szCs w:val="22"/>
        </w:rPr>
        <w:t xml:space="preserve">poverty, low levels of education and poor employment history. </w:t>
      </w:r>
      <w:r w:rsidR="0071496C" w:rsidRPr="007E4096">
        <w:rPr>
          <w:szCs w:val="22"/>
        </w:rPr>
        <w:t>A</w:t>
      </w:r>
      <w:r w:rsidRPr="007E4096">
        <w:rPr>
          <w:szCs w:val="22"/>
          <w:lang w:val="en-US"/>
        </w:rPr>
        <w:t>n overwhelming majority</w:t>
      </w:r>
      <w:r w:rsidR="00E20DB7" w:rsidRPr="007E4096">
        <w:rPr>
          <w:szCs w:val="22"/>
          <w:lang w:val="en-US"/>
        </w:rPr>
        <w:t xml:space="preserve"> of women in custody</w:t>
      </w:r>
      <w:r w:rsidRPr="007E4096">
        <w:rPr>
          <w:szCs w:val="22"/>
          <w:lang w:val="en-US"/>
        </w:rPr>
        <w:t xml:space="preserve"> </w:t>
      </w:r>
      <w:r w:rsidR="00E20DB7" w:rsidRPr="007E4096">
        <w:rPr>
          <w:szCs w:val="22"/>
          <w:lang w:val="en-US"/>
        </w:rPr>
        <w:t>(</w:t>
      </w:r>
      <w:r w:rsidRPr="007E4096">
        <w:rPr>
          <w:szCs w:val="22"/>
          <w:lang w:val="en-US"/>
        </w:rPr>
        <w:t>estimated at 87%</w:t>
      </w:r>
      <w:r w:rsidR="00E20DB7" w:rsidRPr="007E4096">
        <w:rPr>
          <w:szCs w:val="22"/>
          <w:lang w:val="en-US"/>
        </w:rPr>
        <w:t>)</w:t>
      </w:r>
      <w:r w:rsidRPr="007E4096">
        <w:rPr>
          <w:szCs w:val="22"/>
          <w:lang w:val="en-US"/>
        </w:rPr>
        <w:t xml:space="preserve"> have been victims of violence and abuse.</w:t>
      </w:r>
      <w:r>
        <w:rPr>
          <w:rStyle w:val="FootnoteReference"/>
          <w:szCs w:val="22"/>
          <w:lang w:val="en-US"/>
        </w:rPr>
        <w:footnoteReference w:id="12"/>
      </w:r>
    </w:p>
    <w:p w14:paraId="3EF38458" w14:textId="77777777" w:rsidR="0071496C" w:rsidRPr="00600F6D" w:rsidRDefault="00600F6D" w:rsidP="007E4096">
      <w:pPr>
        <w:pStyle w:val="ListBullet"/>
        <w:ind w:left="369" w:hanging="369"/>
        <w:rPr>
          <w:szCs w:val="22"/>
        </w:rPr>
      </w:pPr>
      <w:r>
        <w:rPr>
          <w:lang w:val="en-US"/>
        </w:rPr>
        <w:t>T</w:t>
      </w:r>
      <w:r w:rsidRPr="00600F6D">
        <w:rPr>
          <w:lang w:val="en-US"/>
        </w:rPr>
        <w:t xml:space="preserve">he </w:t>
      </w:r>
      <w:r w:rsidRPr="0071496C">
        <w:rPr>
          <w:szCs w:val="22"/>
          <w:lang w:val="en-US"/>
        </w:rPr>
        <w:t>Council</w:t>
      </w:r>
      <w:r w:rsidRPr="00600F6D">
        <w:rPr>
          <w:lang w:val="en-US"/>
        </w:rPr>
        <w:t xml:space="preserve"> </w:t>
      </w:r>
      <w:r>
        <w:rPr>
          <w:lang w:val="en-US"/>
        </w:rPr>
        <w:t xml:space="preserve">should </w:t>
      </w:r>
      <w:r w:rsidR="00CC6EFD">
        <w:rPr>
          <w:lang w:val="en-US"/>
        </w:rPr>
        <w:t xml:space="preserve">also include professional legal expertise </w:t>
      </w:r>
      <w:r>
        <w:rPr>
          <w:lang w:val="en-US"/>
        </w:rPr>
        <w:t>relating to vulnerable and over represented groups in our criminal justice system</w:t>
      </w:r>
      <w:r w:rsidR="00CC6EFD">
        <w:rPr>
          <w:lang w:val="en-US"/>
        </w:rPr>
        <w:t xml:space="preserve"> (for example, </w:t>
      </w:r>
      <w:r w:rsidR="003D79F1">
        <w:rPr>
          <w:lang w:val="en-US"/>
        </w:rPr>
        <w:t xml:space="preserve">young people, </w:t>
      </w:r>
      <w:r w:rsidR="00CC6EFD">
        <w:rPr>
          <w:lang w:val="en-US"/>
        </w:rPr>
        <w:t xml:space="preserve">low-income earners, the homeless, people affected by family violence or other trauma, </w:t>
      </w:r>
      <w:r w:rsidRPr="00600F6D">
        <w:rPr>
          <w:lang w:val="en-US"/>
        </w:rPr>
        <w:t xml:space="preserve">people with an acquired brain injury or </w:t>
      </w:r>
      <w:r w:rsidRPr="0071496C">
        <w:rPr>
          <w:szCs w:val="22"/>
          <w:lang w:val="en-US"/>
        </w:rPr>
        <w:t>cognitive</w:t>
      </w:r>
      <w:r w:rsidRPr="00600F6D">
        <w:rPr>
          <w:lang w:val="en-US"/>
        </w:rPr>
        <w:t xml:space="preserve"> impairment, </w:t>
      </w:r>
      <w:r w:rsidR="00CC6EFD">
        <w:rPr>
          <w:lang w:val="en-US"/>
        </w:rPr>
        <w:t xml:space="preserve">and </w:t>
      </w:r>
      <w:r w:rsidRPr="00600F6D">
        <w:rPr>
          <w:lang w:val="en-US"/>
        </w:rPr>
        <w:t>those with alcohol, drug and/or mental health problems</w:t>
      </w:r>
      <w:r w:rsidR="00CC6EFD">
        <w:rPr>
          <w:lang w:val="en-US"/>
        </w:rPr>
        <w:t>)</w:t>
      </w:r>
      <w:r>
        <w:rPr>
          <w:szCs w:val="22"/>
        </w:rPr>
        <w:t xml:space="preserve">. </w:t>
      </w:r>
      <w:r w:rsidR="00CC6EFD">
        <w:rPr>
          <w:lang w:val="en"/>
        </w:rPr>
        <w:t xml:space="preserve">Given </w:t>
      </w:r>
      <w:r w:rsidR="008D0DFC" w:rsidRPr="00600F6D">
        <w:rPr>
          <w:lang w:val="en"/>
        </w:rPr>
        <w:t>the unique position</w:t>
      </w:r>
      <w:r w:rsidR="00310EB0" w:rsidRPr="00600F6D">
        <w:rPr>
          <w:lang w:val="en"/>
        </w:rPr>
        <w:t xml:space="preserve"> and knowledge</w:t>
      </w:r>
      <w:r w:rsidR="008D0DFC" w:rsidRPr="00600F6D">
        <w:rPr>
          <w:lang w:val="en"/>
        </w:rPr>
        <w:t xml:space="preserve"> of VLA</w:t>
      </w:r>
      <w:r w:rsidR="00310EB0" w:rsidRPr="00600F6D">
        <w:rPr>
          <w:lang w:val="en"/>
        </w:rPr>
        <w:t xml:space="preserve"> in advocating for some of the most </w:t>
      </w:r>
      <w:r w:rsidR="00310EB0" w:rsidRPr="00600F6D">
        <w:rPr>
          <w:lang w:val="en"/>
        </w:rPr>
        <w:lastRenderedPageBreak/>
        <w:t>vulnerable and marginalized in our community</w:t>
      </w:r>
      <w:r w:rsidR="00CC6EFD">
        <w:rPr>
          <w:lang w:val="en"/>
        </w:rPr>
        <w:t xml:space="preserve">, </w:t>
      </w:r>
      <w:r w:rsidR="00F105AC">
        <w:rPr>
          <w:lang w:val="en"/>
        </w:rPr>
        <w:t xml:space="preserve">we therefore </w:t>
      </w:r>
      <w:r w:rsidR="00CC6EFD" w:rsidRPr="00600F6D">
        <w:rPr>
          <w:lang w:val="en"/>
        </w:rPr>
        <w:t xml:space="preserve">recommend that </w:t>
      </w:r>
      <w:r w:rsidR="008D0DFC" w:rsidRPr="00600F6D">
        <w:rPr>
          <w:lang w:val="en"/>
        </w:rPr>
        <w:t>a seat on the Sentencing Guidelines Council be reser</w:t>
      </w:r>
      <w:r w:rsidR="00310EB0" w:rsidRPr="00600F6D">
        <w:rPr>
          <w:lang w:val="en"/>
        </w:rPr>
        <w:t>ved for a</w:t>
      </w:r>
      <w:r w:rsidR="008D0DFC" w:rsidRPr="00600F6D">
        <w:rPr>
          <w:lang w:val="en"/>
        </w:rPr>
        <w:t xml:space="preserve"> VLA representative. </w:t>
      </w:r>
    </w:p>
    <w:p w14:paraId="1F2904EE" w14:textId="77777777" w:rsidR="0002382A" w:rsidRDefault="00FC411B" w:rsidP="0071496C">
      <w:r>
        <w:t xml:space="preserve">VLA </w:t>
      </w:r>
      <w:r w:rsidR="00FC7EB1">
        <w:t xml:space="preserve">supports the inclusion of a representative of the </w:t>
      </w:r>
      <w:r w:rsidR="00436FFB">
        <w:t>Children’s Court on the Council</w:t>
      </w:r>
      <w:r>
        <w:t xml:space="preserve">. However, </w:t>
      </w:r>
      <w:r w:rsidR="00A045DD">
        <w:t xml:space="preserve">VLA </w:t>
      </w:r>
      <w:r w:rsidR="00FC7EB1">
        <w:t>would be concerned if</w:t>
      </w:r>
      <w:r w:rsidR="0002382A">
        <w:t xml:space="preserve"> a Sentencing Guidelines Council with only one Children’s Court representative were responsible for creating guidelines for use in the Children’s Court. Children and young people in the criminal justice system have very specific needs, and the Children’s Court is </w:t>
      </w:r>
      <w:r w:rsidR="00FC7EB1">
        <w:t xml:space="preserve">a highly specialised jurisdiction. </w:t>
      </w:r>
      <w:r>
        <w:t xml:space="preserve">VLA </w:t>
      </w:r>
      <w:r w:rsidR="0002382A">
        <w:t>would therefore support</w:t>
      </w:r>
      <w:r>
        <w:t xml:space="preserve"> </w:t>
      </w:r>
      <w:r w:rsidR="0002382A">
        <w:t>further consultation on:</w:t>
      </w:r>
    </w:p>
    <w:p w14:paraId="03AED397" w14:textId="77777777" w:rsidR="0002382A" w:rsidRDefault="00FC411B" w:rsidP="0002382A">
      <w:pPr>
        <w:pStyle w:val="ListBullet"/>
        <w:ind w:left="369" w:hanging="369"/>
      </w:pPr>
      <w:r>
        <w:t xml:space="preserve">the need for </w:t>
      </w:r>
      <w:r w:rsidR="0002382A">
        <w:t xml:space="preserve">sentencing </w:t>
      </w:r>
      <w:r>
        <w:t>guidelines in the Children’s Court</w:t>
      </w:r>
      <w:r w:rsidR="0002382A">
        <w:t>, and</w:t>
      </w:r>
    </w:p>
    <w:p w14:paraId="64F7F303" w14:textId="32017CAD" w:rsidR="00A045DD" w:rsidRDefault="00421F3D" w:rsidP="0002382A">
      <w:pPr>
        <w:pStyle w:val="ListBullet"/>
        <w:ind w:left="369" w:hanging="369"/>
      </w:pPr>
      <w:r>
        <w:t xml:space="preserve">if there is such a need, </w:t>
      </w:r>
      <w:r w:rsidR="0002382A">
        <w:t>the inclusion on the Sentencing Guidelines Council of additional judicial and non-judicial members with Children’s Court knowledge and expertise, for the purpose of developing guidelines for sentencing children and young people.</w:t>
      </w:r>
    </w:p>
    <w:p w14:paraId="1732ABE9" w14:textId="77777777" w:rsidR="00905F28" w:rsidRDefault="00905F28" w:rsidP="00905F28">
      <w:pPr>
        <w:pStyle w:val="Heading2"/>
      </w:pPr>
      <w:bookmarkStart w:id="6" w:name="_Toc500860628"/>
      <w:r>
        <w:t>Nomination and appointment of members to the sentencing guidelines council</w:t>
      </w:r>
      <w:bookmarkEnd w:id="6"/>
    </w:p>
    <w:p w14:paraId="0DF9B9C0" w14:textId="77777777" w:rsidR="00D76DA5" w:rsidRPr="00D76DA5" w:rsidRDefault="00D76DA5" w:rsidP="00B82B5E">
      <w:pPr>
        <w:pStyle w:val="Bullets"/>
        <w:numPr>
          <w:ilvl w:val="0"/>
          <w:numId w:val="0"/>
        </w:numPr>
        <w:spacing w:before="0" w:after="120" w:line="300" w:lineRule="atLeast"/>
        <w:rPr>
          <w:rFonts w:ascii="Arial" w:hAnsi="Arial" w:cs="Arial"/>
          <w:sz w:val="22"/>
          <w:szCs w:val="22"/>
        </w:rPr>
      </w:pPr>
      <w:r w:rsidRPr="00D76DA5">
        <w:rPr>
          <w:rFonts w:ascii="Arial" w:hAnsi="Arial" w:cs="Arial"/>
          <w:sz w:val="22"/>
          <w:szCs w:val="22"/>
        </w:rPr>
        <w:t>VLA highl</w:t>
      </w:r>
      <w:r>
        <w:rPr>
          <w:rFonts w:ascii="Arial" w:hAnsi="Arial" w:cs="Arial"/>
          <w:sz w:val="22"/>
          <w:szCs w:val="22"/>
        </w:rPr>
        <w:t xml:space="preserve">ights the need </w:t>
      </w:r>
      <w:r w:rsidRPr="00D76DA5">
        <w:rPr>
          <w:rFonts w:ascii="Arial" w:hAnsi="Arial" w:cs="Arial"/>
          <w:sz w:val="22"/>
          <w:szCs w:val="22"/>
        </w:rPr>
        <w:t>for an open,</w:t>
      </w:r>
      <w:r w:rsidR="0002382A">
        <w:rPr>
          <w:rFonts w:ascii="Arial" w:hAnsi="Arial" w:cs="Arial"/>
          <w:sz w:val="22"/>
          <w:szCs w:val="22"/>
        </w:rPr>
        <w:t xml:space="preserve"> transparent and fair process for</w:t>
      </w:r>
      <w:r w:rsidRPr="00D76DA5">
        <w:rPr>
          <w:rFonts w:ascii="Arial" w:hAnsi="Arial" w:cs="Arial"/>
          <w:sz w:val="22"/>
          <w:szCs w:val="22"/>
        </w:rPr>
        <w:t xml:space="preserve"> nomination and appointment</w:t>
      </w:r>
      <w:r w:rsidR="0002382A">
        <w:rPr>
          <w:rFonts w:ascii="Arial" w:hAnsi="Arial" w:cs="Arial"/>
          <w:sz w:val="22"/>
          <w:szCs w:val="22"/>
        </w:rPr>
        <w:t>,</w:t>
      </w:r>
      <w:r w:rsidRPr="00D76DA5">
        <w:rPr>
          <w:rFonts w:ascii="Arial" w:hAnsi="Arial" w:cs="Arial"/>
          <w:sz w:val="22"/>
          <w:szCs w:val="22"/>
        </w:rPr>
        <w:t xml:space="preserve"> </w:t>
      </w:r>
      <w:r w:rsidR="00EC26F4">
        <w:rPr>
          <w:rFonts w:ascii="Arial" w:hAnsi="Arial" w:cs="Arial"/>
          <w:sz w:val="22"/>
          <w:szCs w:val="22"/>
        </w:rPr>
        <w:t>and</w:t>
      </w:r>
      <w:r w:rsidR="00EC26F4" w:rsidRPr="00D76DA5">
        <w:rPr>
          <w:rFonts w:ascii="Arial" w:hAnsi="Arial" w:cs="Arial"/>
          <w:sz w:val="22"/>
          <w:szCs w:val="22"/>
        </w:rPr>
        <w:t xml:space="preserve"> </w:t>
      </w:r>
      <w:r w:rsidRPr="00D76DA5">
        <w:rPr>
          <w:rFonts w:ascii="Arial" w:hAnsi="Arial" w:cs="Arial"/>
          <w:sz w:val="22"/>
          <w:szCs w:val="22"/>
        </w:rPr>
        <w:t>has no specific comment in re</w:t>
      </w:r>
      <w:r w:rsidR="005F73D1">
        <w:rPr>
          <w:rFonts w:ascii="Arial" w:hAnsi="Arial" w:cs="Arial"/>
          <w:sz w:val="22"/>
          <w:szCs w:val="22"/>
        </w:rPr>
        <w:t>lation to the proposed process.</w:t>
      </w:r>
    </w:p>
    <w:p w14:paraId="4057C5C1" w14:textId="77777777" w:rsidR="003A1C4F" w:rsidRDefault="00417AA6" w:rsidP="00B82B5E">
      <w:pPr>
        <w:pStyle w:val="Heading2"/>
        <w:spacing w:before="0"/>
        <w:rPr>
          <w:rFonts w:ascii="Verdana" w:hAnsi="Verdana"/>
          <w:sz w:val="32"/>
        </w:rPr>
      </w:pPr>
      <w:bookmarkStart w:id="7" w:name="_Toc500860629"/>
      <w:r>
        <w:t>F</w:t>
      </w:r>
      <w:r w:rsidR="003A1C4F">
        <w:t>unctions of the sentencing guidelines council</w:t>
      </w:r>
      <w:bookmarkEnd w:id="7"/>
    </w:p>
    <w:p w14:paraId="024A5023" w14:textId="77777777" w:rsidR="004E177B" w:rsidRDefault="00424920" w:rsidP="00B82B5E">
      <w:pPr>
        <w:pStyle w:val="Numbered"/>
        <w:spacing w:before="0" w:line="300" w:lineRule="atLeast"/>
        <w:rPr>
          <w:rFonts w:ascii="Arial" w:hAnsi="Arial" w:cs="Arial"/>
          <w:sz w:val="22"/>
          <w:szCs w:val="22"/>
        </w:rPr>
      </w:pPr>
      <w:r>
        <w:rPr>
          <w:rFonts w:ascii="Arial" w:hAnsi="Arial" w:cs="Arial"/>
          <w:sz w:val="22"/>
          <w:szCs w:val="22"/>
        </w:rPr>
        <w:t xml:space="preserve">VLA </w:t>
      </w:r>
      <w:r w:rsidR="005F73D1">
        <w:rPr>
          <w:rFonts w:ascii="Arial" w:hAnsi="Arial" w:cs="Arial"/>
          <w:sz w:val="22"/>
          <w:szCs w:val="22"/>
        </w:rPr>
        <w:t xml:space="preserve">supports the proposed functions of the </w:t>
      </w:r>
      <w:r w:rsidR="004E177B">
        <w:rPr>
          <w:rFonts w:ascii="Arial" w:hAnsi="Arial" w:cs="Arial"/>
          <w:sz w:val="22"/>
          <w:szCs w:val="22"/>
        </w:rPr>
        <w:t>Sentencing Guidelines Council</w:t>
      </w:r>
      <w:r w:rsidR="005F73D1">
        <w:rPr>
          <w:rFonts w:ascii="Arial" w:hAnsi="Arial" w:cs="Arial"/>
          <w:sz w:val="22"/>
          <w:szCs w:val="22"/>
        </w:rPr>
        <w:t>, namely to</w:t>
      </w:r>
      <w:r>
        <w:rPr>
          <w:rFonts w:ascii="Arial" w:hAnsi="Arial" w:cs="Arial"/>
          <w:sz w:val="22"/>
          <w:szCs w:val="22"/>
        </w:rPr>
        <w:t>:</w:t>
      </w:r>
    </w:p>
    <w:p w14:paraId="77F10C14" w14:textId="77777777" w:rsidR="00670ACC" w:rsidRPr="00670ACC" w:rsidRDefault="00417AA6" w:rsidP="00670ACC">
      <w:pPr>
        <w:pStyle w:val="ListBullet"/>
        <w:ind w:left="369" w:hanging="369"/>
      </w:pPr>
      <w:r w:rsidRPr="00670ACC">
        <w:rPr>
          <w:rFonts w:cs="Arial"/>
          <w:szCs w:val="22"/>
        </w:rPr>
        <w:t>develop sentencing guide</w:t>
      </w:r>
      <w:r w:rsidR="004E177B" w:rsidRPr="00670ACC">
        <w:rPr>
          <w:rFonts w:cs="Arial"/>
          <w:szCs w:val="22"/>
        </w:rPr>
        <w:t xml:space="preserve">lines for use by the judiciary </w:t>
      </w:r>
      <w:r w:rsidR="00DB033D" w:rsidRPr="00670ACC">
        <w:rPr>
          <w:rFonts w:cs="Arial"/>
          <w:szCs w:val="22"/>
        </w:rPr>
        <w:t>w</w:t>
      </w:r>
      <w:r w:rsidR="00670ACC" w:rsidRPr="00670ACC">
        <w:rPr>
          <w:rFonts w:cs="Arial"/>
          <w:szCs w:val="22"/>
        </w:rPr>
        <w:t>hen sentencing</w:t>
      </w:r>
    </w:p>
    <w:p w14:paraId="75695267" w14:textId="77777777" w:rsidR="00670ACC" w:rsidRPr="00670ACC" w:rsidRDefault="00417AA6" w:rsidP="00670ACC">
      <w:pPr>
        <w:pStyle w:val="ListBullet"/>
        <w:ind w:left="369" w:hanging="369"/>
      </w:pPr>
      <w:r w:rsidRPr="00670ACC">
        <w:rPr>
          <w:rFonts w:cs="Arial"/>
          <w:szCs w:val="22"/>
        </w:rPr>
        <w:t>consult with the general community, the courts, government departments and other interested persons or bodies when developing an</w:t>
      </w:r>
      <w:r w:rsidR="00670ACC" w:rsidRPr="00670ACC">
        <w:rPr>
          <w:rFonts w:cs="Arial"/>
          <w:szCs w:val="22"/>
        </w:rPr>
        <w:t>d issuing sentencing guidelines,</w:t>
      </w:r>
      <w:r w:rsidRPr="00670ACC">
        <w:rPr>
          <w:rFonts w:cs="Arial"/>
          <w:szCs w:val="22"/>
        </w:rPr>
        <w:t xml:space="preserve"> and</w:t>
      </w:r>
    </w:p>
    <w:p w14:paraId="648B22FD" w14:textId="77777777" w:rsidR="003A1C4F" w:rsidRPr="00670ACC" w:rsidRDefault="00417AA6" w:rsidP="00670ACC">
      <w:pPr>
        <w:pStyle w:val="ListBullet"/>
        <w:ind w:left="369" w:hanging="369"/>
      </w:pPr>
      <w:r w:rsidRPr="00670ACC">
        <w:rPr>
          <w:rFonts w:cs="Arial"/>
          <w:szCs w:val="22"/>
        </w:rPr>
        <w:t>perform related functions, such as publishing and pub</w:t>
      </w:r>
      <w:r w:rsidR="00670ACC" w:rsidRPr="00670ACC">
        <w:rPr>
          <w:rFonts w:cs="Arial"/>
          <w:szCs w:val="22"/>
        </w:rPr>
        <w:t>licising sentencing guidelines.</w:t>
      </w:r>
    </w:p>
    <w:p w14:paraId="48CA4191" w14:textId="77777777" w:rsidR="004108E3" w:rsidRDefault="00F50DE7" w:rsidP="00670ACC">
      <w:r>
        <w:t>The Sentencing Guidelines Council is uniquely placed to develop guidelines to assist the judiciary with the difficult task of sentencing.</w:t>
      </w:r>
      <w:r w:rsidR="00081A81">
        <w:t xml:space="preserve"> </w:t>
      </w:r>
      <w:r w:rsidR="00081A81" w:rsidRPr="005C4E05" w:rsidDel="00EB7F81">
        <w:t>Sentencing guidelines that are prepared by a body separate from the legislature and the judiciary can provide a comprehensive</w:t>
      </w:r>
      <w:r w:rsidR="00081A81" w:rsidDel="00EB7F81">
        <w:t>, methodical</w:t>
      </w:r>
      <w:r w:rsidR="00081A81" w:rsidRPr="005C4E05" w:rsidDel="00EB7F81">
        <w:t xml:space="preserve"> and independent frame</w:t>
      </w:r>
      <w:r w:rsidR="00081A81" w:rsidDel="00EB7F81">
        <w:t>work for sentencing courts.</w:t>
      </w:r>
      <w:r w:rsidR="00EE1222">
        <w:rPr>
          <w:rStyle w:val="FootnoteReference"/>
        </w:rPr>
        <w:footnoteReference w:id="13"/>
      </w:r>
      <w:r>
        <w:t xml:space="preserve"> This open and transparent process of consultation and public submissions will inform the Council in a way that the traditional court system is unable to access. The availability of </w:t>
      </w:r>
      <w:r w:rsidR="00310EB0">
        <w:t xml:space="preserve">publicly accessible </w:t>
      </w:r>
      <w:r>
        <w:t xml:space="preserve">guidelines to </w:t>
      </w:r>
      <w:r w:rsidR="00310EB0">
        <w:t xml:space="preserve">an </w:t>
      </w:r>
      <w:r>
        <w:t>accused, victims</w:t>
      </w:r>
      <w:r w:rsidR="00EC26F4">
        <w:t>,</w:t>
      </w:r>
      <w:r>
        <w:t xml:space="preserve"> and the b</w:t>
      </w:r>
      <w:r w:rsidR="00310EB0">
        <w:t>roader community will clarify</w:t>
      </w:r>
      <w:r w:rsidR="00ED51A9">
        <w:t xml:space="preserve"> and build public confidence in</w:t>
      </w:r>
      <w:r w:rsidR="00310EB0">
        <w:t xml:space="preserve"> </w:t>
      </w:r>
      <w:r>
        <w:t>the sentencing process</w:t>
      </w:r>
      <w:r w:rsidR="00310EB0">
        <w:t xml:space="preserve">. </w:t>
      </w:r>
    </w:p>
    <w:p w14:paraId="1242229B" w14:textId="77777777" w:rsidR="00892D2D" w:rsidRPr="00E2571D" w:rsidRDefault="0029401A" w:rsidP="00E2571D">
      <w:pPr>
        <w:pStyle w:val="Heading2"/>
        <w:rPr>
          <w:rFonts w:ascii="Verdana" w:hAnsi="Verdana"/>
          <w:sz w:val="32"/>
        </w:rPr>
      </w:pPr>
      <w:bookmarkStart w:id="8" w:name="_Toc500860630"/>
      <w:r w:rsidRPr="00EC26F4">
        <w:t>Initiation of</w:t>
      </w:r>
      <w:r w:rsidR="00892D2D" w:rsidRPr="00EC26F4">
        <w:t xml:space="preserve"> sentencing guidelines</w:t>
      </w:r>
      <w:bookmarkEnd w:id="8"/>
    </w:p>
    <w:p w14:paraId="0E36605D" w14:textId="77777777" w:rsidR="0029401A" w:rsidRDefault="009207F1" w:rsidP="00A46702">
      <w:r w:rsidRPr="009207F1">
        <w:t>VL</w:t>
      </w:r>
      <w:r w:rsidR="006D6AD9">
        <w:t xml:space="preserve">A </w:t>
      </w:r>
      <w:r w:rsidR="0029401A">
        <w:t>supports the approach proposed in the issues paper</w:t>
      </w:r>
      <w:r w:rsidR="00EC26F4">
        <w:t>—</w:t>
      </w:r>
      <w:r w:rsidR="0029401A">
        <w:t>namely</w:t>
      </w:r>
      <w:r w:rsidR="00EC26F4">
        <w:t>,</w:t>
      </w:r>
      <w:r w:rsidR="0029401A">
        <w:t xml:space="preserve"> that a Victorian sentencing guideline could be initiated on the Sentencing Guidelines Council’s own motion (by reference to its legislatively prescribed purposes), or at the request of the Attorney-General.</w:t>
      </w:r>
    </w:p>
    <w:p w14:paraId="571B9145" w14:textId="77777777" w:rsidR="0029401A" w:rsidRDefault="0029401A" w:rsidP="00A46702">
      <w:r>
        <w:t>I</w:t>
      </w:r>
      <w:r w:rsidR="009207F1" w:rsidRPr="009207F1">
        <w:t>t</w:t>
      </w:r>
      <w:r w:rsidR="006D6AD9">
        <w:t xml:space="preserve"> is important that the Sentencing Guidelines C</w:t>
      </w:r>
      <w:r w:rsidR="00CF3D3C" w:rsidRPr="009207F1">
        <w:t xml:space="preserve">ouncil </w:t>
      </w:r>
      <w:r>
        <w:t>be</w:t>
      </w:r>
      <w:r w:rsidR="00CF3D3C" w:rsidRPr="009207F1">
        <w:t xml:space="preserve"> able to initiate sentencing guidelines as it see</w:t>
      </w:r>
      <w:r w:rsidR="009207F1" w:rsidRPr="009207F1">
        <w:t>s fit</w:t>
      </w:r>
      <w:r>
        <w:t>,</w:t>
      </w:r>
      <w:r w:rsidR="009207F1" w:rsidRPr="009207F1">
        <w:t xml:space="preserve"> based on view</w:t>
      </w:r>
      <w:r>
        <w:t>s</w:t>
      </w:r>
      <w:r w:rsidR="009207F1" w:rsidRPr="009207F1">
        <w:t xml:space="preserve"> </w:t>
      </w:r>
      <w:r w:rsidR="00CF3D3C" w:rsidRPr="009207F1">
        <w:t>informed by its ex</w:t>
      </w:r>
      <w:r>
        <w:t>pert members and the community.</w:t>
      </w:r>
    </w:p>
    <w:p w14:paraId="57A0FAD4" w14:textId="77777777" w:rsidR="00F91765" w:rsidRDefault="0029401A" w:rsidP="00A46702">
      <w:r>
        <w:t xml:space="preserve">VLA agrees that the Sentencing Guidelines Council should not be required to comply with a request by the Attorney-General to initiate a sentencing guideline, in order to maintain the </w:t>
      </w:r>
      <w:r w:rsidR="00F91765">
        <w:t>independence</w:t>
      </w:r>
      <w:r>
        <w:t xml:space="preserve"> of the Council and</w:t>
      </w:r>
      <w:r w:rsidR="00EC26F4">
        <w:t xml:space="preserve"> to</w:t>
      </w:r>
      <w:r>
        <w:t xml:space="preserve"> avoid any suggestion that it is acting at the behest of the government.</w:t>
      </w:r>
    </w:p>
    <w:p w14:paraId="55C36D08" w14:textId="77777777" w:rsidR="00CF3D3C" w:rsidRDefault="00BF3773" w:rsidP="00CF3D3C">
      <w:pPr>
        <w:pStyle w:val="Heading2"/>
        <w:rPr>
          <w:rFonts w:ascii="Verdana" w:hAnsi="Verdana"/>
          <w:sz w:val="32"/>
        </w:rPr>
      </w:pPr>
      <w:bookmarkStart w:id="9" w:name="_Toc500860631"/>
      <w:r>
        <w:lastRenderedPageBreak/>
        <w:t>Consultation on</w:t>
      </w:r>
      <w:r w:rsidR="00CF3D3C">
        <w:t xml:space="preserve"> sentencing guidelines</w:t>
      </w:r>
      <w:bookmarkEnd w:id="9"/>
    </w:p>
    <w:p w14:paraId="453AB9D3" w14:textId="77777777" w:rsidR="00793967" w:rsidRPr="00793967" w:rsidRDefault="00793967" w:rsidP="00A46702">
      <w:r w:rsidRPr="00793967">
        <w:t xml:space="preserve">VLA </w:t>
      </w:r>
      <w:r w:rsidR="0031697B">
        <w:t>supports the approach proposed in the issues paper, namely that the</w:t>
      </w:r>
      <w:r w:rsidR="00B75509">
        <w:t xml:space="preserve"> Sentencing Guidelines Council should be required </w:t>
      </w:r>
      <w:r w:rsidR="0031697B">
        <w:t xml:space="preserve">to </w:t>
      </w:r>
      <w:r w:rsidR="00F10160">
        <w:t xml:space="preserve">publish draft guidelines and to </w:t>
      </w:r>
      <w:r w:rsidRPr="00793967">
        <w:t xml:space="preserve">consult with </w:t>
      </w:r>
      <w:r w:rsidR="0031697B">
        <w:t>the general community, the courts, government departments and other interested persons or bodies</w:t>
      </w:r>
      <w:r w:rsidR="00B75509">
        <w:t>. This should</w:t>
      </w:r>
      <w:r w:rsidRPr="00793967">
        <w:t xml:space="preserve"> includ</w:t>
      </w:r>
      <w:r w:rsidR="00B75509">
        <w:t>e</w:t>
      </w:r>
      <w:r w:rsidRPr="00793967">
        <w:t>:</w:t>
      </w:r>
    </w:p>
    <w:p w14:paraId="78F7BF65" w14:textId="77777777" w:rsidR="00793967" w:rsidRPr="00793967" w:rsidRDefault="00793967" w:rsidP="00B75509">
      <w:pPr>
        <w:pStyle w:val="ListBullet"/>
      </w:pPr>
      <w:r w:rsidRPr="00793967">
        <w:t>the Attorney-Genera</w:t>
      </w:r>
      <w:r w:rsidR="00B75509">
        <w:t>l and other relevant ministers</w:t>
      </w:r>
    </w:p>
    <w:p w14:paraId="53768D89" w14:textId="77777777" w:rsidR="00793967" w:rsidRPr="00793967" w:rsidRDefault="00B75509" w:rsidP="00B75509">
      <w:pPr>
        <w:pStyle w:val="ListBullet"/>
      </w:pPr>
      <w:r>
        <w:t>the Court of Appeal</w:t>
      </w:r>
    </w:p>
    <w:p w14:paraId="0620A6C0" w14:textId="77777777" w:rsidR="00793967" w:rsidRPr="00793967" w:rsidRDefault="00B75509" w:rsidP="00B75509">
      <w:pPr>
        <w:pStyle w:val="ListBullet"/>
      </w:pPr>
      <w:r>
        <w:t>the Supreme Court</w:t>
      </w:r>
    </w:p>
    <w:p w14:paraId="2DA9CF65" w14:textId="77777777" w:rsidR="00793967" w:rsidRPr="00793967" w:rsidRDefault="00793967" w:rsidP="00B75509">
      <w:pPr>
        <w:pStyle w:val="ListBullet"/>
      </w:pPr>
      <w:r w:rsidRPr="00793967">
        <w:t>the County Court</w:t>
      </w:r>
      <w:r w:rsidR="000719C4">
        <w:t>, including the County Koori Court</w:t>
      </w:r>
    </w:p>
    <w:p w14:paraId="66861FA5" w14:textId="77777777" w:rsidR="00793967" w:rsidRPr="00793967" w:rsidRDefault="00793967" w:rsidP="00B75509">
      <w:pPr>
        <w:pStyle w:val="ListBullet"/>
      </w:pPr>
      <w:r w:rsidRPr="00793967">
        <w:t>the Magistrates’ Court</w:t>
      </w:r>
      <w:r w:rsidR="000719C4">
        <w:t>, including the Koori Court</w:t>
      </w:r>
    </w:p>
    <w:p w14:paraId="4278E17F" w14:textId="77777777" w:rsidR="00793967" w:rsidRPr="00793967" w:rsidRDefault="00793967" w:rsidP="00B75509">
      <w:pPr>
        <w:pStyle w:val="ListBullet"/>
      </w:pPr>
      <w:r w:rsidRPr="00793967">
        <w:t xml:space="preserve">the </w:t>
      </w:r>
      <w:r w:rsidR="00B75509">
        <w:t>Director of Public Prosecutions</w:t>
      </w:r>
    </w:p>
    <w:p w14:paraId="326F95D6" w14:textId="77777777" w:rsidR="00793967" w:rsidRDefault="00B75509" w:rsidP="00B75509">
      <w:pPr>
        <w:pStyle w:val="ListBullet"/>
      </w:pPr>
      <w:r>
        <w:t>Victoria Legal Aid</w:t>
      </w:r>
    </w:p>
    <w:p w14:paraId="7DD3FE44" w14:textId="77777777" w:rsidR="00CC03B0" w:rsidRPr="00793967" w:rsidRDefault="00B75509" w:rsidP="00B75509">
      <w:pPr>
        <w:pStyle w:val="ListBullet"/>
      </w:pPr>
      <w:r>
        <w:t xml:space="preserve">the </w:t>
      </w:r>
      <w:r w:rsidR="000719C4">
        <w:t>Vict</w:t>
      </w:r>
      <w:r>
        <w:t>orian Aboriginal Legal Service</w:t>
      </w:r>
    </w:p>
    <w:p w14:paraId="48CE7A80" w14:textId="77777777" w:rsidR="000719C4" w:rsidRDefault="00793967" w:rsidP="00B75509">
      <w:pPr>
        <w:pStyle w:val="ListBullet"/>
      </w:pPr>
      <w:r w:rsidRPr="00793967">
        <w:t>th</w:t>
      </w:r>
      <w:r w:rsidR="000719C4">
        <w:t>e</w:t>
      </w:r>
      <w:r w:rsidR="00B75509">
        <w:t xml:space="preserve"> Victims of Crime Commissioner</w:t>
      </w:r>
    </w:p>
    <w:p w14:paraId="343E6DD2" w14:textId="77777777" w:rsidR="00612B4A" w:rsidRDefault="00B75509" w:rsidP="00B75509">
      <w:pPr>
        <w:pStyle w:val="ListBullet"/>
      </w:pPr>
      <w:r>
        <w:t>t</w:t>
      </w:r>
      <w:r w:rsidR="00612B4A">
        <w:t>he Victorian Bar Ass</w:t>
      </w:r>
      <w:r>
        <w:t>ociation</w:t>
      </w:r>
    </w:p>
    <w:p w14:paraId="3254AEB4" w14:textId="77777777" w:rsidR="00C5735B" w:rsidRDefault="00B75509" w:rsidP="00B62796">
      <w:pPr>
        <w:pStyle w:val="ListBullet"/>
      </w:pPr>
      <w:r>
        <w:t>the Law Institute of Victoria</w:t>
      </w:r>
    </w:p>
    <w:p w14:paraId="7CE841C0" w14:textId="7FC25D12" w:rsidR="00612B4A" w:rsidRPr="00612B4A" w:rsidRDefault="00214FE5" w:rsidP="004C5434">
      <w:pPr>
        <w:pStyle w:val="ListBullet"/>
      </w:pPr>
      <w:r>
        <w:t>Victoria Police</w:t>
      </w:r>
    </w:p>
    <w:p w14:paraId="752F6C04" w14:textId="77777777" w:rsidR="00CC2292" w:rsidRDefault="00793967" w:rsidP="00EE1222">
      <w:pPr>
        <w:pStyle w:val="ListBullet"/>
      </w:pPr>
      <w:r w:rsidRPr="00793967">
        <w:t>other rele</w:t>
      </w:r>
      <w:r w:rsidR="00612B4A">
        <w:t>vant advocacy</w:t>
      </w:r>
      <w:r w:rsidR="00B75509">
        <w:t xml:space="preserve"> and policy groups</w:t>
      </w:r>
      <w:r w:rsidR="00F105AC">
        <w:t>.</w:t>
      </w:r>
      <w:r w:rsidR="00B75509">
        <w:t xml:space="preserve"> </w:t>
      </w:r>
    </w:p>
    <w:p w14:paraId="374FCCAA" w14:textId="6EE9A75F" w:rsidR="00FB68F5" w:rsidRPr="00FB68F5" w:rsidRDefault="00B62796" w:rsidP="00EE1222">
      <w:pPr>
        <w:pStyle w:val="ListBullet"/>
        <w:numPr>
          <w:ilvl w:val="0"/>
          <w:numId w:val="0"/>
        </w:numPr>
        <w:rPr>
          <w:rFonts w:cs="Arial"/>
          <w:sz w:val="21"/>
          <w:szCs w:val="21"/>
        </w:rPr>
      </w:pPr>
      <w:r>
        <w:t>C</w:t>
      </w:r>
      <w:r w:rsidR="00FB68F5">
        <w:t xml:space="preserve">ommunity consultation </w:t>
      </w:r>
      <w:r w:rsidR="00C02FB7">
        <w:t>is a</w:t>
      </w:r>
      <w:r w:rsidR="00FB68F5">
        <w:t xml:space="preserve"> </w:t>
      </w:r>
      <w:r w:rsidR="00C02FB7">
        <w:t>vital</w:t>
      </w:r>
      <w:r w:rsidR="00FB68F5">
        <w:t xml:space="preserve"> </w:t>
      </w:r>
      <w:r w:rsidR="00146A26">
        <w:t xml:space="preserve">part of the establishment of a </w:t>
      </w:r>
      <w:r w:rsidR="00FB68F5">
        <w:t xml:space="preserve">Sentencing Guidelines Council, and </w:t>
      </w:r>
      <w:r w:rsidR="00C02FB7">
        <w:t xml:space="preserve">must be </w:t>
      </w:r>
      <w:r w:rsidR="00FB68F5">
        <w:t>rigorous</w:t>
      </w:r>
      <w:r w:rsidR="00C02FB7">
        <w:t xml:space="preserve"> and broad reaching</w:t>
      </w:r>
      <w:r w:rsidR="00FB68F5">
        <w:t xml:space="preserve">. </w:t>
      </w:r>
      <w:r w:rsidR="00C02FB7">
        <w:t>T</w:t>
      </w:r>
      <w:r w:rsidR="00FB68F5">
        <w:t xml:space="preserve">his an opportunity for </w:t>
      </w:r>
      <w:r w:rsidR="00146A26">
        <w:t xml:space="preserve">community </w:t>
      </w:r>
      <w:r w:rsidR="00FB68F5">
        <w:t xml:space="preserve">guidance to be provided </w:t>
      </w:r>
      <w:r w:rsidR="00146A26">
        <w:t>for</w:t>
      </w:r>
      <w:r w:rsidR="00FB68F5">
        <w:t xml:space="preserve"> the way the criminal justice system </w:t>
      </w:r>
      <w:r w:rsidR="00C02FB7">
        <w:t xml:space="preserve">deals with complex matters where </w:t>
      </w:r>
      <w:r w:rsidR="00C02FB7">
        <w:rPr>
          <w:rFonts w:cs="Arial"/>
          <w:sz w:val="21"/>
          <w:szCs w:val="21"/>
        </w:rPr>
        <w:t xml:space="preserve">a range of </w:t>
      </w:r>
      <w:r w:rsidR="00C02FB7" w:rsidRPr="00FB68F5">
        <w:rPr>
          <w:rFonts w:cs="Arial"/>
          <w:sz w:val="21"/>
          <w:szCs w:val="21"/>
        </w:rPr>
        <w:t>issues</w:t>
      </w:r>
      <w:r w:rsidR="00C02FB7">
        <w:rPr>
          <w:rFonts w:cs="Arial"/>
          <w:sz w:val="21"/>
          <w:szCs w:val="21"/>
        </w:rPr>
        <w:t xml:space="preserve"> </w:t>
      </w:r>
      <w:r w:rsidR="0035742A">
        <w:rPr>
          <w:rFonts w:cs="Arial"/>
          <w:sz w:val="21"/>
          <w:szCs w:val="21"/>
        </w:rPr>
        <w:t xml:space="preserve">are present </w:t>
      </w:r>
      <w:r w:rsidR="00146A26">
        <w:rPr>
          <w:rFonts w:cs="Arial"/>
          <w:sz w:val="21"/>
          <w:szCs w:val="21"/>
        </w:rPr>
        <w:t>(</w:t>
      </w:r>
      <w:r w:rsidR="00C02FB7">
        <w:rPr>
          <w:rFonts w:cs="Arial"/>
          <w:sz w:val="21"/>
          <w:szCs w:val="21"/>
        </w:rPr>
        <w:t xml:space="preserve">such as </w:t>
      </w:r>
      <w:r w:rsidR="00C02FB7">
        <w:t>family violence</w:t>
      </w:r>
      <w:r w:rsidR="00146A26">
        <w:t>,</w:t>
      </w:r>
      <w:r w:rsidR="00C02FB7">
        <w:t xml:space="preserve"> sexual abuse, and backgrounds of trauma</w:t>
      </w:r>
      <w:r w:rsidR="00146A26">
        <w:t xml:space="preserve"> amongst both victims and </w:t>
      </w:r>
      <w:r w:rsidR="00EE1222">
        <w:t>accused persons</w:t>
      </w:r>
      <w:r w:rsidR="00146A26">
        <w:t>)</w:t>
      </w:r>
      <w:r w:rsidR="00C02FB7">
        <w:t xml:space="preserve">. There is significant </w:t>
      </w:r>
      <w:r w:rsidR="00C02FB7">
        <w:rPr>
          <w:rFonts w:cs="Arial"/>
          <w:sz w:val="21"/>
          <w:szCs w:val="21"/>
        </w:rPr>
        <w:t>benefit to</w:t>
      </w:r>
      <w:r w:rsidR="00C02FB7" w:rsidRPr="00FB68F5">
        <w:rPr>
          <w:rFonts w:cs="Arial"/>
          <w:sz w:val="21"/>
          <w:szCs w:val="21"/>
        </w:rPr>
        <w:t xml:space="preserve"> community</w:t>
      </w:r>
      <w:r>
        <w:rPr>
          <w:rFonts w:cs="Arial"/>
          <w:sz w:val="21"/>
          <w:szCs w:val="21"/>
        </w:rPr>
        <w:t>-</w:t>
      </w:r>
      <w:r w:rsidR="00C02FB7" w:rsidRPr="00FB68F5">
        <w:rPr>
          <w:rFonts w:cs="Arial"/>
          <w:sz w:val="21"/>
          <w:szCs w:val="21"/>
        </w:rPr>
        <w:t>driven consultatio</w:t>
      </w:r>
      <w:r w:rsidR="00C02FB7">
        <w:rPr>
          <w:rFonts w:cs="Arial"/>
          <w:sz w:val="21"/>
          <w:szCs w:val="21"/>
        </w:rPr>
        <w:t xml:space="preserve">n about how the law should grapple with these complexities. </w:t>
      </w:r>
    </w:p>
    <w:p w14:paraId="0B6B6F4D" w14:textId="163339DD" w:rsidR="00591B62" w:rsidRDefault="00591B62" w:rsidP="00A46702">
      <w:r>
        <w:t xml:space="preserve">VLA does not believe that the Sentencing Guidelines Council should be required to consult with a </w:t>
      </w:r>
      <w:r w:rsidR="002A1B3E">
        <w:t xml:space="preserve">parliamentary </w:t>
      </w:r>
      <w:r>
        <w:t>committee</w:t>
      </w:r>
      <w:r w:rsidR="002A1B3E">
        <w:t xml:space="preserve">, as such a requirement </w:t>
      </w:r>
      <w:r>
        <w:t>risks undermining the Council’s independence</w:t>
      </w:r>
      <w:r w:rsidR="00B62796">
        <w:t xml:space="preserve"> and unduly politicising the process</w:t>
      </w:r>
      <w:r>
        <w:t>.</w:t>
      </w:r>
    </w:p>
    <w:p w14:paraId="59C9C01C" w14:textId="6715E612" w:rsidR="00B70D26" w:rsidRDefault="00C5735B" w:rsidP="00A46702">
      <w:r>
        <w:t xml:space="preserve">In </w:t>
      </w:r>
      <w:r w:rsidR="00793967">
        <w:t xml:space="preserve">England and Wales </w:t>
      </w:r>
      <w:r>
        <w:t>the</w:t>
      </w:r>
      <w:r w:rsidR="00146A26">
        <w:t xml:space="preserve"> community</w:t>
      </w:r>
      <w:r w:rsidR="00793967">
        <w:t xml:space="preserve"> consultation phase</w:t>
      </w:r>
      <w:r>
        <w:t xml:space="preserve"> is lengthy</w:t>
      </w:r>
      <w:r w:rsidR="008A5208">
        <w:t xml:space="preserve"> and </w:t>
      </w:r>
      <w:r>
        <w:t xml:space="preserve">allows </w:t>
      </w:r>
      <w:r w:rsidR="008A5208">
        <w:t xml:space="preserve">sufficient time </w:t>
      </w:r>
      <w:r>
        <w:t xml:space="preserve">for in-depth consultation through public submissions, forums, roundtables and community surveys. It also allows time for testing of levels and ranges. </w:t>
      </w:r>
      <w:r w:rsidR="00B70D26">
        <w:t xml:space="preserve">VLA supports a </w:t>
      </w:r>
      <w:r>
        <w:t xml:space="preserve">similarly </w:t>
      </w:r>
      <w:r w:rsidR="00B70D26">
        <w:t xml:space="preserve">rigorous consultation process which </w:t>
      </w:r>
      <w:r>
        <w:t xml:space="preserve">will </w:t>
      </w:r>
      <w:r w:rsidR="00B70D26">
        <w:t>facilitate the development of guidelines following a genuine, open and transparent consultation process.</w:t>
      </w:r>
    </w:p>
    <w:p w14:paraId="25A07971" w14:textId="77777777" w:rsidR="00BD42D6" w:rsidRDefault="00793967" w:rsidP="00A46702">
      <w:r w:rsidRPr="00FF27B0">
        <w:t xml:space="preserve">VLA </w:t>
      </w:r>
      <w:r w:rsidR="00144943">
        <w:t xml:space="preserve">agrees with the </w:t>
      </w:r>
      <w:r w:rsidR="00056388">
        <w:t>SAC’s</w:t>
      </w:r>
      <w:r w:rsidR="00144943">
        <w:t xml:space="preserve"> preliminary view that the Sentencing Guidelines Council should not be permitted to bypass consultation requirements in order to publish an urgent sentencing guideline. Consultation is vital for </w:t>
      </w:r>
      <w:r w:rsidRPr="00FF27B0">
        <w:t>the fair and transpa</w:t>
      </w:r>
      <w:r w:rsidR="00144943">
        <w:t xml:space="preserve">rent development of guidelines. Failure to engage in genuine consultation would undermine the </w:t>
      </w:r>
      <w:r w:rsidR="0099568F">
        <w:t xml:space="preserve">Council’s </w:t>
      </w:r>
      <w:r w:rsidR="00144943">
        <w:t xml:space="preserve">guiding purpose </w:t>
      </w:r>
      <w:r w:rsidR="0099568F">
        <w:t>to</w:t>
      </w:r>
      <w:r w:rsidR="00144943">
        <w:t xml:space="preserve"> promot</w:t>
      </w:r>
      <w:r w:rsidR="0099568F">
        <w:t>e</w:t>
      </w:r>
      <w:r w:rsidR="00144943">
        <w:t xml:space="preserve"> public confidence in the criminal justice system.</w:t>
      </w:r>
    </w:p>
    <w:p w14:paraId="185FB0C8" w14:textId="2F2EFF2C" w:rsidR="00793967" w:rsidRPr="00BD42D6" w:rsidRDefault="00793967" w:rsidP="00A46702">
      <w:r w:rsidRPr="00FF27B0">
        <w:t xml:space="preserve">VLA </w:t>
      </w:r>
      <w:r w:rsidR="00F10160">
        <w:t xml:space="preserve">also supports the requirement for the Sentencing Guidelines Council to publish an impact or resource assessment alongside any draft or final guideline. </w:t>
      </w:r>
      <w:r w:rsidR="00202D58">
        <w:t xml:space="preserve">Such assessments would contribute to the public’s understanding of the impact of sentencing on the </w:t>
      </w:r>
      <w:r w:rsidR="00E86C98">
        <w:t>broader</w:t>
      </w:r>
      <w:r w:rsidR="00202D58">
        <w:t xml:space="preserve"> criminal justice system.</w:t>
      </w:r>
    </w:p>
    <w:p w14:paraId="2A0D9C22" w14:textId="77777777" w:rsidR="009E0436" w:rsidRPr="00591B62" w:rsidRDefault="009E0436" w:rsidP="00591B62">
      <w:pPr>
        <w:pStyle w:val="Heading2"/>
      </w:pPr>
      <w:bookmarkStart w:id="10" w:name="_Toc500860632"/>
      <w:r w:rsidRPr="00591B62">
        <w:lastRenderedPageBreak/>
        <w:t>Finalisation, approval and commen</w:t>
      </w:r>
      <w:r w:rsidR="00591B62">
        <w:t>cement of sentencing guidelines</w:t>
      </w:r>
      <w:bookmarkEnd w:id="10"/>
    </w:p>
    <w:p w14:paraId="672B9605" w14:textId="77777777" w:rsidR="009E0436" w:rsidRPr="00F05E00" w:rsidRDefault="009E0436" w:rsidP="00A46702">
      <w:pPr>
        <w:pStyle w:val="Heading3"/>
      </w:pPr>
      <w:bookmarkStart w:id="11" w:name="_Toc500860633"/>
      <w:r w:rsidRPr="00F05E00">
        <w:t>Finalisation and approval</w:t>
      </w:r>
      <w:bookmarkEnd w:id="11"/>
    </w:p>
    <w:p w14:paraId="0E273D93" w14:textId="77777777" w:rsidR="00F83993" w:rsidRDefault="003221CA" w:rsidP="00A93CDA">
      <w:r>
        <w:t xml:space="preserve">VLA </w:t>
      </w:r>
      <w:r w:rsidR="00B32E2E">
        <w:t xml:space="preserve">supports </w:t>
      </w:r>
      <w:r w:rsidR="001D7DCF">
        <w:t>a</w:t>
      </w:r>
      <w:r w:rsidR="004108E3">
        <w:t xml:space="preserve"> streamline</w:t>
      </w:r>
      <w:r w:rsidR="001A620F">
        <w:t>d</w:t>
      </w:r>
      <w:r w:rsidR="004108E3">
        <w:t xml:space="preserve"> process </w:t>
      </w:r>
      <w:r w:rsidR="001D7DCF">
        <w:t xml:space="preserve">for finalisation of guidelines. </w:t>
      </w:r>
      <w:r w:rsidR="004108E3">
        <w:t xml:space="preserve">Given the judicial majority </w:t>
      </w:r>
      <w:r w:rsidR="001A620F">
        <w:t>membership on</w:t>
      </w:r>
      <w:r w:rsidR="004108E3">
        <w:t xml:space="preserve"> the Sentencing Guidelines Council</w:t>
      </w:r>
      <w:r w:rsidR="001A620F">
        <w:t xml:space="preserve"> (</w:t>
      </w:r>
      <w:r w:rsidR="001D7DCF">
        <w:t xml:space="preserve">including Court of Appeal membership), </w:t>
      </w:r>
      <w:r w:rsidR="00A93CDA">
        <w:t xml:space="preserve">it is appropriate that the </w:t>
      </w:r>
      <w:r w:rsidR="00F83993">
        <w:t xml:space="preserve">Sentencing Guidelines </w:t>
      </w:r>
      <w:r w:rsidR="00A93CDA">
        <w:t xml:space="preserve">Council </w:t>
      </w:r>
      <w:r w:rsidR="001A620F">
        <w:t>should be</w:t>
      </w:r>
      <w:r w:rsidR="00A93CDA">
        <w:t xml:space="preserve"> able to approve </w:t>
      </w:r>
      <w:r w:rsidR="001A620F">
        <w:t>and finalise</w:t>
      </w:r>
      <w:r w:rsidR="00A93CDA">
        <w:t xml:space="preserve"> guidelines without the need for </w:t>
      </w:r>
      <w:r w:rsidR="001A620F">
        <w:t xml:space="preserve">further </w:t>
      </w:r>
      <w:r w:rsidR="00A93CDA">
        <w:t xml:space="preserve">approval by the Court of Appeal. </w:t>
      </w:r>
    </w:p>
    <w:p w14:paraId="1271D844" w14:textId="3FA213D9" w:rsidR="0001652A" w:rsidRDefault="001A620F" w:rsidP="00A46702">
      <w:r>
        <w:t>The p</w:t>
      </w:r>
      <w:r w:rsidR="00A93CDA">
        <w:t>ractical implication</w:t>
      </w:r>
      <w:r w:rsidR="00F83993">
        <w:t>s</w:t>
      </w:r>
      <w:r w:rsidR="00A93CDA">
        <w:t xml:space="preserve"> of guidelines will be</w:t>
      </w:r>
      <w:r w:rsidR="00F83993">
        <w:t xml:space="preserve"> discussed and</w:t>
      </w:r>
      <w:r w:rsidR="00A93CDA">
        <w:t xml:space="preserve"> determined through the </w:t>
      </w:r>
      <w:r>
        <w:t>guidelines</w:t>
      </w:r>
      <w:r w:rsidR="00EE1222">
        <w:t xml:space="preserve"> </w:t>
      </w:r>
      <w:r w:rsidR="00A93CDA">
        <w:t xml:space="preserve">development process </w:t>
      </w:r>
      <w:r w:rsidR="00F83993">
        <w:t xml:space="preserve">within the Sentencing Guidelines Council. Once </w:t>
      </w:r>
      <w:r w:rsidR="00A93CDA">
        <w:t>guidelines are approved by the Sentencing Guidelines Council</w:t>
      </w:r>
      <w:r w:rsidR="001D7DCF">
        <w:t>,</w:t>
      </w:r>
      <w:r w:rsidR="00A93CDA">
        <w:t xml:space="preserve"> the Court of Appeal will be able to provide guidance as necessary if t</w:t>
      </w:r>
      <w:r w:rsidR="00F83993">
        <w:t xml:space="preserve">here are areas that require </w:t>
      </w:r>
      <w:r w:rsidR="00A93CDA">
        <w:t xml:space="preserve">further interpretation. </w:t>
      </w:r>
      <w:r>
        <w:t xml:space="preserve">To add an </w:t>
      </w:r>
      <w:r w:rsidR="00A93CDA">
        <w:t xml:space="preserve">additional requirement that guidelines </w:t>
      </w:r>
      <w:r>
        <w:t xml:space="preserve">need to be </w:t>
      </w:r>
      <w:r w:rsidR="00A93CDA">
        <w:t xml:space="preserve">approved by the Court of Appeal </w:t>
      </w:r>
      <w:r>
        <w:t xml:space="preserve">would </w:t>
      </w:r>
      <w:r w:rsidR="00A93CDA">
        <w:t>undermine the efficacy of the Sentencing Guidelines Council</w:t>
      </w:r>
      <w:r>
        <w:t xml:space="preserve">, and, consistent with </w:t>
      </w:r>
      <w:r w:rsidR="00A93CDA">
        <w:t xml:space="preserve">advice provided to the </w:t>
      </w:r>
      <w:r w:rsidR="00056388">
        <w:t>SAC</w:t>
      </w:r>
      <w:r>
        <w:t xml:space="preserve">, </w:t>
      </w:r>
      <w:r w:rsidR="00B62796">
        <w:t xml:space="preserve">may </w:t>
      </w:r>
      <w:r>
        <w:t xml:space="preserve">carry </w:t>
      </w:r>
      <w:r w:rsidR="00A93CDA">
        <w:t>greater constitutional risks.</w:t>
      </w:r>
      <w:r w:rsidR="00A93CDA">
        <w:rPr>
          <w:rStyle w:val="FootnoteReference"/>
        </w:rPr>
        <w:footnoteReference w:id="14"/>
      </w:r>
      <w:r w:rsidR="00A93CDA">
        <w:t xml:space="preserve">  </w:t>
      </w:r>
    </w:p>
    <w:p w14:paraId="34827475" w14:textId="77777777" w:rsidR="009E0436" w:rsidRPr="00F05E00" w:rsidRDefault="009E0436" w:rsidP="00D718A9">
      <w:pPr>
        <w:pStyle w:val="Heading3"/>
      </w:pPr>
      <w:bookmarkStart w:id="12" w:name="_Toc500860634"/>
      <w:r w:rsidRPr="00F05E00">
        <w:t>Commencement</w:t>
      </w:r>
      <w:bookmarkEnd w:id="12"/>
    </w:p>
    <w:p w14:paraId="0BBA787C" w14:textId="77777777" w:rsidR="00F86AAE" w:rsidRPr="00F05E00" w:rsidRDefault="00F86AAE" w:rsidP="00D94804">
      <w:r w:rsidRPr="00F05E00">
        <w:t xml:space="preserve">VLA </w:t>
      </w:r>
      <w:r w:rsidR="002441B1">
        <w:t xml:space="preserve">considers that a sentencing guideline should commence on a date set by the </w:t>
      </w:r>
      <w:r w:rsidR="00F83993">
        <w:t>Sentencing Guidelines Council.</w:t>
      </w:r>
      <w:r w:rsidR="002441B1">
        <w:t xml:space="preserve"> </w:t>
      </w:r>
      <w:r w:rsidR="00436717">
        <w:t>A</w:t>
      </w:r>
      <w:r w:rsidRPr="00F05E00">
        <w:t xml:space="preserve"> period of time should be allowed between the </w:t>
      </w:r>
      <w:r w:rsidR="002441B1">
        <w:t xml:space="preserve">date of </w:t>
      </w:r>
      <w:r w:rsidRPr="00F05E00">
        <w:t>public</w:t>
      </w:r>
      <w:r w:rsidR="002441B1">
        <w:t>ation of a sentencing guideline</w:t>
      </w:r>
      <w:r w:rsidRPr="00F05E00">
        <w:t xml:space="preserve"> and </w:t>
      </w:r>
      <w:r w:rsidR="002441B1">
        <w:t>its commencement</w:t>
      </w:r>
      <w:r w:rsidRPr="00F05E00">
        <w:t xml:space="preserve">. This is </w:t>
      </w:r>
      <w:r w:rsidR="002441B1">
        <w:t xml:space="preserve">necessary </w:t>
      </w:r>
      <w:r w:rsidRPr="00F05E00">
        <w:t xml:space="preserve">to allow relevant stakeholders and the wider community to become familiar with the new sentencing guideline </w:t>
      </w:r>
      <w:r w:rsidR="002441B1">
        <w:t xml:space="preserve">before it comes into operation. It will </w:t>
      </w:r>
      <w:r w:rsidR="00BA3910">
        <w:t xml:space="preserve">also </w:t>
      </w:r>
      <w:r w:rsidR="002441B1">
        <w:t>be</w:t>
      </w:r>
      <w:r w:rsidRPr="00F05E00">
        <w:t xml:space="preserve"> important for members of the judiciary, the prosecution and the legal profession to </w:t>
      </w:r>
      <w:r w:rsidR="002441B1">
        <w:t xml:space="preserve">have sufficient time </w:t>
      </w:r>
      <w:r w:rsidRPr="00F05E00">
        <w:t xml:space="preserve">to understand the impact of the sentencing guideline. </w:t>
      </w:r>
      <w:r w:rsidR="002441B1">
        <w:t>Individuals</w:t>
      </w:r>
      <w:r w:rsidR="00C561F7">
        <w:t xml:space="preserve"> </w:t>
      </w:r>
      <w:r w:rsidR="002441B1">
        <w:t>who</w:t>
      </w:r>
      <w:r w:rsidR="00C561F7">
        <w:t xml:space="preserve"> </w:t>
      </w:r>
      <w:r w:rsidR="002441B1">
        <w:t>may be</w:t>
      </w:r>
      <w:r w:rsidR="00F93D58">
        <w:t xml:space="preserve"> subject to </w:t>
      </w:r>
      <w:r w:rsidR="002441B1">
        <w:t xml:space="preserve">sentencing </w:t>
      </w:r>
      <w:r w:rsidR="00C561F7">
        <w:t>decisions pursuant to a new guideline</w:t>
      </w:r>
      <w:r w:rsidR="00F93D58">
        <w:t xml:space="preserve"> will need the opportunity to be advised </w:t>
      </w:r>
      <w:r w:rsidRPr="00F05E00">
        <w:t>of the</w:t>
      </w:r>
      <w:r w:rsidR="00F93D58">
        <w:t xml:space="preserve"> possible</w:t>
      </w:r>
      <w:r w:rsidRPr="00F05E00">
        <w:t xml:space="preserve"> impact of the guidelin</w:t>
      </w:r>
      <w:r w:rsidR="002441B1">
        <w:t>e on the outcome of their case.</w:t>
      </w:r>
    </w:p>
    <w:p w14:paraId="0BACE792" w14:textId="77777777" w:rsidR="00DE4509" w:rsidRPr="0011302E" w:rsidRDefault="00DE4509" w:rsidP="0011302E">
      <w:pPr>
        <w:pStyle w:val="Heading2"/>
        <w:rPr>
          <w:rStyle w:val="Strong"/>
          <w:b/>
          <w:bCs/>
        </w:rPr>
      </w:pPr>
      <w:bookmarkStart w:id="13" w:name="_Toc500860635"/>
      <w:r w:rsidRPr="0011302E">
        <w:rPr>
          <w:rStyle w:val="Strong"/>
          <w:b/>
          <w:bCs/>
        </w:rPr>
        <w:t>Notice require</w:t>
      </w:r>
      <w:r w:rsidR="00A46702" w:rsidRPr="0011302E">
        <w:rPr>
          <w:rStyle w:val="Strong"/>
          <w:b/>
          <w:bCs/>
        </w:rPr>
        <w:t>ments for sentencing guidelines</w:t>
      </w:r>
      <w:bookmarkEnd w:id="13"/>
    </w:p>
    <w:p w14:paraId="033C7A33" w14:textId="77777777" w:rsidR="0011302E" w:rsidRDefault="00425919" w:rsidP="00A46702">
      <w:pPr>
        <w:widowControl w:val="0"/>
      </w:pPr>
      <w:r w:rsidRPr="00237523">
        <w:t>VLA</w:t>
      </w:r>
      <w:r w:rsidR="00C561F7">
        <w:t xml:space="preserve"> agrees that </w:t>
      </w:r>
      <w:r w:rsidR="0011302E">
        <w:t xml:space="preserve">all </w:t>
      </w:r>
      <w:r w:rsidR="00C561F7">
        <w:t xml:space="preserve">draft </w:t>
      </w:r>
      <w:r w:rsidR="0011302E">
        <w:t xml:space="preserve">and final </w:t>
      </w:r>
      <w:r w:rsidR="00237523" w:rsidRPr="00237523">
        <w:t>sentencing guidelines should be readily accessible</w:t>
      </w:r>
      <w:r w:rsidR="00C561F7">
        <w:t xml:space="preserve"> </w:t>
      </w:r>
      <w:r w:rsidR="0011302E">
        <w:t xml:space="preserve">and </w:t>
      </w:r>
      <w:r w:rsidR="00C561F7">
        <w:t>free of charge</w:t>
      </w:r>
      <w:r w:rsidR="00237523" w:rsidRPr="00237523">
        <w:t xml:space="preserve"> to </w:t>
      </w:r>
      <w:r w:rsidR="00C561F7">
        <w:t xml:space="preserve">the community and the profession. </w:t>
      </w:r>
      <w:r w:rsidR="0011302E">
        <w:t>VLA supports the proposed notice requirements set out in the issues paper.</w:t>
      </w:r>
    </w:p>
    <w:p w14:paraId="4228A5CF" w14:textId="77777777" w:rsidR="00237523" w:rsidRPr="00E568F8" w:rsidRDefault="0011302E" w:rsidP="00A46702">
      <w:pPr>
        <w:widowControl w:val="0"/>
      </w:pPr>
      <w:r>
        <w:t>In addition, a</w:t>
      </w:r>
      <w:r w:rsidR="00237523" w:rsidRPr="00237523">
        <w:t xml:space="preserve">s the largest criminal law </w:t>
      </w:r>
      <w:r w:rsidR="00A0078A">
        <w:t>practice</w:t>
      </w:r>
      <w:r w:rsidR="00237523" w:rsidRPr="00237523">
        <w:t xml:space="preserve"> in Victoria</w:t>
      </w:r>
      <w:r>
        <w:t>,</w:t>
      </w:r>
      <w:r w:rsidR="00237523" w:rsidRPr="00237523">
        <w:t xml:space="preserve"> and a centre for quality and train</w:t>
      </w:r>
      <w:r w:rsidR="006B102B">
        <w:t>ing</w:t>
      </w:r>
      <w:r>
        <w:t>,</w:t>
      </w:r>
      <w:r w:rsidR="006B102B">
        <w:t xml:space="preserve"> </w:t>
      </w:r>
      <w:r>
        <w:t>we</w:t>
      </w:r>
      <w:r w:rsidR="006B102B">
        <w:t xml:space="preserve"> </w:t>
      </w:r>
      <w:r>
        <w:t xml:space="preserve">recommend </w:t>
      </w:r>
      <w:r w:rsidR="006B102B">
        <w:t xml:space="preserve">that </w:t>
      </w:r>
      <w:r>
        <w:t xml:space="preserve">the Sentencing Guidelines Council be required to </w:t>
      </w:r>
      <w:r w:rsidR="00BA3910">
        <w:t xml:space="preserve">formally </w:t>
      </w:r>
      <w:r>
        <w:t xml:space="preserve">notify VLA of a new sentencing guideline, in order to </w:t>
      </w:r>
      <w:r w:rsidR="00237523" w:rsidRPr="00237523">
        <w:t xml:space="preserve">ensure that this information </w:t>
      </w:r>
      <w:r>
        <w:t>can be</w:t>
      </w:r>
      <w:r w:rsidR="00237523" w:rsidRPr="00237523">
        <w:t xml:space="preserve"> disseminat</w:t>
      </w:r>
      <w:r>
        <w:t>ed as widely as possible.</w:t>
      </w:r>
    </w:p>
    <w:p w14:paraId="2C6DC148" w14:textId="77777777" w:rsidR="00237523" w:rsidRPr="00D718A9" w:rsidRDefault="00237523" w:rsidP="00A46702">
      <w:pPr>
        <w:pStyle w:val="Heading2"/>
        <w:keepNext w:val="0"/>
        <w:widowControl w:val="0"/>
        <w:rPr>
          <w:rStyle w:val="Strong"/>
          <w:b/>
          <w:bCs/>
        </w:rPr>
      </w:pPr>
      <w:bookmarkStart w:id="14" w:name="_Toc500860636"/>
      <w:r w:rsidRPr="00D718A9">
        <w:rPr>
          <w:rStyle w:val="Strong"/>
          <w:b/>
          <w:bCs/>
        </w:rPr>
        <w:t xml:space="preserve">Form and </w:t>
      </w:r>
      <w:r w:rsidR="005A495C">
        <w:rPr>
          <w:rStyle w:val="Strong"/>
          <w:b/>
          <w:bCs/>
        </w:rPr>
        <w:t>content of sentencing guideline</w:t>
      </w:r>
      <w:bookmarkEnd w:id="14"/>
      <w:r w:rsidR="001D7DCF">
        <w:rPr>
          <w:rStyle w:val="Strong"/>
          <w:b/>
          <w:bCs/>
        </w:rPr>
        <w:t>s</w:t>
      </w:r>
    </w:p>
    <w:p w14:paraId="099CB1CA" w14:textId="09052445" w:rsidR="00612B4A" w:rsidRDefault="00612B4A" w:rsidP="00A46702">
      <w:pPr>
        <w:widowControl w:val="0"/>
        <w:rPr>
          <w:lang w:eastAsia="en-AU"/>
        </w:rPr>
      </w:pPr>
      <w:r>
        <w:rPr>
          <w:lang w:eastAsia="en-AU"/>
        </w:rPr>
        <w:t xml:space="preserve">VLA </w:t>
      </w:r>
      <w:r w:rsidR="009043B0">
        <w:rPr>
          <w:lang w:eastAsia="en-AU"/>
        </w:rPr>
        <w:t>supports</w:t>
      </w:r>
      <w:r>
        <w:rPr>
          <w:lang w:eastAsia="en-AU"/>
        </w:rPr>
        <w:t xml:space="preserve"> the </w:t>
      </w:r>
      <w:r w:rsidR="009043B0">
        <w:rPr>
          <w:lang w:eastAsia="en-AU"/>
        </w:rPr>
        <w:t xml:space="preserve">proposed scope of form and content for a sentencing guideline set out in the issues paper. </w:t>
      </w:r>
      <w:r w:rsidR="007A245A">
        <w:rPr>
          <w:lang w:eastAsia="en-AU"/>
        </w:rPr>
        <w:t xml:space="preserve">All sentencing guidelines would need to be consistent with the </w:t>
      </w:r>
      <w:r w:rsidR="007A245A" w:rsidRPr="007A245A">
        <w:rPr>
          <w:i/>
          <w:lang w:eastAsia="en-AU"/>
        </w:rPr>
        <w:t xml:space="preserve">Sentencing Act 1991 </w:t>
      </w:r>
      <w:r w:rsidR="007A245A">
        <w:rPr>
          <w:lang w:eastAsia="en-AU"/>
        </w:rPr>
        <w:t xml:space="preserve">and should preserve judicial discretion. </w:t>
      </w:r>
    </w:p>
    <w:p w14:paraId="23CF6049" w14:textId="182AB438" w:rsidR="00B52812" w:rsidRPr="00D718A9" w:rsidRDefault="00B52812" w:rsidP="00A46702">
      <w:pPr>
        <w:pStyle w:val="Heading2"/>
        <w:keepNext w:val="0"/>
        <w:widowControl w:val="0"/>
        <w:rPr>
          <w:rStyle w:val="Strong"/>
          <w:b/>
          <w:bCs/>
        </w:rPr>
      </w:pPr>
      <w:bookmarkStart w:id="15" w:name="_Toc500860637"/>
      <w:r w:rsidRPr="00D718A9">
        <w:rPr>
          <w:rStyle w:val="Strong"/>
          <w:b/>
          <w:bCs/>
        </w:rPr>
        <w:t>The e</w:t>
      </w:r>
      <w:r w:rsidR="00A46702">
        <w:rPr>
          <w:rStyle w:val="Strong"/>
          <w:b/>
          <w:bCs/>
        </w:rPr>
        <w:t>ffect of a sentencing guideline</w:t>
      </w:r>
      <w:bookmarkEnd w:id="15"/>
    </w:p>
    <w:p w14:paraId="65AD9F6B" w14:textId="1F04CE19" w:rsidR="00BA3910" w:rsidRDefault="00BA3910" w:rsidP="00D718A9">
      <w:r>
        <w:t xml:space="preserve">VLA </w:t>
      </w:r>
      <w:r w:rsidR="00E9301C">
        <w:t xml:space="preserve">recommends that courts should be required to ‘follow’ the proposed </w:t>
      </w:r>
      <w:r>
        <w:t>Victorian guidelines, subject to a discretion to depart from those guidelines in the interests of justice.</w:t>
      </w:r>
      <w:r w:rsidR="00E9301C">
        <w:t xml:space="preserve"> </w:t>
      </w:r>
      <w:r>
        <w:t xml:space="preserve">We make this </w:t>
      </w:r>
      <w:r>
        <w:lastRenderedPageBreak/>
        <w:t>recommendation as we believe that binding guidelines will ultimately lead to a greater long-term cultural shift, as the binding nature of the guidelines will oblige courts and the profession to engage with (rather than disregard) the guidelines. While we acknowledge that there may be some initial resistance to this position, we believe that binding guidelines subject to judicial discretion is the best way to overcome this resistance</w:t>
      </w:r>
      <w:r w:rsidR="0017067F">
        <w:t>—the experience in England and Wales appears to suggest that a greater cultural shift is achieved with binding guidelines.</w:t>
      </w:r>
      <w:r>
        <w:t xml:space="preserve"> We also believe that this position will lead to greater consistency and public confidence in the sentencing process.</w:t>
      </w:r>
    </w:p>
    <w:p w14:paraId="50C9AFF9" w14:textId="74F3E346" w:rsidR="009253F2" w:rsidRPr="009253F2" w:rsidRDefault="00DF1E01" w:rsidP="00D718A9">
      <w:pPr>
        <w:pStyle w:val="Heading2"/>
        <w:rPr>
          <w:b w:val="0"/>
          <w:color w:val="auto"/>
          <w:sz w:val="22"/>
          <w:szCs w:val="22"/>
        </w:rPr>
      </w:pPr>
      <w:r w:rsidRPr="009253F2">
        <w:rPr>
          <w:b w:val="0"/>
          <w:color w:val="auto"/>
          <w:sz w:val="22"/>
          <w:szCs w:val="22"/>
        </w:rPr>
        <w:t>VLA agrees with the reasons set out in paragraph 5.24 that sentencing guidelines in Victoria should not be overly prescriptive; rather</w:t>
      </w:r>
      <w:r w:rsidR="009F4AD6" w:rsidRPr="009253F2">
        <w:rPr>
          <w:b w:val="0"/>
          <w:color w:val="auto"/>
          <w:sz w:val="22"/>
          <w:szCs w:val="22"/>
        </w:rPr>
        <w:t>,</w:t>
      </w:r>
      <w:r w:rsidRPr="009253F2">
        <w:rPr>
          <w:b w:val="0"/>
          <w:color w:val="auto"/>
          <w:sz w:val="22"/>
          <w:szCs w:val="22"/>
        </w:rPr>
        <w:t xml:space="preserve"> they should </w:t>
      </w:r>
      <w:r w:rsidR="00341C1C" w:rsidRPr="009253F2">
        <w:rPr>
          <w:b w:val="0"/>
          <w:color w:val="auto"/>
          <w:sz w:val="22"/>
          <w:szCs w:val="22"/>
        </w:rPr>
        <w:t>structure</w:t>
      </w:r>
      <w:r w:rsidRPr="009253F2">
        <w:rPr>
          <w:b w:val="0"/>
          <w:color w:val="auto"/>
          <w:sz w:val="22"/>
          <w:szCs w:val="22"/>
        </w:rPr>
        <w:t xml:space="preserve"> the exercise of judicial discretion, promoting consistency of approach while allowing individualised sentences to be imposed. For this reason, VLA strongly </w:t>
      </w:r>
      <w:r w:rsidR="00B62796">
        <w:rPr>
          <w:b w:val="0"/>
          <w:color w:val="auto"/>
          <w:sz w:val="22"/>
          <w:szCs w:val="22"/>
        </w:rPr>
        <w:t>submits</w:t>
      </w:r>
      <w:r w:rsidR="00B62796" w:rsidRPr="009253F2">
        <w:rPr>
          <w:b w:val="0"/>
          <w:color w:val="auto"/>
          <w:sz w:val="22"/>
          <w:szCs w:val="22"/>
        </w:rPr>
        <w:t xml:space="preserve"> </w:t>
      </w:r>
      <w:r w:rsidRPr="009253F2">
        <w:rPr>
          <w:b w:val="0"/>
          <w:color w:val="auto"/>
          <w:sz w:val="22"/>
          <w:szCs w:val="22"/>
        </w:rPr>
        <w:t xml:space="preserve">that the test for judicial discretion not be more restrictive than the ‘interests of justice’ test. </w:t>
      </w:r>
      <w:r w:rsidR="002B6655" w:rsidRPr="009253F2">
        <w:rPr>
          <w:b w:val="0"/>
          <w:color w:val="auto"/>
          <w:sz w:val="22"/>
          <w:szCs w:val="22"/>
        </w:rPr>
        <w:t>If a court failed</w:t>
      </w:r>
      <w:r w:rsidR="009F4AD6" w:rsidRPr="009253F2">
        <w:rPr>
          <w:b w:val="0"/>
          <w:color w:val="auto"/>
          <w:sz w:val="22"/>
          <w:szCs w:val="22"/>
        </w:rPr>
        <w:t xml:space="preserve"> to</w:t>
      </w:r>
      <w:r w:rsidR="002B6655" w:rsidRPr="009253F2">
        <w:rPr>
          <w:b w:val="0"/>
          <w:color w:val="auto"/>
          <w:sz w:val="22"/>
          <w:szCs w:val="22"/>
        </w:rPr>
        <w:t xml:space="preserve"> follow a guideline, this would be a matter for appeal</w:t>
      </w:r>
      <w:r w:rsidRPr="009253F2">
        <w:rPr>
          <w:b w:val="0"/>
          <w:color w:val="auto"/>
          <w:sz w:val="22"/>
          <w:szCs w:val="22"/>
        </w:rPr>
        <w:t xml:space="preserve"> if the sentence imposed was manifestly inadequate or manifestly excessive (in the Superior Courts).</w:t>
      </w:r>
      <w:r w:rsidR="00D60E95" w:rsidRPr="009253F2">
        <w:rPr>
          <w:rStyle w:val="FootnoteReference"/>
          <w:b w:val="0"/>
          <w:color w:val="auto"/>
          <w:sz w:val="22"/>
          <w:szCs w:val="22"/>
        </w:rPr>
        <w:footnoteReference w:id="15"/>
      </w:r>
      <w:r w:rsidR="00CF2A8D">
        <w:rPr>
          <w:b w:val="0"/>
          <w:color w:val="auto"/>
          <w:sz w:val="22"/>
          <w:szCs w:val="22"/>
        </w:rPr>
        <w:t xml:space="preserve"> </w:t>
      </w:r>
      <w:r w:rsidR="007F0E1F" w:rsidRPr="009253F2">
        <w:rPr>
          <w:b w:val="0"/>
          <w:color w:val="auto"/>
          <w:sz w:val="22"/>
          <w:szCs w:val="22"/>
        </w:rPr>
        <w:t xml:space="preserve">There should </w:t>
      </w:r>
      <w:r w:rsidR="009F4AD6" w:rsidRPr="009253F2">
        <w:rPr>
          <w:b w:val="0"/>
          <w:color w:val="auto"/>
          <w:sz w:val="22"/>
          <w:szCs w:val="22"/>
        </w:rPr>
        <w:t xml:space="preserve">not </w:t>
      </w:r>
      <w:r w:rsidR="007F0E1F" w:rsidRPr="009253F2">
        <w:rPr>
          <w:b w:val="0"/>
          <w:color w:val="auto"/>
          <w:sz w:val="22"/>
          <w:szCs w:val="22"/>
        </w:rPr>
        <w:t xml:space="preserve">be </w:t>
      </w:r>
      <w:r w:rsidR="009F4AD6" w:rsidRPr="009253F2">
        <w:rPr>
          <w:b w:val="0"/>
          <w:color w:val="auto"/>
          <w:sz w:val="22"/>
          <w:szCs w:val="22"/>
        </w:rPr>
        <w:t xml:space="preserve">any </w:t>
      </w:r>
      <w:r w:rsidR="007F0E1F" w:rsidRPr="009253F2">
        <w:rPr>
          <w:b w:val="0"/>
          <w:color w:val="auto"/>
          <w:sz w:val="22"/>
          <w:szCs w:val="22"/>
        </w:rPr>
        <w:t xml:space="preserve">change to appeals </w:t>
      </w:r>
      <w:r w:rsidR="007F0E1F" w:rsidRPr="009253F2">
        <w:rPr>
          <w:b w:val="0"/>
          <w:i/>
          <w:color w:val="auto"/>
          <w:sz w:val="22"/>
          <w:szCs w:val="22"/>
        </w:rPr>
        <w:t>de novo</w:t>
      </w:r>
      <w:r w:rsidR="007F0E1F" w:rsidRPr="009253F2">
        <w:rPr>
          <w:b w:val="0"/>
          <w:color w:val="auto"/>
          <w:sz w:val="22"/>
          <w:szCs w:val="22"/>
        </w:rPr>
        <w:t xml:space="preserve"> from the Magistrates’ Court.</w:t>
      </w:r>
      <w:bookmarkStart w:id="16" w:name="_Toc500860638"/>
      <w:r w:rsidR="009253F2" w:rsidRPr="009253F2">
        <w:rPr>
          <w:b w:val="0"/>
          <w:color w:val="auto"/>
          <w:sz w:val="22"/>
          <w:szCs w:val="22"/>
        </w:rPr>
        <w:t xml:space="preserve"> </w:t>
      </w:r>
    </w:p>
    <w:p w14:paraId="6470D712" w14:textId="77777777" w:rsidR="009F2BCE" w:rsidRPr="00D718A9" w:rsidRDefault="009F2BCE" w:rsidP="00D718A9">
      <w:pPr>
        <w:pStyle w:val="Heading2"/>
        <w:rPr>
          <w:rStyle w:val="Strong"/>
          <w:b/>
          <w:bCs/>
        </w:rPr>
      </w:pPr>
      <w:r w:rsidRPr="00D718A9">
        <w:rPr>
          <w:rStyle w:val="Strong"/>
          <w:b/>
          <w:bCs/>
        </w:rPr>
        <w:t>Application of sentencing guidelines (at first instance)</w:t>
      </w:r>
      <w:bookmarkEnd w:id="16"/>
    </w:p>
    <w:p w14:paraId="57F7B1CB" w14:textId="77777777" w:rsidR="003A4B4D" w:rsidRDefault="003A4B4D" w:rsidP="003A4B4D">
      <w:r>
        <w:t>At present, Victorian courts are required to take into account current sentencing practices,</w:t>
      </w:r>
      <w:r>
        <w:rPr>
          <w:rStyle w:val="FootnoteReference"/>
        </w:rPr>
        <w:footnoteReference w:id="16"/>
      </w:r>
      <w:r>
        <w:t xml:space="preserve"> but may also take into account sentencing practices that were current at the time of the offending in order to promote equal justice.</w:t>
      </w:r>
      <w:r>
        <w:rPr>
          <w:rStyle w:val="FootnoteReference"/>
        </w:rPr>
        <w:footnoteReference w:id="17"/>
      </w:r>
      <w:r>
        <w:t xml:space="preserve"> VLA considers that this practice should continue so as to minimise disruption to the current process.</w:t>
      </w:r>
    </w:p>
    <w:p w14:paraId="34A649FF" w14:textId="6C17A501" w:rsidR="0026555D" w:rsidRDefault="003A4B4D" w:rsidP="00D718A9">
      <w:pPr>
        <w:pStyle w:val="Heading2"/>
        <w:rPr>
          <w:color w:val="auto"/>
        </w:rPr>
      </w:pPr>
      <w:r w:rsidRPr="004C5434">
        <w:rPr>
          <w:b w:val="0"/>
          <w:color w:val="auto"/>
          <w:sz w:val="22"/>
          <w:szCs w:val="22"/>
        </w:rPr>
        <w:t xml:space="preserve">Accordingly, </w:t>
      </w:r>
      <w:r w:rsidR="00A05747" w:rsidRPr="004C5434">
        <w:rPr>
          <w:b w:val="0"/>
          <w:color w:val="auto"/>
          <w:sz w:val="22"/>
          <w:szCs w:val="22"/>
        </w:rPr>
        <w:t xml:space="preserve">VLA </w:t>
      </w:r>
      <w:r w:rsidR="00513F7A" w:rsidRPr="004C5434">
        <w:rPr>
          <w:b w:val="0"/>
          <w:color w:val="auto"/>
          <w:sz w:val="22"/>
          <w:szCs w:val="22"/>
        </w:rPr>
        <w:t>consider</w:t>
      </w:r>
      <w:r w:rsidR="00214C27" w:rsidRPr="004C5434">
        <w:rPr>
          <w:b w:val="0"/>
          <w:color w:val="auto"/>
          <w:sz w:val="22"/>
          <w:szCs w:val="22"/>
        </w:rPr>
        <w:t>s</w:t>
      </w:r>
      <w:r w:rsidR="00513F7A" w:rsidRPr="004C5434">
        <w:rPr>
          <w:b w:val="0"/>
          <w:color w:val="auto"/>
          <w:sz w:val="22"/>
          <w:szCs w:val="22"/>
        </w:rPr>
        <w:t xml:space="preserve"> that </w:t>
      </w:r>
      <w:r w:rsidRPr="004C5434">
        <w:rPr>
          <w:b w:val="0"/>
          <w:color w:val="auto"/>
          <w:sz w:val="22"/>
          <w:szCs w:val="22"/>
        </w:rPr>
        <w:t>sentencing guidelines</w:t>
      </w:r>
      <w:r w:rsidR="00D60E95" w:rsidRPr="004C5434">
        <w:rPr>
          <w:b w:val="0"/>
          <w:color w:val="auto"/>
          <w:sz w:val="22"/>
          <w:szCs w:val="22"/>
        </w:rPr>
        <w:t xml:space="preserve"> should apply to</w:t>
      </w:r>
      <w:r w:rsidRPr="004C5434">
        <w:rPr>
          <w:b w:val="0"/>
          <w:color w:val="auto"/>
          <w:sz w:val="22"/>
          <w:szCs w:val="22"/>
        </w:rPr>
        <w:t xml:space="preserve"> relevant offences </w:t>
      </w:r>
      <w:r w:rsidR="00513F7A" w:rsidRPr="004C5434">
        <w:rPr>
          <w:b w:val="0"/>
          <w:color w:val="auto"/>
          <w:sz w:val="22"/>
          <w:szCs w:val="22"/>
        </w:rPr>
        <w:t xml:space="preserve">which are </w:t>
      </w:r>
      <w:r w:rsidRPr="004C5434">
        <w:rPr>
          <w:b w:val="0"/>
          <w:color w:val="auto"/>
          <w:sz w:val="22"/>
          <w:szCs w:val="22"/>
        </w:rPr>
        <w:t>sentenced after commencement of the guideline, subject to the sentencing court’s discretion to depart from the guideline in the interests of justice</w:t>
      </w:r>
      <w:r w:rsidR="00513F7A" w:rsidRPr="004C5434">
        <w:rPr>
          <w:b w:val="0"/>
          <w:color w:val="auto"/>
          <w:sz w:val="22"/>
          <w:szCs w:val="22"/>
        </w:rPr>
        <w:t>.</w:t>
      </w:r>
      <w:r w:rsidR="00D976D6" w:rsidRPr="004C5434">
        <w:rPr>
          <w:b w:val="0"/>
          <w:color w:val="auto"/>
          <w:sz w:val="22"/>
          <w:szCs w:val="22"/>
        </w:rPr>
        <w:t xml:space="preserve"> This may </w:t>
      </w:r>
      <w:r w:rsidR="00C5735B" w:rsidRPr="004C5434">
        <w:rPr>
          <w:b w:val="0"/>
          <w:color w:val="auto"/>
          <w:sz w:val="22"/>
          <w:szCs w:val="22"/>
        </w:rPr>
        <w:t>include</w:t>
      </w:r>
      <w:r w:rsidR="008A5208">
        <w:rPr>
          <w:b w:val="0"/>
          <w:color w:val="auto"/>
          <w:sz w:val="22"/>
          <w:szCs w:val="22"/>
        </w:rPr>
        <w:t xml:space="preserve">, </w:t>
      </w:r>
      <w:r w:rsidR="00D976D6" w:rsidRPr="004C5434">
        <w:rPr>
          <w:b w:val="0"/>
          <w:color w:val="auto"/>
          <w:sz w:val="22"/>
          <w:szCs w:val="22"/>
        </w:rPr>
        <w:t xml:space="preserve">for </w:t>
      </w:r>
      <w:r w:rsidR="00C5735B" w:rsidRPr="004C5434">
        <w:rPr>
          <w:b w:val="0"/>
          <w:color w:val="auto"/>
          <w:sz w:val="22"/>
          <w:szCs w:val="22"/>
        </w:rPr>
        <w:t>example</w:t>
      </w:r>
      <w:r w:rsidR="00CF2A8D" w:rsidRPr="004C5434">
        <w:rPr>
          <w:b w:val="0"/>
          <w:color w:val="auto"/>
          <w:sz w:val="22"/>
          <w:szCs w:val="22"/>
        </w:rPr>
        <w:t>,</w:t>
      </w:r>
      <w:r w:rsidR="00D976D6" w:rsidRPr="004C5434">
        <w:rPr>
          <w:b w:val="0"/>
          <w:color w:val="auto"/>
          <w:sz w:val="22"/>
          <w:szCs w:val="22"/>
        </w:rPr>
        <w:t xml:space="preserve"> where an accuse</w:t>
      </w:r>
      <w:r w:rsidR="0026555D" w:rsidRPr="004C5434">
        <w:rPr>
          <w:b w:val="0"/>
          <w:color w:val="auto"/>
          <w:sz w:val="22"/>
          <w:szCs w:val="22"/>
        </w:rPr>
        <w:t>d enters</w:t>
      </w:r>
      <w:r w:rsidR="00C5735B" w:rsidRPr="004C5434">
        <w:rPr>
          <w:b w:val="0"/>
          <w:color w:val="auto"/>
          <w:sz w:val="22"/>
          <w:szCs w:val="22"/>
        </w:rPr>
        <w:t xml:space="preserve"> a plea prior to the commencement of a </w:t>
      </w:r>
      <w:r w:rsidR="0026555D" w:rsidRPr="004C5434">
        <w:rPr>
          <w:b w:val="0"/>
          <w:color w:val="auto"/>
          <w:sz w:val="22"/>
          <w:szCs w:val="22"/>
        </w:rPr>
        <w:t xml:space="preserve">sentencing </w:t>
      </w:r>
      <w:r w:rsidR="00CF2A8D" w:rsidRPr="004C5434">
        <w:rPr>
          <w:b w:val="0"/>
          <w:color w:val="auto"/>
          <w:sz w:val="22"/>
          <w:szCs w:val="22"/>
        </w:rPr>
        <w:t xml:space="preserve">guideline but before </w:t>
      </w:r>
      <w:r w:rsidR="0026555D" w:rsidRPr="004C5434">
        <w:rPr>
          <w:b w:val="0"/>
          <w:color w:val="auto"/>
          <w:sz w:val="22"/>
          <w:szCs w:val="22"/>
        </w:rPr>
        <w:t xml:space="preserve">the date of </w:t>
      </w:r>
      <w:r w:rsidR="00CF2A8D" w:rsidRPr="004C5434">
        <w:rPr>
          <w:b w:val="0"/>
          <w:color w:val="auto"/>
          <w:sz w:val="22"/>
          <w:szCs w:val="22"/>
        </w:rPr>
        <w:t>sentencing a guideline comes into effect that</w:t>
      </w:r>
      <w:r w:rsidR="008A5208">
        <w:rPr>
          <w:b w:val="0"/>
          <w:color w:val="auto"/>
          <w:sz w:val="22"/>
          <w:szCs w:val="22"/>
        </w:rPr>
        <w:t xml:space="preserve"> may</w:t>
      </w:r>
      <w:r w:rsidR="00CF2A8D" w:rsidRPr="004C5434">
        <w:rPr>
          <w:b w:val="0"/>
          <w:color w:val="auto"/>
          <w:sz w:val="22"/>
          <w:szCs w:val="22"/>
        </w:rPr>
        <w:t xml:space="preserve"> impact</w:t>
      </w:r>
      <w:r w:rsidR="0026555D" w:rsidRPr="004C5434">
        <w:rPr>
          <w:b w:val="0"/>
          <w:color w:val="auto"/>
          <w:sz w:val="22"/>
          <w:szCs w:val="22"/>
        </w:rPr>
        <w:t>s</w:t>
      </w:r>
      <w:r w:rsidR="00CF2A8D" w:rsidRPr="004C5434">
        <w:rPr>
          <w:b w:val="0"/>
          <w:color w:val="auto"/>
          <w:sz w:val="22"/>
          <w:szCs w:val="22"/>
        </w:rPr>
        <w:t xml:space="preserve"> on the sentence </w:t>
      </w:r>
      <w:r w:rsidR="008A5208">
        <w:rPr>
          <w:b w:val="0"/>
          <w:color w:val="auto"/>
          <w:sz w:val="22"/>
          <w:szCs w:val="22"/>
        </w:rPr>
        <w:t xml:space="preserve">outcome for </w:t>
      </w:r>
      <w:r w:rsidR="00CF2A8D" w:rsidRPr="004C5434">
        <w:rPr>
          <w:b w:val="0"/>
          <w:color w:val="auto"/>
          <w:sz w:val="22"/>
          <w:szCs w:val="22"/>
        </w:rPr>
        <w:t>the accused</w:t>
      </w:r>
      <w:r w:rsidR="008A5208">
        <w:rPr>
          <w:b w:val="0"/>
          <w:color w:val="auto"/>
          <w:sz w:val="22"/>
          <w:szCs w:val="22"/>
        </w:rPr>
        <w:t>.</w:t>
      </w:r>
      <w:bookmarkStart w:id="17" w:name="_Toc500860639"/>
    </w:p>
    <w:p w14:paraId="647413D6" w14:textId="03A0388E" w:rsidR="001E4D47" w:rsidRPr="00D718A9" w:rsidRDefault="001E4D47" w:rsidP="00D718A9">
      <w:pPr>
        <w:pStyle w:val="Heading2"/>
        <w:rPr>
          <w:rStyle w:val="Strong"/>
          <w:b/>
          <w:bCs/>
        </w:rPr>
      </w:pPr>
      <w:r w:rsidRPr="00D718A9">
        <w:rPr>
          <w:rStyle w:val="Strong"/>
          <w:b/>
          <w:bCs/>
        </w:rPr>
        <w:t>Application of a new sentencing guideline when resentencing</w:t>
      </w:r>
      <w:bookmarkEnd w:id="17"/>
    </w:p>
    <w:p w14:paraId="5429D4AE" w14:textId="77777777" w:rsidR="00E51CDB" w:rsidRDefault="004B78B4" w:rsidP="00D718A9">
      <w:r w:rsidRPr="00CD5E4C">
        <w:t>VLA agrees with the proposal</w:t>
      </w:r>
      <w:r w:rsidR="00CD5E4C" w:rsidRPr="00CD5E4C">
        <w:t xml:space="preserve"> that sentencing guidelines issued before a successful sentence appeal (but after the original sentence) would not apply during resentencing, and that any sentencing guideline that is issued after an offender is sentenced would not be applicable to the resentencing of that offender following a successful appeal. This </w:t>
      </w:r>
      <w:r w:rsidR="00E51CDB">
        <w:t>would maintain</w:t>
      </w:r>
      <w:r w:rsidRPr="00CD5E4C">
        <w:t xml:space="preserve"> the current sentencing principles that </w:t>
      </w:r>
      <w:r w:rsidR="008466B0" w:rsidRPr="00CD5E4C">
        <w:t>operate</w:t>
      </w:r>
      <w:r w:rsidR="00E51CDB">
        <w:t xml:space="preserve"> in Victoria.</w:t>
      </w:r>
    </w:p>
    <w:p w14:paraId="63D0EC2E" w14:textId="77777777" w:rsidR="004B78B4" w:rsidRPr="00CD5E4C" w:rsidRDefault="00A275D3" w:rsidP="00D718A9">
      <w:r>
        <w:t>We also agree that, i</w:t>
      </w:r>
      <w:r w:rsidR="004B78B4" w:rsidRPr="00CD5E4C">
        <w:t>n order to promote finality</w:t>
      </w:r>
      <w:r>
        <w:t xml:space="preserve">, </w:t>
      </w:r>
      <w:r w:rsidR="004B78B4" w:rsidRPr="00CD5E4C">
        <w:t>legislation should expressly prohibit an appeal based on a new guideline which has come into operat</w:t>
      </w:r>
      <w:r>
        <w:t>ion since the date of sentence.</w:t>
      </w:r>
    </w:p>
    <w:p w14:paraId="02F4843A" w14:textId="0FB1629B" w:rsidR="0035742A" w:rsidRDefault="0035742A">
      <w:pPr>
        <w:spacing w:after="0" w:line="240" w:lineRule="auto"/>
        <w:rPr>
          <w:rStyle w:val="Strong"/>
          <w:rFonts w:cs="Arial"/>
          <w:bCs w:val="0"/>
          <w:iCs/>
          <w:color w:val="971A4B"/>
          <w:sz w:val="28"/>
          <w:szCs w:val="28"/>
          <w:lang w:eastAsia="en-AU"/>
        </w:rPr>
      </w:pPr>
      <w:bookmarkStart w:id="18" w:name="_Toc500860640"/>
      <w:r>
        <w:rPr>
          <w:rStyle w:val="Strong"/>
          <w:b w:val="0"/>
        </w:rPr>
        <w:br w:type="page"/>
      </w:r>
    </w:p>
    <w:p w14:paraId="610179CD" w14:textId="53371384" w:rsidR="003D09CD" w:rsidRPr="003D09CD" w:rsidRDefault="003D09CD" w:rsidP="00A162FE">
      <w:pPr>
        <w:pStyle w:val="Heading2"/>
        <w:spacing w:before="0"/>
        <w:rPr>
          <w:rStyle w:val="Strong"/>
          <w:b/>
        </w:rPr>
      </w:pPr>
      <w:r w:rsidRPr="003D09CD">
        <w:rPr>
          <w:rStyle w:val="Strong"/>
          <w:b/>
        </w:rPr>
        <w:lastRenderedPageBreak/>
        <w:t>Effect of a sentencing guideline on common law precedents</w:t>
      </w:r>
      <w:bookmarkEnd w:id="18"/>
    </w:p>
    <w:p w14:paraId="10AA8631" w14:textId="77E29F8A" w:rsidR="003D09CD" w:rsidRDefault="00487FA9" w:rsidP="00D718A9">
      <w:r w:rsidRPr="00314051">
        <w:t xml:space="preserve">VLA agrees with the proposal that </w:t>
      </w:r>
      <w:r w:rsidR="003D09CD" w:rsidRPr="00314051">
        <w:t>sentenc</w:t>
      </w:r>
      <w:r w:rsidRPr="00314051">
        <w:t xml:space="preserve">ing guidelines </w:t>
      </w:r>
      <w:r w:rsidR="00DF1E01">
        <w:t xml:space="preserve">are </w:t>
      </w:r>
      <w:r w:rsidRPr="00314051">
        <w:t>produced</w:t>
      </w:r>
      <w:r w:rsidR="00D20407">
        <w:t xml:space="preserve"> and approved</w:t>
      </w:r>
      <w:r w:rsidRPr="00314051">
        <w:t xml:space="preserve"> by the Sentencing G</w:t>
      </w:r>
      <w:r w:rsidR="00314051">
        <w:t>uidelines</w:t>
      </w:r>
      <w:r w:rsidR="00D718A9">
        <w:t xml:space="preserve"> </w:t>
      </w:r>
      <w:r w:rsidRPr="00314051">
        <w:t>C</w:t>
      </w:r>
      <w:r w:rsidR="00314051" w:rsidRPr="00314051">
        <w:t>ouncil</w:t>
      </w:r>
      <w:r w:rsidR="00D20407">
        <w:t>. Once approved</w:t>
      </w:r>
      <w:r w:rsidR="00BA2867">
        <w:t>,</w:t>
      </w:r>
      <w:r w:rsidR="004D0420">
        <w:t xml:space="preserve"> sentencing guidelines should in the vast majority of cases </w:t>
      </w:r>
      <w:r w:rsidR="00314051" w:rsidRPr="00314051">
        <w:t>o</w:t>
      </w:r>
      <w:r w:rsidR="003D09CD" w:rsidRPr="00314051">
        <w:t>verrule</w:t>
      </w:r>
      <w:r w:rsidR="00314051" w:rsidRPr="00314051">
        <w:t xml:space="preserve"> </w:t>
      </w:r>
      <w:r w:rsidR="003D09CD" w:rsidRPr="00314051">
        <w:t xml:space="preserve">existing common law </w:t>
      </w:r>
      <w:r w:rsidR="00314051">
        <w:t>precedents</w:t>
      </w:r>
      <w:r w:rsidR="008F461F">
        <w:t>,</w:t>
      </w:r>
      <w:r w:rsidR="00314051">
        <w:t xml:space="preserve"> </w:t>
      </w:r>
      <w:r w:rsidR="004D0420">
        <w:t xml:space="preserve">recognising that where it is not in the interests of justice to apply </w:t>
      </w:r>
      <w:r w:rsidR="008F461F">
        <w:t>a</w:t>
      </w:r>
      <w:r w:rsidR="004D0420">
        <w:t xml:space="preserve"> guideline</w:t>
      </w:r>
      <w:r w:rsidR="008F461F">
        <w:t>,</w:t>
      </w:r>
      <w:r w:rsidR="004D0420">
        <w:t xml:space="preserve"> there may be a need to refer to the common law</w:t>
      </w:r>
      <w:r w:rsidR="00C55AE2">
        <w:t xml:space="preserve">. </w:t>
      </w:r>
    </w:p>
    <w:p w14:paraId="78EABBAC" w14:textId="77777777" w:rsidR="00BB685F" w:rsidRPr="00D718A9" w:rsidRDefault="00BB685F" w:rsidP="00D718A9">
      <w:pPr>
        <w:pStyle w:val="Heading2"/>
        <w:rPr>
          <w:rStyle w:val="Strong"/>
          <w:b/>
          <w:bCs/>
        </w:rPr>
      </w:pPr>
      <w:bookmarkStart w:id="19" w:name="_Toc500860641"/>
      <w:r w:rsidRPr="00D718A9">
        <w:rPr>
          <w:rStyle w:val="Strong"/>
          <w:b/>
          <w:bCs/>
        </w:rPr>
        <w:t>Retention of guideline judgment powers</w:t>
      </w:r>
      <w:bookmarkEnd w:id="19"/>
    </w:p>
    <w:p w14:paraId="602EA653" w14:textId="77777777" w:rsidR="005C270D" w:rsidRDefault="007945C9" w:rsidP="00D718A9">
      <w:pPr>
        <w:rPr>
          <w:lang w:eastAsia="en-AU"/>
        </w:rPr>
      </w:pPr>
      <w:r>
        <w:rPr>
          <w:lang w:eastAsia="en-AU"/>
        </w:rPr>
        <w:t xml:space="preserve">VLA considers that the Court of Appeal should retain its power to </w:t>
      </w:r>
      <w:r w:rsidR="007B4550">
        <w:rPr>
          <w:lang w:eastAsia="en-AU"/>
        </w:rPr>
        <w:t>issue</w:t>
      </w:r>
      <w:r>
        <w:rPr>
          <w:lang w:eastAsia="en-AU"/>
        </w:rPr>
        <w:t xml:space="preserve"> guideline judgments after the establishment of the Victorian Sentencing Guidelines Council.</w:t>
      </w:r>
      <w:r w:rsidR="00942AA2">
        <w:rPr>
          <w:rStyle w:val="FootnoteReference"/>
          <w:lang w:eastAsia="en-AU"/>
        </w:rPr>
        <w:footnoteReference w:id="18"/>
      </w:r>
      <w:r w:rsidR="005C270D">
        <w:rPr>
          <w:lang w:eastAsia="en-AU"/>
        </w:rPr>
        <w:t xml:space="preserve"> This power is very much an extension of the Court’s </w:t>
      </w:r>
      <w:r w:rsidR="00942AA2">
        <w:rPr>
          <w:lang w:eastAsia="en-AU"/>
        </w:rPr>
        <w:t xml:space="preserve">traditional </w:t>
      </w:r>
      <w:r w:rsidR="005C270D">
        <w:rPr>
          <w:lang w:eastAsia="en-AU"/>
        </w:rPr>
        <w:t xml:space="preserve">role and powers. It gives the Court the ability to provide guidance to lower courts on particular </w:t>
      </w:r>
      <w:r w:rsidR="000539E1">
        <w:rPr>
          <w:lang w:eastAsia="en-AU"/>
        </w:rPr>
        <w:t xml:space="preserve">sentencing </w:t>
      </w:r>
      <w:r w:rsidR="005C270D">
        <w:rPr>
          <w:lang w:eastAsia="en-AU"/>
        </w:rPr>
        <w:t xml:space="preserve">issues that arise. </w:t>
      </w:r>
    </w:p>
    <w:p w14:paraId="78AFAD45" w14:textId="77777777" w:rsidR="000539E1" w:rsidRDefault="000539E1" w:rsidP="000539E1">
      <w:pPr>
        <w:rPr>
          <w:lang w:eastAsia="en-AU"/>
        </w:rPr>
      </w:pPr>
      <w:r>
        <w:rPr>
          <w:lang w:eastAsia="en-AU"/>
        </w:rPr>
        <w:t>Although, to date</w:t>
      </w:r>
      <w:r w:rsidR="003D285F">
        <w:rPr>
          <w:lang w:eastAsia="en-AU"/>
        </w:rPr>
        <w:t>,</w:t>
      </w:r>
      <w:r>
        <w:rPr>
          <w:lang w:eastAsia="en-AU"/>
        </w:rPr>
        <w:t xml:space="preserve"> the Court of Appeal has onl</w:t>
      </w:r>
      <w:r w:rsidR="003D285F">
        <w:rPr>
          <w:lang w:eastAsia="en-AU"/>
        </w:rPr>
        <w:t>y issued one guideline judgment,</w:t>
      </w:r>
      <w:r>
        <w:rPr>
          <w:lang w:eastAsia="en-AU"/>
        </w:rPr>
        <w:t xml:space="preserve"> the establishment of a Sentencing Guidelines Council and recent reforms to the existing guideline judgment provisions may promote greater use of the Court of Appeal’s power to issue a guideline judgment. </w:t>
      </w:r>
    </w:p>
    <w:p w14:paraId="06971838" w14:textId="77777777" w:rsidR="005C270D" w:rsidRDefault="00BA2867" w:rsidP="00D718A9">
      <w:pPr>
        <w:rPr>
          <w:lang w:eastAsia="en-AU"/>
        </w:rPr>
      </w:pPr>
      <w:r>
        <w:rPr>
          <w:lang w:eastAsia="en-AU"/>
        </w:rPr>
        <w:t xml:space="preserve">It is also important that the Court retain this power, as </w:t>
      </w:r>
      <w:r w:rsidR="005C270D">
        <w:rPr>
          <w:lang w:eastAsia="en-AU"/>
        </w:rPr>
        <w:t>the Sentencing Guidelines Council may not have the resources or capacity to respond to all of the is</w:t>
      </w:r>
      <w:r w:rsidR="009253F2">
        <w:rPr>
          <w:lang w:eastAsia="en-AU"/>
        </w:rPr>
        <w:t xml:space="preserve">sues that arise. There may </w:t>
      </w:r>
      <w:r w:rsidR="005C270D">
        <w:rPr>
          <w:lang w:eastAsia="en-AU"/>
        </w:rPr>
        <w:t xml:space="preserve">be instances where guidance is best delivered </w:t>
      </w:r>
      <w:r>
        <w:rPr>
          <w:lang w:eastAsia="en-AU"/>
        </w:rPr>
        <w:t xml:space="preserve">from </w:t>
      </w:r>
      <w:r w:rsidR="005C270D">
        <w:rPr>
          <w:lang w:eastAsia="en-AU"/>
        </w:rPr>
        <w:t>the Court of Appeal. For example, an unforeseen issue may arise with a guideline or legislative change that the Court of Appeal can nimbly and quickly respond to through the creation of a new guideline judgment.</w:t>
      </w:r>
      <w:r w:rsidR="000539E1">
        <w:rPr>
          <w:lang w:eastAsia="en-AU"/>
        </w:rPr>
        <w:t xml:space="preserve"> In contrast</w:t>
      </w:r>
      <w:r>
        <w:rPr>
          <w:lang w:eastAsia="en-AU"/>
        </w:rPr>
        <w:t>,</w:t>
      </w:r>
      <w:r w:rsidR="000539E1">
        <w:rPr>
          <w:lang w:eastAsia="en-AU"/>
        </w:rPr>
        <w:t xml:space="preserve"> the Sentencing Guidelines Council will need to go through a lengthy process of consultation and development in order to issue a </w:t>
      </w:r>
      <w:r w:rsidR="009253F2">
        <w:rPr>
          <w:lang w:eastAsia="en-AU"/>
        </w:rPr>
        <w:t xml:space="preserve">sentencing </w:t>
      </w:r>
      <w:r w:rsidR="000539E1">
        <w:rPr>
          <w:lang w:eastAsia="en-AU"/>
        </w:rPr>
        <w:t xml:space="preserve">guideline. </w:t>
      </w:r>
    </w:p>
    <w:p w14:paraId="6D88E266" w14:textId="77777777" w:rsidR="00341C1C" w:rsidRDefault="00341C1C" w:rsidP="00D718A9">
      <w:pPr>
        <w:rPr>
          <w:lang w:eastAsia="en-AU"/>
        </w:rPr>
      </w:pPr>
    </w:p>
    <w:sectPr w:rsidR="00341C1C" w:rsidSect="00DA29C4">
      <w:headerReference w:type="even" r:id="rId20"/>
      <w:headerReference w:type="first" r:id="rId21"/>
      <w:footerReference w:type="first" r:id="rId2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5E4D" w14:textId="77777777" w:rsidR="00AD7100" w:rsidRDefault="00AD7100">
      <w:r>
        <w:separator/>
      </w:r>
    </w:p>
    <w:p w14:paraId="77A5A23C" w14:textId="77777777" w:rsidR="00AD7100" w:rsidRDefault="00AD7100"/>
    <w:p w14:paraId="284DD813" w14:textId="77777777" w:rsidR="00AD7100" w:rsidRDefault="00AD7100"/>
  </w:endnote>
  <w:endnote w:type="continuationSeparator" w:id="0">
    <w:p w14:paraId="09B18EC5" w14:textId="77777777" w:rsidR="00AD7100" w:rsidRDefault="00AD7100">
      <w:r>
        <w:continuationSeparator/>
      </w:r>
    </w:p>
    <w:p w14:paraId="7BBEC3CD" w14:textId="77777777" w:rsidR="00AD7100" w:rsidRDefault="00AD7100"/>
    <w:p w14:paraId="606A7E11" w14:textId="77777777" w:rsidR="00AD7100" w:rsidRDefault="00AD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93D0" w14:textId="77777777" w:rsidR="008D5298" w:rsidRDefault="008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BB5C" w14:textId="77777777" w:rsidR="00D976D6" w:rsidRDefault="00D976D6"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D02B" w14:textId="77777777" w:rsidR="00D976D6" w:rsidRDefault="00D976D6" w:rsidP="00E6688C">
    <w:pPr>
      <w:pStyle w:val="VLAdivision"/>
    </w:pPr>
    <w:r>
      <w:t>Criminal Law – Victoria Legal 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1A32" w14:textId="77777777" w:rsidR="00D976D6" w:rsidRPr="00C97428" w:rsidRDefault="00D976D6"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F35" w14:textId="77777777" w:rsidR="00D976D6" w:rsidRDefault="00D976D6" w:rsidP="00696B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12E7" w14:textId="75DBA8B2" w:rsidR="00D976D6" w:rsidRDefault="00D976D6" w:rsidP="00161EEF">
    <w:pPr>
      <w:pStyle w:val="Filename"/>
      <w:tabs>
        <w:tab w:val="clear" w:pos="9240"/>
      </w:tabs>
    </w:pPr>
    <w:r>
      <w:t xml:space="preserve">Victoria Legal Aid – Submission to the Sentencing Advisory Council Issues – </w:t>
    </w:r>
    <w:r w:rsidR="00667FFA">
      <w:t>January 2018</w:t>
    </w:r>
  </w:p>
  <w:p w14:paraId="7548DBEA" w14:textId="776CE82D" w:rsidR="00D976D6" w:rsidRPr="002B4970" w:rsidRDefault="00D976D6"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64773">
      <w:rPr>
        <w:rStyle w:val="PageNumber"/>
        <w:noProof/>
      </w:rPr>
      <w:t>9</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9D8F" w14:textId="77777777" w:rsidR="00D976D6" w:rsidRDefault="00D976D6" w:rsidP="00161EEF">
    <w:pPr>
      <w:pStyle w:val="Filename"/>
      <w:tabs>
        <w:tab w:val="clear" w:pos="9240"/>
      </w:tabs>
    </w:pPr>
    <w:r>
      <w:t>Victoria Legal Aid – Submission to the Sentencing Advisory Council Issues – December 2017</w:t>
    </w:r>
  </w:p>
  <w:p w14:paraId="29F25510" w14:textId="5ADA5809" w:rsidR="00D976D6" w:rsidRPr="002B4970" w:rsidRDefault="00D976D6"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64773">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CE6EB" w14:textId="77777777" w:rsidR="00AD7100" w:rsidRPr="00E9228F" w:rsidRDefault="00AD7100" w:rsidP="00E9228F">
      <w:pPr>
        <w:rPr>
          <w:sz w:val="18"/>
          <w:szCs w:val="18"/>
        </w:rPr>
      </w:pPr>
      <w:r w:rsidRPr="006831FC">
        <w:rPr>
          <w:sz w:val="18"/>
        </w:rPr>
        <w:separator/>
      </w:r>
    </w:p>
  </w:footnote>
  <w:footnote w:type="continuationSeparator" w:id="0">
    <w:p w14:paraId="4EA28602" w14:textId="77777777" w:rsidR="00AD7100" w:rsidRDefault="00AD7100">
      <w:r>
        <w:continuationSeparator/>
      </w:r>
    </w:p>
    <w:p w14:paraId="4BFBDBE8" w14:textId="77777777" w:rsidR="00AD7100" w:rsidRDefault="00AD7100"/>
    <w:p w14:paraId="183043AD" w14:textId="77777777" w:rsidR="00AD7100" w:rsidRDefault="00AD7100"/>
  </w:footnote>
  <w:footnote w:id="1">
    <w:p w14:paraId="4635CB13" w14:textId="77777777" w:rsidR="00D976D6" w:rsidRPr="009253F2" w:rsidRDefault="00D976D6" w:rsidP="00257158">
      <w:pPr>
        <w:pStyle w:val="FootnoteText"/>
        <w:spacing w:after="0" w:line="240" w:lineRule="auto"/>
        <w:rPr>
          <w:rFonts w:cs="Arial"/>
          <w:szCs w:val="18"/>
        </w:rPr>
      </w:pPr>
      <w:r w:rsidRPr="009253F2">
        <w:rPr>
          <w:rStyle w:val="FootnoteReference"/>
          <w:rFonts w:cs="Arial"/>
          <w:szCs w:val="18"/>
        </w:rPr>
        <w:footnoteRef/>
      </w:r>
      <w:r w:rsidRPr="009253F2">
        <w:rPr>
          <w:rFonts w:cs="Arial"/>
          <w:szCs w:val="18"/>
        </w:rPr>
        <w:t xml:space="preserve"> Victoria Legal Aid, </w:t>
      </w:r>
      <w:r w:rsidRPr="009253F2">
        <w:rPr>
          <w:rFonts w:cs="Arial"/>
          <w:i/>
          <w:szCs w:val="18"/>
        </w:rPr>
        <w:t>Annual Report</w:t>
      </w:r>
      <w:r w:rsidRPr="009253F2">
        <w:rPr>
          <w:rFonts w:cs="Arial"/>
          <w:szCs w:val="18"/>
        </w:rPr>
        <w:t xml:space="preserve"> </w:t>
      </w:r>
      <w:r w:rsidRPr="009253F2">
        <w:rPr>
          <w:rFonts w:cs="Arial"/>
          <w:i/>
          <w:szCs w:val="18"/>
        </w:rPr>
        <w:t>2016-2017, 146</w:t>
      </w:r>
      <w:r w:rsidRPr="009253F2">
        <w:rPr>
          <w:rFonts w:cs="Arial"/>
          <w:szCs w:val="18"/>
        </w:rPr>
        <w:t>.</w:t>
      </w:r>
    </w:p>
  </w:footnote>
  <w:footnote w:id="2">
    <w:p w14:paraId="18BC774A" w14:textId="77777777" w:rsidR="00D976D6" w:rsidRPr="009253F2" w:rsidRDefault="00D976D6" w:rsidP="00F533C9">
      <w:pPr>
        <w:pStyle w:val="FootnoteText"/>
        <w:spacing w:after="0" w:line="240" w:lineRule="auto"/>
        <w:rPr>
          <w:rFonts w:cs="Arial"/>
          <w:szCs w:val="18"/>
        </w:rPr>
      </w:pPr>
      <w:r w:rsidRPr="009253F2">
        <w:rPr>
          <w:rStyle w:val="FootnoteReference"/>
          <w:rFonts w:cs="Arial"/>
          <w:szCs w:val="18"/>
        </w:rPr>
        <w:footnoteRef/>
      </w:r>
      <w:r w:rsidRPr="009253F2">
        <w:rPr>
          <w:rFonts w:cs="Arial"/>
          <w:szCs w:val="18"/>
        </w:rPr>
        <w:t xml:space="preserve"> Victoria Legal Aid, </w:t>
      </w:r>
      <w:r w:rsidRPr="009253F2">
        <w:rPr>
          <w:rFonts w:cs="Arial"/>
          <w:i/>
          <w:szCs w:val="18"/>
        </w:rPr>
        <w:t>Strategy 2015-2018</w:t>
      </w:r>
      <w:r w:rsidRPr="009253F2">
        <w:rPr>
          <w:rFonts w:cs="Arial"/>
          <w:szCs w:val="18"/>
        </w:rPr>
        <w:t>.</w:t>
      </w:r>
    </w:p>
  </w:footnote>
  <w:footnote w:id="3">
    <w:p w14:paraId="11390E21" w14:textId="77777777" w:rsidR="00D976D6" w:rsidRPr="009253F2" w:rsidRDefault="00D976D6" w:rsidP="00F533C9">
      <w:pPr>
        <w:pStyle w:val="FootnoteText"/>
        <w:spacing w:after="0" w:line="240" w:lineRule="auto"/>
        <w:rPr>
          <w:rFonts w:cs="Arial"/>
          <w:szCs w:val="18"/>
        </w:rPr>
      </w:pPr>
      <w:r w:rsidRPr="009253F2">
        <w:rPr>
          <w:rStyle w:val="FootnoteReference"/>
          <w:rFonts w:cs="Arial"/>
          <w:szCs w:val="18"/>
        </w:rPr>
        <w:footnoteRef/>
      </w:r>
      <w:r w:rsidRPr="009253F2">
        <w:rPr>
          <w:rFonts w:cs="Arial"/>
          <w:szCs w:val="18"/>
        </w:rPr>
        <w:t xml:space="preserve"> [2015] VSCA 303.</w:t>
      </w:r>
    </w:p>
  </w:footnote>
  <w:footnote w:id="4">
    <w:p w14:paraId="54DFBCF6" w14:textId="77777777" w:rsidR="00D976D6" w:rsidRPr="009253F2" w:rsidRDefault="00D976D6" w:rsidP="00F533C9">
      <w:pPr>
        <w:pStyle w:val="FootnoteText"/>
        <w:spacing w:after="0" w:line="240" w:lineRule="auto"/>
        <w:rPr>
          <w:rFonts w:cs="Arial"/>
          <w:szCs w:val="18"/>
        </w:rPr>
      </w:pPr>
      <w:r w:rsidRPr="009253F2">
        <w:rPr>
          <w:rStyle w:val="FootnoteReference"/>
          <w:rFonts w:cs="Arial"/>
          <w:szCs w:val="18"/>
        </w:rPr>
        <w:footnoteRef/>
      </w:r>
      <w:r w:rsidRPr="009253F2">
        <w:rPr>
          <w:rFonts w:cs="Arial"/>
          <w:szCs w:val="18"/>
        </w:rPr>
        <w:t xml:space="preserve"> [2014] VSCA 342.</w:t>
      </w:r>
    </w:p>
  </w:footnote>
  <w:footnote w:id="5">
    <w:p w14:paraId="26611351" w14:textId="77777777" w:rsidR="00D976D6" w:rsidRPr="00942AA2" w:rsidRDefault="00D976D6" w:rsidP="00AF4E2D">
      <w:pPr>
        <w:pStyle w:val="FootnoteText"/>
        <w:spacing w:after="0" w:line="240" w:lineRule="auto"/>
        <w:ind w:left="0" w:firstLine="0"/>
        <w:rPr>
          <w:szCs w:val="18"/>
          <w:lang w:val="en-US"/>
        </w:rPr>
      </w:pPr>
      <w:r w:rsidRPr="00942AA2">
        <w:rPr>
          <w:rStyle w:val="FootnoteReference"/>
          <w:rFonts w:cs="Arial"/>
          <w:szCs w:val="18"/>
        </w:rPr>
        <w:footnoteRef/>
      </w:r>
      <w:r w:rsidRPr="00942AA2">
        <w:rPr>
          <w:rFonts w:cs="Arial"/>
          <w:szCs w:val="18"/>
        </w:rPr>
        <w:t xml:space="preserve"> Dennis Byles and Chris Gill, ‘Citizen Judges’ (2014) 88(12) </w:t>
      </w:r>
      <w:r w:rsidRPr="00942AA2">
        <w:rPr>
          <w:rFonts w:cs="Arial"/>
          <w:i/>
          <w:szCs w:val="18"/>
        </w:rPr>
        <w:t>Law Institute Journal</w:t>
      </w:r>
      <w:r w:rsidRPr="00942AA2">
        <w:rPr>
          <w:rFonts w:cs="Arial"/>
          <w:szCs w:val="18"/>
        </w:rPr>
        <w:t xml:space="preserve">, 52. </w:t>
      </w:r>
      <w:r w:rsidRPr="00942AA2">
        <w:rPr>
          <w:szCs w:val="18"/>
        </w:rPr>
        <w:t xml:space="preserve">Sentencing Advisory Council, </w:t>
      </w:r>
      <w:r w:rsidRPr="00942AA2">
        <w:rPr>
          <w:i/>
          <w:szCs w:val="18"/>
        </w:rPr>
        <w:t xml:space="preserve">Sentencing guidance in Victoria </w:t>
      </w:r>
      <w:r w:rsidRPr="00942AA2">
        <w:rPr>
          <w:szCs w:val="18"/>
        </w:rPr>
        <w:t xml:space="preserve">(2016), 207. </w:t>
      </w:r>
      <w:r w:rsidRPr="00942AA2">
        <w:rPr>
          <w:szCs w:val="18"/>
          <w:lang w:val="en"/>
        </w:rPr>
        <w:t xml:space="preserve">ABC Radio National’s </w:t>
      </w:r>
      <w:r w:rsidRPr="00942AA2">
        <w:rPr>
          <w:i/>
          <w:iCs/>
          <w:szCs w:val="18"/>
          <w:lang w:val="en"/>
        </w:rPr>
        <w:t>Law Report</w:t>
      </w:r>
      <w:r w:rsidRPr="00942AA2">
        <w:rPr>
          <w:szCs w:val="18"/>
          <w:lang w:val="en"/>
        </w:rPr>
        <w:t xml:space="preserve">, broadcast on 26 April 2016, Her Excellency Professor the </w:t>
      </w:r>
      <w:proofErr w:type="spellStart"/>
      <w:r w:rsidRPr="00942AA2">
        <w:rPr>
          <w:szCs w:val="18"/>
          <w:lang w:val="en"/>
        </w:rPr>
        <w:t>Honourable</w:t>
      </w:r>
      <w:proofErr w:type="spellEnd"/>
      <w:r w:rsidRPr="00942AA2">
        <w:rPr>
          <w:szCs w:val="18"/>
          <w:lang w:val="en"/>
        </w:rPr>
        <w:t xml:space="preserve"> Kate Warner AM.</w:t>
      </w:r>
    </w:p>
  </w:footnote>
  <w:footnote w:id="6">
    <w:p w14:paraId="752EDE1E" w14:textId="77777777" w:rsidR="00D976D6" w:rsidRPr="00E64106" w:rsidRDefault="00D976D6" w:rsidP="00ED25DE">
      <w:pPr>
        <w:pStyle w:val="FootnoteText"/>
        <w:spacing w:after="0" w:line="240" w:lineRule="auto"/>
        <w:rPr>
          <w:szCs w:val="18"/>
        </w:rPr>
      </w:pPr>
      <w:r w:rsidRPr="00E64106">
        <w:rPr>
          <w:rStyle w:val="FootnoteReference"/>
          <w:szCs w:val="18"/>
        </w:rPr>
        <w:footnoteRef/>
      </w:r>
      <w:r w:rsidRPr="00E64106">
        <w:rPr>
          <w:szCs w:val="18"/>
        </w:rPr>
        <w:t xml:space="preserve"> </w:t>
      </w:r>
      <w:r w:rsidRPr="00E64106">
        <w:rPr>
          <w:szCs w:val="18"/>
        </w:rPr>
        <w:tab/>
        <w:t xml:space="preserve">Kate Warner et al, ‘Jury Sentencing Survey’, Criminology Research Council (2010), 95. </w:t>
      </w:r>
    </w:p>
  </w:footnote>
  <w:footnote w:id="7">
    <w:p w14:paraId="220C20FB" w14:textId="77777777" w:rsidR="00D976D6" w:rsidRPr="00942AA2" w:rsidRDefault="00D976D6" w:rsidP="00227E2C">
      <w:pPr>
        <w:pStyle w:val="FootnoteText"/>
        <w:spacing w:after="0" w:line="240" w:lineRule="auto"/>
        <w:rPr>
          <w:szCs w:val="18"/>
        </w:rPr>
      </w:pPr>
      <w:r w:rsidRPr="00942AA2">
        <w:rPr>
          <w:rStyle w:val="FootnoteReference"/>
          <w:szCs w:val="18"/>
        </w:rPr>
        <w:footnoteRef/>
      </w:r>
      <w:r w:rsidRPr="00942AA2">
        <w:rPr>
          <w:rStyle w:val="FootnoteReference"/>
          <w:szCs w:val="18"/>
        </w:rPr>
        <w:t xml:space="preserve"> </w:t>
      </w:r>
      <w:r w:rsidRPr="00942AA2">
        <w:rPr>
          <w:szCs w:val="18"/>
        </w:rPr>
        <w:tab/>
      </w:r>
      <w:r w:rsidRPr="00942AA2">
        <w:rPr>
          <w:i/>
          <w:szCs w:val="18"/>
        </w:rPr>
        <w:t>Legal Aid Act 1978</w:t>
      </w:r>
      <w:r w:rsidRPr="00942AA2">
        <w:rPr>
          <w:szCs w:val="18"/>
        </w:rPr>
        <w:t xml:space="preserve"> (Vic) s 7(1)(a).</w:t>
      </w:r>
    </w:p>
  </w:footnote>
  <w:footnote w:id="8">
    <w:p w14:paraId="465A0F3B" w14:textId="77777777" w:rsidR="00D976D6" w:rsidRPr="009253F2" w:rsidRDefault="00D976D6" w:rsidP="0054747F">
      <w:pPr>
        <w:pStyle w:val="FootnoteText"/>
        <w:spacing w:after="0" w:line="240" w:lineRule="auto"/>
        <w:rPr>
          <w:szCs w:val="18"/>
        </w:rPr>
      </w:pPr>
      <w:r w:rsidRPr="00942AA2">
        <w:rPr>
          <w:rStyle w:val="FootnoteReference"/>
          <w:szCs w:val="18"/>
        </w:rPr>
        <w:footnoteRef/>
      </w:r>
      <w:r w:rsidRPr="00942AA2">
        <w:rPr>
          <w:szCs w:val="18"/>
        </w:rPr>
        <w:t xml:space="preserve"> </w:t>
      </w:r>
      <w:r w:rsidRPr="00942AA2">
        <w:rPr>
          <w:szCs w:val="18"/>
        </w:rPr>
        <w:tab/>
        <w:t xml:space="preserve">Sentencing Advisory Council (Tasmania), </w:t>
      </w:r>
      <w:r w:rsidRPr="00942AA2">
        <w:rPr>
          <w:i/>
          <w:szCs w:val="18"/>
        </w:rPr>
        <w:t>Sex Offence Sentencing: Research Paper</w:t>
      </w:r>
      <w:r w:rsidRPr="00942AA2">
        <w:rPr>
          <w:szCs w:val="18"/>
        </w:rPr>
        <w:t xml:space="preserve">, April 2013, 38 (quoting David </w:t>
      </w:r>
      <w:proofErr w:type="spellStart"/>
      <w:r w:rsidRPr="00942AA2">
        <w:rPr>
          <w:szCs w:val="18"/>
        </w:rPr>
        <w:t>Indermaur</w:t>
      </w:r>
      <w:proofErr w:type="spellEnd"/>
      <w:r w:rsidRPr="00942AA2">
        <w:rPr>
          <w:szCs w:val="18"/>
        </w:rPr>
        <w:t>).</w:t>
      </w:r>
    </w:p>
  </w:footnote>
  <w:footnote w:id="9">
    <w:p w14:paraId="7362381C" w14:textId="77777777" w:rsidR="00D976D6" w:rsidRPr="00E20DB7" w:rsidRDefault="00D976D6" w:rsidP="00233A6D">
      <w:pPr>
        <w:pStyle w:val="FootnoteText"/>
        <w:spacing w:after="0" w:line="240" w:lineRule="auto"/>
        <w:rPr>
          <w:rFonts w:cs="Arial"/>
          <w:szCs w:val="18"/>
        </w:rPr>
      </w:pPr>
      <w:r w:rsidRPr="00E20DB7">
        <w:rPr>
          <w:rStyle w:val="FootnoteReference"/>
          <w:rFonts w:cs="Arial"/>
          <w:szCs w:val="18"/>
        </w:rPr>
        <w:footnoteRef/>
      </w:r>
      <w:r w:rsidRPr="00E20DB7">
        <w:rPr>
          <w:rFonts w:cs="Arial"/>
          <w:szCs w:val="18"/>
        </w:rPr>
        <w:t xml:space="preserve"> Law Institute of Victoria, </w:t>
      </w:r>
      <w:hyperlink r:id="rId1" w:history="1">
        <w:r w:rsidRPr="00711515">
          <w:rPr>
            <w:rStyle w:val="Hyperlink"/>
            <w:rFonts w:cs="Arial"/>
            <w:szCs w:val="18"/>
          </w:rPr>
          <w:t>https://www.liv.asn.au/LIVPresBlog2013/July-2013/Indigenous-incarceration--not-much-to-celebrate</w:t>
        </w:r>
      </w:hyperlink>
      <w:r>
        <w:rPr>
          <w:rFonts w:cs="Arial"/>
          <w:szCs w:val="18"/>
        </w:rPr>
        <w:t xml:space="preserve"> </w:t>
      </w:r>
    </w:p>
  </w:footnote>
  <w:footnote w:id="10">
    <w:p w14:paraId="1A0F8D73" w14:textId="77777777" w:rsidR="00D976D6" w:rsidRPr="00E20DB7" w:rsidRDefault="00D976D6" w:rsidP="00233A6D">
      <w:pPr>
        <w:pStyle w:val="FootnoteText"/>
        <w:spacing w:after="0" w:line="240" w:lineRule="auto"/>
        <w:rPr>
          <w:rFonts w:cs="Arial"/>
          <w:szCs w:val="18"/>
        </w:rPr>
      </w:pPr>
      <w:r w:rsidRPr="00E20DB7">
        <w:rPr>
          <w:rStyle w:val="FootnoteReference"/>
          <w:rFonts w:cs="Arial"/>
          <w:szCs w:val="18"/>
        </w:rPr>
        <w:footnoteRef/>
      </w:r>
      <w:r w:rsidRPr="00E20DB7">
        <w:rPr>
          <w:rFonts w:cs="Arial"/>
          <w:szCs w:val="18"/>
        </w:rPr>
        <w:t xml:space="preserve"> </w:t>
      </w:r>
      <w:r w:rsidRPr="00E20DB7">
        <w:rPr>
          <w:rFonts w:cs="Arial"/>
          <w:color w:val="000000"/>
          <w:szCs w:val="18"/>
        </w:rPr>
        <w:t xml:space="preserve">Department of Justice &amp; Regulation, </w:t>
      </w:r>
      <w:r w:rsidRPr="00E20DB7">
        <w:rPr>
          <w:rFonts w:cs="Arial"/>
          <w:szCs w:val="18"/>
        </w:rPr>
        <w:t>Corrections Victoria, Monthly Prisoner and Offender Statistics</w:t>
      </w:r>
      <w:r>
        <w:rPr>
          <w:rFonts w:cs="Arial"/>
          <w:szCs w:val="18"/>
        </w:rPr>
        <w:t xml:space="preserve"> </w:t>
      </w:r>
      <w:hyperlink r:id="rId2" w:history="1">
        <w:r w:rsidRPr="00711515">
          <w:rPr>
            <w:rStyle w:val="Hyperlink"/>
            <w:rFonts w:cs="Arial"/>
            <w:szCs w:val="18"/>
          </w:rPr>
          <w:t>http://www.corrections.vic.gov.au/utility/publications+manuals+and+statistics/monthly+prisoner+and+offender+statistics</w:t>
        </w:r>
      </w:hyperlink>
      <w:r>
        <w:rPr>
          <w:rFonts w:cs="Arial"/>
          <w:szCs w:val="18"/>
        </w:rPr>
        <w:t xml:space="preserve"> </w:t>
      </w:r>
    </w:p>
  </w:footnote>
  <w:footnote w:id="11">
    <w:p w14:paraId="02DDC9A2" w14:textId="77777777" w:rsidR="00D976D6" w:rsidRPr="00E20DB7" w:rsidRDefault="00D976D6" w:rsidP="009253F2">
      <w:pPr>
        <w:pStyle w:val="FootnoteText"/>
        <w:spacing w:after="0" w:line="240" w:lineRule="auto"/>
        <w:rPr>
          <w:rFonts w:cs="Arial"/>
          <w:szCs w:val="18"/>
        </w:rPr>
      </w:pPr>
      <w:r w:rsidRPr="00E20DB7">
        <w:rPr>
          <w:rStyle w:val="FootnoteReference"/>
          <w:rFonts w:cs="Arial"/>
          <w:szCs w:val="18"/>
        </w:rPr>
        <w:footnoteRef/>
      </w:r>
      <w:r w:rsidRPr="00E20DB7">
        <w:rPr>
          <w:rFonts w:cs="Arial"/>
          <w:szCs w:val="18"/>
        </w:rPr>
        <w:t xml:space="preserve"> Sentencing Advisory Council, </w:t>
      </w:r>
      <w:r w:rsidRPr="00E20DB7">
        <w:rPr>
          <w:rFonts w:cs="Arial"/>
          <w:i/>
          <w:iCs/>
          <w:szCs w:val="18"/>
        </w:rPr>
        <w:t>Victoria’s Prison Population 2005 to 2016</w:t>
      </w:r>
      <w:r w:rsidRPr="00E20DB7">
        <w:rPr>
          <w:rFonts w:cs="Arial"/>
          <w:szCs w:val="18"/>
        </w:rPr>
        <w:t>, November 2016</w:t>
      </w:r>
    </w:p>
  </w:footnote>
  <w:footnote w:id="12">
    <w:p w14:paraId="118D0639" w14:textId="77777777" w:rsidR="00D976D6" w:rsidRPr="00942AA2" w:rsidRDefault="00D976D6" w:rsidP="00931EFC">
      <w:pPr>
        <w:spacing w:after="0" w:line="240" w:lineRule="auto"/>
        <w:rPr>
          <w:sz w:val="18"/>
          <w:szCs w:val="18"/>
        </w:rPr>
      </w:pPr>
      <w:r w:rsidRPr="00942AA2">
        <w:rPr>
          <w:rStyle w:val="FootnoteReference"/>
          <w:rFonts w:cs="Arial"/>
          <w:szCs w:val="18"/>
        </w:rPr>
        <w:footnoteRef/>
      </w:r>
      <w:r w:rsidRPr="00942AA2">
        <w:rPr>
          <w:rFonts w:cs="Arial"/>
          <w:sz w:val="18"/>
          <w:szCs w:val="18"/>
        </w:rPr>
        <w:t xml:space="preserve"> PricewaterhouseCoopers, </w:t>
      </w:r>
      <w:r w:rsidRPr="00942AA2">
        <w:rPr>
          <w:rFonts w:cs="Arial"/>
          <w:i/>
          <w:iCs/>
          <w:sz w:val="18"/>
          <w:szCs w:val="18"/>
        </w:rPr>
        <w:t xml:space="preserve">Indigenous incarceration: Unlock the facts, </w:t>
      </w:r>
      <w:r w:rsidRPr="00942AA2">
        <w:rPr>
          <w:rFonts w:cs="Arial"/>
          <w:sz w:val="18"/>
          <w:szCs w:val="18"/>
        </w:rPr>
        <w:t>May 2017, 23.</w:t>
      </w:r>
    </w:p>
  </w:footnote>
  <w:footnote w:id="13">
    <w:p w14:paraId="6A347F4A" w14:textId="77777777" w:rsidR="00D976D6" w:rsidRPr="009253F2" w:rsidRDefault="00D976D6">
      <w:pPr>
        <w:pStyle w:val="FootnoteText"/>
        <w:rPr>
          <w:lang w:val="en-US"/>
        </w:rPr>
      </w:pPr>
      <w:r>
        <w:rPr>
          <w:rStyle w:val="FootnoteReference"/>
        </w:rPr>
        <w:footnoteRef/>
      </w:r>
      <w:r>
        <w:t xml:space="preserve"> </w:t>
      </w:r>
      <w:r>
        <w:rPr>
          <w:lang w:val="en-US"/>
        </w:rPr>
        <w:t xml:space="preserve">Sentencing Advisory Council, Sentencing guidance in Victoria (2016) 198. </w:t>
      </w:r>
    </w:p>
  </w:footnote>
  <w:footnote w:id="14">
    <w:p w14:paraId="0FD6F684" w14:textId="77777777" w:rsidR="0026555D" w:rsidRDefault="00D976D6" w:rsidP="004C5434">
      <w:pPr>
        <w:pStyle w:val="FootnoteText"/>
        <w:spacing w:after="0" w:line="240" w:lineRule="auto"/>
        <w:rPr>
          <w:i/>
          <w:szCs w:val="18"/>
          <w:lang w:val="en-US"/>
        </w:rPr>
      </w:pPr>
      <w:r w:rsidRPr="00B0730A">
        <w:rPr>
          <w:rStyle w:val="FootnoteReference"/>
          <w:szCs w:val="18"/>
        </w:rPr>
        <w:footnoteRef/>
      </w:r>
      <w:r w:rsidRPr="00B0730A">
        <w:rPr>
          <w:szCs w:val="18"/>
        </w:rPr>
        <w:t xml:space="preserve"> Peter Hanks QC and Graeme Hill, </w:t>
      </w:r>
      <w:r w:rsidRPr="009253F2">
        <w:rPr>
          <w:i/>
          <w:szCs w:val="18"/>
          <w:lang w:val="en-US"/>
        </w:rPr>
        <w:t>Constitutional validity of proposed sentencing guidelines council, memorandum of</w:t>
      </w:r>
    </w:p>
    <w:p w14:paraId="7B042EC5" w14:textId="06E39ED7" w:rsidR="00D976D6" w:rsidRPr="009253F2" w:rsidRDefault="00D976D6" w:rsidP="004C5434">
      <w:pPr>
        <w:pStyle w:val="FootnoteText"/>
        <w:spacing w:after="0" w:line="240" w:lineRule="auto"/>
        <w:rPr>
          <w:szCs w:val="18"/>
          <w:lang w:val="en-US"/>
        </w:rPr>
      </w:pPr>
      <w:r w:rsidRPr="009253F2">
        <w:rPr>
          <w:i/>
          <w:szCs w:val="18"/>
          <w:lang w:val="en-US"/>
        </w:rPr>
        <w:t>advice,</w:t>
      </w:r>
      <w:r w:rsidRPr="00B0730A">
        <w:rPr>
          <w:szCs w:val="18"/>
          <w:lang w:val="en-US"/>
        </w:rPr>
        <w:t xml:space="preserve"> (November 2017), 25. </w:t>
      </w:r>
    </w:p>
  </w:footnote>
  <w:footnote w:id="15">
    <w:p w14:paraId="6A7E6A38" w14:textId="77777777" w:rsidR="00CF2A8D" w:rsidRDefault="00D976D6" w:rsidP="00C5735B">
      <w:pPr>
        <w:pStyle w:val="FootnoteText"/>
        <w:spacing w:after="0" w:line="240" w:lineRule="auto"/>
        <w:rPr>
          <w:szCs w:val="18"/>
        </w:rPr>
      </w:pPr>
      <w:r w:rsidRPr="00CF2A8D">
        <w:rPr>
          <w:rStyle w:val="FootnoteReference"/>
          <w:szCs w:val="18"/>
        </w:rPr>
        <w:footnoteRef/>
      </w:r>
      <w:r w:rsidRPr="00CF2A8D">
        <w:rPr>
          <w:szCs w:val="18"/>
        </w:rPr>
        <w:t xml:space="preserve"> Sentencing Advisory Council, </w:t>
      </w:r>
      <w:r w:rsidRPr="00CF2A8D">
        <w:rPr>
          <w:i/>
          <w:szCs w:val="18"/>
        </w:rPr>
        <w:t xml:space="preserve">A sentencing guidelines council for Victoria, issues paper </w:t>
      </w:r>
      <w:r w:rsidRPr="00CF2A8D">
        <w:rPr>
          <w:szCs w:val="18"/>
        </w:rPr>
        <w:t xml:space="preserve">(2017), 49. </w:t>
      </w:r>
      <w:r w:rsidR="00C5735B" w:rsidRPr="004C5434">
        <w:rPr>
          <w:i/>
          <w:szCs w:val="18"/>
        </w:rPr>
        <w:t>House v The King</w:t>
      </w:r>
    </w:p>
    <w:p w14:paraId="6A832331" w14:textId="31270B94" w:rsidR="00D976D6" w:rsidRPr="00DA268A" w:rsidRDefault="00C5735B" w:rsidP="00DA268A">
      <w:pPr>
        <w:pStyle w:val="FootnoteText"/>
        <w:spacing w:after="0" w:line="240" w:lineRule="auto"/>
        <w:rPr>
          <w:szCs w:val="18"/>
        </w:rPr>
      </w:pPr>
      <w:r w:rsidRPr="004C5434">
        <w:rPr>
          <w:szCs w:val="18"/>
        </w:rPr>
        <w:t xml:space="preserve">(1936) 55 CLR 499. </w:t>
      </w:r>
    </w:p>
  </w:footnote>
  <w:footnote w:id="16">
    <w:p w14:paraId="00C51F49" w14:textId="77777777" w:rsidR="00D976D6" w:rsidRPr="00CF2A8D" w:rsidRDefault="00D976D6" w:rsidP="00223240">
      <w:pPr>
        <w:pStyle w:val="FootnoteText"/>
        <w:spacing w:after="0" w:line="240" w:lineRule="auto"/>
        <w:rPr>
          <w:szCs w:val="18"/>
          <w:lang w:val="en-US"/>
        </w:rPr>
      </w:pPr>
      <w:r w:rsidRPr="00CF2A8D">
        <w:rPr>
          <w:rStyle w:val="FootnoteReference"/>
          <w:szCs w:val="18"/>
        </w:rPr>
        <w:footnoteRef/>
      </w:r>
      <w:r w:rsidRPr="00CF2A8D">
        <w:rPr>
          <w:szCs w:val="18"/>
        </w:rPr>
        <w:t xml:space="preserve"> </w:t>
      </w:r>
      <w:r w:rsidRPr="00CF2A8D">
        <w:rPr>
          <w:szCs w:val="18"/>
          <w:lang w:val="en-US"/>
        </w:rPr>
        <w:t>Sentencing Act 1991 (Vic) s 5(2)(b).</w:t>
      </w:r>
    </w:p>
  </w:footnote>
  <w:footnote w:id="17">
    <w:p w14:paraId="27952396" w14:textId="77777777" w:rsidR="0026555D" w:rsidRDefault="00D976D6" w:rsidP="00223240">
      <w:pPr>
        <w:pStyle w:val="FootnoteText"/>
        <w:spacing w:after="0" w:line="240" w:lineRule="auto"/>
        <w:rPr>
          <w:rFonts w:cs="Arial"/>
          <w:color w:val="333333"/>
          <w:szCs w:val="18"/>
          <w:lang w:val="en-US"/>
        </w:rPr>
      </w:pPr>
      <w:r w:rsidRPr="0026555D">
        <w:rPr>
          <w:rStyle w:val="FootnoteReference"/>
          <w:rFonts w:cs="Arial"/>
          <w:szCs w:val="18"/>
        </w:rPr>
        <w:footnoteRef/>
      </w:r>
      <w:r w:rsidRPr="0026555D">
        <w:rPr>
          <w:rFonts w:cs="Arial"/>
          <w:szCs w:val="18"/>
        </w:rPr>
        <w:t xml:space="preserve"> </w:t>
      </w:r>
      <w:r w:rsidRPr="0026555D">
        <w:rPr>
          <w:rFonts w:cs="Arial"/>
          <w:i/>
          <w:szCs w:val="18"/>
          <w:lang w:val="en-US"/>
        </w:rPr>
        <w:t>Bradley v The Queen</w:t>
      </w:r>
      <w:r w:rsidRPr="0026555D">
        <w:rPr>
          <w:rFonts w:cs="Arial"/>
          <w:szCs w:val="18"/>
          <w:lang w:val="en-US"/>
        </w:rPr>
        <w:t xml:space="preserve"> [2017] VSCA 69 (30 March 2017) [111 – 122]</w:t>
      </w:r>
      <w:r w:rsidR="0026555D" w:rsidRPr="0026555D">
        <w:rPr>
          <w:rFonts w:cs="Arial"/>
          <w:szCs w:val="18"/>
          <w:lang w:val="en-US"/>
        </w:rPr>
        <w:t xml:space="preserve"> cf. </w:t>
      </w:r>
      <w:r w:rsidR="0026555D" w:rsidRPr="004C5434">
        <w:rPr>
          <w:rStyle w:val="Emphasis"/>
          <w:rFonts w:cs="Arial"/>
          <w:color w:val="333333"/>
          <w:szCs w:val="18"/>
          <w:lang w:val="en-US"/>
        </w:rPr>
        <w:t xml:space="preserve">DPP v </w:t>
      </w:r>
      <w:proofErr w:type="spellStart"/>
      <w:r w:rsidR="0026555D" w:rsidRPr="004C5434">
        <w:rPr>
          <w:rStyle w:val="Emphasis"/>
          <w:rFonts w:cs="Arial"/>
          <w:color w:val="333333"/>
          <w:szCs w:val="18"/>
          <w:lang w:val="en-US"/>
        </w:rPr>
        <w:t>Dalgliesh</w:t>
      </w:r>
      <w:proofErr w:type="spellEnd"/>
      <w:r w:rsidR="0026555D" w:rsidRPr="004C5434">
        <w:rPr>
          <w:rStyle w:val="Emphasis"/>
          <w:rFonts w:cs="Arial"/>
          <w:color w:val="333333"/>
          <w:szCs w:val="18"/>
          <w:lang w:val="en-US"/>
        </w:rPr>
        <w:t xml:space="preserve"> (a pseudonym)</w:t>
      </w:r>
      <w:r w:rsidR="0026555D" w:rsidRPr="004C5434">
        <w:rPr>
          <w:rFonts w:cs="Arial"/>
          <w:color w:val="333333"/>
          <w:szCs w:val="18"/>
          <w:lang w:val="en-US"/>
        </w:rPr>
        <w:t xml:space="preserve"> (2017) HCA 41,</w:t>
      </w:r>
    </w:p>
    <w:p w14:paraId="09090AEC" w14:textId="7BA037AB" w:rsidR="0026555D" w:rsidRDefault="0026555D" w:rsidP="00223240">
      <w:pPr>
        <w:pStyle w:val="FootnoteText"/>
        <w:spacing w:after="0" w:line="240" w:lineRule="auto"/>
        <w:rPr>
          <w:rFonts w:cs="Arial"/>
          <w:color w:val="333333"/>
          <w:szCs w:val="18"/>
          <w:lang w:val="en-US"/>
        </w:rPr>
      </w:pPr>
      <w:r>
        <w:rPr>
          <w:rFonts w:cs="Arial"/>
          <w:color w:val="333333"/>
          <w:szCs w:val="18"/>
          <w:lang w:val="en-US"/>
        </w:rPr>
        <w:t>regarding</w:t>
      </w:r>
      <w:r w:rsidRPr="004C5434">
        <w:rPr>
          <w:rFonts w:cs="Arial"/>
          <w:color w:val="333333"/>
          <w:szCs w:val="18"/>
          <w:lang w:val="en-US"/>
        </w:rPr>
        <w:t xml:space="preserve"> retrospectivity and the role of current sentencing practices</w:t>
      </w:r>
      <w:r>
        <w:rPr>
          <w:rFonts w:cs="Arial"/>
          <w:color w:val="333333"/>
          <w:szCs w:val="18"/>
          <w:lang w:val="en-US"/>
        </w:rPr>
        <w:t>, w</w:t>
      </w:r>
      <w:r w:rsidRPr="004C5434">
        <w:rPr>
          <w:rFonts w:cs="Arial"/>
          <w:color w:val="333333"/>
          <w:szCs w:val="18"/>
          <w:lang w:val="en-US"/>
        </w:rPr>
        <w:t>e await application vis a vis standard</w:t>
      </w:r>
    </w:p>
    <w:p w14:paraId="254DF5D5" w14:textId="6551606A" w:rsidR="00D976D6" w:rsidRPr="0026555D" w:rsidRDefault="0026555D" w:rsidP="00223240">
      <w:pPr>
        <w:pStyle w:val="FootnoteText"/>
        <w:spacing w:after="0" w:line="240" w:lineRule="auto"/>
        <w:rPr>
          <w:rFonts w:cs="Arial"/>
          <w:szCs w:val="18"/>
          <w:lang w:val="en-US"/>
        </w:rPr>
      </w:pPr>
      <w:r w:rsidRPr="004C5434">
        <w:rPr>
          <w:rFonts w:cs="Arial"/>
          <w:color w:val="333333"/>
          <w:szCs w:val="18"/>
          <w:lang w:val="en-US"/>
        </w:rPr>
        <w:t>sentence scheme and sentencing guidelines</w:t>
      </w:r>
    </w:p>
  </w:footnote>
  <w:footnote w:id="18">
    <w:p w14:paraId="3ADCBCB4" w14:textId="77777777" w:rsidR="00D976D6" w:rsidRPr="009253F2" w:rsidRDefault="00D976D6">
      <w:pPr>
        <w:pStyle w:val="FootnoteText"/>
        <w:rPr>
          <w:lang w:val="en-US"/>
        </w:rPr>
      </w:pPr>
      <w:r>
        <w:rPr>
          <w:rStyle w:val="FootnoteReference"/>
        </w:rPr>
        <w:footnoteRef/>
      </w:r>
      <w:r>
        <w:t xml:space="preserve"> </w:t>
      </w:r>
      <w:r w:rsidRPr="009253F2">
        <w:rPr>
          <w:i/>
          <w:lang w:val="en-US"/>
        </w:rPr>
        <w:t>Sentencing Act 1991</w:t>
      </w:r>
      <w:r>
        <w:rPr>
          <w:lang w:val="en-US"/>
        </w:rPr>
        <w:t xml:space="preserve"> (Vic) </w:t>
      </w:r>
      <w:proofErr w:type="spellStart"/>
      <w:r>
        <w:rPr>
          <w:lang w:val="en-US"/>
        </w:rPr>
        <w:t>pt</w:t>
      </w:r>
      <w:proofErr w:type="spellEnd"/>
      <w:r>
        <w:rPr>
          <w:lang w:val="en-US"/>
        </w:rPr>
        <w:t xml:space="preserve"> 2AA.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FC15" w14:textId="77777777" w:rsidR="00D976D6" w:rsidRDefault="00564773">
    <w:pPr>
      <w:pStyle w:val="Header"/>
    </w:pPr>
    <w:r>
      <w:rPr>
        <w:noProof/>
      </w:rPr>
      <w:pict w14:anchorId="41827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752;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F0FE" w14:textId="77777777" w:rsidR="00D976D6" w:rsidRPr="009F7B2D" w:rsidRDefault="00D976D6" w:rsidP="004E0688">
    <w:pPr>
      <w:pStyle w:val="Header"/>
      <w:jc w:val="right"/>
    </w:pPr>
    <w:r>
      <w:rPr>
        <w:noProof/>
        <w:lang w:eastAsia="en-AU"/>
      </w:rPr>
      <w:drawing>
        <wp:inline distT="0" distB="0" distL="0" distR="0" wp14:anchorId="45B97DB8" wp14:editId="7818DD8C">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F9AB" w14:textId="77777777" w:rsidR="00D976D6" w:rsidRDefault="00D976D6" w:rsidP="006E2882">
    <w:pPr>
      <w:spacing w:before="400"/>
      <w:jc w:val="right"/>
    </w:pPr>
    <w:r>
      <w:rPr>
        <w:noProof/>
        <w:lang w:eastAsia="en-AU"/>
      </w:rPr>
      <w:drawing>
        <wp:inline distT="0" distB="0" distL="0" distR="0" wp14:anchorId="6CF83EAA" wp14:editId="0A88F4E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125" w14:textId="77777777" w:rsidR="00D976D6" w:rsidRPr="009F7B2D" w:rsidRDefault="00D976D6" w:rsidP="005375A4"/>
  <w:p w14:paraId="2637F984" w14:textId="77777777" w:rsidR="00D976D6" w:rsidRDefault="00D976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B550" w14:textId="77777777" w:rsidR="00D976D6" w:rsidRPr="009F7B2D" w:rsidRDefault="00D976D6"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65A9" w14:textId="2DD1EB93" w:rsidR="00D976D6" w:rsidRPr="009F7B2D" w:rsidRDefault="00D976D6"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457B" w14:textId="77777777" w:rsidR="00D976D6" w:rsidRDefault="00D976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5CA0" w14:textId="77777777" w:rsidR="00D976D6" w:rsidRPr="00665568" w:rsidRDefault="00D976D6"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0F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CE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BAE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CC9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EE3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AEB8646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3BC98A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FD015E"/>
    <w:multiLevelType w:val="hybridMultilevel"/>
    <w:tmpl w:val="875A1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5147447"/>
    <w:multiLevelType w:val="hybridMultilevel"/>
    <w:tmpl w:val="725EF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AE77B4"/>
    <w:multiLevelType w:val="hybridMultilevel"/>
    <w:tmpl w:val="07D84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C264FB8"/>
    <w:multiLevelType w:val="hybridMultilevel"/>
    <w:tmpl w:val="6A30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265B2F24"/>
    <w:multiLevelType w:val="hybridMultilevel"/>
    <w:tmpl w:val="5F5A8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BD2207"/>
    <w:multiLevelType w:val="hybridMultilevel"/>
    <w:tmpl w:val="B6E87812"/>
    <w:lvl w:ilvl="0" w:tplc="B6348BB6">
      <w:start w:val="1"/>
      <w:numFmt w:val="bullet"/>
      <w:pStyle w:val="Bullets"/>
      <w:lvlText w:val=""/>
      <w:lvlJc w:val="left"/>
      <w:pPr>
        <w:ind w:left="216" w:hanging="360"/>
      </w:pPr>
      <w:rPr>
        <w:rFonts w:ascii="Symbol" w:hAnsi="Symbol" w:hint="default"/>
      </w:rPr>
    </w:lvl>
    <w:lvl w:ilvl="1" w:tplc="0C090003">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9E44ECA"/>
    <w:multiLevelType w:val="hybridMultilevel"/>
    <w:tmpl w:val="D98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B93632"/>
    <w:multiLevelType w:val="hybridMultilevel"/>
    <w:tmpl w:val="7CC2B2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321489"/>
    <w:multiLevelType w:val="hybridMultilevel"/>
    <w:tmpl w:val="C7BC1B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7BBB7AE6"/>
    <w:multiLevelType w:val="hybridMultilevel"/>
    <w:tmpl w:val="3C1A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D42CC2"/>
    <w:multiLevelType w:val="hybridMultilevel"/>
    <w:tmpl w:val="097EA822"/>
    <w:lvl w:ilvl="0" w:tplc="A10853B2">
      <w:start w:val="1"/>
      <w:numFmt w:val="bullet"/>
      <w:pStyle w:val="BulletIndent"/>
      <w:lvlText w:val=""/>
      <w:lvlJc w:val="left"/>
      <w:pPr>
        <w:ind w:left="1081" w:hanging="360"/>
      </w:pPr>
      <w:rPr>
        <w:rFonts w:ascii="Symbol" w:hAnsi="Symbol" w:hint="default"/>
      </w:rPr>
    </w:lvl>
    <w:lvl w:ilvl="1" w:tplc="0C090003">
      <w:start w:val="1"/>
      <w:numFmt w:val="bullet"/>
      <w:lvlText w:val="o"/>
      <w:lvlJc w:val="left"/>
      <w:pPr>
        <w:ind w:left="1801" w:hanging="360"/>
      </w:pPr>
      <w:rPr>
        <w:rFonts w:ascii="Courier New" w:hAnsi="Courier New" w:cs="Courier New" w:hint="default"/>
      </w:rPr>
    </w:lvl>
    <w:lvl w:ilvl="2" w:tplc="0C090005">
      <w:start w:val="1"/>
      <w:numFmt w:val="bullet"/>
      <w:lvlText w:val=""/>
      <w:lvlJc w:val="left"/>
      <w:pPr>
        <w:ind w:left="2521" w:hanging="360"/>
      </w:pPr>
      <w:rPr>
        <w:rFonts w:ascii="Wingdings" w:hAnsi="Wingdings" w:hint="default"/>
      </w:rPr>
    </w:lvl>
    <w:lvl w:ilvl="3" w:tplc="0C090001">
      <w:start w:val="1"/>
      <w:numFmt w:val="bullet"/>
      <w:lvlText w:val=""/>
      <w:lvlJc w:val="left"/>
      <w:pPr>
        <w:ind w:left="3241" w:hanging="360"/>
      </w:pPr>
      <w:rPr>
        <w:rFonts w:ascii="Symbol" w:hAnsi="Symbol" w:hint="default"/>
      </w:rPr>
    </w:lvl>
    <w:lvl w:ilvl="4" w:tplc="0C090003">
      <w:start w:val="1"/>
      <w:numFmt w:val="bullet"/>
      <w:lvlText w:val="o"/>
      <w:lvlJc w:val="left"/>
      <w:pPr>
        <w:ind w:left="3961" w:hanging="360"/>
      </w:pPr>
      <w:rPr>
        <w:rFonts w:ascii="Courier New" w:hAnsi="Courier New" w:cs="Courier New" w:hint="default"/>
      </w:rPr>
    </w:lvl>
    <w:lvl w:ilvl="5" w:tplc="0C090005">
      <w:start w:val="1"/>
      <w:numFmt w:val="bullet"/>
      <w:lvlText w:val=""/>
      <w:lvlJc w:val="left"/>
      <w:pPr>
        <w:ind w:left="4681" w:hanging="360"/>
      </w:pPr>
      <w:rPr>
        <w:rFonts w:ascii="Wingdings" w:hAnsi="Wingdings" w:hint="default"/>
      </w:rPr>
    </w:lvl>
    <w:lvl w:ilvl="6" w:tplc="0C090001">
      <w:start w:val="1"/>
      <w:numFmt w:val="bullet"/>
      <w:lvlText w:val=""/>
      <w:lvlJc w:val="left"/>
      <w:pPr>
        <w:ind w:left="5401" w:hanging="360"/>
      </w:pPr>
      <w:rPr>
        <w:rFonts w:ascii="Symbol" w:hAnsi="Symbol" w:hint="default"/>
      </w:rPr>
    </w:lvl>
    <w:lvl w:ilvl="7" w:tplc="0C090003">
      <w:start w:val="1"/>
      <w:numFmt w:val="bullet"/>
      <w:lvlText w:val="o"/>
      <w:lvlJc w:val="left"/>
      <w:pPr>
        <w:ind w:left="6121" w:hanging="360"/>
      </w:pPr>
      <w:rPr>
        <w:rFonts w:ascii="Courier New" w:hAnsi="Courier New" w:cs="Courier New" w:hint="default"/>
      </w:rPr>
    </w:lvl>
    <w:lvl w:ilvl="8" w:tplc="0C090005">
      <w:start w:val="1"/>
      <w:numFmt w:val="bullet"/>
      <w:lvlText w:val=""/>
      <w:lvlJc w:val="left"/>
      <w:pPr>
        <w:ind w:left="6841" w:hanging="360"/>
      </w:pPr>
      <w:rPr>
        <w:rFonts w:ascii="Wingdings" w:hAnsi="Wingdings" w:hint="default"/>
      </w:rPr>
    </w:lvl>
  </w:abstractNum>
  <w:num w:numId="1">
    <w:abstractNumId w:val="17"/>
  </w:num>
  <w:num w:numId="2">
    <w:abstractNumId w:val="15"/>
  </w:num>
  <w:num w:numId="3">
    <w:abstractNumId w:val="19"/>
  </w:num>
  <w:num w:numId="4">
    <w:abstractNumId w:val="18"/>
  </w:num>
  <w:num w:numId="5">
    <w:abstractNumId w:val="7"/>
  </w:num>
  <w:num w:numId="6">
    <w:abstractNumId w:val="14"/>
  </w:num>
  <w:num w:numId="7">
    <w:abstractNumId w:val="21"/>
  </w:num>
  <w:num w:numId="8">
    <w:abstractNumId w:val="10"/>
  </w:num>
  <w:num w:numId="9">
    <w:abstractNumId w:val="26"/>
  </w:num>
  <w:num w:numId="10">
    <w:abstractNumId w:val="23"/>
  </w:num>
  <w:num w:numId="11">
    <w:abstractNumId w:val="13"/>
  </w:num>
  <w:num w:numId="12">
    <w:abstractNumId w:val="27"/>
  </w:num>
  <w:num w:numId="13">
    <w:abstractNumId w:val="20"/>
  </w:num>
  <w:num w:numId="14">
    <w:abstractNumId w:val="4"/>
  </w:num>
  <w:num w:numId="15">
    <w:abstractNumId w:val="5"/>
  </w:num>
  <w:num w:numId="16">
    <w:abstractNumId w:val="3"/>
  </w:num>
  <w:num w:numId="17">
    <w:abstractNumId w:val="2"/>
  </w:num>
  <w:num w:numId="18">
    <w:abstractNumId w:val="1"/>
  </w:num>
  <w:num w:numId="19">
    <w:abstractNumId w:val="0"/>
  </w:num>
  <w:num w:numId="20">
    <w:abstractNumId w:val="6"/>
  </w:num>
  <w:num w:numId="21">
    <w:abstractNumId w:val="8"/>
  </w:num>
  <w:num w:numId="22">
    <w:abstractNumId w:val="9"/>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DD"/>
    <w:rsid w:val="0000389D"/>
    <w:rsid w:val="0000531F"/>
    <w:rsid w:val="00007914"/>
    <w:rsid w:val="000155A6"/>
    <w:rsid w:val="0001652A"/>
    <w:rsid w:val="00022C70"/>
    <w:rsid w:val="00022C83"/>
    <w:rsid w:val="00022F0E"/>
    <w:rsid w:val="00022F62"/>
    <w:rsid w:val="0002382A"/>
    <w:rsid w:val="000240FD"/>
    <w:rsid w:val="00027224"/>
    <w:rsid w:val="00032AF3"/>
    <w:rsid w:val="000444E9"/>
    <w:rsid w:val="00051720"/>
    <w:rsid w:val="000539E1"/>
    <w:rsid w:val="00053F1E"/>
    <w:rsid w:val="0005492F"/>
    <w:rsid w:val="00055B69"/>
    <w:rsid w:val="00056388"/>
    <w:rsid w:val="00056D16"/>
    <w:rsid w:val="000579AC"/>
    <w:rsid w:val="000610FC"/>
    <w:rsid w:val="00061235"/>
    <w:rsid w:val="00062699"/>
    <w:rsid w:val="00064B2A"/>
    <w:rsid w:val="0007009E"/>
    <w:rsid w:val="000719C4"/>
    <w:rsid w:val="00075DDE"/>
    <w:rsid w:val="00081A81"/>
    <w:rsid w:val="00084C6C"/>
    <w:rsid w:val="000A1477"/>
    <w:rsid w:val="000A230F"/>
    <w:rsid w:val="000A711A"/>
    <w:rsid w:val="000B02D8"/>
    <w:rsid w:val="000B0AB6"/>
    <w:rsid w:val="000B278C"/>
    <w:rsid w:val="000B2943"/>
    <w:rsid w:val="000B6611"/>
    <w:rsid w:val="000C0A44"/>
    <w:rsid w:val="000C0B84"/>
    <w:rsid w:val="000D41D7"/>
    <w:rsid w:val="000D4F97"/>
    <w:rsid w:val="000D7E14"/>
    <w:rsid w:val="000E0695"/>
    <w:rsid w:val="000E4B9B"/>
    <w:rsid w:val="000E7142"/>
    <w:rsid w:val="000F108A"/>
    <w:rsid w:val="00101CBD"/>
    <w:rsid w:val="00102E66"/>
    <w:rsid w:val="00103588"/>
    <w:rsid w:val="00105AC6"/>
    <w:rsid w:val="0011302E"/>
    <w:rsid w:val="00114C38"/>
    <w:rsid w:val="00114EE2"/>
    <w:rsid w:val="0011572E"/>
    <w:rsid w:val="001217B8"/>
    <w:rsid w:val="00124D25"/>
    <w:rsid w:val="00130286"/>
    <w:rsid w:val="0013259B"/>
    <w:rsid w:val="0014270F"/>
    <w:rsid w:val="00144943"/>
    <w:rsid w:val="00146A26"/>
    <w:rsid w:val="001479F2"/>
    <w:rsid w:val="00161EEF"/>
    <w:rsid w:val="0016303B"/>
    <w:rsid w:val="00166FDF"/>
    <w:rsid w:val="0017067F"/>
    <w:rsid w:val="00175D56"/>
    <w:rsid w:val="00175F88"/>
    <w:rsid w:val="00175FEC"/>
    <w:rsid w:val="00182A44"/>
    <w:rsid w:val="001A17AA"/>
    <w:rsid w:val="001A620F"/>
    <w:rsid w:val="001A6261"/>
    <w:rsid w:val="001B270D"/>
    <w:rsid w:val="001C3ADC"/>
    <w:rsid w:val="001C4BC6"/>
    <w:rsid w:val="001D7DCF"/>
    <w:rsid w:val="001E0A52"/>
    <w:rsid w:val="001E11EB"/>
    <w:rsid w:val="001E4D47"/>
    <w:rsid w:val="001E5143"/>
    <w:rsid w:val="001E730B"/>
    <w:rsid w:val="001F1899"/>
    <w:rsid w:val="001F38C7"/>
    <w:rsid w:val="001F5717"/>
    <w:rsid w:val="001F604F"/>
    <w:rsid w:val="001F6FFA"/>
    <w:rsid w:val="001F7353"/>
    <w:rsid w:val="00202D58"/>
    <w:rsid w:val="00214C27"/>
    <w:rsid w:val="00214FE5"/>
    <w:rsid w:val="0021585A"/>
    <w:rsid w:val="0022198F"/>
    <w:rsid w:val="002228E1"/>
    <w:rsid w:val="00223240"/>
    <w:rsid w:val="00227E2C"/>
    <w:rsid w:val="00233A6D"/>
    <w:rsid w:val="00237523"/>
    <w:rsid w:val="00241904"/>
    <w:rsid w:val="002435C9"/>
    <w:rsid w:val="002441B1"/>
    <w:rsid w:val="00247849"/>
    <w:rsid w:val="00257158"/>
    <w:rsid w:val="002574E0"/>
    <w:rsid w:val="00262D02"/>
    <w:rsid w:val="0026555D"/>
    <w:rsid w:val="0026649B"/>
    <w:rsid w:val="002769FB"/>
    <w:rsid w:val="002775AB"/>
    <w:rsid w:val="00285AD4"/>
    <w:rsid w:val="0029131A"/>
    <w:rsid w:val="0029348C"/>
    <w:rsid w:val="0029401A"/>
    <w:rsid w:val="00294136"/>
    <w:rsid w:val="002944D7"/>
    <w:rsid w:val="0029727E"/>
    <w:rsid w:val="002A1B3E"/>
    <w:rsid w:val="002A1EF3"/>
    <w:rsid w:val="002A3D1D"/>
    <w:rsid w:val="002A7402"/>
    <w:rsid w:val="002B4970"/>
    <w:rsid w:val="002B6655"/>
    <w:rsid w:val="002C552E"/>
    <w:rsid w:val="002E64B6"/>
    <w:rsid w:val="003045F6"/>
    <w:rsid w:val="0030591D"/>
    <w:rsid w:val="00305D85"/>
    <w:rsid w:val="00307C02"/>
    <w:rsid w:val="00307CDB"/>
    <w:rsid w:val="00310872"/>
    <w:rsid w:val="00310AB6"/>
    <w:rsid w:val="00310EB0"/>
    <w:rsid w:val="00314051"/>
    <w:rsid w:val="00315C4A"/>
    <w:rsid w:val="0031697B"/>
    <w:rsid w:val="003221CA"/>
    <w:rsid w:val="00322F6F"/>
    <w:rsid w:val="00327E8E"/>
    <w:rsid w:val="00333244"/>
    <w:rsid w:val="00341C1C"/>
    <w:rsid w:val="00343DAA"/>
    <w:rsid w:val="003520AD"/>
    <w:rsid w:val="003562DB"/>
    <w:rsid w:val="0035742A"/>
    <w:rsid w:val="0036511B"/>
    <w:rsid w:val="00366E4E"/>
    <w:rsid w:val="00371282"/>
    <w:rsid w:val="00372327"/>
    <w:rsid w:val="003740B7"/>
    <w:rsid w:val="00376112"/>
    <w:rsid w:val="003775EB"/>
    <w:rsid w:val="00383710"/>
    <w:rsid w:val="00384660"/>
    <w:rsid w:val="003A13F2"/>
    <w:rsid w:val="003A1C4F"/>
    <w:rsid w:val="003A2302"/>
    <w:rsid w:val="003A4B4D"/>
    <w:rsid w:val="003A4F4B"/>
    <w:rsid w:val="003A5726"/>
    <w:rsid w:val="003B515A"/>
    <w:rsid w:val="003B6366"/>
    <w:rsid w:val="003C1BF9"/>
    <w:rsid w:val="003C2F49"/>
    <w:rsid w:val="003C4A7F"/>
    <w:rsid w:val="003C7A7F"/>
    <w:rsid w:val="003D09CD"/>
    <w:rsid w:val="003D203F"/>
    <w:rsid w:val="003D285F"/>
    <w:rsid w:val="003D29C2"/>
    <w:rsid w:val="003D79F1"/>
    <w:rsid w:val="003E17D1"/>
    <w:rsid w:val="003E409C"/>
    <w:rsid w:val="003E5D82"/>
    <w:rsid w:val="003F1C1E"/>
    <w:rsid w:val="003F48A9"/>
    <w:rsid w:val="003F55A5"/>
    <w:rsid w:val="003F6005"/>
    <w:rsid w:val="004108E3"/>
    <w:rsid w:val="0041181E"/>
    <w:rsid w:val="00417AA6"/>
    <w:rsid w:val="00421F3D"/>
    <w:rsid w:val="00423CC7"/>
    <w:rsid w:val="00423DE6"/>
    <w:rsid w:val="00424920"/>
    <w:rsid w:val="00425919"/>
    <w:rsid w:val="00426FE0"/>
    <w:rsid w:val="00431E61"/>
    <w:rsid w:val="00434743"/>
    <w:rsid w:val="004365C6"/>
    <w:rsid w:val="00436717"/>
    <w:rsid w:val="00436FFB"/>
    <w:rsid w:val="00437FEE"/>
    <w:rsid w:val="00440C65"/>
    <w:rsid w:val="00442077"/>
    <w:rsid w:val="00442DBC"/>
    <w:rsid w:val="00444168"/>
    <w:rsid w:val="00450BC7"/>
    <w:rsid w:val="0045435F"/>
    <w:rsid w:val="004578E7"/>
    <w:rsid w:val="00461AE2"/>
    <w:rsid w:val="00462BA5"/>
    <w:rsid w:val="00462C13"/>
    <w:rsid w:val="004636B9"/>
    <w:rsid w:val="004637BC"/>
    <w:rsid w:val="0046548B"/>
    <w:rsid w:val="00474296"/>
    <w:rsid w:val="00477A94"/>
    <w:rsid w:val="0048037C"/>
    <w:rsid w:val="00481103"/>
    <w:rsid w:val="00481371"/>
    <w:rsid w:val="00487FA9"/>
    <w:rsid w:val="00493B23"/>
    <w:rsid w:val="00495490"/>
    <w:rsid w:val="00495ED9"/>
    <w:rsid w:val="00496242"/>
    <w:rsid w:val="004B12B4"/>
    <w:rsid w:val="004B318D"/>
    <w:rsid w:val="004B5016"/>
    <w:rsid w:val="004B5827"/>
    <w:rsid w:val="004B78B4"/>
    <w:rsid w:val="004C5434"/>
    <w:rsid w:val="004D0420"/>
    <w:rsid w:val="004D3B12"/>
    <w:rsid w:val="004E0688"/>
    <w:rsid w:val="004E177B"/>
    <w:rsid w:val="004E2C5B"/>
    <w:rsid w:val="004E511B"/>
    <w:rsid w:val="004F1880"/>
    <w:rsid w:val="004F2CD9"/>
    <w:rsid w:val="00513F7A"/>
    <w:rsid w:val="00520FB3"/>
    <w:rsid w:val="00521801"/>
    <w:rsid w:val="005272D5"/>
    <w:rsid w:val="005314CA"/>
    <w:rsid w:val="00533DDC"/>
    <w:rsid w:val="00535ED0"/>
    <w:rsid w:val="005375A4"/>
    <w:rsid w:val="00543737"/>
    <w:rsid w:val="0054514F"/>
    <w:rsid w:val="00546AA8"/>
    <w:rsid w:val="0054738D"/>
    <w:rsid w:val="0054747F"/>
    <w:rsid w:val="0056148F"/>
    <w:rsid w:val="005616A7"/>
    <w:rsid w:val="0056464E"/>
    <w:rsid w:val="00564773"/>
    <w:rsid w:val="00567614"/>
    <w:rsid w:val="005731B6"/>
    <w:rsid w:val="0058760F"/>
    <w:rsid w:val="00591B62"/>
    <w:rsid w:val="005A01BE"/>
    <w:rsid w:val="005A495C"/>
    <w:rsid w:val="005A7F72"/>
    <w:rsid w:val="005B0701"/>
    <w:rsid w:val="005B10AA"/>
    <w:rsid w:val="005B2676"/>
    <w:rsid w:val="005B4829"/>
    <w:rsid w:val="005B4BAD"/>
    <w:rsid w:val="005C270D"/>
    <w:rsid w:val="005C4E05"/>
    <w:rsid w:val="005D103A"/>
    <w:rsid w:val="005D1354"/>
    <w:rsid w:val="005D2234"/>
    <w:rsid w:val="005D5637"/>
    <w:rsid w:val="005D7BBC"/>
    <w:rsid w:val="005E248A"/>
    <w:rsid w:val="005E3CA0"/>
    <w:rsid w:val="005F193F"/>
    <w:rsid w:val="005F3611"/>
    <w:rsid w:val="005F73D1"/>
    <w:rsid w:val="005F7D8E"/>
    <w:rsid w:val="00600541"/>
    <w:rsid w:val="00600F6D"/>
    <w:rsid w:val="0060199A"/>
    <w:rsid w:val="006031D8"/>
    <w:rsid w:val="0060449D"/>
    <w:rsid w:val="00604558"/>
    <w:rsid w:val="00605C95"/>
    <w:rsid w:val="00612425"/>
    <w:rsid w:val="00612B4A"/>
    <w:rsid w:val="006151E7"/>
    <w:rsid w:val="00615775"/>
    <w:rsid w:val="006260BB"/>
    <w:rsid w:val="00640994"/>
    <w:rsid w:val="00652407"/>
    <w:rsid w:val="00653753"/>
    <w:rsid w:val="00653D29"/>
    <w:rsid w:val="00653DD4"/>
    <w:rsid w:val="00657BC3"/>
    <w:rsid w:val="0066039E"/>
    <w:rsid w:val="0066180F"/>
    <w:rsid w:val="00665568"/>
    <w:rsid w:val="00667FFA"/>
    <w:rsid w:val="00670ACC"/>
    <w:rsid w:val="00675361"/>
    <w:rsid w:val="00675BF8"/>
    <w:rsid w:val="0067760E"/>
    <w:rsid w:val="006819A3"/>
    <w:rsid w:val="006831FC"/>
    <w:rsid w:val="00683F81"/>
    <w:rsid w:val="006868EF"/>
    <w:rsid w:val="00687605"/>
    <w:rsid w:val="00690646"/>
    <w:rsid w:val="00691DA2"/>
    <w:rsid w:val="00696BAC"/>
    <w:rsid w:val="006A1691"/>
    <w:rsid w:val="006A5F7D"/>
    <w:rsid w:val="006A6A7D"/>
    <w:rsid w:val="006A7E50"/>
    <w:rsid w:val="006B102B"/>
    <w:rsid w:val="006B2384"/>
    <w:rsid w:val="006B7DD2"/>
    <w:rsid w:val="006C3D4C"/>
    <w:rsid w:val="006C4CA7"/>
    <w:rsid w:val="006D137D"/>
    <w:rsid w:val="006D6AD9"/>
    <w:rsid w:val="006E18BB"/>
    <w:rsid w:val="006E2882"/>
    <w:rsid w:val="006E2AD6"/>
    <w:rsid w:val="006E2FA2"/>
    <w:rsid w:val="006E3195"/>
    <w:rsid w:val="006E6B09"/>
    <w:rsid w:val="00707B1D"/>
    <w:rsid w:val="0071324F"/>
    <w:rsid w:val="00714041"/>
    <w:rsid w:val="00714771"/>
    <w:rsid w:val="0071496C"/>
    <w:rsid w:val="00716188"/>
    <w:rsid w:val="00733602"/>
    <w:rsid w:val="00736267"/>
    <w:rsid w:val="0075285A"/>
    <w:rsid w:val="007538CC"/>
    <w:rsid w:val="007550FB"/>
    <w:rsid w:val="00756788"/>
    <w:rsid w:val="007600C3"/>
    <w:rsid w:val="007654B3"/>
    <w:rsid w:val="007666D0"/>
    <w:rsid w:val="00767387"/>
    <w:rsid w:val="00774F94"/>
    <w:rsid w:val="007767BD"/>
    <w:rsid w:val="0078022B"/>
    <w:rsid w:val="007825F3"/>
    <w:rsid w:val="00783185"/>
    <w:rsid w:val="00787262"/>
    <w:rsid w:val="007933F4"/>
    <w:rsid w:val="00793967"/>
    <w:rsid w:val="007945C9"/>
    <w:rsid w:val="007966A5"/>
    <w:rsid w:val="00796A48"/>
    <w:rsid w:val="007A07BC"/>
    <w:rsid w:val="007A1A61"/>
    <w:rsid w:val="007A245A"/>
    <w:rsid w:val="007A50D8"/>
    <w:rsid w:val="007B4550"/>
    <w:rsid w:val="007B6D12"/>
    <w:rsid w:val="007C1FED"/>
    <w:rsid w:val="007D08B2"/>
    <w:rsid w:val="007D7535"/>
    <w:rsid w:val="007E254F"/>
    <w:rsid w:val="007E3445"/>
    <w:rsid w:val="007E4096"/>
    <w:rsid w:val="007E4CB8"/>
    <w:rsid w:val="007E54F6"/>
    <w:rsid w:val="007E76DB"/>
    <w:rsid w:val="007F0B1F"/>
    <w:rsid w:val="007F0E1F"/>
    <w:rsid w:val="007F52A9"/>
    <w:rsid w:val="00800301"/>
    <w:rsid w:val="00803530"/>
    <w:rsid w:val="00805378"/>
    <w:rsid w:val="00811FE7"/>
    <w:rsid w:val="00812D22"/>
    <w:rsid w:val="0081498F"/>
    <w:rsid w:val="00815D96"/>
    <w:rsid w:val="00821AEA"/>
    <w:rsid w:val="008260D1"/>
    <w:rsid w:val="0083009F"/>
    <w:rsid w:val="00835928"/>
    <w:rsid w:val="00835DCC"/>
    <w:rsid w:val="00836B37"/>
    <w:rsid w:val="008377A1"/>
    <w:rsid w:val="008425B2"/>
    <w:rsid w:val="008450E7"/>
    <w:rsid w:val="008466B0"/>
    <w:rsid w:val="00850401"/>
    <w:rsid w:val="00850C42"/>
    <w:rsid w:val="00853BDA"/>
    <w:rsid w:val="00855D9B"/>
    <w:rsid w:val="0085710F"/>
    <w:rsid w:val="008636CA"/>
    <w:rsid w:val="00885238"/>
    <w:rsid w:val="00887B59"/>
    <w:rsid w:val="00892D2D"/>
    <w:rsid w:val="0089716F"/>
    <w:rsid w:val="008A067C"/>
    <w:rsid w:val="008A5208"/>
    <w:rsid w:val="008B6507"/>
    <w:rsid w:val="008B6EEB"/>
    <w:rsid w:val="008C072E"/>
    <w:rsid w:val="008C0F94"/>
    <w:rsid w:val="008C4E01"/>
    <w:rsid w:val="008D0DFC"/>
    <w:rsid w:val="008D5298"/>
    <w:rsid w:val="008E3479"/>
    <w:rsid w:val="008F0579"/>
    <w:rsid w:val="008F057C"/>
    <w:rsid w:val="008F1F0B"/>
    <w:rsid w:val="008F36EC"/>
    <w:rsid w:val="008F461F"/>
    <w:rsid w:val="008F726E"/>
    <w:rsid w:val="009043B0"/>
    <w:rsid w:val="00905F28"/>
    <w:rsid w:val="00911151"/>
    <w:rsid w:val="00917DE9"/>
    <w:rsid w:val="009207F1"/>
    <w:rsid w:val="00922C6E"/>
    <w:rsid w:val="009240B8"/>
    <w:rsid w:val="009253F2"/>
    <w:rsid w:val="00925672"/>
    <w:rsid w:val="00930827"/>
    <w:rsid w:val="00930B4B"/>
    <w:rsid w:val="00931EFC"/>
    <w:rsid w:val="0093361D"/>
    <w:rsid w:val="0094252E"/>
    <w:rsid w:val="00942AA2"/>
    <w:rsid w:val="00943F5A"/>
    <w:rsid w:val="00945E43"/>
    <w:rsid w:val="00946548"/>
    <w:rsid w:val="00953ADC"/>
    <w:rsid w:val="0095636C"/>
    <w:rsid w:val="00957221"/>
    <w:rsid w:val="009608CE"/>
    <w:rsid w:val="00960A4E"/>
    <w:rsid w:val="009642AF"/>
    <w:rsid w:val="009718EE"/>
    <w:rsid w:val="0098092A"/>
    <w:rsid w:val="0098394F"/>
    <w:rsid w:val="00984408"/>
    <w:rsid w:val="009922E5"/>
    <w:rsid w:val="0099568F"/>
    <w:rsid w:val="009A227B"/>
    <w:rsid w:val="009A23DB"/>
    <w:rsid w:val="009A2930"/>
    <w:rsid w:val="009B49BF"/>
    <w:rsid w:val="009C1230"/>
    <w:rsid w:val="009C12DD"/>
    <w:rsid w:val="009C1D29"/>
    <w:rsid w:val="009D0F76"/>
    <w:rsid w:val="009D3968"/>
    <w:rsid w:val="009E0436"/>
    <w:rsid w:val="009E20BB"/>
    <w:rsid w:val="009E46D4"/>
    <w:rsid w:val="009E760D"/>
    <w:rsid w:val="009F2795"/>
    <w:rsid w:val="009F2BCE"/>
    <w:rsid w:val="009F2F9E"/>
    <w:rsid w:val="009F4AD6"/>
    <w:rsid w:val="009F7A4E"/>
    <w:rsid w:val="009F7A60"/>
    <w:rsid w:val="00A0078A"/>
    <w:rsid w:val="00A045DD"/>
    <w:rsid w:val="00A05747"/>
    <w:rsid w:val="00A134FD"/>
    <w:rsid w:val="00A13920"/>
    <w:rsid w:val="00A162FE"/>
    <w:rsid w:val="00A171DA"/>
    <w:rsid w:val="00A25235"/>
    <w:rsid w:val="00A275D3"/>
    <w:rsid w:val="00A30C8A"/>
    <w:rsid w:val="00A35E41"/>
    <w:rsid w:val="00A448DA"/>
    <w:rsid w:val="00A46702"/>
    <w:rsid w:val="00A54A99"/>
    <w:rsid w:val="00A551BE"/>
    <w:rsid w:val="00A600A4"/>
    <w:rsid w:val="00A607D9"/>
    <w:rsid w:val="00A63371"/>
    <w:rsid w:val="00A706E0"/>
    <w:rsid w:val="00A712DE"/>
    <w:rsid w:val="00A75C44"/>
    <w:rsid w:val="00A80FFC"/>
    <w:rsid w:val="00A82893"/>
    <w:rsid w:val="00A82B42"/>
    <w:rsid w:val="00A91CDC"/>
    <w:rsid w:val="00A93CDA"/>
    <w:rsid w:val="00A940C0"/>
    <w:rsid w:val="00A94752"/>
    <w:rsid w:val="00AA2CCE"/>
    <w:rsid w:val="00AA5335"/>
    <w:rsid w:val="00AB0F71"/>
    <w:rsid w:val="00AB1C7E"/>
    <w:rsid w:val="00AB6BFF"/>
    <w:rsid w:val="00AC1D04"/>
    <w:rsid w:val="00AC2B72"/>
    <w:rsid w:val="00AC464A"/>
    <w:rsid w:val="00AD25CE"/>
    <w:rsid w:val="00AD7100"/>
    <w:rsid w:val="00AE146B"/>
    <w:rsid w:val="00AE1D8D"/>
    <w:rsid w:val="00AF4E2D"/>
    <w:rsid w:val="00AF56AB"/>
    <w:rsid w:val="00AF5D4C"/>
    <w:rsid w:val="00B0000B"/>
    <w:rsid w:val="00B01519"/>
    <w:rsid w:val="00B05DE4"/>
    <w:rsid w:val="00B0730A"/>
    <w:rsid w:val="00B07747"/>
    <w:rsid w:val="00B10A7F"/>
    <w:rsid w:val="00B1619F"/>
    <w:rsid w:val="00B22672"/>
    <w:rsid w:val="00B23F19"/>
    <w:rsid w:val="00B270B5"/>
    <w:rsid w:val="00B2763E"/>
    <w:rsid w:val="00B3125C"/>
    <w:rsid w:val="00B32E2E"/>
    <w:rsid w:val="00B37955"/>
    <w:rsid w:val="00B41378"/>
    <w:rsid w:val="00B44C19"/>
    <w:rsid w:val="00B463A7"/>
    <w:rsid w:val="00B477C5"/>
    <w:rsid w:val="00B52812"/>
    <w:rsid w:val="00B556D7"/>
    <w:rsid w:val="00B56F07"/>
    <w:rsid w:val="00B60A4B"/>
    <w:rsid w:val="00B617A4"/>
    <w:rsid w:val="00B62796"/>
    <w:rsid w:val="00B63506"/>
    <w:rsid w:val="00B63899"/>
    <w:rsid w:val="00B647BB"/>
    <w:rsid w:val="00B706C2"/>
    <w:rsid w:val="00B70D26"/>
    <w:rsid w:val="00B70E99"/>
    <w:rsid w:val="00B728AE"/>
    <w:rsid w:val="00B73C7E"/>
    <w:rsid w:val="00B75509"/>
    <w:rsid w:val="00B82B5E"/>
    <w:rsid w:val="00B8316F"/>
    <w:rsid w:val="00B911C4"/>
    <w:rsid w:val="00B921BF"/>
    <w:rsid w:val="00B9248C"/>
    <w:rsid w:val="00B93DDD"/>
    <w:rsid w:val="00B9405C"/>
    <w:rsid w:val="00B97EFB"/>
    <w:rsid w:val="00B97EFF"/>
    <w:rsid w:val="00BA222F"/>
    <w:rsid w:val="00BA2867"/>
    <w:rsid w:val="00BA3910"/>
    <w:rsid w:val="00BA6D49"/>
    <w:rsid w:val="00BB1F72"/>
    <w:rsid w:val="00BB2E00"/>
    <w:rsid w:val="00BB352E"/>
    <w:rsid w:val="00BB44F9"/>
    <w:rsid w:val="00BB685F"/>
    <w:rsid w:val="00BC493D"/>
    <w:rsid w:val="00BC4D4B"/>
    <w:rsid w:val="00BD1123"/>
    <w:rsid w:val="00BD42D6"/>
    <w:rsid w:val="00BE0E09"/>
    <w:rsid w:val="00BE0E40"/>
    <w:rsid w:val="00BE25A1"/>
    <w:rsid w:val="00BE63A6"/>
    <w:rsid w:val="00BE7369"/>
    <w:rsid w:val="00BE7FD7"/>
    <w:rsid w:val="00BF073A"/>
    <w:rsid w:val="00BF1A31"/>
    <w:rsid w:val="00BF1BDA"/>
    <w:rsid w:val="00BF3773"/>
    <w:rsid w:val="00C01D35"/>
    <w:rsid w:val="00C02FB7"/>
    <w:rsid w:val="00C148F9"/>
    <w:rsid w:val="00C16A13"/>
    <w:rsid w:val="00C16A43"/>
    <w:rsid w:val="00C171FB"/>
    <w:rsid w:val="00C20338"/>
    <w:rsid w:val="00C215B4"/>
    <w:rsid w:val="00C22FC4"/>
    <w:rsid w:val="00C27D47"/>
    <w:rsid w:val="00C347DA"/>
    <w:rsid w:val="00C349DD"/>
    <w:rsid w:val="00C42462"/>
    <w:rsid w:val="00C42814"/>
    <w:rsid w:val="00C43478"/>
    <w:rsid w:val="00C4614D"/>
    <w:rsid w:val="00C50C34"/>
    <w:rsid w:val="00C50F3D"/>
    <w:rsid w:val="00C53CAE"/>
    <w:rsid w:val="00C5490E"/>
    <w:rsid w:val="00C55AE2"/>
    <w:rsid w:val="00C561F7"/>
    <w:rsid w:val="00C564C2"/>
    <w:rsid w:val="00C568E5"/>
    <w:rsid w:val="00C5735B"/>
    <w:rsid w:val="00C578A3"/>
    <w:rsid w:val="00C6229F"/>
    <w:rsid w:val="00C627F5"/>
    <w:rsid w:val="00C70818"/>
    <w:rsid w:val="00C70CDE"/>
    <w:rsid w:val="00C74608"/>
    <w:rsid w:val="00C74806"/>
    <w:rsid w:val="00C76860"/>
    <w:rsid w:val="00C76ACB"/>
    <w:rsid w:val="00C80A5D"/>
    <w:rsid w:val="00C811DD"/>
    <w:rsid w:val="00C8274E"/>
    <w:rsid w:val="00C82D78"/>
    <w:rsid w:val="00C85211"/>
    <w:rsid w:val="00C915FE"/>
    <w:rsid w:val="00C96789"/>
    <w:rsid w:val="00CA228A"/>
    <w:rsid w:val="00CA41F3"/>
    <w:rsid w:val="00CA4F9B"/>
    <w:rsid w:val="00CA5BC6"/>
    <w:rsid w:val="00CA7422"/>
    <w:rsid w:val="00CB5042"/>
    <w:rsid w:val="00CB6506"/>
    <w:rsid w:val="00CC03B0"/>
    <w:rsid w:val="00CC0C03"/>
    <w:rsid w:val="00CC2292"/>
    <w:rsid w:val="00CC4CFD"/>
    <w:rsid w:val="00CC6EFD"/>
    <w:rsid w:val="00CC77B0"/>
    <w:rsid w:val="00CD5E4C"/>
    <w:rsid w:val="00CE29C1"/>
    <w:rsid w:val="00CE4831"/>
    <w:rsid w:val="00CE4C2F"/>
    <w:rsid w:val="00CE52ED"/>
    <w:rsid w:val="00CE6E15"/>
    <w:rsid w:val="00CF1809"/>
    <w:rsid w:val="00CF2A8D"/>
    <w:rsid w:val="00CF3D3C"/>
    <w:rsid w:val="00CF7865"/>
    <w:rsid w:val="00D102F3"/>
    <w:rsid w:val="00D12FEA"/>
    <w:rsid w:val="00D20407"/>
    <w:rsid w:val="00D2112B"/>
    <w:rsid w:val="00D43920"/>
    <w:rsid w:val="00D47B4C"/>
    <w:rsid w:val="00D51B10"/>
    <w:rsid w:val="00D540C1"/>
    <w:rsid w:val="00D56A12"/>
    <w:rsid w:val="00D60A46"/>
    <w:rsid w:val="00D60E95"/>
    <w:rsid w:val="00D622EF"/>
    <w:rsid w:val="00D64351"/>
    <w:rsid w:val="00D7143E"/>
    <w:rsid w:val="00D718A9"/>
    <w:rsid w:val="00D76DA5"/>
    <w:rsid w:val="00D77FC5"/>
    <w:rsid w:val="00D84478"/>
    <w:rsid w:val="00D86BA1"/>
    <w:rsid w:val="00D86C2C"/>
    <w:rsid w:val="00D87556"/>
    <w:rsid w:val="00D917C3"/>
    <w:rsid w:val="00D94804"/>
    <w:rsid w:val="00D952D6"/>
    <w:rsid w:val="00D976D6"/>
    <w:rsid w:val="00DA268A"/>
    <w:rsid w:val="00DA29C4"/>
    <w:rsid w:val="00DA3CFB"/>
    <w:rsid w:val="00DA5E3A"/>
    <w:rsid w:val="00DA7AB8"/>
    <w:rsid w:val="00DB033D"/>
    <w:rsid w:val="00DB2ED9"/>
    <w:rsid w:val="00DB3599"/>
    <w:rsid w:val="00DB51EF"/>
    <w:rsid w:val="00DB7701"/>
    <w:rsid w:val="00DC2052"/>
    <w:rsid w:val="00DC3C22"/>
    <w:rsid w:val="00DD6C7D"/>
    <w:rsid w:val="00DD721D"/>
    <w:rsid w:val="00DE44D5"/>
    <w:rsid w:val="00DE4509"/>
    <w:rsid w:val="00DF1554"/>
    <w:rsid w:val="00DF1E01"/>
    <w:rsid w:val="00DF4036"/>
    <w:rsid w:val="00E004C5"/>
    <w:rsid w:val="00E00F9A"/>
    <w:rsid w:val="00E1488D"/>
    <w:rsid w:val="00E15C73"/>
    <w:rsid w:val="00E15F6C"/>
    <w:rsid w:val="00E15F96"/>
    <w:rsid w:val="00E20DB7"/>
    <w:rsid w:val="00E21E52"/>
    <w:rsid w:val="00E24A08"/>
    <w:rsid w:val="00E2571D"/>
    <w:rsid w:val="00E32F35"/>
    <w:rsid w:val="00E36631"/>
    <w:rsid w:val="00E36CAF"/>
    <w:rsid w:val="00E410C4"/>
    <w:rsid w:val="00E42BB4"/>
    <w:rsid w:val="00E4420E"/>
    <w:rsid w:val="00E50C97"/>
    <w:rsid w:val="00E51CDB"/>
    <w:rsid w:val="00E52D83"/>
    <w:rsid w:val="00E568F8"/>
    <w:rsid w:val="00E61A54"/>
    <w:rsid w:val="00E6688C"/>
    <w:rsid w:val="00E72E37"/>
    <w:rsid w:val="00E8483F"/>
    <w:rsid w:val="00E86C98"/>
    <w:rsid w:val="00E9228F"/>
    <w:rsid w:val="00E92AF3"/>
    <w:rsid w:val="00E9301C"/>
    <w:rsid w:val="00E96116"/>
    <w:rsid w:val="00E96F91"/>
    <w:rsid w:val="00EA1560"/>
    <w:rsid w:val="00EB1B22"/>
    <w:rsid w:val="00EB5AF7"/>
    <w:rsid w:val="00EB6370"/>
    <w:rsid w:val="00EB7F81"/>
    <w:rsid w:val="00EC1FF1"/>
    <w:rsid w:val="00EC26F4"/>
    <w:rsid w:val="00EC3306"/>
    <w:rsid w:val="00EC4B2A"/>
    <w:rsid w:val="00EC5146"/>
    <w:rsid w:val="00EC6B29"/>
    <w:rsid w:val="00ED25DE"/>
    <w:rsid w:val="00ED51A9"/>
    <w:rsid w:val="00ED5FF7"/>
    <w:rsid w:val="00EE0338"/>
    <w:rsid w:val="00EE1222"/>
    <w:rsid w:val="00EE1259"/>
    <w:rsid w:val="00EE2EE1"/>
    <w:rsid w:val="00EE5DC2"/>
    <w:rsid w:val="00EE685D"/>
    <w:rsid w:val="00EF0EE1"/>
    <w:rsid w:val="00EF7DDD"/>
    <w:rsid w:val="00F01776"/>
    <w:rsid w:val="00F03063"/>
    <w:rsid w:val="00F05E00"/>
    <w:rsid w:val="00F066E6"/>
    <w:rsid w:val="00F075F4"/>
    <w:rsid w:val="00F07AE8"/>
    <w:rsid w:val="00F10160"/>
    <w:rsid w:val="00F105AC"/>
    <w:rsid w:val="00F116E5"/>
    <w:rsid w:val="00F125E0"/>
    <w:rsid w:val="00F17034"/>
    <w:rsid w:val="00F24250"/>
    <w:rsid w:val="00F244BF"/>
    <w:rsid w:val="00F2554F"/>
    <w:rsid w:val="00F25B9E"/>
    <w:rsid w:val="00F2677C"/>
    <w:rsid w:val="00F30759"/>
    <w:rsid w:val="00F317D6"/>
    <w:rsid w:val="00F31F4C"/>
    <w:rsid w:val="00F320FD"/>
    <w:rsid w:val="00F32B8E"/>
    <w:rsid w:val="00F3505A"/>
    <w:rsid w:val="00F36614"/>
    <w:rsid w:val="00F470AF"/>
    <w:rsid w:val="00F50DE7"/>
    <w:rsid w:val="00F526FE"/>
    <w:rsid w:val="00F533C9"/>
    <w:rsid w:val="00F54BB6"/>
    <w:rsid w:val="00F62F0D"/>
    <w:rsid w:val="00F64B3D"/>
    <w:rsid w:val="00F659BF"/>
    <w:rsid w:val="00F667C0"/>
    <w:rsid w:val="00F668B2"/>
    <w:rsid w:val="00F71864"/>
    <w:rsid w:val="00F773E8"/>
    <w:rsid w:val="00F77B6C"/>
    <w:rsid w:val="00F82AB6"/>
    <w:rsid w:val="00F82D50"/>
    <w:rsid w:val="00F8381F"/>
    <w:rsid w:val="00F83993"/>
    <w:rsid w:val="00F83EC1"/>
    <w:rsid w:val="00F84688"/>
    <w:rsid w:val="00F86AAE"/>
    <w:rsid w:val="00F91765"/>
    <w:rsid w:val="00F92EA5"/>
    <w:rsid w:val="00F93D58"/>
    <w:rsid w:val="00F96C67"/>
    <w:rsid w:val="00FA09AD"/>
    <w:rsid w:val="00FB0516"/>
    <w:rsid w:val="00FB68F5"/>
    <w:rsid w:val="00FB7C15"/>
    <w:rsid w:val="00FC2237"/>
    <w:rsid w:val="00FC3407"/>
    <w:rsid w:val="00FC411B"/>
    <w:rsid w:val="00FC7073"/>
    <w:rsid w:val="00FC7EB1"/>
    <w:rsid w:val="00FE24F9"/>
    <w:rsid w:val="00FF27B0"/>
    <w:rsid w:val="00FF30DF"/>
    <w:rsid w:val="00FF3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274D69"/>
  <w15:chartTrackingRefBased/>
  <w15:docId w15:val="{8457AD02-2E52-4697-81ED-B9B23767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uiPriority w:val="9"/>
    <w:qFormat/>
    <w:rsid w:val="007E76DB"/>
    <w:pPr>
      <w:spacing w:before="240"/>
      <w:outlineLvl w:val="4"/>
    </w:pPr>
    <w:rPr>
      <w:b/>
    </w:rPr>
  </w:style>
  <w:style w:type="paragraph" w:styleId="Heading6">
    <w:name w:val="heading 6"/>
    <w:basedOn w:val="Heading5"/>
    <w:next w:val="Normal"/>
    <w:uiPriority w:val="9"/>
    <w:qFormat/>
    <w:rsid w:val="007E76DB"/>
    <w:pPr>
      <w:outlineLvl w:val="5"/>
    </w:pPr>
  </w:style>
  <w:style w:type="paragraph" w:styleId="Heading7">
    <w:name w:val="heading 7"/>
    <w:basedOn w:val="Heading6"/>
    <w:next w:val="Normal"/>
    <w:uiPriority w:val="9"/>
    <w:qFormat/>
    <w:rsid w:val="007E76DB"/>
    <w:pPr>
      <w:outlineLvl w:val="6"/>
    </w:pPr>
  </w:style>
  <w:style w:type="paragraph" w:styleId="Heading8">
    <w:name w:val="heading 8"/>
    <w:basedOn w:val="Heading7"/>
    <w:next w:val="Normal"/>
    <w:uiPriority w:val="9"/>
    <w:qFormat/>
    <w:rsid w:val="007E76DB"/>
    <w:pPr>
      <w:outlineLvl w:val="7"/>
    </w:pPr>
  </w:style>
  <w:style w:type="paragraph" w:styleId="Heading9">
    <w:name w:val="heading 9"/>
    <w:basedOn w:val="Heading8"/>
    <w:next w:val="Normal"/>
    <w:uiPriority w:val="9"/>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CC4CFD"/>
    <w:pPr>
      <w:numPr>
        <w:numId w:val="2"/>
      </w:numPr>
      <w:tabs>
        <w:tab w:val="left" w:pos="369"/>
      </w:tabs>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3A1C4F"/>
    <w:pPr>
      <w:suppressAutoHyphens/>
      <w:spacing w:before="120" w:line="360" w:lineRule="auto"/>
      <w:ind w:left="720"/>
      <w:contextualSpacing/>
    </w:pPr>
    <w:rPr>
      <w:rFonts w:ascii="Verdana" w:hAnsi="Verdana"/>
      <w:sz w:val="24"/>
      <w:lang w:eastAsia="en-AU"/>
    </w:rPr>
  </w:style>
  <w:style w:type="character" w:styleId="Emphasis">
    <w:name w:val="Emphasis"/>
    <w:basedOn w:val="DefaultParagraphFont"/>
    <w:uiPriority w:val="20"/>
    <w:qFormat/>
    <w:rsid w:val="003A1C4F"/>
    <w:rPr>
      <w:i/>
      <w:iCs/>
    </w:rPr>
  </w:style>
  <w:style w:type="character" w:customStyle="1" w:styleId="NumberedChar">
    <w:name w:val="Numbered Char"/>
    <w:link w:val="Numbered"/>
    <w:locked/>
    <w:rsid w:val="00E410C4"/>
  </w:style>
  <w:style w:type="paragraph" w:customStyle="1" w:styleId="Numbered">
    <w:name w:val="Numbered"/>
    <w:basedOn w:val="NormalIndent"/>
    <w:link w:val="NumberedChar"/>
    <w:qFormat/>
    <w:rsid w:val="00E410C4"/>
    <w:pPr>
      <w:tabs>
        <w:tab w:val="left" w:pos="936"/>
      </w:tabs>
      <w:suppressAutoHyphens/>
      <w:spacing w:before="120" w:line="360" w:lineRule="auto"/>
      <w:ind w:left="936" w:hanging="936"/>
    </w:pPr>
    <w:rPr>
      <w:rFonts w:ascii="Times New Roman" w:hAnsi="Times New Roman"/>
      <w:sz w:val="20"/>
      <w:szCs w:val="20"/>
      <w:lang w:eastAsia="en-AU"/>
    </w:rPr>
  </w:style>
  <w:style w:type="paragraph" w:styleId="NormalIndent">
    <w:name w:val="Normal Indent"/>
    <w:basedOn w:val="Normal"/>
    <w:rsid w:val="00E410C4"/>
    <w:pPr>
      <w:ind w:left="720"/>
    </w:pPr>
  </w:style>
  <w:style w:type="character" w:customStyle="1" w:styleId="FootnoteTextChar">
    <w:name w:val="Footnote Text Char"/>
    <w:aliases w:val="Footnote Text Char1 Char"/>
    <w:basedOn w:val="DefaultParagraphFont"/>
    <w:link w:val="FootnoteText"/>
    <w:uiPriority w:val="99"/>
    <w:rsid w:val="00257158"/>
    <w:rPr>
      <w:rFonts w:ascii="Arial" w:hAnsi="Arial"/>
      <w:sz w:val="18"/>
      <w:lang w:eastAsia="en-US"/>
    </w:rPr>
  </w:style>
  <w:style w:type="paragraph" w:customStyle="1" w:styleId="VLALetterText">
    <w:name w:val="VLA Letter Text"/>
    <w:uiPriority w:val="1"/>
    <w:qFormat/>
    <w:rsid w:val="00257158"/>
    <w:pPr>
      <w:spacing w:after="120" w:line="300" w:lineRule="atLeast"/>
    </w:pPr>
    <w:rPr>
      <w:rFonts w:ascii="Arial" w:hAnsi="Arial"/>
      <w:sz w:val="22"/>
      <w:szCs w:val="24"/>
      <w:lang w:eastAsia="en-US"/>
    </w:rPr>
  </w:style>
  <w:style w:type="paragraph" w:customStyle="1" w:styleId="Heading1Numbered">
    <w:name w:val="Heading 1 Numbered"/>
    <w:next w:val="Numbered"/>
    <w:qFormat/>
    <w:rsid w:val="00F32B8E"/>
    <w:pPr>
      <w:pageBreakBefore/>
      <w:tabs>
        <w:tab w:val="left" w:pos="851"/>
      </w:tabs>
      <w:suppressAutoHyphens/>
      <w:spacing w:after="120"/>
      <w:ind w:left="936" w:hanging="936"/>
    </w:pPr>
    <w:rPr>
      <w:rFonts w:ascii="Verdana" w:hAnsi="Verdana"/>
      <w:b/>
      <w:bCs/>
      <w:kern w:val="32"/>
      <w:sz w:val="48"/>
      <w:szCs w:val="32"/>
    </w:rPr>
  </w:style>
  <w:style w:type="paragraph" w:customStyle="1" w:styleId="Bullets">
    <w:name w:val="Bullets"/>
    <w:basedOn w:val="Normal"/>
    <w:qFormat/>
    <w:rsid w:val="00F32B8E"/>
    <w:pPr>
      <w:numPr>
        <w:numId w:val="6"/>
      </w:numPr>
      <w:suppressAutoHyphens/>
      <w:spacing w:before="60" w:after="60" w:line="360" w:lineRule="auto"/>
      <w:ind w:left="1293" w:hanging="357"/>
    </w:pPr>
    <w:rPr>
      <w:rFonts w:ascii="Verdana" w:hAnsi="Verdana"/>
      <w:sz w:val="24"/>
      <w:lang w:eastAsia="en-AU"/>
    </w:rPr>
  </w:style>
  <w:style w:type="paragraph" w:customStyle="1" w:styleId="BulletIndent">
    <w:name w:val="Bullet Indent"/>
    <w:basedOn w:val="ListParagraph"/>
    <w:qFormat/>
    <w:rsid w:val="00793967"/>
    <w:pPr>
      <w:numPr>
        <w:numId w:val="12"/>
      </w:numPr>
      <w:tabs>
        <w:tab w:val="num" w:pos="360"/>
      </w:tabs>
      <w:ind w:left="1491" w:hanging="357"/>
    </w:pPr>
    <w:rPr>
      <w:sz w:val="20"/>
      <w:szCs w:val="20"/>
    </w:rPr>
  </w:style>
  <w:style w:type="character" w:styleId="FollowedHyperlink">
    <w:name w:val="FollowedHyperlink"/>
    <w:basedOn w:val="DefaultParagraphFont"/>
    <w:rsid w:val="006E6B09"/>
    <w:rPr>
      <w:color w:val="954F72" w:themeColor="followedHyperlink"/>
      <w:u w:val="single"/>
    </w:rPr>
  </w:style>
  <w:style w:type="paragraph" w:styleId="NormalWeb">
    <w:name w:val="Normal (Web)"/>
    <w:basedOn w:val="Normal"/>
    <w:uiPriority w:val="99"/>
    <w:unhideWhenUsed/>
    <w:rsid w:val="00B617A4"/>
    <w:pPr>
      <w:spacing w:line="360" w:lineRule="atLeast"/>
      <w:textAlignment w:val="baseline"/>
    </w:pPr>
    <w:rPr>
      <w:rFonts w:ascii="Times New Roman" w:hAnsi="Times New Roman"/>
      <w:sz w:val="24"/>
      <w:lang w:eastAsia="en-AU"/>
    </w:rPr>
  </w:style>
  <w:style w:type="character" w:styleId="CommentReference">
    <w:name w:val="annotation reference"/>
    <w:basedOn w:val="DefaultParagraphFont"/>
    <w:rsid w:val="00175F88"/>
    <w:rPr>
      <w:sz w:val="16"/>
      <w:szCs w:val="16"/>
    </w:rPr>
  </w:style>
  <w:style w:type="paragraph" w:styleId="CommentText">
    <w:name w:val="annotation text"/>
    <w:basedOn w:val="Normal"/>
    <w:link w:val="CommentTextChar"/>
    <w:rsid w:val="00175F88"/>
    <w:pPr>
      <w:spacing w:line="240" w:lineRule="auto"/>
    </w:pPr>
    <w:rPr>
      <w:sz w:val="20"/>
      <w:szCs w:val="20"/>
    </w:rPr>
  </w:style>
  <w:style w:type="character" w:customStyle="1" w:styleId="CommentTextChar">
    <w:name w:val="Comment Text Char"/>
    <w:basedOn w:val="DefaultParagraphFont"/>
    <w:link w:val="CommentText"/>
    <w:rsid w:val="00175F88"/>
    <w:rPr>
      <w:rFonts w:ascii="Arial" w:hAnsi="Arial"/>
      <w:lang w:eastAsia="en-US"/>
    </w:rPr>
  </w:style>
  <w:style w:type="paragraph" w:styleId="BalloonText">
    <w:name w:val="Balloon Text"/>
    <w:basedOn w:val="Normal"/>
    <w:link w:val="BalloonTextChar"/>
    <w:semiHidden/>
    <w:unhideWhenUsed/>
    <w:rsid w:val="00175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5F88"/>
    <w:rPr>
      <w:rFonts w:ascii="Segoe UI" w:hAnsi="Segoe UI" w:cs="Segoe UI"/>
      <w:sz w:val="18"/>
      <w:szCs w:val="18"/>
      <w:lang w:eastAsia="en-US"/>
    </w:rPr>
  </w:style>
  <w:style w:type="paragraph" w:customStyle="1" w:styleId="VLAAddressee">
    <w:name w:val="VLA Addressee"/>
    <w:next w:val="VLALetterText"/>
    <w:rsid w:val="00714041"/>
    <w:pPr>
      <w:spacing w:line="300" w:lineRule="atLeast"/>
    </w:pPr>
    <w:rPr>
      <w:rFonts w:ascii="Arial" w:hAnsi="Arial"/>
      <w:sz w:val="21"/>
      <w:szCs w:val="24"/>
      <w:lang w:eastAsia="en-US"/>
    </w:rPr>
  </w:style>
  <w:style w:type="paragraph" w:styleId="CommentSubject">
    <w:name w:val="annotation subject"/>
    <w:basedOn w:val="CommentText"/>
    <w:next w:val="CommentText"/>
    <w:link w:val="CommentSubjectChar"/>
    <w:rsid w:val="006A1691"/>
    <w:rPr>
      <w:b/>
      <w:bCs/>
    </w:rPr>
  </w:style>
  <w:style w:type="character" w:customStyle="1" w:styleId="CommentSubjectChar">
    <w:name w:val="Comment Subject Char"/>
    <w:basedOn w:val="CommentTextChar"/>
    <w:link w:val="CommentSubject"/>
    <w:rsid w:val="006A169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544">
      <w:bodyDiv w:val="1"/>
      <w:marLeft w:val="0"/>
      <w:marRight w:val="0"/>
      <w:marTop w:val="0"/>
      <w:marBottom w:val="0"/>
      <w:divBdr>
        <w:top w:val="none" w:sz="0" w:space="0" w:color="auto"/>
        <w:left w:val="none" w:sz="0" w:space="0" w:color="auto"/>
        <w:bottom w:val="none" w:sz="0" w:space="0" w:color="auto"/>
        <w:right w:val="none" w:sz="0" w:space="0" w:color="auto"/>
      </w:divBdr>
      <w:divsChild>
        <w:div w:id="466432720">
          <w:marLeft w:val="547"/>
          <w:marRight w:val="0"/>
          <w:marTop w:val="0"/>
          <w:marBottom w:val="280"/>
          <w:divBdr>
            <w:top w:val="none" w:sz="0" w:space="0" w:color="auto"/>
            <w:left w:val="none" w:sz="0" w:space="0" w:color="auto"/>
            <w:bottom w:val="none" w:sz="0" w:space="0" w:color="auto"/>
            <w:right w:val="none" w:sz="0" w:space="0" w:color="auto"/>
          </w:divBdr>
        </w:div>
        <w:div w:id="1422919941">
          <w:marLeft w:val="547"/>
          <w:marRight w:val="0"/>
          <w:marTop w:val="0"/>
          <w:marBottom w:val="280"/>
          <w:divBdr>
            <w:top w:val="none" w:sz="0" w:space="0" w:color="auto"/>
            <w:left w:val="none" w:sz="0" w:space="0" w:color="auto"/>
            <w:bottom w:val="none" w:sz="0" w:space="0" w:color="auto"/>
            <w:right w:val="none" w:sz="0" w:space="0" w:color="auto"/>
          </w:divBdr>
        </w:div>
        <w:div w:id="1673797258">
          <w:marLeft w:val="547"/>
          <w:marRight w:val="0"/>
          <w:marTop w:val="0"/>
          <w:marBottom w:val="280"/>
          <w:divBdr>
            <w:top w:val="none" w:sz="0" w:space="0" w:color="auto"/>
            <w:left w:val="none" w:sz="0" w:space="0" w:color="auto"/>
            <w:bottom w:val="none" w:sz="0" w:space="0" w:color="auto"/>
            <w:right w:val="none" w:sz="0" w:space="0" w:color="auto"/>
          </w:divBdr>
        </w:div>
      </w:divsChild>
    </w:div>
    <w:div w:id="201409545">
      <w:bodyDiv w:val="1"/>
      <w:marLeft w:val="0"/>
      <w:marRight w:val="0"/>
      <w:marTop w:val="0"/>
      <w:marBottom w:val="0"/>
      <w:divBdr>
        <w:top w:val="none" w:sz="0" w:space="0" w:color="auto"/>
        <w:left w:val="none" w:sz="0" w:space="0" w:color="auto"/>
        <w:bottom w:val="none" w:sz="0" w:space="0" w:color="auto"/>
        <w:right w:val="none" w:sz="0" w:space="0" w:color="auto"/>
      </w:divBdr>
    </w:div>
    <w:div w:id="451293871">
      <w:bodyDiv w:val="1"/>
      <w:marLeft w:val="0"/>
      <w:marRight w:val="0"/>
      <w:marTop w:val="0"/>
      <w:marBottom w:val="0"/>
      <w:divBdr>
        <w:top w:val="none" w:sz="0" w:space="0" w:color="auto"/>
        <w:left w:val="none" w:sz="0" w:space="0" w:color="auto"/>
        <w:bottom w:val="none" w:sz="0" w:space="0" w:color="auto"/>
        <w:right w:val="none" w:sz="0" w:space="0" w:color="auto"/>
      </w:divBdr>
    </w:div>
    <w:div w:id="473261232">
      <w:bodyDiv w:val="1"/>
      <w:marLeft w:val="0"/>
      <w:marRight w:val="0"/>
      <w:marTop w:val="0"/>
      <w:marBottom w:val="0"/>
      <w:divBdr>
        <w:top w:val="none" w:sz="0" w:space="0" w:color="auto"/>
        <w:left w:val="none" w:sz="0" w:space="0" w:color="auto"/>
        <w:bottom w:val="none" w:sz="0" w:space="0" w:color="auto"/>
        <w:right w:val="none" w:sz="0" w:space="0" w:color="auto"/>
      </w:divBdr>
    </w:div>
    <w:div w:id="590504848">
      <w:bodyDiv w:val="1"/>
      <w:marLeft w:val="0"/>
      <w:marRight w:val="0"/>
      <w:marTop w:val="0"/>
      <w:marBottom w:val="0"/>
      <w:divBdr>
        <w:top w:val="none" w:sz="0" w:space="0" w:color="auto"/>
        <w:left w:val="none" w:sz="0" w:space="0" w:color="auto"/>
        <w:bottom w:val="none" w:sz="0" w:space="0" w:color="auto"/>
        <w:right w:val="none" w:sz="0" w:space="0" w:color="auto"/>
      </w:divBdr>
    </w:div>
    <w:div w:id="778524468">
      <w:bodyDiv w:val="1"/>
      <w:marLeft w:val="0"/>
      <w:marRight w:val="0"/>
      <w:marTop w:val="0"/>
      <w:marBottom w:val="0"/>
      <w:divBdr>
        <w:top w:val="none" w:sz="0" w:space="0" w:color="auto"/>
        <w:left w:val="none" w:sz="0" w:space="0" w:color="auto"/>
        <w:bottom w:val="none" w:sz="0" w:space="0" w:color="auto"/>
        <w:right w:val="none" w:sz="0" w:space="0" w:color="auto"/>
      </w:divBdr>
    </w:div>
    <w:div w:id="899902525">
      <w:bodyDiv w:val="1"/>
      <w:marLeft w:val="0"/>
      <w:marRight w:val="0"/>
      <w:marTop w:val="0"/>
      <w:marBottom w:val="0"/>
      <w:divBdr>
        <w:top w:val="none" w:sz="0" w:space="0" w:color="auto"/>
        <w:left w:val="none" w:sz="0" w:space="0" w:color="auto"/>
        <w:bottom w:val="none" w:sz="0" w:space="0" w:color="auto"/>
        <w:right w:val="none" w:sz="0" w:space="0" w:color="auto"/>
      </w:divBdr>
    </w:div>
    <w:div w:id="913247137">
      <w:bodyDiv w:val="1"/>
      <w:marLeft w:val="0"/>
      <w:marRight w:val="0"/>
      <w:marTop w:val="0"/>
      <w:marBottom w:val="0"/>
      <w:divBdr>
        <w:top w:val="none" w:sz="0" w:space="0" w:color="auto"/>
        <w:left w:val="none" w:sz="0" w:space="0" w:color="auto"/>
        <w:bottom w:val="none" w:sz="0" w:space="0" w:color="auto"/>
        <w:right w:val="none" w:sz="0" w:space="0" w:color="auto"/>
      </w:divBdr>
    </w:div>
    <w:div w:id="941380347">
      <w:bodyDiv w:val="1"/>
      <w:marLeft w:val="0"/>
      <w:marRight w:val="0"/>
      <w:marTop w:val="0"/>
      <w:marBottom w:val="0"/>
      <w:divBdr>
        <w:top w:val="none" w:sz="0" w:space="0" w:color="auto"/>
        <w:left w:val="none" w:sz="0" w:space="0" w:color="auto"/>
        <w:bottom w:val="none" w:sz="0" w:space="0" w:color="auto"/>
        <w:right w:val="none" w:sz="0" w:space="0" w:color="auto"/>
      </w:divBdr>
    </w:div>
    <w:div w:id="989211530">
      <w:bodyDiv w:val="1"/>
      <w:marLeft w:val="0"/>
      <w:marRight w:val="0"/>
      <w:marTop w:val="0"/>
      <w:marBottom w:val="0"/>
      <w:divBdr>
        <w:top w:val="none" w:sz="0" w:space="0" w:color="auto"/>
        <w:left w:val="none" w:sz="0" w:space="0" w:color="auto"/>
        <w:bottom w:val="none" w:sz="0" w:space="0" w:color="auto"/>
        <w:right w:val="none" w:sz="0" w:space="0" w:color="auto"/>
      </w:divBdr>
    </w:div>
    <w:div w:id="992415827">
      <w:bodyDiv w:val="1"/>
      <w:marLeft w:val="0"/>
      <w:marRight w:val="0"/>
      <w:marTop w:val="0"/>
      <w:marBottom w:val="0"/>
      <w:divBdr>
        <w:top w:val="none" w:sz="0" w:space="0" w:color="auto"/>
        <w:left w:val="none" w:sz="0" w:space="0" w:color="auto"/>
        <w:bottom w:val="none" w:sz="0" w:space="0" w:color="auto"/>
        <w:right w:val="none" w:sz="0" w:space="0" w:color="auto"/>
      </w:divBdr>
    </w:div>
    <w:div w:id="1044714900">
      <w:bodyDiv w:val="1"/>
      <w:marLeft w:val="0"/>
      <w:marRight w:val="0"/>
      <w:marTop w:val="0"/>
      <w:marBottom w:val="0"/>
      <w:divBdr>
        <w:top w:val="none" w:sz="0" w:space="0" w:color="auto"/>
        <w:left w:val="none" w:sz="0" w:space="0" w:color="auto"/>
        <w:bottom w:val="none" w:sz="0" w:space="0" w:color="auto"/>
        <w:right w:val="none" w:sz="0" w:space="0" w:color="auto"/>
      </w:divBdr>
      <w:divsChild>
        <w:div w:id="97070578">
          <w:marLeft w:val="0"/>
          <w:marRight w:val="0"/>
          <w:marTop w:val="0"/>
          <w:marBottom w:val="0"/>
          <w:divBdr>
            <w:top w:val="none" w:sz="0" w:space="0" w:color="auto"/>
            <w:left w:val="none" w:sz="0" w:space="0" w:color="auto"/>
            <w:bottom w:val="none" w:sz="0" w:space="0" w:color="auto"/>
            <w:right w:val="none" w:sz="0" w:space="0" w:color="auto"/>
          </w:divBdr>
          <w:divsChild>
            <w:div w:id="624433694">
              <w:marLeft w:val="0"/>
              <w:marRight w:val="0"/>
              <w:marTop w:val="0"/>
              <w:marBottom w:val="0"/>
              <w:divBdr>
                <w:top w:val="none" w:sz="0" w:space="0" w:color="auto"/>
                <w:left w:val="none" w:sz="0" w:space="0" w:color="auto"/>
                <w:bottom w:val="none" w:sz="0" w:space="0" w:color="auto"/>
                <w:right w:val="none" w:sz="0" w:space="0" w:color="auto"/>
              </w:divBdr>
              <w:divsChild>
                <w:div w:id="63185179">
                  <w:marLeft w:val="0"/>
                  <w:marRight w:val="0"/>
                  <w:marTop w:val="0"/>
                  <w:marBottom w:val="0"/>
                  <w:divBdr>
                    <w:top w:val="none" w:sz="0" w:space="0" w:color="auto"/>
                    <w:left w:val="none" w:sz="0" w:space="0" w:color="auto"/>
                    <w:bottom w:val="none" w:sz="0" w:space="0" w:color="auto"/>
                    <w:right w:val="none" w:sz="0" w:space="0" w:color="auto"/>
                  </w:divBdr>
                  <w:divsChild>
                    <w:div w:id="1161696541">
                      <w:marLeft w:val="150"/>
                      <w:marRight w:val="150"/>
                      <w:marTop w:val="0"/>
                      <w:marBottom w:val="0"/>
                      <w:divBdr>
                        <w:top w:val="none" w:sz="0" w:space="0" w:color="auto"/>
                        <w:left w:val="none" w:sz="0" w:space="0" w:color="auto"/>
                        <w:bottom w:val="none" w:sz="0" w:space="0" w:color="auto"/>
                        <w:right w:val="none" w:sz="0" w:space="0" w:color="auto"/>
                      </w:divBdr>
                      <w:divsChild>
                        <w:div w:id="1780029330">
                          <w:marLeft w:val="0"/>
                          <w:marRight w:val="0"/>
                          <w:marTop w:val="0"/>
                          <w:marBottom w:val="0"/>
                          <w:divBdr>
                            <w:top w:val="none" w:sz="0" w:space="0" w:color="auto"/>
                            <w:left w:val="none" w:sz="0" w:space="0" w:color="auto"/>
                            <w:bottom w:val="none" w:sz="0" w:space="0" w:color="auto"/>
                            <w:right w:val="none" w:sz="0" w:space="0" w:color="auto"/>
                          </w:divBdr>
                          <w:divsChild>
                            <w:div w:id="2013606301">
                              <w:marLeft w:val="0"/>
                              <w:marRight w:val="0"/>
                              <w:marTop w:val="0"/>
                              <w:marBottom w:val="0"/>
                              <w:divBdr>
                                <w:top w:val="none" w:sz="0" w:space="0" w:color="auto"/>
                                <w:left w:val="none" w:sz="0" w:space="0" w:color="auto"/>
                                <w:bottom w:val="none" w:sz="0" w:space="0" w:color="auto"/>
                                <w:right w:val="none" w:sz="0" w:space="0" w:color="auto"/>
                              </w:divBdr>
                              <w:divsChild>
                                <w:div w:id="1937445592">
                                  <w:marLeft w:val="0"/>
                                  <w:marRight w:val="0"/>
                                  <w:marTop w:val="0"/>
                                  <w:marBottom w:val="0"/>
                                  <w:divBdr>
                                    <w:top w:val="none" w:sz="0" w:space="0" w:color="auto"/>
                                    <w:left w:val="none" w:sz="0" w:space="0" w:color="auto"/>
                                    <w:bottom w:val="none" w:sz="0" w:space="0" w:color="auto"/>
                                    <w:right w:val="none" w:sz="0" w:space="0" w:color="auto"/>
                                  </w:divBdr>
                                  <w:divsChild>
                                    <w:div w:id="1165434361">
                                      <w:marLeft w:val="0"/>
                                      <w:marRight w:val="0"/>
                                      <w:marTop w:val="0"/>
                                      <w:marBottom w:val="0"/>
                                      <w:divBdr>
                                        <w:top w:val="none" w:sz="0" w:space="0" w:color="auto"/>
                                        <w:left w:val="none" w:sz="0" w:space="0" w:color="auto"/>
                                        <w:bottom w:val="none" w:sz="0" w:space="0" w:color="auto"/>
                                        <w:right w:val="none" w:sz="0" w:space="0" w:color="auto"/>
                                      </w:divBdr>
                                      <w:divsChild>
                                        <w:div w:id="15816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137297">
      <w:bodyDiv w:val="1"/>
      <w:marLeft w:val="0"/>
      <w:marRight w:val="0"/>
      <w:marTop w:val="0"/>
      <w:marBottom w:val="0"/>
      <w:divBdr>
        <w:top w:val="none" w:sz="0" w:space="0" w:color="auto"/>
        <w:left w:val="none" w:sz="0" w:space="0" w:color="auto"/>
        <w:bottom w:val="none" w:sz="0" w:space="0" w:color="auto"/>
        <w:right w:val="none" w:sz="0" w:space="0" w:color="auto"/>
      </w:divBdr>
      <w:divsChild>
        <w:div w:id="1722631088">
          <w:marLeft w:val="547"/>
          <w:marRight w:val="0"/>
          <w:marTop w:val="0"/>
          <w:marBottom w:val="280"/>
          <w:divBdr>
            <w:top w:val="none" w:sz="0" w:space="0" w:color="auto"/>
            <w:left w:val="none" w:sz="0" w:space="0" w:color="auto"/>
            <w:bottom w:val="none" w:sz="0" w:space="0" w:color="auto"/>
            <w:right w:val="none" w:sz="0" w:space="0" w:color="auto"/>
          </w:divBdr>
        </w:div>
      </w:divsChild>
    </w:div>
    <w:div w:id="1430928426">
      <w:bodyDiv w:val="1"/>
      <w:marLeft w:val="0"/>
      <w:marRight w:val="0"/>
      <w:marTop w:val="0"/>
      <w:marBottom w:val="0"/>
      <w:divBdr>
        <w:top w:val="none" w:sz="0" w:space="0" w:color="auto"/>
        <w:left w:val="none" w:sz="0" w:space="0" w:color="auto"/>
        <w:bottom w:val="none" w:sz="0" w:space="0" w:color="auto"/>
        <w:right w:val="none" w:sz="0" w:space="0" w:color="auto"/>
      </w:divBdr>
    </w:div>
    <w:div w:id="1439833718">
      <w:bodyDiv w:val="1"/>
      <w:marLeft w:val="0"/>
      <w:marRight w:val="0"/>
      <w:marTop w:val="0"/>
      <w:marBottom w:val="0"/>
      <w:divBdr>
        <w:top w:val="none" w:sz="0" w:space="0" w:color="auto"/>
        <w:left w:val="none" w:sz="0" w:space="0" w:color="auto"/>
        <w:bottom w:val="none" w:sz="0" w:space="0" w:color="auto"/>
        <w:right w:val="none" w:sz="0" w:space="0" w:color="auto"/>
      </w:divBdr>
    </w:div>
    <w:div w:id="1643580420">
      <w:bodyDiv w:val="1"/>
      <w:marLeft w:val="0"/>
      <w:marRight w:val="0"/>
      <w:marTop w:val="0"/>
      <w:marBottom w:val="0"/>
      <w:divBdr>
        <w:top w:val="none" w:sz="0" w:space="0" w:color="auto"/>
        <w:left w:val="none" w:sz="0" w:space="0" w:color="auto"/>
        <w:bottom w:val="none" w:sz="0" w:space="0" w:color="auto"/>
        <w:right w:val="none" w:sz="0" w:space="0" w:color="auto"/>
      </w:divBdr>
    </w:div>
    <w:div w:id="1648901161">
      <w:bodyDiv w:val="1"/>
      <w:marLeft w:val="0"/>
      <w:marRight w:val="0"/>
      <w:marTop w:val="0"/>
      <w:marBottom w:val="0"/>
      <w:divBdr>
        <w:top w:val="none" w:sz="0" w:space="0" w:color="auto"/>
        <w:left w:val="none" w:sz="0" w:space="0" w:color="auto"/>
        <w:bottom w:val="none" w:sz="0" w:space="0" w:color="auto"/>
        <w:right w:val="none" w:sz="0" w:space="0" w:color="auto"/>
      </w:divBdr>
    </w:div>
    <w:div w:id="1825121933">
      <w:bodyDiv w:val="1"/>
      <w:marLeft w:val="0"/>
      <w:marRight w:val="0"/>
      <w:marTop w:val="0"/>
      <w:marBottom w:val="0"/>
      <w:divBdr>
        <w:top w:val="none" w:sz="0" w:space="0" w:color="auto"/>
        <w:left w:val="none" w:sz="0" w:space="0" w:color="auto"/>
        <w:bottom w:val="none" w:sz="0" w:space="0" w:color="auto"/>
        <w:right w:val="none" w:sz="0" w:space="0" w:color="auto"/>
      </w:divBdr>
    </w:div>
    <w:div w:id="1850099929">
      <w:bodyDiv w:val="1"/>
      <w:marLeft w:val="0"/>
      <w:marRight w:val="0"/>
      <w:marTop w:val="0"/>
      <w:marBottom w:val="0"/>
      <w:divBdr>
        <w:top w:val="none" w:sz="0" w:space="0" w:color="auto"/>
        <w:left w:val="none" w:sz="0" w:space="0" w:color="auto"/>
        <w:bottom w:val="none" w:sz="0" w:space="0" w:color="auto"/>
        <w:right w:val="none" w:sz="0" w:space="0" w:color="auto"/>
      </w:divBdr>
    </w:div>
    <w:div w:id="1895701647">
      <w:bodyDiv w:val="1"/>
      <w:marLeft w:val="0"/>
      <w:marRight w:val="0"/>
      <w:marTop w:val="0"/>
      <w:marBottom w:val="0"/>
      <w:divBdr>
        <w:top w:val="none" w:sz="0" w:space="0" w:color="auto"/>
        <w:left w:val="none" w:sz="0" w:space="0" w:color="auto"/>
        <w:bottom w:val="none" w:sz="0" w:space="0" w:color="auto"/>
        <w:right w:val="none" w:sz="0" w:space="0" w:color="auto"/>
      </w:divBdr>
      <w:divsChild>
        <w:div w:id="321586871">
          <w:marLeft w:val="1296"/>
          <w:marRight w:val="0"/>
          <w:marTop w:val="106"/>
          <w:marBottom w:val="240"/>
          <w:divBdr>
            <w:top w:val="none" w:sz="0" w:space="0" w:color="auto"/>
            <w:left w:val="none" w:sz="0" w:space="0" w:color="auto"/>
            <w:bottom w:val="none" w:sz="0" w:space="0" w:color="auto"/>
            <w:right w:val="none" w:sz="0" w:space="0" w:color="auto"/>
          </w:divBdr>
        </w:div>
        <w:div w:id="1166358048">
          <w:marLeft w:val="547"/>
          <w:marRight w:val="0"/>
          <w:marTop w:val="0"/>
          <w:marBottom w:val="280"/>
          <w:divBdr>
            <w:top w:val="none" w:sz="0" w:space="0" w:color="auto"/>
            <w:left w:val="none" w:sz="0" w:space="0" w:color="auto"/>
            <w:bottom w:val="none" w:sz="0" w:space="0" w:color="auto"/>
            <w:right w:val="none" w:sz="0" w:space="0" w:color="auto"/>
          </w:divBdr>
        </w:div>
        <w:div w:id="1231962710">
          <w:marLeft w:val="547"/>
          <w:marRight w:val="0"/>
          <w:marTop w:val="0"/>
          <w:marBottom w:val="280"/>
          <w:divBdr>
            <w:top w:val="none" w:sz="0" w:space="0" w:color="auto"/>
            <w:left w:val="none" w:sz="0" w:space="0" w:color="auto"/>
            <w:bottom w:val="none" w:sz="0" w:space="0" w:color="auto"/>
            <w:right w:val="none" w:sz="0" w:space="0" w:color="auto"/>
          </w:divBdr>
        </w:div>
        <w:div w:id="1736780709">
          <w:marLeft w:val="1296"/>
          <w:marRight w:val="0"/>
          <w:marTop w:val="0"/>
          <w:marBottom w:val="0"/>
          <w:divBdr>
            <w:top w:val="none" w:sz="0" w:space="0" w:color="auto"/>
            <w:left w:val="none" w:sz="0" w:space="0" w:color="auto"/>
            <w:bottom w:val="none" w:sz="0" w:space="0" w:color="auto"/>
            <w:right w:val="none" w:sz="0" w:space="0" w:color="auto"/>
          </w:divBdr>
        </w:div>
        <w:div w:id="1820077473">
          <w:marLeft w:val="547"/>
          <w:marRight w:val="0"/>
          <w:marTop w:val="0"/>
          <w:marBottom w:val="240"/>
          <w:divBdr>
            <w:top w:val="none" w:sz="0" w:space="0" w:color="auto"/>
            <w:left w:val="none" w:sz="0" w:space="0" w:color="auto"/>
            <w:bottom w:val="none" w:sz="0" w:space="0" w:color="auto"/>
            <w:right w:val="none" w:sz="0" w:space="0" w:color="auto"/>
          </w:divBdr>
        </w:div>
      </w:divsChild>
    </w:div>
    <w:div w:id="1921788864">
      <w:bodyDiv w:val="1"/>
      <w:marLeft w:val="0"/>
      <w:marRight w:val="0"/>
      <w:marTop w:val="0"/>
      <w:marBottom w:val="0"/>
      <w:divBdr>
        <w:top w:val="none" w:sz="0" w:space="0" w:color="auto"/>
        <w:left w:val="none" w:sz="0" w:space="0" w:color="auto"/>
        <w:bottom w:val="none" w:sz="0" w:space="0" w:color="auto"/>
        <w:right w:val="none" w:sz="0" w:space="0" w:color="auto"/>
      </w:divBdr>
    </w:div>
    <w:div w:id="19370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corrections.vic.gov.au/utility/publications+manuals+and+statistics/monthly+prisoner+and+offender+statistics" TargetMode="External"/><Relationship Id="rId1" Type="http://schemas.openxmlformats.org/officeDocument/2006/relationships/hyperlink" Target="https://www.liv.asn.au/LIVPresBlog2013/July-2013/Indigenous-incarceration--not-much-to-celebr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9443-EB33-4767-9F93-506FAB11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3899</Words>
  <Characters>22158</Characters>
  <Application>Microsoft Office Word</Application>
  <DocSecurity>0</DocSecurity>
  <Lines>337</Lines>
  <Paragraphs>122</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25981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