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19B" w:rsidRPr="00B7374D" w:rsidRDefault="0002219B" w:rsidP="0002219B">
      <w:pPr>
        <w:pStyle w:val="Heading1"/>
      </w:pPr>
      <w:r>
        <w:t>Victoria Legal Aid 2017–18 midyear report</w:t>
      </w:r>
    </w:p>
    <w:p w:rsidR="0002219B" w:rsidRDefault="0002219B" w:rsidP="0002219B">
      <w:r>
        <w:t>This report summarises our first six months of operations in 2017–18.</w:t>
      </w:r>
    </w:p>
    <w:p w:rsidR="0002219B" w:rsidRDefault="0002219B" w:rsidP="0002219B">
      <w:pPr>
        <w:pStyle w:val="Heading2"/>
      </w:pPr>
      <w:r>
        <w:t>Snapshot of service delivery</w:t>
      </w:r>
    </w:p>
    <w:p w:rsidR="0002219B" w:rsidRDefault="0002219B" w:rsidP="0002219B">
      <w:r>
        <w:t xml:space="preserve">Demand for help remains strong and between 1 July 2017 and 31 December 2017, we assisted more people and delivered more services to the Victorian community. </w:t>
      </w:r>
    </w:p>
    <w:tbl>
      <w:tblPr>
        <w:tblStyle w:val="TableGrid"/>
        <w:tblW w:w="5000" w:type="pct"/>
        <w:tblLook w:val="04A0" w:firstRow="1" w:lastRow="0" w:firstColumn="1" w:lastColumn="0" w:noHBand="0" w:noVBand="1"/>
      </w:tblPr>
      <w:tblGrid>
        <w:gridCol w:w="5664"/>
        <w:gridCol w:w="1560"/>
        <w:gridCol w:w="1717"/>
        <w:gridCol w:w="1135"/>
      </w:tblGrid>
      <w:tr w:rsidR="0002219B" w:rsidRPr="009B2351" w:rsidTr="0089729F">
        <w:trPr>
          <w:tblHeader/>
        </w:trPr>
        <w:tc>
          <w:tcPr>
            <w:tcW w:w="2811" w:type="pct"/>
            <w:shd w:val="clear" w:color="auto" w:fill="D9D9D9" w:themeFill="background1" w:themeFillShade="D9"/>
          </w:tcPr>
          <w:p w:rsidR="0002219B" w:rsidRPr="0089729F" w:rsidRDefault="0002219B" w:rsidP="009B2351">
            <w:pPr>
              <w:rPr>
                <w:b/>
              </w:rPr>
            </w:pPr>
            <w:r w:rsidRPr="0089729F">
              <w:rPr>
                <w:b/>
              </w:rPr>
              <w:t>Clients as at</w:t>
            </w:r>
          </w:p>
        </w:tc>
        <w:tc>
          <w:tcPr>
            <w:tcW w:w="774" w:type="pct"/>
            <w:shd w:val="clear" w:color="auto" w:fill="D9D9D9" w:themeFill="background1" w:themeFillShade="D9"/>
          </w:tcPr>
          <w:p w:rsidR="0002219B" w:rsidRPr="0089729F" w:rsidRDefault="0002219B" w:rsidP="009B2351">
            <w:pPr>
              <w:rPr>
                <w:b/>
              </w:rPr>
            </w:pPr>
            <w:r w:rsidRPr="0089729F">
              <w:rPr>
                <w:b/>
              </w:rPr>
              <w:t>31 Dec 2016</w:t>
            </w:r>
          </w:p>
        </w:tc>
        <w:tc>
          <w:tcPr>
            <w:tcW w:w="852" w:type="pct"/>
            <w:shd w:val="clear" w:color="auto" w:fill="D9D9D9" w:themeFill="background1" w:themeFillShade="D9"/>
          </w:tcPr>
          <w:p w:rsidR="0002219B" w:rsidRPr="0089729F" w:rsidRDefault="0002219B">
            <w:pPr>
              <w:rPr>
                <w:b/>
              </w:rPr>
            </w:pPr>
            <w:r w:rsidRPr="0089729F">
              <w:rPr>
                <w:b/>
              </w:rPr>
              <w:t>31 Dec 2017</w:t>
            </w:r>
          </w:p>
        </w:tc>
        <w:tc>
          <w:tcPr>
            <w:tcW w:w="563" w:type="pct"/>
            <w:shd w:val="clear" w:color="auto" w:fill="D9D9D9" w:themeFill="background1" w:themeFillShade="D9"/>
          </w:tcPr>
          <w:p w:rsidR="0002219B" w:rsidRPr="0089729F" w:rsidRDefault="0002219B">
            <w:pPr>
              <w:rPr>
                <w:b/>
              </w:rPr>
            </w:pPr>
            <w:r w:rsidRPr="0089729F">
              <w:rPr>
                <w:b/>
              </w:rPr>
              <w:t>Variance</w:t>
            </w:r>
          </w:p>
        </w:tc>
      </w:tr>
      <w:tr w:rsidR="0002219B" w:rsidRPr="009B2351" w:rsidTr="0089729F">
        <w:tc>
          <w:tcPr>
            <w:tcW w:w="2811" w:type="pct"/>
          </w:tcPr>
          <w:p w:rsidR="0002219B" w:rsidRPr="009B2351" w:rsidRDefault="0002219B" w:rsidP="009B2351">
            <w:r w:rsidRPr="009B2351">
              <w:t>Unique clients</w:t>
            </w:r>
          </w:p>
        </w:tc>
        <w:tc>
          <w:tcPr>
            <w:tcW w:w="774" w:type="pct"/>
          </w:tcPr>
          <w:p w:rsidR="0002219B" w:rsidRPr="009B2351" w:rsidRDefault="0002219B" w:rsidP="0089729F">
            <w:r w:rsidRPr="009B2351">
              <w:t>51,798</w:t>
            </w:r>
          </w:p>
        </w:tc>
        <w:tc>
          <w:tcPr>
            <w:tcW w:w="852" w:type="pct"/>
          </w:tcPr>
          <w:p w:rsidR="0002219B" w:rsidRPr="009B2351" w:rsidRDefault="0002219B" w:rsidP="0089729F">
            <w:r w:rsidRPr="009B2351">
              <w:t>53,752</w:t>
            </w:r>
          </w:p>
        </w:tc>
        <w:tc>
          <w:tcPr>
            <w:tcW w:w="563" w:type="pct"/>
          </w:tcPr>
          <w:p w:rsidR="0002219B" w:rsidRPr="009B2351" w:rsidRDefault="0002219B" w:rsidP="0089729F">
            <w:r w:rsidRPr="009B2351">
              <w:t>4%</w:t>
            </w:r>
          </w:p>
        </w:tc>
      </w:tr>
      <w:tr w:rsidR="0002219B" w:rsidRPr="009B2351" w:rsidTr="0089729F">
        <w:tc>
          <w:tcPr>
            <w:tcW w:w="2811" w:type="pct"/>
          </w:tcPr>
          <w:p w:rsidR="0002219B" w:rsidRPr="009B2351" w:rsidRDefault="0002219B" w:rsidP="009B2351">
            <w:r w:rsidRPr="009B2351">
              <w:t>Calls dealt with by our Legal Help telephone service</w:t>
            </w:r>
          </w:p>
        </w:tc>
        <w:tc>
          <w:tcPr>
            <w:tcW w:w="774" w:type="pct"/>
          </w:tcPr>
          <w:p w:rsidR="0002219B" w:rsidRPr="009B2351" w:rsidRDefault="0002219B" w:rsidP="0089729F">
            <w:r w:rsidRPr="009B2351">
              <w:t>59,655</w:t>
            </w:r>
          </w:p>
        </w:tc>
        <w:tc>
          <w:tcPr>
            <w:tcW w:w="852" w:type="pct"/>
          </w:tcPr>
          <w:p w:rsidR="0002219B" w:rsidRPr="009B2351" w:rsidRDefault="0002219B" w:rsidP="0089729F">
            <w:r w:rsidRPr="009B2351">
              <w:t>62,151</w:t>
            </w:r>
          </w:p>
        </w:tc>
        <w:tc>
          <w:tcPr>
            <w:tcW w:w="563" w:type="pct"/>
          </w:tcPr>
          <w:p w:rsidR="0002219B" w:rsidRPr="009B2351" w:rsidRDefault="0002219B" w:rsidP="0089729F">
            <w:r w:rsidRPr="009B2351">
              <w:t>4%</w:t>
            </w:r>
          </w:p>
        </w:tc>
      </w:tr>
      <w:tr w:rsidR="0002219B" w:rsidRPr="009B2351" w:rsidTr="0089729F">
        <w:trPr>
          <w:tblHeader/>
        </w:trPr>
        <w:tc>
          <w:tcPr>
            <w:tcW w:w="2811" w:type="pct"/>
            <w:shd w:val="clear" w:color="auto" w:fill="D9D9D9" w:themeFill="background1" w:themeFillShade="D9"/>
          </w:tcPr>
          <w:p w:rsidR="0002219B" w:rsidRPr="0089729F" w:rsidRDefault="0002219B" w:rsidP="009B2351">
            <w:pPr>
              <w:rPr>
                <w:b/>
              </w:rPr>
            </w:pPr>
            <w:r w:rsidRPr="0089729F">
              <w:rPr>
                <w:b/>
              </w:rPr>
              <w:t>Preventative services</w:t>
            </w:r>
          </w:p>
        </w:tc>
        <w:tc>
          <w:tcPr>
            <w:tcW w:w="774" w:type="pct"/>
            <w:shd w:val="clear" w:color="auto" w:fill="D9D9D9" w:themeFill="background1" w:themeFillShade="D9"/>
          </w:tcPr>
          <w:p w:rsidR="0002219B" w:rsidRPr="0089729F" w:rsidRDefault="0002219B" w:rsidP="009B2351">
            <w:pPr>
              <w:rPr>
                <w:b/>
              </w:rPr>
            </w:pPr>
            <w:r w:rsidRPr="0089729F">
              <w:rPr>
                <w:b/>
              </w:rPr>
              <w:t>31 Dec 2016</w:t>
            </w:r>
          </w:p>
        </w:tc>
        <w:tc>
          <w:tcPr>
            <w:tcW w:w="852" w:type="pct"/>
            <w:shd w:val="clear" w:color="auto" w:fill="D9D9D9" w:themeFill="background1" w:themeFillShade="D9"/>
          </w:tcPr>
          <w:p w:rsidR="0002219B" w:rsidRPr="0089729F" w:rsidRDefault="0002219B">
            <w:pPr>
              <w:rPr>
                <w:b/>
              </w:rPr>
            </w:pPr>
            <w:r w:rsidRPr="0089729F">
              <w:rPr>
                <w:b/>
              </w:rPr>
              <w:t>31 Dec 2017</w:t>
            </w:r>
          </w:p>
        </w:tc>
        <w:tc>
          <w:tcPr>
            <w:tcW w:w="563" w:type="pct"/>
            <w:shd w:val="clear" w:color="auto" w:fill="D9D9D9" w:themeFill="background1" w:themeFillShade="D9"/>
          </w:tcPr>
          <w:p w:rsidR="0002219B" w:rsidRPr="0089729F" w:rsidRDefault="0002219B">
            <w:pPr>
              <w:rPr>
                <w:b/>
              </w:rPr>
            </w:pPr>
            <w:r w:rsidRPr="0089729F">
              <w:rPr>
                <w:b/>
              </w:rPr>
              <w:t>Variance</w:t>
            </w:r>
          </w:p>
        </w:tc>
      </w:tr>
      <w:tr w:rsidR="0002219B" w:rsidRPr="009B2351" w:rsidTr="0089729F">
        <w:tc>
          <w:tcPr>
            <w:tcW w:w="2811" w:type="pct"/>
          </w:tcPr>
          <w:p w:rsidR="0002219B" w:rsidRPr="009B2351" w:rsidRDefault="0002219B" w:rsidP="009B2351">
            <w:r w:rsidRPr="009B2351">
              <w:t>Calls to our Legal Help telephone service</w:t>
            </w:r>
          </w:p>
        </w:tc>
        <w:tc>
          <w:tcPr>
            <w:tcW w:w="774" w:type="pct"/>
          </w:tcPr>
          <w:p w:rsidR="0002219B" w:rsidRPr="009B2351" w:rsidRDefault="0002219B" w:rsidP="0089729F">
            <w:r w:rsidRPr="009B2351">
              <w:t>89,592</w:t>
            </w:r>
          </w:p>
        </w:tc>
        <w:tc>
          <w:tcPr>
            <w:tcW w:w="852" w:type="pct"/>
          </w:tcPr>
          <w:p w:rsidR="0002219B" w:rsidRPr="009B2351" w:rsidRDefault="0002219B" w:rsidP="0089729F">
            <w:r w:rsidRPr="00AD1534">
              <w:t>93,484</w:t>
            </w:r>
          </w:p>
        </w:tc>
        <w:tc>
          <w:tcPr>
            <w:tcW w:w="563" w:type="pct"/>
          </w:tcPr>
          <w:p w:rsidR="0002219B" w:rsidRPr="009B2351" w:rsidRDefault="0002219B" w:rsidP="0089729F">
            <w:r w:rsidRPr="009B2351">
              <w:t>4%</w:t>
            </w:r>
          </w:p>
        </w:tc>
      </w:tr>
      <w:tr w:rsidR="0002219B" w:rsidRPr="009B2351" w:rsidTr="0089729F">
        <w:tc>
          <w:tcPr>
            <w:tcW w:w="2811" w:type="pct"/>
          </w:tcPr>
          <w:p w:rsidR="0002219B" w:rsidRPr="009B2351" w:rsidRDefault="0002219B" w:rsidP="009B2351">
            <w:r w:rsidRPr="009B2351">
              <w:t>Information and community legal education services</w:t>
            </w:r>
          </w:p>
        </w:tc>
        <w:tc>
          <w:tcPr>
            <w:tcW w:w="774" w:type="pct"/>
          </w:tcPr>
          <w:p w:rsidR="0002219B" w:rsidRPr="009B2351" w:rsidRDefault="0002219B" w:rsidP="0089729F">
            <w:pPr>
              <w:rPr>
                <w:highlight w:val="yellow"/>
              </w:rPr>
            </w:pPr>
            <w:r w:rsidRPr="00AD1534">
              <w:t>64,948</w:t>
            </w:r>
          </w:p>
        </w:tc>
        <w:tc>
          <w:tcPr>
            <w:tcW w:w="852" w:type="pct"/>
          </w:tcPr>
          <w:p w:rsidR="0002219B" w:rsidRPr="009B2351" w:rsidRDefault="0002219B" w:rsidP="0089729F">
            <w:pPr>
              <w:rPr>
                <w:highlight w:val="yellow"/>
              </w:rPr>
            </w:pPr>
            <w:r w:rsidRPr="00AD1534">
              <w:t>64,240</w:t>
            </w:r>
          </w:p>
        </w:tc>
        <w:tc>
          <w:tcPr>
            <w:tcW w:w="563" w:type="pct"/>
          </w:tcPr>
          <w:p w:rsidR="0002219B" w:rsidRPr="009B2351" w:rsidRDefault="0002219B" w:rsidP="0089729F">
            <w:pPr>
              <w:rPr>
                <w:highlight w:val="yellow"/>
              </w:rPr>
            </w:pPr>
            <w:r w:rsidRPr="00AD1534">
              <w:t>-1%</w:t>
            </w:r>
          </w:p>
        </w:tc>
      </w:tr>
      <w:tr w:rsidR="0002219B" w:rsidRPr="009B2351" w:rsidTr="0089729F">
        <w:tc>
          <w:tcPr>
            <w:tcW w:w="2811" w:type="pct"/>
            <w:tcBorders>
              <w:bottom w:val="single" w:sz="4" w:space="0" w:color="auto"/>
            </w:tcBorders>
          </w:tcPr>
          <w:p w:rsidR="0002219B" w:rsidRPr="009B2351" w:rsidRDefault="0002219B" w:rsidP="009B2351">
            <w:r w:rsidRPr="009B2351">
              <w:t>Sessions on our website</w:t>
            </w:r>
          </w:p>
        </w:tc>
        <w:tc>
          <w:tcPr>
            <w:tcW w:w="774" w:type="pct"/>
            <w:tcBorders>
              <w:bottom w:val="single" w:sz="4" w:space="0" w:color="auto"/>
            </w:tcBorders>
          </w:tcPr>
          <w:p w:rsidR="0002219B" w:rsidRPr="009B2351" w:rsidRDefault="0002219B" w:rsidP="0089729F">
            <w:r w:rsidRPr="009B2351">
              <w:t>962,881</w:t>
            </w:r>
          </w:p>
        </w:tc>
        <w:tc>
          <w:tcPr>
            <w:tcW w:w="852" w:type="pct"/>
            <w:tcBorders>
              <w:bottom w:val="single" w:sz="4" w:space="0" w:color="auto"/>
            </w:tcBorders>
          </w:tcPr>
          <w:p w:rsidR="0002219B" w:rsidRPr="009B2351" w:rsidRDefault="0002219B" w:rsidP="0089729F">
            <w:r w:rsidRPr="009B2351">
              <w:t>1,089,044</w:t>
            </w:r>
          </w:p>
        </w:tc>
        <w:tc>
          <w:tcPr>
            <w:tcW w:w="563" w:type="pct"/>
            <w:tcBorders>
              <w:bottom w:val="single" w:sz="4" w:space="0" w:color="auto"/>
            </w:tcBorders>
          </w:tcPr>
          <w:p w:rsidR="0002219B" w:rsidRPr="009B2351" w:rsidRDefault="0002219B" w:rsidP="0089729F">
            <w:r w:rsidRPr="009B2351">
              <w:t>13%</w:t>
            </w:r>
          </w:p>
        </w:tc>
      </w:tr>
      <w:tr w:rsidR="0002219B" w:rsidRPr="009B2351" w:rsidTr="0089729F">
        <w:tc>
          <w:tcPr>
            <w:tcW w:w="2811" w:type="pct"/>
            <w:tcBorders>
              <w:bottom w:val="single" w:sz="4" w:space="0" w:color="auto"/>
            </w:tcBorders>
            <w:shd w:val="clear" w:color="auto" w:fill="D9D9D9" w:themeFill="background1" w:themeFillShade="D9"/>
          </w:tcPr>
          <w:p w:rsidR="0002219B" w:rsidRPr="0089729F" w:rsidRDefault="0002219B" w:rsidP="009B2351">
            <w:pPr>
              <w:rPr>
                <w:b/>
              </w:rPr>
            </w:pPr>
            <w:r w:rsidRPr="0089729F">
              <w:rPr>
                <w:b/>
              </w:rPr>
              <w:t xml:space="preserve">Early intervention services </w:t>
            </w:r>
          </w:p>
        </w:tc>
        <w:tc>
          <w:tcPr>
            <w:tcW w:w="774" w:type="pct"/>
            <w:tcBorders>
              <w:bottom w:val="single" w:sz="4" w:space="0" w:color="auto"/>
            </w:tcBorders>
            <w:shd w:val="clear" w:color="auto" w:fill="D9D9D9" w:themeFill="background1" w:themeFillShade="D9"/>
          </w:tcPr>
          <w:p w:rsidR="0002219B" w:rsidRPr="0089729F" w:rsidRDefault="0002219B" w:rsidP="0089729F">
            <w:pPr>
              <w:rPr>
                <w:b/>
              </w:rPr>
            </w:pPr>
            <w:r w:rsidRPr="0089729F">
              <w:rPr>
                <w:b/>
              </w:rPr>
              <w:t>31 Dec 2016</w:t>
            </w:r>
          </w:p>
        </w:tc>
        <w:tc>
          <w:tcPr>
            <w:tcW w:w="852" w:type="pct"/>
            <w:tcBorders>
              <w:bottom w:val="single" w:sz="4" w:space="0" w:color="auto"/>
            </w:tcBorders>
            <w:shd w:val="clear" w:color="auto" w:fill="D9D9D9" w:themeFill="background1" w:themeFillShade="D9"/>
          </w:tcPr>
          <w:p w:rsidR="0002219B" w:rsidRPr="0089729F" w:rsidRDefault="0002219B" w:rsidP="0089729F">
            <w:pPr>
              <w:rPr>
                <w:b/>
              </w:rPr>
            </w:pPr>
            <w:r w:rsidRPr="0089729F">
              <w:rPr>
                <w:b/>
              </w:rPr>
              <w:t>31 Dec 2017</w:t>
            </w:r>
          </w:p>
        </w:tc>
        <w:tc>
          <w:tcPr>
            <w:tcW w:w="563" w:type="pct"/>
            <w:tcBorders>
              <w:bottom w:val="single" w:sz="4" w:space="0" w:color="auto"/>
            </w:tcBorders>
            <w:shd w:val="clear" w:color="auto" w:fill="D9D9D9" w:themeFill="background1" w:themeFillShade="D9"/>
          </w:tcPr>
          <w:p w:rsidR="0002219B" w:rsidRPr="0089729F" w:rsidRDefault="0002219B" w:rsidP="0089729F">
            <w:pPr>
              <w:rPr>
                <w:b/>
              </w:rPr>
            </w:pPr>
            <w:r w:rsidRPr="0089729F">
              <w:rPr>
                <w:b/>
              </w:rPr>
              <w:t>Variance</w:t>
            </w:r>
          </w:p>
        </w:tc>
      </w:tr>
      <w:tr w:rsidR="0002219B" w:rsidRPr="009B2351" w:rsidTr="0089729F">
        <w:tc>
          <w:tcPr>
            <w:tcW w:w="2811" w:type="pct"/>
            <w:tcBorders>
              <w:bottom w:val="single" w:sz="4" w:space="0" w:color="auto"/>
            </w:tcBorders>
          </w:tcPr>
          <w:p w:rsidR="0002219B" w:rsidRPr="009B2351" w:rsidRDefault="0002219B" w:rsidP="009B2351">
            <w:pPr>
              <w:rPr>
                <w:highlight w:val="yellow"/>
              </w:rPr>
            </w:pPr>
            <w:r w:rsidRPr="009B2351">
              <w:t xml:space="preserve">Legal advice and minor assistance </w:t>
            </w:r>
          </w:p>
        </w:tc>
        <w:tc>
          <w:tcPr>
            <w:tcW w:w="774" w:type="pct"/>
            <w:tcBorders>
              <w:bottom w:val="single" w:sz="4" w:space="0" w:color="auto"/>
            </w:tcBorders>
          </w:tcPr>
          <w:p w:rsidR="0002219B" w:rsidRPr="009B2351" w:rsidRDefault="0002219B" w:rsidP="0089729F">
            <w:r w:rsidRPr="009B2351">
              <w:t>21,148</w:t>
            </w:r>
          </w:p>
        </w:tc>
        <w:tc>
          <w:tcPr>
            <w:tcW w:w="852" w:type="pct"/>
            <w:tcBorders>
              <w:bottom w:val="single" w:sz="4" w:space="0" w:color="auto"/>
            </w:tcBorders>
          </w:tcPr>
          <w:p w:rsidR="0002219B" w:rsidRPr="009B2351" w:rsidRDefault="0002219B" w:rsidP="0089729F">
            <w:r w:rsidRPr="009B2351">
              <w:t>18,342</w:t>
            </w:r>
          </w:p>
        </w:tc>
        <w:tc>
          <w:tcPr>
            <w:tcW w:w="563" w:type="pct"/>
            <w:tcBorders>
              <w:bottom w:val="single" w:sz="4" w:space="0" w:color="auto"/>
            </w:tcBorders>
          </w:tcPr>
          <w:p w:rsidR="0002219B" w:rsidRPr="009B2351" w:rsidRDefault="0002219B" w:rsidP="0089729F">
            <w:r w:rsidRPr="009B2351">
              <w:t>-13%</w:t>
            </w:r>
          </w:p>
        </w:tc>
      </w:tr>
      <w:tr w:rsidR="0002219B" w:rsidRPr="009B2351" w:rsidTr="0089729F">
        <w:tc>
          <w:tcPr>
            <w:tcW w:w="2811" w:type="pct"/>
            <w:shd w:val="clear" w:color="auto" w:fill="D9D9D9" w:themeFill="background1" w:themeFillShade="D9"/>
          </w:tcPr>
          <w:p w:rsidR="0002219B" w:rsidRPr="0089729F" w:rsidRDefault="0002219B" w:rsidP="009B2351">
            <w:pPr>
              <w:rPr>
                <w:b/>
              </w:rPr>
            </w:pPr>
            <w:r w:rsidRPr="0089729F">
              <w:rPr>
                <w:b/>
              </w:rPr>
              <w:t>Duty lawyer services</w:t>
            </w:r>
          </w:p>
        </w:tc>
        <w:tc>
          <w:tcPr>
            <w:tcW w:w="774" w:type="pct"/>
            <w:shd w:val="clear" w:color="auto" w:fill="D9D9D9" w:themeFill="background1" w:themeFillShade="D9"/>
          </w:tcPr>
          <w:p w:rsidR="0002219B" w:rsidRPr="0089729F" w:rsidRDefault="0002219B" w:rsidP="009B2351">
            <w:pPr>
              <w:rPr>
                <w:b/>
              </w:rPr>
            </w:pPr>
            <w:r w:rsidRPr="0089729F">
              <w:rPr>
                <w:b/>
              </w:rPr>
              <w:t>31 Dec 2016</w:t>
            </w:r>
          </w:p>
        </w:tc>
        <w:tc>
          <w:tcPr>
            <w:tcW w:w="852" w:type="pct"/>
            <w:shd w:val="clear" w:color="auto" w:fill="D9D9D9" w:themeFill="background1" w:themeFillShade="D9"/>
          </w:tcPr>
          <w:p w:rsidR="0002219B" w:rsidRPr="0089729F" w:rsidRDefault="0002219B">
            <w:pPr>
              <w:rPr>
                <w:b/>
              </w:rPr>
            </w:pPr>
            <w:r w:rsidRPr="0089729F">
              <w:rPr>
                <w:b/>
              </w:rPr>
              <w:t>31 Dec 2017</w:t>
            </w:r>
          </w:p>
        </w:tc>
        <w:tc>
          <w:tcPr>
            <w:tcW w:w="563" w:type="pct"/>
            <w:shd w:val="clear" w:color="auto" w:fill="D9D9D9" w:themeFill="background1" w:themeFillShade="D9"/>
          </w:tcPr>
          <w:p w:rsidR="0002219B" w:rsidRPr="0089729F" w:rsidRDefault="0002219B">
            <w:pPr>
              <w:rPr>
                <w:b/>
              </w:rPr>
            </w:pPr>
            <w:r w:rsidRPr="0089729F">
              <w:rPr>
                <w:b/>
              </w:rPr>
              <w:t>Variance</w:t>
            </w:r>
          </w:p>
        </w:tc>
      </w:tr>
      <w:tr w:rsidR="0002219B" w:rsidRPr="009B2351" w:rsidTr="0089729F">
        <w:tc>
          <w:tcPr>
            <w:tcW w:w="2811" w:type="pct"/>
            <w:tcBorders>
              <w:bottom w:val="single" w:sz="4" w:space="0" w:color="auto"/>
            </w:tcBorders>
          </w:tcPr>
          <w:p w:rsidR="0002219B" w:rsidRPr="009B2351" w:rsidRDefault="0002219B" w:rsidP="009B2351">
            <w:r w:rsidRPr="009B2351">
              <w:t>Staff and private practitioners</w:t>
            </w:r>
          </w:p>
        </w:tc>
        <w:tc>
          <w:tcPr>
            <w:tcW w:w="774" w:type="pct"/>
            <w:tcBorders>
              <w:bottom w:val="single" w:sz="4" w:space="0" w:color="auto"/>
            </w:tcBorders>
          </w:tcPr>
          <w:p w:rsidR="0002219B" w:rsidRPr="009B2351" w:rsidRDefault="0002219B" w:rsidP="0089729F">
            <w:r w:rsidRPr="009B2351">
              <w:t>44,871</w:t>
            </w:r>
          </w:p>
        </w:tc>
        <w:tc>
          <w:tcPr>
            <w:tcW w:w="852" w:type="pct"/>
            <w:tcBorders>
              <w:bottom w:val="single" w:sz="4" w:space="0" w:color="auto"/>
            </w:tcBorders>
          </w:tcPr>
          <w:p w:rsidR="0002219B" w:rsidRPr="009B2351" w:rsidRDefault="0002219B" w:rsidP="0089729F">
            <w:r w:rsidRPr="009B2351">
              <w:t>46,966</w:t>
            </w:r>
          </w:p>
        </w:tc>
        <w:tc>
          <w:tcPr>
            <w:tcW w:w="563" w:type="pct"/>
            <w:tcBorders>
              <w:bottom w:val="single" w:sz="4" w:space="0" w:color="auto"/>
            </w:tcBorders>
          </w:tcPr>
          <w:p w:rsidR="0002219B" w:rsidRPr="009B2351" w:rsidRDefault="0002219B" w:rsidP="0089729F">
            <w:r w:rsidRPr="009B2351">
              <w:t>5%</w:t>
            </w:r>
          </w:p>
        </w:tc>
      </w:tr>
      <w:tr w:rsidR="0002219B" w:rsidRPr="009B2351" w:rsidTr="0089729F">
        <w:tc>
          <w:tcPr>
            <w:tcW w:w="2811" w:type="pct"/>
            <w:shd w:val="clear" w:color="auto" w:fill="D9D9D9" w:themeFill="background1" w:themeFillShade="D9"/>
          </w:tcPr>
          <w:p w:rsidR="0002219B" w:rsidRPr="0089729F" w:rsidRDefault="0002219B" w:rsidP="009B2351">
            <w:pPr>
              <w:rPr>
                <w:b/>
              </w:rPr>
            </w:pPr>
            <w:r w:rsidRPr="0089729F">
              <w:rPr>
                <w:b/>
              </w:rPr>
              <w:t>Grants of legal assistance</w:t>
            </w:r>
          </w:p>
        </w:tc>
        <w:tc>
          <w:tcPr>
            <w:tcW w:w="774" w:type="pct"/>
            <w:shd w:val="clear" w:color="auto" w:fill="D9D9D9" w:themeFill="background1" w:themeFillShade="D9"/>
          </w:tcPr>
          <w:p w:rsidR="0002219B" w:rsidRPr="0089729F" w:rsidRDefault="0002219B" w:rsidP="009B2351">
            <w:pPr>
              <w:rPr>
                <w:b/>
              </w:rPr>
            </w:pPr>
            <w:r w:rsidRPr="0089729F">
              <w:rPr>
                <w:b/>
              </w:rPr>
              <w:t>31 Dec 2016</w:t>
            </w:r>
          </w:p>
        </w:tc>
        <w:tc>
          <w:tcPr>
            <w:tcW w:w="852" w:type="pct"/>
            <w:shd w:val="clear" w:color="auto" w:fill="D9D9D9" w:themeFill="background1" w:themeFillShade="D9"/>
          </w:tcPr>
          <w:p w:rsidR="0002219B" w:rsidRPr="0089729F" w:rsidRDefault="0002219B">
            <w:pPr>
              <w:rPr>
                <w:b/>
              </w:rPr>
            </w:pPr>
            <w:r w:rsidRPr="0089729F">
              <w:rPr>
                <w:b/>
              </w:rPr>
              <w:t>31 Dec 2017</w:t>
            </w:r>
          </w:p>
        </w:tc>
        <w:tc>
          <w:tcPr>
            <w:tcW w:w="563" w:type="pct"/>
            <w:shd w:val="clear" w:color="auto" w:fill="D9D9D9" w:themeFill="background1" w:themeFillShade="D9"/>
          </w:tcPr>
          <w:p w:rsidR="0002219B" w:rsidRPr="0089729F" w:rsidRDefault="0002219B">
            <w:pPr>
              <w:rPr>
                <w:b/>
              </w:rPr>
            </w:pPr>
            <w:r w:rsidRPr="0089729F">
              <w:rPr>
                <w:b/>
              </w:rPr>
              <w:t>Variance</w:t>
            </w:r>
          </w:p>
        </w:tc>
      </w:tr>
      <w:tr w:rsidR="0002219B" w:rsidRPr="009B2351" w:rsidTr="0089729F">
        <w:tc>
          <w:tcPr>
            <w:tcW w:w="2811" w:type="pct"/>
          </w:tcPr>
          <w:p w:rsidR="0002219B" w:rsidRPr="009B2351" w:rsidRDefault="0002219B" w:rsidP="009B2351">
            <w:r w:rsidRPr="009B2351">
              <w:t>Staff, private practitioners and community legal centres</w:t>
            </w:r>
          </w:p>
        </w:tc>
        <w:tc>
          <w:tcPr>
            <w:tcW w:w="774" w:type="pct"/>
          </w:tcPr>
          <w:p w:rsidR="0002219B" w:rsidRPr="009B2351" w:rsidRDefault="0002219B" w:rsidP="0089729F">
            <w:r w:rsidRPr="009B2351">
              <w:t>20,295</w:t>
            </w:r>
          </w:p>
        </w:tc>
        <w:tc>
          <w:tcPr>
            <w:tcW w:w="852" w:type="pct"/>
          </w:tcPr>
          <w:p w:rsidR="0002219B" w:rsidRPr="009B2351" w:rsidRDefault="0002219B" w:rsidP="0089729F">
            <w:r w:rsidRPr="009B2351">
              <w:t>20,910</w:t>
            </w:r>
          </w:p>
        </w:tc>
        <w:tc>
          <w:tcPr>
            <w:tcW w:w="563" w:type="pct"/>
          </w:tcPr>
          <w:p w:rsidR="0002219B" w:rsidRPr="009B2351" w:rsidRDefault="0002219B" w:rsidP="0089729F">
            <w:r w:rsidRPr="009B2351">
              <w:t>3%</w:t>
            </w:r>
          </w:p>
        </w:tc>
      </w:tr>
    </w:tbl>
    <w:p w:rsidR="0002219B" w:rsidRPr="006C5F55" w:rsidRDefault="0002219B" w:rsidP="0002219B">
      <w:r w:rsidRPr="004E662F">
        <w:t>Because courts are more congested and more people are facing tougher laws, involving more serious consequences, we are providing more intensive assistance to those people we do help. We are seeing a shift towards ‘at court’ assistance, for more urgent matters, and less preliminary advice and minor assistance for less serious matters.</w:t>
      </w:r>
      <w:r>
        <w:t xml:space="preserve">  </w:t>
      </w:r>
    </w:p>
    <w:p w:rsidR="0002219B" w:rsidRPr="00F60A76" w:rsidRDefault="0002219B" w:rsidP="0002219B">
      <w:pPr>
        <w:pStyle w:val="Heading2"/>
        <w:rPr>
          <w:sz w:val="24"/>
          <w:szCs w:val="26"/>
          <w:lang w:val="en-US"/>
        </w:rPr>
      </w:pPr>
      <w:r>
        <w:t xml:space="preserve">Outlook for 2017–18 and beyond </w:t>
      </w:r>
    </w:p>
    <w:p w:rsidR="0002219B" w:rsidRDefault="0002219B" w:rsidP="0002219B">
      <w:pPr>
        <w:shd w:val="clear" w:color="auto" w:fill="FFFFFF" w:themeFill="background1"/>
        <w:spacing w:line="276" w:lineRule="auto"/>
      </w:pPr>
      <w:r>
        <w:t xml:space="preserve">Like many parts of the justice system, we are facing ever increasing demand for our services. This demand will continue to rise with additional police, sentencing reforms, and the rollout of bail review measures in the coming months. We expect increased police initiations will arise in criminal, family violence and civil law matters. Civil law and criminal law matters often co-exist, and resolving civil law issues such as housing, fines, mental health treatment and income as well as addictions play an important role in addressing the causes of criminal offending and keeping the community safe. </w:t>
      </w:r>
    </w:p>
    <w:p w:rsidR="0002219B" w:rsidRDefault="0002219B" w:rsidP="0002219B">
      <w:pPr>
        <w:shd w:val="clear" w:color="auto" w:fill="FFFFFF" w:themeFill="background1"/>
        <w:spacing w:line="276" w:lineRule="auto"/>
      </w:pPr>
      <w:r>
        <w:t xml:space="preserve">We do our best work when we have the time, and space, to help people address the underlying causes of their behaviour which the justice system must confront on all our behalf. Facilitating referrals to rehabilitative programs or other services can help prevent further offending and distress for victims. </w:t>
      </w:r>
      <w:r>
        <w:lastRenderedPageBreak/>
        <w:t>Early access to tailored information over the phone or via our website can also help people to address their circumstances early and avoid the need for legal assistance altogether. Although we are pleased that our Legal Help telephone service and website are helping more people, the pressing need to help others with matters at court is preventing people from getting early access to our less intensive, but nonetheless important, face-to-face legal advice and minor assistance services.</w:t>
      </w:r>
    </w:p>
    <w:p w:rsidR="0002219B" w:rsidRDefault="0002219B" w:rsidP="0002219B">
      <w:pPr>
        <w:shd w:val="clear" w:color="auto" w:fill="FFFFFF" w:themeFill="background1"/>
        <w:spacing w:line="276" w:lineRule="auto"/>
      </w:pPr>
      <w:r>
        <w:t xml:space="preserve">We are spending more than ever before and will help more clients and deliver more services than last year. We expect a five per cent increase in grants of legal assistance, a seven per cent increase in duty lawyer services and a six per cent increase in calls to our Legal Help telephone service. </w:t>
      </w:r>
    </w:p>
    <w:p w:rsidR="0002219B" w:rsidRDefault="0002219B" w:rsidP="0002219B">
      <w:pPr>
        <w:shd w:val="clear" w:color="auto" w:fill="FFFFFF" w:themeFill="background1"/>
        <w:spacing w:line="276" w:lineRule="auto"/>
      </w:pPr>
      <w:r>
        <w:t>Importantly, trend growth is much higher. For instance, growth in summary crime grants of legal assistance and duty lawyer services in the seven years from 2014 to 2021 is forecast to be 95 per cent and 75 per cent respectively.</w:t>
      </w:r>
    </w:p>
    <w:p w:rsidR="0002219B" w:rsidRDefault="0002219B" w:rsidP="0002219B">
      <w:pPr>
        <w:shd w:val="clear" w:color="auto" w:fill="FFFFFF" w:themeFill="background1"/>
        <w:spacing w:line="276" w:lineRule="auto"/>
      </w:pPr>
      <w:r>
        <w:t xml:space="preserve">We welcomed significant extra State funding that became available in July 2017. It is being used to expand family violence, for child protection and Legal Help services, for system reforms in youth justice and for assistance in serious criminal matters. However, this new investment from last year’s State budget does not address the escalating growth in police initiations into Magistrates’ Courts throughout Victoria and we expect to end the year with an operating deficit of $6 million, as planned. </w:t>
      </w:r>
    </w:p>
    <w:p w:rsidR="0002219B" w:rsidRDefault="0002219B" w:rsidP="0002219B">
      <w:pPr>
        <w:pStyle w:val="Heading2"/>
      </w:pPr>
      <w:r>
        <w:t xml:space="preserve">Our clients </w:t>
      </w:r>
    </w:p>
    <w:p w:rsidR="0002219B" w:rsidRDefault="0002219B" w:rsidP="0002219B">
      <w:r>
        <w:t xml:space="preserve">In the first six months prior to 31 December 2017, we helped </w:t>
      </w:r>
      <w:r w:rsidRPr="00FB60EB">
        <w:t>53,752</w:t>
      </w:r>
      <w:r>
        <w:t xml:space="preserve"> unique clients.</w:t>
      </w:r>
      <w:r>
        <w:rPr>
          <w:rStyle w:val="FootnoteReference"/>
        </w:rPr>
        <w:footnoteReference w:id="1"/>
      </w:r>
    </w:p>
    <w:tbl>
      <w:tblPr>
        <w:tblStyle w:val="TableGrid"/>
        <w:tblW w:w="0" w:type="auto"/>
        <w:tblLook w:val="04A0" w:firstRow="1" w:lastRow="0" w:firstColumn="1" w:lastColumn="0" w:noHBand="0" w:noVBand="1"/>
      </w:tblPr>
      <w:tblGrid>
        <w:gridCol w:w="3682"/>
        <w:gridCol w:w="1600"/>
        <w:gridCol w:w="1600"/>
        <w:gridCol w:w="1597"/>
        <w:gridCol w:w="1597"/>
      </w:tblGrid>
      <w:tr w:rsidR="0002219B" w:rsidTr="0002219B">
        <w:trPr>
          <w:trHeight w:val="480"/>
          <w:tblHeader/>
        </w:trPr>
        <w:tc>
          <w:tcPr>
            <w:tcW w:w="3682" w:type="dxa"/>
            <w:shd w:val="clear" w:color="auto" w:fill="D9D9D9" w:themeFill="background1" w:themeFillShade="D9"/>
          </w:tcPr>
          <w:p w:rsidR="0002219B" w:rsidRPr="00D37B73" w:rsidRDefault="0002219B" w:rsidP="0002219B">
            <w:pPr>
              <w:rPr>
                <w:b/>
              </w:rPr>
            </w:pPr>
            <w:r w:rsidRPr="00D37B73">
              <w:rPr>
                <w:b/>
              </w:rPr>
              <w:t>Unique clients as at</w:t>
            </w:r>
          </w:p>
        </w:tc>
        <w:tc>
          <w:tcPr>
            <w:tcW w:w="1600" w:type="dxa"/>
            <w:shd w:val="clear" w:color="auto" w:fill="D9D9D9" w:themeFill="background1" w:themeFillShade="D9"/>
          </w:tcPr>
          <w:p w:rsidR="0002219B" w:rsidRPr="00D37B73" w:rsidRDefault="0002219B" w:rsidP="0002219B">
            <w:pPr>
              <w:rPr>
                <w:b/>
              </w:rPr>
            </w:pPr>
            <w:r>
              <w:rPr>
                <w:b/>
              </w:rPr>
              <w:t>31 Dec 2014</w:t>
            </w:r>
          </w:p>
        </w:tc>
        <w:tc>
          <w:tcPr>
            <w:tcW w:w="1600" w:type="dxa"/>
            <w:shd w:val="clear" w:color="auto" w:fill="D9D9D9" w:themeFill="background1" w:themeFillShade="D9"/>
          </w:tcPr>
          <w:p w:rsidR="0002219B" w:rsidRPr="00D37B73" w:rsidRDefault="0002219B" w:rsidP="0002219B">
            <w:pPr>
              <w:rPr>
                <w:b/>
              </w:rPr>
            </w:pPr>
            <w:r>
              <w:rPr>
                <w:b/>
              </w:rPr>
              <w:t>31 Dec 2015</w:t>
            </w:r>
          </w:p>
        </w:tc>
        <w:tc>
          <w:tcPr>
            <w:tcW w:w="1597" w:type="dxa"/>
            <w:shd w:val="clear" w:color="auto" w:fill="D9D9D9" w:themeFill="background1" w:themeFillShade="D9"/>
          </w:tcPr>
          <w:p w:rsidR="0002219B" w:rsidRPr="00D37B73" w:rsidRDefault="0002219B" w:rsidP="0002219B">
            <w:pPr>
              <w:rPr>
                <w:b/>
              </w:rPr>
            </w:pPr>
            <w:r>
              <w:rPr>
                <w:b/>
              </w:rPr>
              <w:t>31 Dec 2016</w:t>
            </w:r>
          </w:p>
        </w:tc>
        <w:tc>
          <w:tcPr>
            <w:tcW w:w="1597" w:type="dxa"/>
            <w:shd w:val="clear" w:color="auto" w:fill="D9D9D9" w:themeFill="background1" w:themeFillShade="D9"/>
          </w:tcPr>
          <w:p w:rsidR="0002219B" w:rsidRPr="00D37B73" w:rsidRDefault="0002219B" w:rsidP="0002219B">
            <w:pPr>
              <w:rPr>
                <w:b/>
              </w:rPr>
            </w:pPr>
            <w:r w:rsidRPr="00D37B73">
              <w:rPr>
                <w:b/>
              </w:rPr>
              <w:t>31 Dec 20</w:t>
            </w:r>
            <w:r>
              <w:rPr>
                <w:b/>
              </w:rPr>
              <w:t>17</w:t>
            </w:r>
          </w:p>
        </w:tc>
      </w:tr>
      <w:tr w:rsidR="0002219B" w:rsidTr="0002219B">
        <w:trPr>
          <w:trHeight w:val="480"/>
        </w:trPr>
        <w:tc>
          <w:tcPr>
            <w:tcW w:w="3682" w:type="dxa"/>
            <w:tcBorders>
              <w:bottom w:val="single" w:sz="4" w:space="0" w:color="auto"/>
            </w:tcBorders>
          </w:tcPr>
          <w:p w:rsidR="0002219B" w:rsidRDefault="0002219B" w:rsidP="009B2351">
            <w:r>
              <w:t>Unique clients</w:t>
            </w:r>
          </w:p>
        </w:tc>
        <w:tc>
          <w:tcPr>
            <w:tcW w:w="1600" w:type="dxa"/>
            <w:tcBorders>
              <w:bottom w:val="single" w:sz="4" w:space="0" w:color="auto"/>
            </w:tcBorders>
          </w:tcPr>
          <w:p w:rsidR="0002219B" w:rsidRPr="00FB60EB" w:rsidRDefault="0002219B" w:rsidP="0089729F">
            <w:r w:rsidRPr="00390B09">
              <w:t>50,727</w:t>
            </w:r>
          </w:p>
        </w:tc>
        <w:tc>
          <w:tcPr>
            <w:tcW w:w="1600" w:type="dxa"/>
            <w:tcBorders>
              <w:bottom w:val="single" w:sz="4" w:space="0" w:color="auto"/>
            </w:tcBorders>
          </w:tcPr>
          <w:p w:rsidR="0002219B" w:rsidRPr="00FB60EB" w:rsidRDefault="0002219B" w:rsidP="0089729F">
            <w:r w:rsidRPr="00390B09">
              <w:t>50,390</w:t>
            </w:r>
          </w:p>
        </w:tc>
        <w:tc>
          <w:tcPr>
            <w:tcW w:w="1597" w:type="dxa"/>
            <w:tcBorders>
              <w:bottom w:val="single" w:sz="4" w:space="0" w:color="auto"/>
            </w:tcBorders>
          </w:tcPr>
          <w:p w:rsidR="0002219B" w:rsidRPr="00FB60EB" w:rsidRDefault="0002219B" w:rsidP="0089729F">
            <w:r w:rsidRPr="00FB60EB">
              <w:t>51,798</w:t>
            </w:r>
          </w:p>
        </w:tc>
        <w:tc>
          <w:tcPr>
            <w:tcW w:w="1597" w:type="dxa"/>
            <w:tcBorders>
              <w:bottom w:val="single" w:sz="4" w:space="0" w:color="auto"/>
            </w:tcBorders>
          </w:tcPr>
          <w:p w:rsidR="0002219B" w:rsidRPr="00FB60EB" w:rsidRDefault="0002219B" w:rsidP="0089729F">
            <w:r w:rsidRPr="00FB60EB">
              <w:t>53,752</w:t>
            </w:r>
          </w:p>
        </w:tc>
      </w:tr>
      <w:tr w:rsidR="0002219B" w:rsidTr="0002219B">
        <w:trPr>
          <w:trHeight w:val="480"/>
        </w:trPr>
        <w:tc>
          <w:tcPr>
            <w:tcW w:w="3682" w:type="dxa"/>
            <w:shd w:val="clear" w:color="auto" w:fill="F2F2F2" w:themeFill="background1" w:themeFillShade="F2"/>
          </w:tcPr>
          <w:p w:rsidR="0002219B" w:rsidRPr="00D37B73" w:rsidRDefault="0002219B" w:rsidP="009B2351">
            <w:pPr>
              <w:rPr>
                <w:b/>
              </w:rPr>
            </w:pPr>
            <w:r w:rsidRPr="00D37B73">
              <w:rPr>
                <w:b/>
              </w:rPr>
              <w:t>Growth</w:t>
            </w:r>
          </w:p>
        </w:tc>
        <w:tc>
          <w:tcPr>
            <w:tcW w:w="1600" w:type="dxa"/>
            <w:shd w:val="clear" w:color="auto" w:fill="F2F2F2" w:themeFill="background1" w:themeFillShade="F2"/>
          </w:tcPr>
          <w:p w:rsidR="0002219B" w:rsidRPr="00FB60EB" w:rsidRDefault="0002219B" w:rsidP="0089729F">
            <w:r w:rsidRPr="00FB60EB">
              <w:t>-</w:t>
            </w:r>
          </w:p>
        </w:tc>
        <w:tc>
          <w:tcPr>
            <w:tcW w:w="1600" w:type="dxa"/>
            <w:shd w:val="clear" w:color="auto" w:fill="F2F2F2" w:themeFill="background1" w:themeFillShade="F2"/>
          </w:tcPr>
          <w:p w:rsidR="0002219B" w:rsidRPr="00FB60EB" w:rsidRDefault="0002219B" w:rsidP="0089729F">
            <w:r>
              <w:t>-1%</w:t>
            </w:r>
          </w:p>
        </w:tc>
        <w:tc>
          <w:tcPr>
            <w:tcW w:w="1597" w:type="dxa"/>
            <w:shd w:val="clear" w:color="auto" w:fill="F2F2F2" w:themeFill="background1" w:themeFillShade="F2"/>
          </w:tcPr>
          <w:p w:rsidR="0002219B" w:rsidRPr="00FB60EB" w:rsidRDefault="0002219B" w:rsidP="0089729F">
            <w:r>
              <w:t>3</w:t>
            </w:r>
            <w:r w:rsidRPr="00FB60EB">
              <w:t>%</w:t>
            </w:r>
          </w:p>
        </w:tc>
        <w:tc>
          <w:tcPr>
            <w:tcW w:w="1597" w:type="dxa"/>
            <w:shd w:val="clear" w:color="auto" w:fill="F2F2F2" w:themeFill="background1" w:themeFillShade="F2"/>
          </w:tcPr>
          <w:p w:rsidR="0002219B" w:rsidRPr="00FB60EB" w:rsidRDefault="0002219B" w:rsidP="0089729F">
            <w:r>
              <w:t>4</w:t>
            </w:r>
            <w:r w:rsidRPr="00FB60EB">
              <w:t>%</w:t>
            </w:r>
          </w:p>
        </w:tc>
      </w:tr>
    </w:tbl>
    <w:p w:rsidR="0002219B" w:rsidRPr="00F614E6" w:rsidRDefault="0002219B" w:rsidP="0002219B">
      <w:r>
        <w:t xml:space="preserve">Although there was a four per cent increase in the number of people we assisted, we know there are many more </w:t>
      </w:r>
      <w:r w:rsidRPr="00C744A1">
        <w:t>Victorians who are missing out</w:t>
      </w:r>
      <w:r>
        <w:t xml:space="preserve"> on legal help. Our clients are among the most disadvantaged in Victoria and as the below statistics indicate, the level of disadvantage is increasing. In the past six months: </w:t>
      </w:r>
    </w:p>
    <w:p w:rsidR="0002219B" w:rsidRPr="00F614E6" w:rsidRDefault="0002219B" w:rsidP="0002219B">
      <w:pPr>
        <w:pStyle w:val="ListParagraph"/>
        <w:numPr>
          <w:ilvl w:val="0"/>
          <w:numId w:val="36"/>
        </w:numPr>
      </w:pPr>
      <w:r w:rsidRPr="00F614E6">
        <w:t>15</w:t>
      </w:r>
      <w:r>
        <w:t>,</w:t>
      </w:r>
      <w:r w:rsidRPr="00F614E6">
        <w:t>759</w:t>
      </w:r>
      <w:r>
        <w:t xml:space="preserve"> </w:t>
      </w:r>
      <w:r w:rsidRPr="00F614E6">
        <w:t>clients</w:t>
      </w:r>
      <w:r>
        <w:t xml:space="preserve"> (29 per cent) </w:t>
      </w:r>
      <w:r w:rsidRPr="00F614E6">
        <w:t>report</w:t>
      </w:r>
      <w:r>
        <w:t xml:space="preserve">ed having </w:t>
      </w:r>
      <w:r w:rsidRPr="00F614E6">
        <w:t xml:space="preserve">no income, up </w:t>
      </w:r>
      <w:r>
        <w:t>five</w:t>
      </w:r>
      <w:r w:rsidRPr="00F614E6">
        <w:t xml:space="preserve"> per cent</w:t>
      </w:r>
    </w:p>
    <w:p w:rsidR="0002219B" w:rsidRPr="00F614E6" w:rsidRDefault="0002219B" w:rsidP="0002219B">
      <w:pPr>
        <w:pStyle w:val="ListParagraph"/>
        <w:numPr>
          <w:ilvl w:val="0"/>
          <w:numId w:val="36"/>
        </w:numPr>
      </w:pPr>
      <w:r w:rsidRPr="00E536A5">
        <w:t>2</w:t>
      </w:r>
      <w:r>
        <w:t>,</w:t>
      </w:r>
      <w:r w:rsidRPr="00E536A5">
        <w:t>945</w:t>
      </w:r>
      <w:r>
        <w:t xml:space="preserve"> </w:t>
      </w:r>
      <w:r w:rsidRPr="00F614E6">
        <w:t xml:space="preserve">clients </w:t>
      </w:r>
      <w:r>
        <w:t xml:space="preserve">(five per cent) reported being </w:t>
      </w:r>
      <w:r w:rsidRPr="00F614E6">
        <w:t xml:space="preserve">homeless, up </w:t>
      </w:r>
      <w:r>
        <w:t>10</w:t>
      </w:r>
      <w:r w:rsidRPr="00F614E6">
        <w:t xml:space="preserve"> per cent</w:t>
      </w:r>
    </w:p>
    <w:p w:rsidR="0002219B" w:rsidRPr="00F614E6" w:rsidRDefault="0002219B" w:rsidP="0002219B">
      <w:pPr>
        <w:pStyle w:val="ListParagraph"/>
        <w:numPr>
          <w:ilvl w:val="0"/>
          <w:numId w:val="36"/>
        </w:numPr>
      </w:pPr>
      <w:r w:rsidRPr="00E536A5">
        <w:t>2</w:t>
      </w:r>
      <w:r>
        <w:t>,</w:t>
      </w:r>
      <w:r w:rsidRPr="00E536A5">
        <w:t>452</w:t>
      </w:r>
      <w:r>
        <w:t xml:space="preserve"> </w:t>
      </w:r>
      <w:r w:rsidRPr="00F614E6">
        <w:t>clients</w:t>
      </w:r>
      <w:r>
        <w:t xml:space="preserve"> (five per cent) of clients required an interpreter</w:t>
      </w:r>
      <w:r w:rsidRPr="00F614E6">
        <w:t xml:space="preserve">, up </w:t>
      </w:r>
      <w:r>
        <w:t>five</w:t>
      </w:r>
      <w:r w:rsidRPr="00F614E6">
        <w:t xml:space="preserve"> per cent</w:t>
      </w:r>
    </w:p>
    <w:p w:rsidR="0002219B" w:rsidRPr="00F614E6" w:rsidRDefault="0002219B" w:rsidP="0002219B">
      <w:pPr>
        <w:pStyle w:val="ListParagraph"/>
        <w:numPr>
          <w:ilvl w:val="0"/>
          <w:numId w:val="36"/>
        </w:numPr>
      </w:pPr>
      <w:r w:rsidRPr="00E536A5">
        <w:t>2</w:t>
      </w:r>
      <w:r>
        <w:t>,</w:t>
      </w:r>
      <w:r w:rsidRPr="00E536A5">
        <w:t>740</w:t>
      </w:r>
      <w:r>
        <w:t xml:space="preserve"> clients (five per cent) identified as an </w:t>
      </w:r>
      <w:r w:rsidRPr="00F614E6">
        <w:t xml:space="preserve">Aboriginal or Torres Strait Islander, up </w:t>
      </w:r>
      <w:r>
        <w:t>four</w:t>
      </w:r>
      <w:r w:rsidRPr="00F614E6">
        <w:t xml:space="preserve"> per cent</w:t>
      </w:r>
    </w:p>
    <w:p w:rsidR="0002219B" w:rsidRDefault="0002219B" w:rsidP="0002219B">
      <w:pPr>
        <w:pStyle w:val="ListParagraph"/>
        <w:numPr>
          <w:ilvl w:val="0"/>
          <w:numId w:val="36"/>
        </w:numPr>
      </w:pPr>
      <w:r w:rsidRPr="00E536A5">
        <w:t>11</w:t>
      </w:r>
      <w:r>
        <w:t>,</w:t>
      </w:r>
      <w:r w:rsidRPr="00E536A5">
        <w:t>208</w:t>
      </w:r>
      <w:r>
        <w:t xml:space="preserve"> clients (21 per cent) identified as being from a </w:t>
      </w:r>
      <w:r w:rsidRPr="00F614E6">
        <w:t xml:space="preserve">Culturally and Linguistically Diverse </w:t>
      </w:r>
      <w:r>
        <w:t xml:space="preserve">background, up six per cent. </w:t>
      </w:r>
    </w:p>
    <w:p w:rsidR="0002219B" w:rsidRPr="00AB66DF" w:rsidRDefault="0002219B" w:rsidP="0002219B">
      <w:pPr>
        <w:pStyle w:val="Heading2"/>
      </w:pPr>
      <w:r>
        <w:t>Spotlight—overburdened and congested</w:t>
      </w:r>
    </w:p>
    <w:p w:rsidR="0002219B" w:rsidRDefault="0002219B" w:rsidP="0002219B">
      <w:r w:rsidRPr="00807FC1">
        <w:t xml:space="preserve">The pressures within the busiest part of </w:t>
      </w:r>
      <w:r>
        <w:t xml:space="preserve">the </w:t>
      </w:r>
      <w:r w:rsidRPr="00807FC1">
        <w:t xml:space="preserve">criminal justice system, the Magistrates’ Court, have been building over several years. </w:t>
      </w:r>
      <w:r>
        <w:t>M</w:t>
      </w:r>
      <w:r w:rsidRPr="00807FC1">
        <w:t>ajor drivers include additional police, changes to sentencing an</w:t>
      </w:r>
      <w:r>
        <w:t>d bail laws, increased harm associated with more potent drug use and</w:t>
      </w:r>
      <w:r w:rsidRPr="00807FC1">
        <w:t xml:space="preserve"> incr</w:t>
      </w:r>
      <w:r>
        <w:t>eased family violence reporting.</w:t>
      </w:r>
    </w:p>
    <w:p w:rsidR="0002219B" w:rsidRPr="00807FC1" w:rsidRDefault="0002219B" w:rsidP="0002219B">
      <w:r>
        <w:lastRenderedPageBreak/>
        <w:t>O</w:t>
      </w:r>
      <w:r w:rsidRPr="00807FC1">
        <w:t>ur ability to help th</w:t>
      </w:r>
      <w:r>
        <w:t xml:space="preserve">e neediest people is compromised because the system is congested, and we </w:t>
      </w:r>
      <w:r w:rsidRPr="00807FC1">
        <w:t xml:space="preserve">will not be able to cope with </w:t>
      </w:r>
      <w:r>
        <w:t xml:space="preserve">the </w:t>
      </w:r>
      <w:r w:rsidRPr="00807FC1">
        <w:t>additional pressure thousands of extra police will bring over the next few years, unless we receive more funding.</w:t>
      </w:r>
    </w:p>
    <w:p w:rsidR="0002219B" w:rsidRPr="00807FC1" w:rsidRDefault="0002219B" w:rsidP="0002219B">
      <w:r>
        <w:t xml:space="preserve">Importantly, it is </w:t>
      </w:r>
      <w:r w:rsidRPr="00807FC1">
        <w:t>not just the volume of matters that the system is struggling with</w:t>
      </w:r>
      <w:r>
        <w:t xml:space="preserve">. The </w:t>
      </w:r>
      <w:r w:rsidRPr="00807FC1">
        <w:t>summary crime evaluation report, released in June 2017, also highlighted that matters have become more complex. There was consensus amongst lawyers, prosecut</w:t>
      </w:r>
      <w:r>
        <w:t>ors</w:t>
      </w:r>
      <w:r w:rsidRPr="00807FC1">
        <w:t xml:space="preserve"> and magistrates </w:t>
      </w:r>
      <w:r>
        <w:t>about</w:t>
      </w:r>
      <w:r w:rsidRPr="00807FC1">
        <w:t xml:space="preserve"> an increase </w:t>
      </w:r>
      <w:r>
        <w:t xml:space="preserve">in people remanded in custody </w:t>
      </w:r>
      <w:r w:rsidRPr="00807FC1">
        <w:t>present</w:t>
      </w:r>
      <w:r>
        <w:t>ing</w:t>
      </w:r>
      <w:r w:rsidRPr="00807FC1">
        <w:t xml:space="preserve"> for duty lawyer assistance with complex, intertwined, personal issues such as mental illness, intellectual disability, brain injury, drug use, alcoholism and homelessness. </w:t>
      </w:r>
    </w:p>
    <w:p w:rsidR="0002219B" w:rsidRDefault="0002219B" w:rsidP="0002219B">
      <w:pPr>
        <w:rPr>
          <w:b/>
          <w:bCs/>
        </w:rPr>
      </w:pPr>
      <w:r w:rsidRPr="00807FC1">
        <w:t xml:space="preserve">Additional State Government </w:t>
      </w:r>
      <w:r>
        <w:t xml:space="preserve">funding </w:t>
      </w:r>
      <w:r w:rsidRPr="00807FC1">
        <w:t xml:space="preserve">received in the Budget last year </w:t>
      </w:r>
      <w:r>
        <w:t xml:space="preserve">has </w:t>
      </w:r>
      <w:r w:rsidRPr="00807FC1">
        <w:t>provided much needed relief</w:t>
      </w:r>
      <w:r>
        <w:t>, but it has not fixed the underlying problem of investment in police without matched investment in courts and legal aid.</w:t>
      </w:r>
    </w:p>
    <w:p w:rsidR="0002219B" w:rsidRDefault="0002219B" w:rsidP="0002219B">
      <w:pPr>
        <w:pStyle w:val="Heading3"/>
      </w:pPr>
      <w:r>
        <w:t>Summary crime in focus</w:t>
      </w:r>
    </w:p>
    <w:tbl>
      <w:tblPr>
        <w:tblW w:w="5000" w:type="pct"/>
        <w:tblCellMar>
          <w:left w:w="0" w:type="dxa"/>
          <w:right w:w="0" w:type="dxa"/>
        </w:tblCellMar>
        <w:tblLook w:val="04A0" w:firstRow="1" w:lastRow="0" w:firstColumn="1" w:lastColumn="0" w:noHBand="0" w:noVBand="1"/>
      </w:tblPr>
      <w:tblGrid>
        <w:gridCol w:w="1897"/>
        <w:gridCol w:w="1021"/>
        <w:gridCol w:w="1021"/>
        <w:gridCol w:w="1021"/>
        <w:gridCol w:w="1021"/>
        <w:gridCol w:w="1021"/>
        <w:gridCol w:w="1021"/>
        <w:gridCol w:w="1021"/>
        <w:gridCol w:w="1022"/>
      </w:tblGrid>
      <w:tr w:rsidR="0002219B" w:rsidTr="0002219B">
        <w:trPr>
          <w:tblHeader/>
        </w:trPr>
        <w:tc>
          <w:tcPr>
            <w:tcW w:w="189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2219B" w:rsidRPr="00D97518" w:rsidRDefault="0002219B" w:rsidP="0002219B">
            <w:pPr>
              <w:spacing w:before="60" w:after="60" w:line="240" w:lineRule="atLeast"/>
              <w:rPr>
                <w:rFonts w:cs="Arial"/>
                <w:b/>
                <w:bCs/>
                <w:szCs w:val="22"/>
              </w:rPr>
            </w:pPr>
            <w:r>
              <w:rPr>
                <w:b/>
                <w:bCs/>
                <w:color w:val="000000"/>
                <w:lang w:eastAsia="en-AU"/>
              </w:rPr>
              <w:t>Summary crime</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2219B" w:rsidRPr="00D97518" w:rsidRDefault="0002219B" w:rsidP="0002219B">
            <w:pPr>
              <w:spacing w:before="60" w:after="60" w:line="240" w:lineRule="atLeast"/>
              <w:rPr>
                <w:rFonts w:cs="Arial"/>
                <w:b/>
                <w:bCs/>
                <w:szCs w:val="22"/>
              </w:rPr>
            </w:pPr>
            <w:r>
              <w:rPr>
                <w:b/>
                <w:bCs/>
                <w:color w:val="000000"/>
                <w:lang w:eastAsia="en-AU"/>
              </w:rPr>
              <w:t>30 June 2014</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2219B" w:rsidRPr="00D97518" w:rsidRDefault="0002219B" w:rsidP="0002219B">
            <w:pPr>
              <w:spacing w:before="60" w:after="60" w:line="240" w:lineRule="atLeast"/>
              <w:rPr>
                <w:rFonts w:cs="Arial"/>
                <w:b/>
                <w:bCs/>
                <w:szCs w:val="22"/>
              </w:rPr>
            </w:pPr>
            <w:r>
              <w:rPr>
                <w:b/>
                <w:bCs/>
                <w:color w:val="000000"/>
                <w:lang w:eastAsia="en-AU"/>
              </w:rPr>
              <w:t>30 June 2015</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2219B" w:rsidRPr="00D97518" w:rsidRDefault="0002219B" w:rsidP="0002219B">
            <w:pPr>
              <w:spacing w:before="60" w:after="60" w:line="240" w:lineRule="atLeast"/>
              <w:rPr>
                <w:rFonts w:cs="Arial"/>
                <w:b/>
                <w:bCs/>
                <w:szCs w:val="22"/>
              </w:rPr>
            </w:pPr>
            <w:r>
              <w:rPr>
                <w:b/>
                <w:bCs/>
                <w:color w:val="000000"/>
                <w:lang w:eastAsia="en-AU"/>
              </w:rPr>
              <w:t>30 June 2016</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2219B" w:rsidRPr="00D97518" w:rsidRDefault="0002219B" w:rsidP="0002219B">
            <w:pPr>
              <w:spacing w:before="60" w:after="60" w:line="240" w:lineRule="atLeast"/>
              <w:rPr>
                <w:rFonts w:cs="Arial"/>
                <w:b/>
                <w:bCs/>
                <w:szCs w:val="22"/>
              </w:rPr>
            </w:pPr>
            <w:r>
              <w:rPr>
                <w:b/>
                <w:bCs/>
                <w:color w:val="000000"/>
                <w:lang w:eastAsia="en-AU"/>
              </w:rPr>
              <w:t>30 June 2017</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2219B" w:rsidRPr="00D97518" w:rsidRDefault="0002219B" w:rsidP="0002219B">
            <w:pPr>
              <w:spacing w:before="60" w:after="60" w:line="240" w:lineRule="atLeast"/>
              <w:rPr>
                <w:rFonts w:cs="Arial"/>
                <w:b/>
                <w:bCs/>
                <w:szCs w:val="22"/>
              </w:rPr>
            </w:pPr>
            <w:r>
              <w:rPr>
                <w:b/>
                <w:bCs/>
                <w:color w:val="000000"/>
                <w:lang w:eastAsia="en-AU"/>
              </w:rPr>
              <w:t>30 June 2018</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2219B" w:rsidRPr="00D97518" w:rsidRDefault="0002219B" w:rsidP="0002219B">
            <w:pPr>
              <w:spacing w:before="60" w:after="60" w:line="240" w:lineRule="atLeast"/>
              <w:rPr>
                <w:rFonts w:cs="Arial"/>
                <w:b/>
                <w:bCs/>
                <w:szCs w:val="22"/>
              </w:rPr>
            </w:pPr>
            <w:r>
              <w:rPr>
                <w:b/>
                <w:bCs/>
                <w:color w:val="000000"/>
                <w:lang w:eastAsia="en-AU"/>
              </w:rPr>
              <w:t>30 June 2019</w:t>
            </w:r>
          </w:p>
        </w:tc>
        <w:tc>
          <w:tcPr>
            <w:tcW w:w="10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2219B" w:rsidRPr="00D97518" w:rsidRDefault="0002219B" w:rsidP="0002219B">
            <w:pPr>
              <w:spacing w:before="60" w:after="60" w:line="240" w:lineRule="atLeast"/>
              <w:rPr>
                <w:rFonts w:cs="Arial"/>
                <w:b/>
                <w:bCs/>
                <w:szCs w:val="22"/>
              </w:rPr>
            </w:pPr>
            <w:r>
              <w:rPr>
                <w:b/>
                <w:bCs/>
                <w:color w:val="000000"/>
                <w:lang w:eastAsia="en-AU"/>
              </w:rPr>
              <w:t>30 June 2020</w:t>
            </w:r>
          </w:p>
        </w:tc>
        <w:tc>
          <w:tcPr>
            <w:tcW w:w="10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2219B" w:rsidRPr="00D97518" w:rsidRDefault="0002219B" w:rsidP="0002219B">
            <w:pPr>
              <w:spacing w:before="60" w:after="60" w:line="240" w:lineRule="atLeast"/>
              <w:rPr>
                <w:rFonts w:cs="Arial"/>
                <w:b/>
                <w:bCs/>
                <w:szCs w:val="22"/>
              </w:rPr>
            </w:pPr>
            <w:r>
              <w:rPr>
                <w:b/>
                <w:bCs/>
                <w:color w:val="000000"/>
                <w:lang w:eastAsia="en-AU"/>
              </w:rPr>
              <w:t>30 June 2021</w:t>
            </w:r>
          </w:p>
        </w:tc>
      </w:tr>
      <w:tr w:rsidR="0002219B" w:rsidTr="0002219B">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219B" w:rsidRPr="00D97518" w:rsidRDefault="0002219B" w:rsidP="009B2351">
            <w:pPr>
              <w:spacing w:before="60" w:after="60" w:line="240" w:lineRule="atLeast"/>
              <w:rPr>
                <w:rFonts w:cs="Arial"/>
                <w:szCs w:val="22"/>
              </w:rPr>
            </w:pPr>
            <w:r>
              <w:rPr>
                <w:color w:val="000000"/>
                <w:lang w:eastAsia="en-AU"/>
              </w:rPr>
              <w:t>Grants of legal assistance</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19B" w:rsidRPr="00D97518" w:rsidRDefault="0002219B" w:rsidP="0089729F">
            <w:pPr>
              <w:spacing w:before="60" w:after="60" w:line="240" w:lineRule="atLeast"/>
              <w:rPr>
                <w:rFonts w:cs="Arial"/>
                <w:szCs w:val="22"/>
              </w:rPr>
            </w:pPr>
            <w:r>
              <w:rPr>
                <w:color w:val="000000"/>
                <w:lang w:eastAsia="en-AU"/>
              </w:rPr>
              <w:t>11,896</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19B" w:rsidRPr="00D97518" w:rsidRDefault="0002219B" w:rsidP="0089729F">
            <w:pPr>
              <w:spacing w:before="60" w:after="60" w:line="240" w:lineRule="atLeast"/>
              <w:rPr>
                <w:rFonts w:cs="Arial"/>
                <w:szCs w:val="22"/>
              </w:rPr>
            </w:pPr>
            <w:r>
              <w:rPr>
                <w:color w:val="000000"/>
                <w:lang w:eastAsia="en-AU"/>
              </w:rPr>
              <w:t>12,604</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19B" w:rsidRPr="00D97518" w:rsidRDefault="0002219B" w:rsidP="0089729F">
            <w:pPr>
              <w:spacing w:before="60" w:after="60" w:line="240" w:lineRule="atLeast"/>
              <w:rPr>
                <w:rFonts w:cs="Arial"/>
                <w:szCs w:val="22"/>
              </w:rPr>
            </w:pPr>
            <w:r>
              <w:rPr>
                <w:color w:val="000000"/>
                <w:lang w:eastAsia="en-AU"/>
              </w:rPr>
              <w:t>14,591</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219B" w:rsidRPr="00D97518" w:rsidRDefault="0002219B" w:rsidP="0089729F">
            <w:pPr>
              <w:spacing w:before="60" w:after="60" w:line="240" w:lineRule="atLeast"/>
              <w:rPr>
                <w:rFonts w:cs="Arial"/>
                <w:szCs w:val="22"/>
              </w:rPr>
            </w:pPr>
            <w:r>
              <w:rPr>
                <w:color w:val="000000"/>
                <w:lang w:eastAsia="en-AU"/>
              </w:rPr>
              <w:t>16,502</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17,491</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20,416</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21,990</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23,252</w:t>
            </w:r>
          </w:p>
        </w:tc>
      </w:tr>
      <w:tr w:rsidR="0002219B" w:rsidTr="0002219B">
        <w:tc>
          <w:tcPr>
            <w:tcW w:w="189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02219B" w:rsidRPr="00D97518" w:rsidRDefault="0002219B" w:rsidP="009B2351">
            <w:pPr>
              <w:spacing w:before="60" w:after="60" w:line="240" w:lineRule="atLeast"/>
              <w:rPr>
                <w:rFonts w:cs="Arial"/>
                <w:bCs/>
                <w:szCs w:val="22"/>
              </w:rPr>
            </w:pPr>
            <w:r>
              <w:rPr>
                <w:color w:val="000000"/>
                <w:lang w:eastAsia="en-AU"/>
              </w:rPr>
              <w:t>Growth</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02219B" w:rsidRPr="00D97518" w:rsidRDefault="0002219B" w:rsidP="0089729F">
            <w:pPr>
              <w:spacing w:before="60" w:after="60" w:line="240" w:lineRule="atLeast"/>
              <w:rPr>
                <w:rFonts w:cs="Arial"/>
                <w:szCs w:val="22"/>
              </w:rPr>
            </w:pPr>
            <w:r>
              <w:rPr>
                <w:color w:val="000000"/>
                <w:lang w:eastAsia="en-AU"/>
              </w:rPr>
              <w:t>- </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02219B" w:rsidRPr="00D97518" w:rsidRDefault="0002219B" w:rsidP="0089729F">
            <w:pPr>
              <w:spacing w:before="60" w:after="60" w:line="240" w:lineRule="atLeast"/>
              <w:rPr>
                <w:rFonts w:cs="Arial"/>
                <w:szCs w:val="22"/>
              </w:rPr>
            </w:pPr>
            <w:r>
              <w:rPr>
                <w:color w:val="000000"/>
                <w:lang w:eastAsia="en-AU"/>
              </w:rPr>
              <w:t>6%</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02219B" w:rsidRPr="00D97518" w:rsidRDefault="0002219B" w:rsidP="0089729F">
            <w:pPr>
              <w:spacing w:before="60" w:after="60" w:line="240" w:lineRule="atLeast"/>
              <w:rPr>
                <w:rFonts w:cs="Arial"/>
                <w:szCs w:val="22"/>
              </w:rPr>
            </w:pPr>
            <w:r>
              <w:rPr>
                <w:color w:val="000000"/>
                <w:lang w:eastAsia="en-AU"/>
              </w:rPr>
              <w:t>16%</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02219B" w:rsidRPr="00D97518" w:rsidRDefault="0002219B" w:rsidP="0089729F">
            <w:pPr>
              <w:spacing w:before="60" w:after="60" w:line="240" w:lineRule="atLeast"/>
              <w:rPr>
                <w:rFonts w:cs="Arial"/>
                <w:szCs w:val="22"/>
              </w:rPr>
            </w:pPr>
            <w:r>
              <w:rPr>
                <w:color w:val="000000"/>
                <w:lang w:eastAsia="en-AU"/>
              </w:rPr>
              <w:t>13%</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6%</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17%</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8%</w:t>
            </w:r>
          </w:p>
        </w:tc>
        <w:tc>
          <w:tcPr>
            <w:tcW w:w="102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6%</w:t>
            </w:r>
          </w:p>
        </w:tc>
      </w:tr>
      <w:tr w:rsidR="0002219B" w:rsidTr="0002219B">
        <w:tc>
          <w:tcPr>
            <w:tcW w:w="18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2219B" w:rsidRPr="00D97518" w:rsidRDefault="0002219B" w:rsidP="009B2351">
            <w:pPr>
              <w:spacing w:before="60" w:after="60" w:line="240" w:lineRule="atLeast"/>
              <w:rPr>
                <w:rFonts w:cs="Arial"/>
                <w:bCs/>
                <w:szCs w:val="22"/>
              </w:rPr>
            </w:pPr>
            <w:r>
              <w:rPr>
                <w:color w:val="000000"/>
                <w:lang w:eastAsia="en-AU"/>
              </w:rPr>
              <w:t>Duty Lawyer Services</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19B" w:rsidRPr="00D97518" w:rsidRDefault="0002219B" w:rsidP="0089729F">
            <w:pPr>
              <w:spacing w:before="60" w:after="60" w:line="240" w:lineRule="atLeast"/>
              <w:rPr>
                <w:rFonts w:cs="Arial"/>
                <w:bCs/>
                <w:szCs w:val="22"/>
              </w:rPr>
            </w:pPr>
            <w:r>
              <w:rPr>
                <w:color w:val="000000"/>
                <w:lang w:eastAsia="en-AU"/>
              </w:rPr>
              <w:t>46,507</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19B" w:rsidRPr="00D97518" w:rsidRDefault="0002219B" w:rsidP="0089729F">
            <w:pPr>
              <w:spacing w:before="60" w:after="60" w:line="240" w:lineRule="atLeast"/>
              <w:rPr>
                <w:rFonts w:cs="Arial"/>
                <w:bCs/>
                <w:szCs w:val="22"/>
              </w:rPr>
            </w:pPr>
            <w:r>
              <w:rPr>
                <w:color w:val="000000"/>
                <w:lang w:eastAsia="en-AU"/>
              </w:rPr>
              <w:t>53,529</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19B" w:rsidRPr="00D97518" w:rsidRDefault="0002219B" w:rsidP="0089729F">
            <w:pPr>
              <w:spacing w:before="60" w:after="60" w:line="240" w:lineRule="atLeast"/>
              <w:rPr>
                <w:rFonts w:cs="Arial"/>
                <w:bCs/>
                <w:szCs w:val="22"/>
              </w:rPr>
            </w:pPr>
            <w:r>
              <w:rPr>
                <w:color w:val="000000"/>
                <w:lang w:eastAsia="en-AU"/>
              </w:rPr>
              <w:t>56,546</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19B" w:rsidRPr="00D97518" w:rsidRDefault="0002219B" w:rsidP="0089729F">
            <w:pPr>
              <w:spacing w:before="60" w:after="60" w:line="240" w:lineRule="atLeast"/>
              <w:rPr>
                <w:rFonts w:cs="Arial"/>
                <w:bCs/>
                <w:szCs w:val="22"/>
              </w:rPr>
            </w:pPr>
            <w:r>
              <w:rPr>
                <w:color w:val="000000"/>
                <w:lang w:eastAsia="en-AU"/>
              </w:rPr>
              <w:t>61,856</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19B" w:rsidRPr="00D97518" w:rsidRDefault="0002219B" w:rsidP="0089729F">
            <w:pPr>
              <w:spacing w:before="60" w:after="60" w:line="240" w:lineRule="atLeast"/>
              <w:rPr>
                <w:rFonts w:cs="Arial"/>
                <w:bCs/>
                <w:szCs w:val="22"/>
              </w:rPr>
            </w:pPr>
            <w:r>
              <w:rPr>
                <w:color w:val="000000"/>
                <w:lang w:eastAsia="en-AU"/>
              </w:rPr>
              <w:t>64,484</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19B" w:rsidRPr="00D97518" w:rsidRDefault="0002219B" w:rsidP="0089729F">
            <w:pPr>
              <w:spacing w:before="60" w:after="60" w:line="240" w:lineRule="atLeast"/>
              <w:rPr>
                <w:rFonts w:cs="Arial"/>
                <w:bCs/>
                <w:szCs w:val="22"/>
              </w:rPr>
            </w:pPr>
            <w:r>
              <w:rPr>
                <w:color w:val="000000"/>
                <w:lang w:eastAsia="en-AU"/>
              </w:rPr>
              <w:t>71,418</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19B" w:rsidRPr="00D97518" w:rsidRDefault="0002219B" w:rsidP="0089729F">
            <w:pPr>
              <w:spacing w:before="60" w:after="60" w:line="240" w:lineRule="atLeast"/>
              <w:rPr>
                <w:rFonts w:cs="Arial"/>
                <w:bCs/>
                <w:szCs w:val="22"/>
              </w:rPr>
            </w:pPr>
            <w:r>
              <w:rPr>
                <w:color w:val="000000"/>
                <w:lang w:eastAsia="en-AU"/>
              </w:rPr>
              <w:t>76,997</w:t>
            </w:r>
          </w:p>
        </w:tc>
        <w:tc>
          <w:tcPr>
            <w:tcW w:w="10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219B" w:rsidRPr="00D97518" w:rsidRDefault="0002219B" w:rsidP="0089729F">
            <w:pPr>
              <w:spacing w:before="60" w:after="60" w:line="240" w:lineRule="atLeast"/>
              <w:rPr>
                <w:rFonts w:cs="Arial"/>
                <w:bCs/>
                <w:szCs w:val="22"/>
              </w:rPr>
            </w:pPr>
            <w:r>
              <w:rPr>
                <w:color w:val="000000"/>
                <w:lang w:eastAsia="en-AU"/>
              </w:rPr>
              <w:t>80,958</w:t>
            </w:r>
          </w:p>
        </w:tc>
      </w:tr>
      <w:tr w:rsidR="0002219B" w:rsidTr="0002219B">
        <w:tc>
          <w:tcPr>
            <w:tcW w:w="189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02219B" w:rsidRPr="00D97518" w:rsidRDefault="0002219B" w:rsidP="009B2351">
            <w:pPr>
              <w:spacing w:before="60" w:after="60" w:line="240" w:lineRule="atLeast"/>
              <w:rPr>
                <w:rFonts w:cs="Arial"/>
                <w:bCs/>
                <w:szCs w:val="22"/>
              </w:rPr>
            </w:pPr>
            <w:r>
              <w:rPr>
                <w:color w:val="000000"/>
                <w:lang w:eastAsia="en-AU"/>
              </w:rPr>
              <w:t>Growth</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 </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15%</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6%</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9%</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4%</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11%</w:t>
            </w:r>
          </w:p>
        </w:tc>
        <w:tc>
          <w:tcPr>
            <w:tcW w:w="102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8%</w:t>
            </w:r>
          </w:p>
        </w:tc>
        <w:tc>
          <w:tcPr>
            <w:tcW w:w="102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02219B" w:rsidRPr="00D97518" w:rsidRDefault="0002219B" w:rsidP="0089729F">
            <w:pPr>
              <w:spacing w:before="60" w:after="60" w:line="240" w:lineRule="atLeast"/>
              <w:rPr>
                <w:rFonts w:cs="Arial"/>
                <w:szCs w:val="22"/>
              </w:rPr>
            </w:pPr>
            <w:r>
              <w:rPr>
                <w:color w:val="000000"/>
                <w:lang w:eastAsia="en-AU"/>
              </w:rPr>
              <w:t>5%</w:t>
            </w:r>
          </w:p>
        </w:tc>
      </w:tr>
    </w:tbl>
    <w:p w:rsidR="0002219B" w:rsidRDefault="0002219B" w:rsidP="0002219B">
      <w:r w:rsidRPr="0089729F">
        <w:rPr>
          <w:b/>
        </w:rPr>
        <w:t xml:space="preserve">Note: </w:t>
      </w:r>
      <w:r w:rsidRPr="00E67FDF">
        <w:t>VLA service forecast based on Department of Justice and Regulation modelling.</w:t>
      </w:r>
    </w:p>
    <w:p w:rsidR="0002219B" w:rsidRDefault="0002219B" w:rsidP="0002219B">
      <w:r w:rsidRPr="00E67FDF">
        <w:t xml:space="preserve">We are forecasting 17,500 summary crime grants of legal assistance this financial year (2017–18), an increase of six per cent. We also expect a four per cent increase in summary crime duty lawyer services this financial year, up to 64,500 services. Forecasts do not fully incorporate the impact of the additional 3,000 police and bail reform legislation. </w:t>
      </w:r>
    </w:p>
    <w:p w:rsidR="0002219B" w:rsidRDefault="0002219B" w:rsidP="0002219B">
      <w:pPr>
        <w:pStyle w:val="Heading2"/>
      </w:pPr>
      <w:r>
        <w:br w:type="page"/>
      </w:r>
      <w:r>
        <w:lastRenderedPageBreak/>
        <w:t>Program performance report</w:t>
      </w:r>
    </w:p>
    <w:p w:rsidR="0002219B" w:rsidRDefault="0002219B" w:rsidP="0002219B">
      <w:pPr>
        <w:pStyle w:val="Heading3"/>
      </w:pPr>
      <w:r w:rsidRPr="00AF212D">
        <w:t>Access and Equity</w:t>
      </w:r>
    </w:p>
    <w:p w:rsidR="0002219B" w:rsidRDefault="0002219B" w:rsidP="0002219B">
      <w:r w:rsidRPr="00CE68F2">
        <w:t xml:space="preserve">We </w:t>
      </w:r>
      <w:r>
        <w:t xml:space="preserve">must design and provide </w:t>
      </w:r>
      <w:r w:rsidRPr="00CE68F2">
        <w:t xml:space="preserve">services </w:t>
      </w:r>
      <w:r>
        <w:t xml:space="preserve">that </w:t>
      </w:r>
      <w:r w:rsidRPr="00CE68F2">
        <w:t xml:space="preserve">are accessible and appropriate to need. Our work ranges from helping individual clients </w:t>
      </w:r>
      <w:r>
        <w:t xml:space="preserve">with </w:t>
      </w:r>
      <w:r w:rsidRPr="00CE68F2">
        <w:t xml:space="preserve">information and advice </w:t>
      </w:r>
      <w:r>
        <w:t xml:space="preserve">in 24 different languages </w:t>
      </w:r>
      <w:r w:rsidRPr="00CE68F2">
        <w:t>over the phone</w:t>
      </w:r>
      <w:r>
        <w:t>, or with the provision of information via our website, or through our</w:t>
      </w:r>
      <w:r w:rsidRPr="00CE68F2">
        <w:t xml:space="preserve"> </w:t>
      </w:r>
      <w:r>
        <w:t>delivery of community</w:t>
      </w:r>
      <w:r w:rsidRPr="00CE68F2">
        <w:t xml:space="preserve"> </w:t>
      </w:r>
      <w:r>
        <w:t>legal education (which aims to prevent problems from occurring). We also support the community legal sector.</w:t>
      </w:r>
    </w:p>
    <w:p w:rsidR="0002219B" w:rsidRDefault="0002219B" w:rsidP="0002219B">
      <w:pPr>
        <w:pStyle w:val="Heading4"/>
      </w:pPr>
      <w:r>
        <w:t xml:space="preserve"> Legal Help </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198"/>
        <w:gridCol w:w="1558"/>
        <w:gridCol w:w="1599"/>
        <w:gridCol w:w="1425"/>
      </w:tblGrid>
      <w:tr w:rsidR="0002219B" w:rsidRPr="00CF143E" w:rsidTr="0002219B">
        <w:trPr>
          <w:cnfStyle w:val="100000000000" w:firstRow="1" w:lastRow="0" w:firstColumn="0" w:lastColumn="0" w:oddVBand="0" w:evenVBand="0" w:oddHBand="0" w:evenHBand="0" w:firstRowFirstColumn="0" w:firstRowLastColumn="0" w:lastRowFirstColumn="0" w:lastRowLastColumn="0"/>
          <w:cantSplit w:val="0"/>
        </w:trPr>
        <w:tc>
          <w:tcPr>
            <w:tcW w:w="5198" w:type="dxa"/>
            <w:shd w:val="clear" w:color="auto" w:fill="BFBFBF" w:themeFill="background1" w:themeFillShade="BF"/>
          </w:tcPr>
          <w:p w:rsidR="0002219B" w:rsidRPr="00CF143E" w:rsidRDefault="0002219B" w:rsidP="0002219B">
            <w:pPr>
              <w:rPr>
                <w:b/>
                <w:color w:val="000000" w:themeColor="text1"/>
              </w:rPr>
            </w:pPr>
            <w:r>
              <w:rPr>
                <w:b/>
                <w:color w:val="000000" w:themeColor="text1"/>
              </w:rPr>
              <w:t>Legal Help calls</w:t>
            </w:r>
          </w:p>
        </w:tc>
        <w:tc>
          <w:tcPr>
            <w:tcW w:w="1558" w:type="dxa"/>
            <w:shd w:val="clear" w:color="auto" w:fill="BFBFBF" w:themeFill="background1" w:themeFillShade="BF"/>
          </w:tcPr>
          <w:p w:rsidR="0002219B" w:rsidRPr="00F120B1" w:rsidRDefault="0002219B" w:rsidP="0002219B">
            <w:pPr>
              <w:rPr>
                <w:b/>
                <w:color w:val="000000" w:themeColor="text1"/>
              </w:rPr>
            </w:pPr>
            <w:r w:rsidRPr="00F120B1">
              <w:rPr>
                <w:b/>
                <w:color w:val="000000" w:themeColor="text1"/>
              </w:rPr>
              <w:t>31 Dec 2016</w:t>
            </w:r>
          </w:p>
        </w:tc>
        <w:tc>
          <w:tcPr>
            <w:tcW w:w="1599" w:type="dxa"/>
            <w:shd w:val="clear" w:color="auto" w:fill="BFBFBF" w:themeFill="background1" w:themeFillShade="BF"/>
          </w:tcPr>
          <w:p w:rsidR="0002219B" w:rsidRPr="00F120B1" w:rsidRDefault="0002219B" w:rsidP="0002219B">
            <w:pPr>
              <w:rPr>
                <w:b/>
                <w:color w:val="000000" w:themeColor="text1"/>
              </w:rPr>
            </w:pPr>
            <w:r w:rsidRPr="00F120B1">
              <w:rPr>
                <w:b/>
                <w:color w:val="000000" w:themeColor="text1"/>
              </w:rPr>
              <w:t>31 Dec 2017</w:t>
            </w:r>
          </w:p>
        </w:tc>
        <w:tc>
          <w:tcPr>
            <w:tcW w:w="1425" w:type="dxa"/>
            <w:shd w:val="clear" w:color="auto" w:fill="BFBFBF" w:themeFill="background1" w:themeFillShade="BF"/>
          </w:tcPr>
          <w:p w:rsidR="0002219B" w:rsidRPr="00F120B1" w:rsidRDefault="0002219B" w:rsidP="0002219B">
            <w:pPr>
              <w:rPr>
                <w:b/>
                <w:color w:val="000000" w:themeColor="text1"/>
              </w:rPr>
            </w:pPr>
            <w:r w:rsidRPr="00F120B1">
              <w:rPr>
                <w:b/>
                <w:color w:val="000000" w:themeColor="text1"/>
              </w:rPr>
              <w:t>Variance</w:t>
            </w:r>
          </w:p>
        </w:tc>
      </w:tr>
      <w:tr w:rsidR="0002219B" w:rsidRPr="00BC6766" w:rsidTr="0002219B">
        <w:trPr>
          <w:cnfStyle w:val="000000100000" w:firstRow="0" w:lastRow="0" w:firstColumn="0" w:lastColumn="0" w:oddVBand="0" w:evenVBand="0" w:oddHBand="1" w:evenHBand="0" w:firstRowFirstColumn="0" w:firstRowLastColumn="0" w:lastRowFirstColumn="0" w:lastRowLastColumn="0"/>
        </w:trPr>
        <w:tc>
          <w:tcPr>
            <w:tcW w:w="5198" w:type="dxa"/>
          </w:tcPr>
          <w:p w:rsidR="0002219B" w:rsidRPr="00BC6766" w:rsidRDefault="0002219B" w:rsidP="009B2351">
            <w:r w:rsidRPr="00F120B1">
              <w:t>Calls to the service</w:t>
            </w:r>
          </w:p>
        </w:tc>
        <w:tc>
          <w:tcPr>
            <w:tcW w:w="1558" w:type="dxa"/>
          </w:tcPr>
          <w:p w:rsidR="0002219B" w:rsidRPr="00FD1C4F" w:rsidRDefault="0002219B" w:rsidP="0089729F">
            <w:r>
              <w:t>89,592</w:t>
            </w:r>
          </w:p>
        </w:tc>
        <w:tc>
          <w:tcPr>
            <w:tcW w:w="1599" w:type="dxa"/>
          </w:tcPr>
          <w:p w:rsidR="0002219B" w:rsidRPr="00FD1C4F" w:rsidRDefault="0002219B" w:rsidP="0089729F">
            <w:r w:rsidRPr="00FD1C4F">
              <w:t>93,484</w:t>
            </w:r>
          </w:p>
        </w:tc>
        <w:tc>
          <w:tcPr>
            <w:tcW w:w="1425" w:type="dxa"/>
          </w:tcPr>
          <w:p w:rsidR="0002219B" w:rsidRPr="00FD1C4F" w:rsidRDefault="0002219B" w:rsidP="0089729F">
            <w:r>
              <w:t>4%</w:t>
            </w:r>
          </w:p>
        </w:tc>
      </w:tr>
      <w:tr w:rsidR="0002219B" w:rsidRPr="00BC6766" w:rsidTr="0002219B">
        <w:trPr>
          <w:cnfStyle w:val="000000010000" w:firstRow="0" w:lastRow="0" w:firstColumn="0" w:lastColumn="0" w:oddVBand="0" w:evenVBand="0" w:oddHBand="0" w:evenHBand="1" w:firstRowFirstColumn="0" w:firstRowLastColumn="0" w:lastRowFirstColumn="0" w:lastRowLastColumn="0"/>
        </w:trPr>
        <w:tc>
          <w:tcPr>
            <w:tcW w:w="5198" w:type="dxa"/>
          </w:tcPr>
          <w:p w:rsidR="0002219B" w:rsidRPr="00BC6766" w:rsidRDefault="0002219B" w:rsidP="009B2351">
            <w:r>
              <w:t xml:space="preserve">Calls </w:t>
            </w:r>
            <w:r w:rsidRPr="00D91616">
              <w:t>answered</w:t>
            </w:r>
          </w:p>
        </w:tc>
        <w:tc>
          <w:tcPr>
            <w:tcW w:w="1558" w:type="dxa"/>
          </w:tcPr>
          <w:p w:rsidR="0002219B" w:rsidRPr="00FD1C4F" w:rsidRDefault="0002219B" w:rsidP="0089729F">
            <w:r>
              <w:t>59,65</w:t>
            </w:r>
            <w:r w:rsidRPr="00FD1C4F">
              <w:t>5</w:t>
            </w:r>
          </w:p>
        </w:tc>
        <w:tc>
          <w:tcPr>
            <w:tcW w:w="1599" w:type="dxa"/>
          </w:tcPr>
          <w:p w:rsidR="0002219B" w:rsidRPr="00FD1C4F" w:rsidRDefault="0002219B" w:rsidP="0089729F">
            <w:r w:rsidRPr="00FD1C4F">
              <w:t>62,151</w:t>
            </w:r>
          </w:p>
        </w:tc>
        <w:tc>
          <w:tcPr>
            <w:tcW w:w="1425" w:type="dxa"/>
          </w:tcPr>
          <w:p w:rsidR="0002219B" w:rsidRPr="00FD1C4F" w:rsidRDefault="0002219B" w:rsidP="0089729F">
            <w:r w:rsidRPr="00FD1C4F">
              <w:t>4%</w:t>
            </w:r>
          </w:p>
        </w:tc>
      </w:tr>
    </w:tbl>
    <w:p w:rsidR="0002219B" w:rsidRDefault="0002219B" w:rsidP="0089729F">
      <w:pPr>
        <w:pStyle w:val="Heading4"/>
      </w:pPr>
      <w:r>
        <w:t>Average call wait and duration</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73"/>
        <w:gridCol w:w="3273"/>
        <w:gridCol w:w="3234"/>
      </w:tblGrid>
      <w:tr w:rsidR="0002219B" w:rsidRPr="000674AD" w:rsidTr="0002219B">
        <w:trPr>
          <w:cnfStyle w:val="100000000000" w:firstRow="1" w:lastRow="0" w:firstColumn="0" w:lastColumn="0" w:oddVBand="0" w:evenVBand="0" w:oddHBand="0" w:evenHBand="0" w:firstRowFirstColumn="0" w:firstRowLastColumn="0" w:lastRowFirstColumn="0" w:lastRowLastColumn="0"/>
          <w:cantSplit w:val="0"/>
          <w:trHeight w:val="322"/>
        </w:trPr>
        <w:tc>
          <w:tcPr>
            <w:tcW w:w="3273" w:type="dxa"/>
            <w:shd w:val="clear" w:color="auto" w:fill="BFBFBF" w:themeFill="background1" w:themeFillShade="BF"/>
            <w:vAlign w:val="center"/>
          </w:tcPr>
          <w:p w:rsidR="0002219B" w:rsidRPr="00F120B1" w:rsidRDefault="0002219B" w:rsidP="0002219B">
            <w:pPr>
              <w:rPr>
                <w:b/>
                <w:color w:val="000000" w:themeColor="text1"/>
              </w:rPr>
            </w:pPr>
            <w:r>
              <w:rPr>
                <w:b/>
                <w:color w:val="000000" w:themeColor="text1"/>
              </w:rPr>
              <w:t>Year</w:t>
            </w:r>
          </w:p>
        </w:tc>
        <w:tc>
          <w:tcPr>
            <w:tcW w:w="3273" w:type="dxa"/>
            <w:shd w:val="clear" w:color="auto" w:fill="BFBFBF" w:themeFill="background1" w:themeFillShade="BF"/>
          </w:tcPr>
          <w:p w:rsidR="0002219B" w:rsidRPr="000674AD" w:rsidRDefault="0002219B" w:rsidP="0002219B">
            <w:pPr>
              <w:rPr>
                <w:b/>
                <w:color w:val="000000" w:themeColor="text1"/>
              </w:rPr>
            </w:pPr>
            <w:r w:rsidRPr="000674AD">
              <w:rPr>
                <w:b/>
              </w:rPr>
              <w:t>Average call wait</w:t>
            </w:r>
          </w:p>
        </w:tc>
        <w:tc>
          <w:tcPr>
            <w:tcW w:w="3234" w:type="dxa"/>
            <w:shd w:val="clear" w:color="auto" w:fill="BFBFBF" w:themeFill="background1" w:themeFillShade="BF"/>
          </w:tcPr>
          <w:p w:rsidR="0002219B" w:rsidRPr="000674AD" w:rsidRDefault="0002219B" w:rsidP="0002219B">
            <w:pPr>
              <w:rPr>
                <w:b/>
                <w:color w:val="000000" w:themeColor="text1"/>
              </w:rPr>
            </w:pPr>
            <w:r w:rsidRPr="000674AD">
              <w:rPr>
                <w:b/>
              </w:rPr>
              <w:t>Average call duration</w:t>
            </w:r>
          </w:p>
        </w:tc>
      </w:tr>
      <w:tr w:rsidR="0002219B" w:rsidRPr="00BD4690" w:rsidTr="0002219B">
        <w:trPr>
          <w:cnfStyle w:val="000000100000" w:firstRow="0" w:lastRow="0" w:firstColumn="0" w:lastColumn="0" w:oddVBand="0" w:evenVBand="0" w:oddHBand="1" w:evenHBand="0" w:firstRowFirstColumn="0" w:firstRowLastColumn="0" w:lastRowFirstColumn="0" w:lastRowLastColumn="0"/>
          <w:trHeight w:val="310"/>
        </w:trPr>
        <w:tc>
          <w:tcPr>
            <w:tcW w:w="3273" w:type="dxa"/>
            <w:vAlign w:val="center"/>
          </w:tcPr>
          <w:p w:rsidR="0002219B" w:rsidRPr="000674AD" w:rsidRDefault="0002219B" w:rsidP="009B2351">
            <w:r w:rsidRPr="000674AD">
              <w:rPr>
                <w:color w:val="000000" w:themeColor="text1"/>
              </w:rPr>
              <w:t>31 Dec 2016</w:t>
            </w:r>
          </w:p>
        </w:tc>
        <w:tc>
          <w:tcPr>
            <w:tcW w:w="3273" w:type="dxa"/>
          </w:tcPr>
          <w:p w:rsidR="0002219B" w:rsidRPr="00BD4690" w:rsidRDefault="0002219B" w:rsidP="0089729F">
            <w:pPr>
              <w:rPr>
                <w:szCs w:val="22"/>
              </w:rPr>
            </w:pPr>
            <w:r>
              <w:rPr>
                <w:szCs w:val="22"/>
              </w:rPr>
              <w:t>7m 38s</w:t>
            </w:r>
          </w:p>
        </w:tc>
        <w:tc>
          <w:tcPr>
            <w:tcW w:w="3234" w:type="dxa"/>
          </w:tcPr>
          <w:p w:rsidR="0002219B" w:rsidRPr="00BD4690" w:rsidRDefault="0002219B" w:rsidP="0089729F">
            <w:pPr>
              <w:rPr>
                <w:szCs w:val="22"/>
              </w:rPr>
            </w:pPr>
            <w:r w:rsidRPr="00BD4690">
              <w:rPr>
                <w:szCs w:val="22"/>
              </w:rPr>
              <w:t>9m 15s</w:t>
            </w:r>
          </w:p>
        </w:tc>
      </w:tr>
      <w:tr w:rsidR="0002219B" w:rsidRPr="00BD4690" w:rsidTr="0002219B">
        <w:trPr>
          <w:cnfStyle w:val="000000010000" w:firstRow="0" w:lastRow="0" w:firstColumn="0" w:lastColumn="0" w:oddVBand="0" w:evenVBand="0" w:oddHBand="0" w:evenHBand="1" w:firstRowFirstColumn="0" w:firstRowLastColumn="0" w:lastRowFirstColumn="0" w:lastRowLastColumn="0"/>
          <w:trHeight w:val="322"/>
        </w:trPr>
        <w:tc>
          <w:tcPr>
            <w:tcW w:w="3273" w:type="dxa"/>
            <w:vAlign w:val="center"/>
          </w:tcPr>
          <w:p w:rsidR="0002219B" w:rsidRPr="000674AD" w:rsidRDefault="0002219B" w:rsidP="009B2351">
            <w:r w:rsidRPr="000674AD">
              <w:rPr>
                <w:color w:val="000000" w:themeColor="text1"/>
              </w:rPr>
              <w:t>31 Dec 2017</w:t>
            </w:r>
          </w:p>
        </w:tc>
        <w:tc>
          <w:tcPr>
            <w:tcW w:w="3273" w:type="dxa"/>
          </w:tcPr>
          <w:p w:rsidR="0002219B" w:rsidRPr="00BD4690" w:rsidRDefault="0002219B" w:rsidP="0089729F">
            <w:pPr>
              <w:rPr>
                <w:szCs w:val="22"/>
              </w:rPr>
            </w:pPr>
            <w:r w:rsidRPr="00BD4690">
              <w:rPr>
                <w:szCs w:val="22"/>
              </w:rPr>
              <w:t xml:space="preserve">11m </w:t>
            </w:r>
            <w:r>
              <w:rPr>
                <w:szCs w:val="22"/>
              </w:rPr>
              <w:t>5</w:t>
            </w:r>
            <w:r w:rsidRPr="00BD4690">
              <w:rPr>
                <w:szCs w:val="22"/>
              </w:rPr>
              <w:t>s</w:t>
            </w:r>
          </w:p>
        </w:tc>
        <w:tc>
          <w:tcPr>
            <w:tcW w:w="3234" w:type="dxa"/>
          </w:tcPr>
          <w:p w:rsidR="0002219B" w:rsidRPr="00BD4690" w:rsidRDefault="0002219B" w:rsidP="0089729F">
            <w:pPr>
              <w:rPr>
                <w:szCs w:val="22"/>
              </w:rPr>
            </w:pPr>
            <w:r w:rsidRPr="00BD4690">
              <w:rPr>
                <w:szCs w:val="22"/>
              </w:rPr>
              <w:t>10m 6s</w:t>
            </w:r>
          </w:p>
        </w:tc>
      </w:tr>
    </w:tbl>
    <w:p w:rsidR="0002219B" w:rsidRPr="00CE68F2" w:rsidRDefault="0002219B" w:rsidP="0002219B">
      <w:r w:rsidRPr="00CE68F2">
        <w:t xml:space="preserve">Our Legal Help service dealt </w:t>
      </w:r>
      <w:r>
        <w:t xml:space="preserve">with </w:t>
      </w:r>
      <w:r w:rsidRPr="00CE68F2">
        <w:t xml:space="preserve">62,151 calls </w:t>
      </w:r>
      <w:r>
        <w:t>at</w:t>
      </w:r>
      <w:r w:rsidRPr="00CE68F2">
        <w:t xml:space="preserve"> an answer call rate of 66 per cent, which is slightly above the 65 per cent target</w:t>
      </w:r>
      <w:r>
        <w:t>.</w:t>
      </w:r>
      <w:r w:rsidRPr="00CE68F2">
        <w:t xml:space="preserve"> During the past six months, we introduced a new streamlined triage process, meaning more Victorians are receiving </w:t>
      </w:r>
      <w:r>
        <w:t>a better service including more tailored legal</w:t>
      </w:r>
      <w:r w:rsidRPr="00CE68F2">
        <w:t xml:space="preserve"> advice and referrals. We spoke to people for longer periods of time, due to the increase in complex legal and non-legal problems they are experiencing. </w:t>
      </w:r>
    </w:p>
    <w:p w:rsidR="0002219B" w:rsidRPr="00CE68F2" w:rsidRDefault="0002219B" w:rsidP="0002219B">
      <w:r w:rsidRPr="00CE68F2">
        <w:t xml:space="preserve">With the demand to our service increasing (four per cent) and our staff speaking with clients for longer, the average call wait time has increased. The average call wait time target </w:t>
      </w:r>
      <w:r>
        <w:t>was</w:t>
      </w:r>
      <w:r w:rsidRPr="00CE68F2">
        <w:t xml:space="preserve"> three minutes and five seconds </w:t>
      </w:r>
      <w:r>
        <w:t xml:space="preserve">above </w:t>
      </w:r>
      <w:r w:rsidRPr="00CE68F2">
        <w:t xml:space="preserve">target. </w:t>
      </w:r>
    </w:p>
    <w:p w:rsidR="0002219B" w:rsidRPr="0002219B" w:rsidRDefault="0002219B" w:rsidP="0002219B">
      <w:pPr>
        <w:rPr>
          <w:b/>
        </w:rPr>
      </w:pPr>
      <w:r w:rsidRPr="0002219B">
        <w:rPr>
          <w:b/>
        </w:rPr>
        <w:t xml:space="preserve">The top five matters dealt with by Legal Help as at 31 December 2017 were: </w:t>
      </w:r>
    </w:p>
    <w:p w:rsidR="0002219B" w:rsidRDefault="0002219B" w:rsidP="0002219B">
      <w:pPr>
        <w:pStyle w:val="ListParagraph"/>
        <w:numPr>
          <w:ilvl w:val="0"/>
          <w:numId w:val="43"/>
        </w:numPr>
      </w:pPr>
      <w:r>
        <w:t xml:space="preserve">Time spent with children, </w:t>
      </w:r>
      <w:r w:rsidRPr="003A7481">
        <w:t>4,911</w:t>
      </w:r>
    </w:p>
    <w:p w:rsidR="0002219B" w:rsidRDefault="0002219B" w:rsidP="0002219B">
      <w:pPr>
        <w:pStyle w:val="ListParagraph"/>
        <w:numPr>
          <w:ilvl w:val="0"/>
          <w:numId w:val="43"/>
        </w:numPr>
      </w:pPr>
      <w:r>
        <w:t xml:space="preserve">Family violence (application for intervention orders), </w:t>
      </w:r>
      <w:r w:rsidRPr="003A7481">
        <w:t>3,857</w:t>
      </w:r>
    </w:p>
    <w:p w:rsidR="0002219B" w:rsidRDefault="0002219B" w:rsidP="0002219B">
      <w:pPr>
        <w:pStyle w:val="ListParagraph"/>
        <w:numPr>
          <w:ilvl w:val="0"/>
          <w:numId w:val="43"/>
        </w:numPr>
      </w:pPr>
      <w:r>
        <w:t xml:space="preserve">Infringements, </w:t>
      </w:r>
      <w:r w:rsidRPr="003A7481">
        <w:t>3,004</w:t>
      </w:r>
    </w:p>
    <w:p w:rsidR="0002219B" w:rsidRDefault="0002219B" w:rsidP="0002219B">
      <w:pPr>
        <w:pStyle w:val="ListParagraph"/>
        <w:numPr>
          <w:ilvl w:val="0"/>
          <w:numId w:val="43"/>
        </w:numPr>
      </w:pPr>
      <w:r>
        <w:t xml:space="preserve">Family law property settlement, </w:t>
      </w:r>
      <w:r w:rsidRPr="003A7481">
        <w:t>2,989</w:t>
      </w:r>
    </w:p>
    <w:p w:rsidR="0002219B" w:rsidRDefault="0002219B" w:rsidP="0002219B">
      <w:pPr>
        <w:pStyle w:val="ListParagraph"/>
        <w:numPr>
          <w:ilvl w:val="0"/>
          <w:numId w:val="43"/>
        </w:numPr>
      </w:pPr>
      <w:r>
        <w:t xml:space="preserve">Family violence (respondent to intervention orders), </w:t>
      </w:r>
      <w:r w:rsidRPr="003A7481">
        <w:t>2,068</w:t>
      </w:r>
      <w:r>
        <w:t>.</w:t>
      </w:r>
    </w:p>
    <w:p w:rsidR="0002219B" w:rsidRPr="00CE68F2" w:rsidRDefault="0002219B" w:rsidP="0002219B">
      <w:r w:rsidRPr="00CE68F2">
        <w:t>We continue to help thousands of Victorians with child</w:t>
      </w:r>
      <w:r>
        <w:t>-</w:t>
      </w:r>
      <w:r w:rsidRPr="00CE68F2">
        <w:t>focused matters,</w:t>
      </w:r>
      <w:r>
        <w:t xml:space="preserve"> including about </w:t>
      </w:r>
      <w:r w:rsidRPr="00CE68F2">
        <w:t>care arrangements, as well as those involved in family violence, to seek sa</w:t>
      </w:r>
      <w:r>
        <w:t>fety and support. A high number</w:t>
      </w:r>
      <w:r w:rsidRPr="00CE68F2">
        <w:t xml:space="preserve"> of infringement matters are driven by unpaid toll road fines</w:t>
      </w:r>
      <w:r>
        <w:t>. W</w:t>
      </w:r>
      <w:r w:rsidRPr="00CE68F2">
        <w:t>e are continuing to advocate with others in the legal assistance sector</w:t>
      </w:r>
      <w:r>
        <w:t xml:space="preserve"> for </w:t>
      </w:r>
      <w:r w:rsidRPr="00CE68F2">
        <w:t xml:space="preserve">a fairer </w:t>
      </w:r>
      <w:r>
        <w:t xml:space="preserve">tolls </w:t>
      </w:r>
      <w:r w:rsidRPr="00CE68F2">
        <w:t>system.</w:t>
      </w:r>
    </w:p>
    <w:p w:rsidR="0002219B" w:rsidRPr="00AF212D" w:rsidRDefault="0002219B" w:rsidP="0002219B">
      <w:pPr>
        <w:pStyle w:val="Heading4"/>
      </w:pPr>
      <w:r>
        <w:br w:type="page"/>
      </w:r>
      <w:r w:rsidRPr="00AF212D">
        <w:lastRenderedPageBreak/>
        <w:t xml:space="preserve">Community Legal Education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356"/>
        <w:gridCol w:w="1605"/>
        <w:gridCol w:w="1647"/>
        <w:gridCol w:w="1468"/>
      </w:tblGrid>
      <w:tr w:rsidR="0002219B" w:rsidRPr="00BC6766" w:rsidTr="0002219B">
        <w:trPr>
          <w:cnfStyle w:val="100000000000" w:firstRow="1" w:lastRow="0" w:firstColumn="0" w:lastColumn="0" w:oddVBand="0" w:evenVBand="0" w:oddHBand="0" w:evenHBand="0" w:firstRowFirstColumn="0" w:firstRowLastColumn="0" w:lastRowFirstColumn="0" w:lastRowLastColumn="0"/>
          <w:cantSplit w:val="0"/>
        </w:trPr>
        <w:tc>
          <w:tcPr>
            <w:tcW w:w="5356" w:type="dxa"/>
            <w:tcBorders>
              <w:top w:val="none" w:sz="0" w:space="0" w:color="auto"/>
              <w:bottom w:val="none" w:sz="0" w:space="0" w:color="auto"/>
            </w:tcBorders>
            <w:shd w:val="clear" w:color="auto" w:fill="BFBFBF" w:themeFill="background1" w:themeFillShade="BF"/>
          </w:tcPr>
          <w:p w:rsidR="0002219B" w:rsidRPr="00CF143E" w:rsidRDefault="009B2351" w:rsidP="0002219B">
            <w:pPr>
              <w:rPr>
                <w:b/>
                <w:color w:val="000000" w:themeColor="text1"/>
              </w:rPr>
            </w:pPr>
            <w:r>
              <w:rPr>
                <w:b/>
                <w:color w:val="000000" w:themeColor="text1"/>
              </w:rPr>
              <w:t>Type of resource</w:t>
            </w:r>
          </w:p>
        </w:tc>
        <w:tc>
          <w:tcPr>
            <w:tcW w:w="1605" w:type="dxa"/>
            <w:tcBorders>
              <w:top w:val="none" w:sz="0" w:space="0" w:color="auto"/>
              <w:bottom w:val="none" w:sz="0" w:space="0" w:color="auto"/>
            </w:tcBorders>
            <w:shd w:val="clear" w:color="auto" w:fill="BFBFBF" w:themeFill="background1" w:themeFillShade="BF"/>
          </w:tcPr>
          <w:p w:rsidR="0002219B" w:rsidRPr="00146904" w:rsidRDefault="0002219B" w:rsidP="0002219B">
            <w:pPr>
              <w:rPr>
                <w:b/>
                <w:color w:val="000000" w:themeColor="text1"/>
              </w:rPr>
            </w:pPr>
            <w:r w:rsidRPr="00146904">
              <w:rPr>
                <w:b/>
                <w:color w:val="000000" w:themeColor="text1"/>
              </w:rPr>
              <w:t>31 Dec 2016</w:t>
            </w:r>
          </w:p>
        </w:tc>
        <w:tc>
          <w:tcPr>
            <w:tcW w:w="1647" w:type="dxa"/>
            <w:tcBorders>
              <w:top w:val="none" w:sz="0" w:space="0" w:color="auto"/>
              <w:bottom w:val="none" w:sz="0" w:space="0" w:color="auto"/>
            </w:tcBorders>
            <w:shd w:val="clear" w:color="auto" w:fill="BFBFBF" w:themeFill="background1" w:themeFillShade="BF"/>
          </w:tcPr>
          <w:p w:rsidR="0002219B" w:rsidRPr="00146904" w:rsidRDefault="0002219B" w:rsidP="0002219B">
            <w:pPr>
              <w:rPr>
                <w:b/>
                <w:color w:val="000000" w:themeColor="text1"/>
              </w:rPr>
            </w:pPr>
            <w:r w:rsidRPr="00146904">
              <w:rPr>
                <w:b/>
                <w:color w:val="000000" w:themeColor="text1"/>
              </w:rPr>
              <w:t>31 Dec 2017</w:t>
            </w:r>
          </w:p>
        </w:tc>
        <w:tc>
          <w:tcPr>
            <w:tcW w:w="1468" w:type="dxa"/>
            <w:tcBorders>
              <w:top w:val="none" w:sz="0" w:space="0" w:color="auto"/>
              <w:bottom w:val="none" w:sz="0" w:space="0" w:color="auto"/>
            </w:tcBorders>
            <w:shd w:val="clear" w:color="auto" w:fill="BFBFBF" w:themeFill="background1" w:themeFillShade="BF"/>
          </w:tcPr>
          <w:p w:rsidR="0002219B" w:rsidRPr="00146904" w:rsidRDefault="0002219B" w:rsidP="0002219B">
            <w:pPr>
              <w:rPr>
                <w:b/>
                <w:color w:val="000000" w:themeColor="text1"/>
              </w:rPr>
            </w:pPr>
            <w:r w:rsidRPr="00146904">
              <w:rPr>
                <w:b/>
                <w:color w:val="000000" w:themeColor="text1"/>
              </w:rPr>
              <w:t>Variance</w:t>
            </w:r>
          </w:p>
        </w:tc>
      </w:tr>
      <w:tr w:rsidR="0002219B" w:rsidRPr="00BC6766" w:rsidTr="0002219B">
        <w:trPr>
          <w:cnfStyle w:val="000000100000" w:firstRow="0" w:lastRow="0" w:firstColumn="0" w:lastColumn="0" w:oddVBand="0" w:evenVBand="0" w:oddHBand="1" w:evenHBand="0" w:firstRowFirstColumn="0" w:firstRowLastColumn="0" w:lastRowFirstColumn="0" w:lastRowLastColumn="0"/>
        </w:trPr>
        <w:tc>
          <w:tcPr>
            <w:tcW w:w="5356" w:type="dxa"/>
            <w:tcBorders>
              <w:top w:val="none" w:sz="0" w:space="0" w:color="auto"/>
              <w:bottom w:val="none" w:sz="0" w:space="0" w:color="auto"/>
            </w:tcBorders>
          </w:tcPr>
          <w:p w:rsidR="0002219B" w:rsidRPr="00BC6766" w:rsidRDefault="0002219B" w:rsidP="009B2351">
            <w:r w:rsidRPr="00BC6766">
              <w:t>Community legal education participants</w:t>
            </w:r>
          </w:p>
        </w:tc>
        <w:tc>
          <w:tcPr>
            <w:tcW w:w="1605" w:type="dxa"/>
            <w:tcBorders>
              <w:top w:val="none" w:sz="0" w:space="0" w:color="auto"/>
              <w:bottom w:val="none" w:sz="0" w:space="0" w:color="auto"/>
            </w:tcBorders>
          </w:tcPr>
          <w:p w:rsidR="0002219B" w:rsidRPr="00BC6766" w:rsidRDefault="0002219B" w:rsidP="0089729F">
            <w:r>
              <w:t>7,822</w:t>
            </w:r>
          </w:p>
        </w:tc>
        <w:tc>
          <w:tcPr>
            <w:tcW w:w="1647" w:type="dxa"/>
            <w:tcBorders>
              <w:top w:val="none" w:sz="0" w:space="0" w:color="auto"/>
              <w:bottom w:val="none" w:sz="0" w:space="0" w:color="auto"/>
            </w:tcBorders>
          </w:tcPr>
          <w:p w:rsidR="0002219B" w:rsidRPr="00BC6766" w:rsidRDefault="0002219B" w:rsidP="0089729F">
            <w:r>
              <w:t>6,519</w:t>
            </w:r>
          </w:p>
        </w:tc>
        <w:tc>
          <w:tcPr>
            <w:tcW w:w="1468" w:type="dxa"/>
            <w:tcBorders>
              <w:top w:val="none" w:sz="0" w:space="0" w:color="auto"/>
              <w:bottom w:val="none" w:sz="0" w:space="0" w:color="auto"/>
            </w:tcBorders>
          </w:tcPr>
          <w:p w:rsidR="0002219B" w:rsidRPr="00BC6766" w:rsidRDefault="0002219B" w:rsidP="0089729F">
            <w:r>
              <w:t>-17%</w:t>
            </w:r>
          </w:p>
        </w:tc>
      </w:tr>
      <w:tr w:rsidR="0002219B" w:rsidRPr="00BC6766" w:rsidTr="0002219B">
        <w:trPr>
          <w:cnfStyle w:val="000000010000" w:firstRow="0" w:lastRow="0" w:firstColumn="0" w:lastColumn="0" w:oddVBand="0" w:evenVBand="0" w:oddHBand="0" w:evenHBand="1" w:firstRowFirstColumn="0" w:firstRowLastColumn="0" w:lastRowFirstColumn="0" w:lastRowLastColumn="0"/>
        </w:trPr>
        <w:tc>
          <w:tcPr>
            <w:tcW w:w="5356" w:type="dxa"/>
            <w:tcBorders>
              <w:bottom w:val="none" w:sz="0" w:space="0" w:color="auto"/>
            </w:tcBorders>
          </w:tcPr>
          <w:p w:rsidR="0002219B" w:rsidRPr="00BC6766" w:rsidRDefault="0002219B" w:rsidP="009B2351">
            <w:r w:rsidRPr="00BC6766">
              <w:t>Community legal education sessions</w:t>
            </w:r>
          </w:p>
        </w:tc>
        <w:tc>
          <w:tcPr>
            <w:tcW w:w="1605" w:type="dxa"/>
            <w:tcBorders>
              <w:bottom w:val="none" w:sz="0" w:space="0" w:color="auto"/>
            </w:tcBorders>
          </w:tcPr>
          <w:p w:rsidR="0002219B" w:rsidRPr="00F120B1" w:rsidRDefault="0002219B" w:rsidP="0089729F">
            <w:pPr>
              <w:rPr>
                <w:color w:val="000000" w:themeColor="text1"/>
              </w:rPr>
            </w:pPr>
            <w:r>
              <w:t>204</w:t>
            </w:r>
          </w:p>
        </w:tc>
        <w:tc>
          <w:tcPr>
            <w:tcW w:w="1647" w:type="dxa"/>
            <w:tcBorders>
              <w:bottom w:val="none" w:sz="0" w:space="0" w:color="auto"/>
            </w:tcBorders>
          </w:tcPr>
          <w:p w:rsidR="0002219B" w:rsidRPr="00F120B1" w:rsidRDefault="0002219B" w:rsidP="0089729F">
            <w:pPr>
              <w:rPr>
                <w:color w:val="000000" w:themeColor="text1"/>
              </w:rPr>
            </w:pPr>
            <w:r>
              <w:t>149</w:t>
            </w:r>
          </w:p>
        </w:tc>
        <w:tc>
          <w:tcPr>
            <w:tcW w:w="1468" w:type="dxa"/>
            <w:tcBorders>
              <w:bottom w:val="none" w:sz="0" w:space="0" w:color="auto"/>
            </w:tcBorders>
          </w:tcPr>
          <w:p w:rsidR="0002219B" w:rsidRPr="00F120B1" w:rsidRDefault="0002219B" w:rsidP="0089729F">
            <w:pPr>
              <w:rPr>
                <w:color w:val="000000" w:themeColor="text1"/>
              </w:rPr>
            </w:pPr>
            <w:r>
              <w:t>-27%</w:t>
            </w:r>
          </w:p>
        </w:tc>
      </w:tr>
      <w:tr w:rsidR="0002219B" w:rsidRPr="00BC6766" w:rsidTr="0002219B">
        <w:trPr>
          <w:cnfStyle w:val="000000100000" w:firstRow="0" w:lastRow="0" w:firstColumn="0" w:lastColumn="0" w:oddVBand="0" w:evenVBand="0" w:oddHBand="1" w:evenHBand="0" w:firstRowFirstColumn="0" w:firstRowLastColumn="0" w:lastRowFirstColumn="0" w:lastRowLastColumn="0"/>
        </w:trPr>
        <w:tc>
          <w:tcPr>
            <w:tcW w:w="5356" w:type="dxa"/>
          </w:tcPr>
          <w:p w:rsidR="0002219B" w:rsidRPr="00BC6766" w:rsidRDefault="0002219B" w:rsidP="009B2351">
            <w:r>
              <w:t>Publications</w:t>
            </w:r>
          </w:p>
        </w:tc>
        <w:tc>
          <w:tcPr>
            <w:tcW w:w="1605" w:type="dxa"/>
          </w:tcPr>
          <w:p w:rsidR="0002219B" w:rsidRPr="00BC6766" w:rsidRDefault="0002219B" w:rsidP="0089729F">
            <w:r w:rsidRPr="007816C0">
              <w:t>158,104</w:t>
            </w:r>
          </w:p>
        </w:tc>
        <w:tc>
          <w:tcPr>
            <w:tcW w:w="1647" w:type="dxa"/>
          </w:tcPr>
          <w:p w:rsidR="0002219B" w:rsidRPr="00BC6766" w:rsidRDefault="0002219B" w:rsidP="0089729F">
            <w:r w:rsidRPr="007816C0">
              <w:t>117,009</w:t>
            </w:r>
          </w:p>
        </w:tc>
        <w:tc>
          <w:tcPr>
            <w:tcW w:w="1468" w:type="dxa"/>
          </w:tcPr>
          <w:p w:rsidR="0002219B" w:rsidRPr="00BC6766" w:rsidRDefault="0002219B" w:rsidP="0089729F">
            <w:r w:rsidRPr="007816C0">
              <w:t>-26%</w:t>
            </w:r>
          </w:p>
        </w:tc>
      </w:tr>
    </w:tbl>
    <w:p w:rsidR="0002219B" w:rsidRDefault="0002219B" w:rsidP="0002219B">
      <w:pPr>
        <w:rPr>
          <w:rFonts w:ascii="Calibri" w:hAnsi="Calibri"/>
          <w:szCs w:val="22"/>
        </w:rPr>
      </w:pPr>
      <w:r>
        <w:t xml:space="preserve">The reduction in community education participants and sessions reflects our shift in focus on providing education and training to intermediaries who interact with our priority audiences, rather than our priority audiences themselves. </w:t>
      </w:r>
    </w:p>
    <w:p w:rsidR="0002219B" w:rsidRDefault="0002219B" w:rsidP="0002219B">
      <w:r>
        <w:t xml:space="preserve">For example, in 2017, we shifted the focus of our popular </w:t>
      </w:r>
      <w:r>
        <w:rPr>
          <w:i/>
          <w:iCs/>
        </w:rPr>
        <w:t>Sex, young people and the law</w:t>
      </w:r>
      <w:r>
        <w:t xml:space="preserve"> program from face-to-face sessions for secondary students to professional development for Victorian teachers to align with the Department of Education and Training’s Respectful Relationships pilot program. This resulted in a reduction in participant numbers as we now deliver to smaller groups of teachers rather than large groups of students, but we believe this will ultimately improve the reach of the program.</w:t>
      </w:r>
    </w:p>
    <w:p w:rsidR="0002219B" w:rsidRDefault="0002219B" w:rsidP="0002219B">
      <w:r>
        <w:t xml:space="preserve">Similarly, the drop in print publication distribution reflects a positive trend towards web browsing and the downloading of purpose written materials hosted on our website. </w:t>
      </w:r>
    </w:p>
    <w:p w:rsidR="0002219B" w:rsidRDefault="0002219B" w:rsidP="0002219B">
      <w:pPr>
        <w:pStyle w:val="Heading4"/>
      </w:pPr>
      <w:r>
        <w:t xml:space="preserve">Community </w:t>
      </w:r>
      <w:r w:rsidR="009B2351">
        <w:t>l</w:t>
      </w:r>
      <w:r>
        <w:t xml:space="preserve">egal </w:t>
      </w:r>
      <w:r w:rsidR="009B2351">
        <w:t>c</w:t>
      </w:r>
      <w:r>
        <w:t xml:space="preserve">entres – funding that we distribute </w:t>
      </w:r>
    </w:p>
    <w:p w:rsidR="0002219B" w:rsidRPr="00CE68F2" w:rsidRDefault="0002219B" w:rsidP="0002219B">
      <w:r>
        <w:t xml:space="preserve">We administer more than $26 million annually through the </w:t>
      </w:r>
      <w:r w:rsidRPr="00CE68F2">
        <w:t xml:space="preserve">Community Legal Services Program (CLSP) </w:t>
      </w:r>
      <w:r>
        <w:t xml:space="preserve">to community legal centres. </w:t>
      </w:r>
      <w:r w:rsidRPr="00CE68F2">
        <w:t>Th</w:t>
      </w:r>
      <w:r>
        <w:t xml:space="preserve">e table below does </w:t>
      </w:r>
      <w:r w:rsidRPr="00CE68F2">
        <w:t>not include Commonwealth payments to community legal centres</w:t>
      </w:r>
      <w:r>
        <w:t xml:space="preserve">. </w:t>
      </w:r>
    </w:p>
    <w:tbl>
      <w:tblPr>
        <w:tblStyle w:val="TableGrid"/>
        <w:tblW w:w="10076" w:type="dxa"/>
        <w:tblLook w:val="04A0" w:firstRow="1" w:lastRow="0" w:firstColumn="1" w:lastColumn="0" w:noHBand="0" w:noVBand="1"/>
      </w:tblPr>
      <w:tblGrid>
        <w:gridCol w:w="4814"/>
        <w:gridCol w:w="1754"/>
        <w:gridCol w:w="1754"/>
        <w:gridCol w:w="1754"/>
      </w:tblGrid>
      <w:tr w:rsidR="0002219B" w:rsidRPr="009B2351" w:rsidTr="0089729F">
        <w:trPr>
          <w:tblHeader/>
        </w:trPr>
        <w:tc>
          <w:tcPr>
            <w:tcW w:w="4814" w:type="dxa"/>
            <w:shd w:val="clear" w:color="auto" w:fill="D9D9D9" w:themeFill="background1" w:themeFillShade="D9"/>
          </w:tcPr>
          <w:p w:rsidR="0002219B" w:rsidRPr="0089729F" w:rsidRDefault="0002219B" w:rsidP="009B2351">
            <w:pPr>
              <w:rPr>
                <w:b/>
              </w:rPr>
            </w:pPr>
            <w:r w:rsidRPr="0089729F">
              <w:rPr>
                <w:b/>
              </w:rPr>
              <w:t>Year to date</w:t>
            </w:r>
          </w:p>
        </w:tc>
        <w:tc>
          <w:tcPr>
            <w:tcW w:w="1754" w:type="dxa"/>
            <w:shd w:val="clear" w:color="auto" w:fill="D9D9D9" w:themeFill="background1" w:themeFillShade="D9"/>
          </w:tcPr>
          <w:p w:rsidR="0002219B" w:rsidRPr="0089729F" w:rsidRDefault="0002219B" w:rsidP="009B2351">
            <w:pPr>
              <w:rPr>
                <w:b/>
              </w:rPr>
            </w:pPr>
            <w:r w:rsidRPr="0089729F">
              <w:rPr>
                <w:b/>
              </w:rPr>
              <w:t>31 Dec 2016</w:t>
            </w:r>
          </w:p>
        </w:tc>
        <w:tc>
          <w:tcPr>
            <w:tcW w:w="1754" w:type="dxa"/>
            <w:shd w:val="clear" w:color="auto" w:fill="D9D9D9" w:themeFill="background1" w:themeFillShade="D9"/>
          </w:tcPr>
          <w:p w:rsidR="0002219B" w:rsidRPr="0089729F" w:rsidRDefault="0002219B" w:rsidP="009B2351">
            <w:pPr>
              <w:rPr>
                <w:b/>
              </w:rPr>
            </w:pPr>
            <w:r w:rsidRPr="0089729F">
              <w:rPr>
                <w:b/>
              </w:rPr>
              <w:t>31 Dec 2017</w:t>
            </w:r>
          </w:p>
        </w:tc>
        <w:tc>
          <w:tcPr>
            <w:tcW w:w="1754" w:type="dxa"/>
            <w:shd w:val="clear" w:color="auto" w:fill="D9D9D9" w:themeFill="background1" w:themeFillShade="D9"/>
          </w:tcPr>
          <w:p w:rsidR="0002219B" w:rsidRPr="0089729F" w:rsidRDefault="0002219B" w:rsidP="009B2351">
            <w:pPr>
              <w:rPr>
                <w:b/>
              </w:rPr>
            </w:pPr>
            <w:r w:rsidRPr="0089729F">
              <w:rPr>
                <w:b/>
              </w:rPr>
              <w:t>Variance</w:t>
            </w:r>
          </w:p>
        </w:tc>
      </w:tr>
      <w:tr w:rsidR="0002219B" w:rsidRPr="009B2351" w:rsidTr="0089729F">
        <w:tc>
          <w:tcPr>
            <w:tcW w:w="4814" w:type="dxa"/>
            <w:vAlign w:val="bottom"/>
          </w:tcPr>
          <w:p w:rsidR="0002219B" w:rsidRPr="0089729F" w:rsidRDefault="0002219B" w:rsidP="009B2351">
            <w:r w:rsidRPr="009B2351">
              <w:t>Community legal centres</w:t>
            </w:r>
          </w:p>
        </w:tc>
        <w:tc>
          <w:tcPr>
            <w:tcW w:w="1754" w:type="dxa"/>
          </w:tcPr>
          <w:p w:rsidR="0002219B" w:rsidRPr="0089729F" w:rsidRDefault="0002219B" w:rsidP="0089729F">
            <w:r w:rsidRPr="0089729F">
              <w:t>7,919,756</w:t>
            </w:r>
          </w:p>
        </w:tc>
        <w:tc>
          <w:tcPr>
            <w:tcW w:w="1754" w:type="dxa"/>
          </w:tcPr>
          <w:p w:rsidR="0002219B" w:rsidRPr="0089729F" w:rsidRDefault="0002219B" w:rsidP="0089729F">
            <w:r w:rsidRPr="0089729F">
              <w:t>8,254,620</w:t>
            </w:r>
          </w:p>
        </w:tc>
        <w:tc>
          <w:tcPr>
            <w:tcW w:w="1754" w:type="dxa"/>
            <w:vAlign w:val="center"/>
          </w:tcPr>
          <w:p w:rsidR="0002219B" w:rsidRPr="0089729F" w:rsidRDefault="0002219B" w:rsidP="0089729F">
            <w:r w:rsidRPr="0089729F">
              <w:t>4%</w:t>
            </w:r>
          </w:p>
        </w:tc>
      </w:tr>
      <w:tr w:rsidR="0002219B" w:rsidRPr="009B2351" w:rsidTr="0089729F">
        <w:tc>
          <w:tcPr>
            <w:tcW w:w="4814" w:type="dxa"/>
            <w:vAlign w:val="bottom"/>
          </w:tcPr>
          <w:p w:rsidR="0002219B" w:rsidRPr="0089729F" w:rsidRDefault="0002219B" w:rsidP="009B2351">
            <w:r w:rsidRPr="009B2351">
              <w:t>Community legal centres, project funds</w:t>
            </w:r>
          </w:p>
        </w:tc>
        <w:tc>
          <w:tcPr>
            <w:tcW w:w="1754" w:type="dxa"/>
          </w:tcPr>
          <w:p w:rsidR="0002219B" w:rsidRPr="0089729F" w:rsidRDefault="0002219B" w:rsidP="0089729F">
            <w:r w:rsidRPr="0089729F">
              <w:t>1,013,000</w:t>
            </w:r>
          </w:p>
        </w:tc>
        <w:tc>
          <w:tcPr>
            <w:tcW w:w="1754" w:type="dxa"/>
          </w:tcPr>
          <w:p w:rsidR="0002219B" w:rsidRPr="0089729F" w:rsidRDefault="0002219B" w:rsidP="0089729F">
            <w:r w:rsidRPr="0089729F">
              <w:t>383,924</w:t>
            </w:r>
          </w:p>
        </w:tc>
        <w:tc>
          <w:tcPr>
            <w:tcW w:w="1754" w:type="dxa"/>
            <w:vAlign w:val="center"/>
          </w:tcPr>
          <w:p w:rsidR="0002219B" w:rsidRPr="0089729F" w:rsidRDefault="0002219B" w:rsidP="0089729F">
            <w:r w:rsidRPr="0089729F">
              <w:t>-62%</w:t>
            </w:r>
          </w:p>
        </w:tc>
      </w:tr>
    </w:tbl>
    <w:p w:rsidR="0002219B" w:rsidRDefault="0002219B" w:rsidP="0002219B">
      <w:r w:rsidRPr="00CE68F2">
        <w:t>The combined total State and Commonwealth funds to community legal centres administered by Victoria Legal Aid as of 31 December 2017 amounts to $13.7 million. The variance for the project funds can be attributed to the completion of the Innovation and Transformation Fund</w:t>
      </w:r>
      <w:r>
        <w:t>; a program established by Victoria Legal Aid in 2015 to stimulate new ways of working in the community legal sector.</w:t>
      </w:r>
    </w:p>
    <w:p w:rsidR="0002219B" w:rsidRPr="00AF212D" w:rsidRDefault="0002219B" w:rsidP="0002219B">
      <w:pPr>
        <w:pStyle w:val="Heading4"/>
      </w:pPr>
      <w:r w:rsidRPr="0090387A">
        <w:t>Access and Equity</w:t>
      </w:r>
      <w:r>
        <w:t xml:space="preserve"> </w:t>
      </w:r>
      <w:r w:rsidRPr="00AF212D">
        <w:t xml:space="preserve">operating expenditure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1823"/>
        <w:gridCol w:w="1929"/>
        <w:gridCol w:w="1910"/>
        <w:gridCol w:w="1488"/>
        <w:gridCol w:w="1463"/>
        <w:gridCol w:w="1463"/>
      </w:tblGrid>
      <w:tr w:rsidR="0002219B" w:rsidRPr="00DC1D85" w:rsidTr="0002219B">
        <w:trPr>
          <w:cnfStyle w:val="100000000000" w:firstRow="1" w:lastRow="0" w:firstColumn="0" w:lastColumn="0" w:oddVBand="0" w:evenVBand="0" w:oddHBand="0" w:evenHBand="0" w:firstRowFirstColumn="0" w:firstRowLastColumn="0" w:lastRowFirstColumn="0" w:lastRowLastColumn="0"/>
        </w:trPr>
        <w:tc>
          <w:tcPr>
            <w:tcW w:w="2014" w:type="dxa"/>
            <w:shd w:val="clear" w:color="auto" w:fill="BFBFBF" w:themeFill="background1" w:themeFillShade="BF"/>
          </w:tcPr>
          <w:p w:rsidR="0002219B" w:rsidRPr="00393169" w:rsidRDefault="009B2351" w:rsidP="0002219B">
            <w:pPr>
              <w:rPr>
                <w:b/>
              </w:rPr>
            </w:pPr>
            <w:r>
              <w:rPr>
                <w:b/>
              </w:rPr>
              <w:t>Directorate</w:t>
            </w:r>
          </w:p>
        </w:tc>
        <w:tc>
          <w:tcPr>
            <w:tcW w:w="2119" w:type="dxa"/>
            <w:shd w:val="clear" w:color="auto" w:fill="BFBFBF" w:themeFill="background1" w:themeFillShade="BF"/>
          </w:tcPr>
          <w:p w:rsidR="0002219B" w:rsidRPr="00C07559" w:rsidRDefault="0002219B" w:rsidP="0002219B">
            <w:pPr>
              <w:rPr>
                <w:b/>
                <w:color w:val="000000" w:themeColor="text1"/>
              </w:rPr>
            </w:pPr>
            <w:r w:rsidRPr="00C07559">
              <w:rPr>
                <w:b/>
                <w:color w:val="000000" w:themeColor="text1"/>
              </w:rPr>
              <w:t>Expenditure ($)</w:t>
            </w:r>
            <w:r>
              <w:rPr>
                <w:b/>
                <w:color w:val="000000" w:themeColor="text1"/>
              </w:rPr>
              <w:t xml:space="preserve"> </w:t>
            </w:r>
            <w:r w:rsidRPr="00340FB3">
              <w:rPr>
                <w:b/>
                <w:color w:val="000000" w:themeColor="text1"/>
              </w:rPr>
              <w:t>as at 31 December</w:t>
            </w:r>
            <w:r>
              <w:rPr>
                <w:b/>
                <w:color w:val="000000" w:themeColor="text1"/>
              </w:rPr>
              <w:t xml:space="preserve"> 2016</w:t>
            </w:r>
          </w:p>
        </w:tc>
        <w:tc>
          <w:tcPr>
            <w:tcW w:w="2103" w:type="dxa"/>
            <w:shd w:val="clear" w:color="auto" w:fill="BFBFBF" w:themeFill="background1" w:themeFillShade="BF"/>
          </w:tcPr>
          <w:p w:rsidR="0002219B" w:rsidRPr="00C07559" w:rsidRDefault="0002219B" w:rsidP="0002219B">
            <w:pPr>
              <w:rPr>
                <w:b/>
                <w:color w:val="000000" w:themeColor="text1"/>
              </w:rPr>
            </w:pPr>
            <w:r w:rsidRPr="00C07559">
              <w:rPr>
                <w:b/>
                <w:color w:val="000000" w:themeColor="text1"/>
              </w:rPr>
              <w:t>% of total expenditure</w:t>
            </w:r>
            <w:r>
              <w:rPr>
                <w:b/>
                <w:color w:val="000000" w:themeColor="text1"/>
              </w:rPr>
              <w:t xml:space="preserve"> </w:t>
            </w:r>
            <w:r w:rsidRPr="00340FB3">
              <w:rPr>
                <w:b/>
                <w:color w:val="000000" w:themeColor="text1"/>
              </w:rPr>
              <w:t>as at 31 December</w:t>
            </w:r>
            <w:r>
              <w:rPr>
                <w:b/>
                <w:color w:val="000000" w:themeColor="text1"/>
              </w:rPr>
              <w:t xml:space="preserve"> 2016</w:t>
            </w:r>
          </w:p>
        </w:tc>
        <w:tc>
          <w:tcPr>
            <w:tcW w:w="1280" w:type="dxa"/>
            <w:shd w:val="clear" w:color="auto" w:fill="BFBFBF" w:themeFill="background1" w:themeFillShade="BF"/>
          </w:tcPr>
          <w:p w:rsidR="0002219B" w:rsidRPr="00C07559" w:rsidRDefault="0002219B" w:rsidP="0002219B">
            <w:pPr>
              <w:rPr>
                <w:b/>
                <w:color w:val="000000" w:themeColor="text1"/>
              </w:rPr>
            </w:pPr>
            <w:r w:rsidRPr="00C07559">
              <w:rPr>
                <w:b/>
                <w:color w:val="000000" w:themeColor="text1"/>
              </w:rPr>
              <w:t>Expenditure ($)</w:t>
            </w:r>
            <w:r>
              <w:rPr>
                <w:b/>
                <w:color w:val="000000" w:themeColor="text1"/>
              </w:rPr>
              <w:t xml:space="preserve"> </w:t>
            </w:r>
            <w:r w:rsidRPr="00340FB3">
              <w:rPr>
                <w:b/>
                <w:color w:val="000000" w:themeColor="text1"/>
              </w:rPr>
              <w:t>as at 31 December</w:t>
            </w:r>
            <w:r>
              <w:rPr>
                <w:b/>
                <w:color w:val="000000" w:themeColor="text1"/>
              </w:rPr>
              <w:t xml:space="preserve"> 2017</w:t>
            </w:r>
          </w:p>
        </w:tc>
        <w:tc>
          <w:tcPr>
            <w:tcW w:w="1280" w:type="dxa"/>
            <w:shd w:val="clear" w:color="auto" w:fill="BFBFBF" w:themeFill="background1" w:themeFillShade="BF"/>
          </w:tcPr>
          <w:p w:rsidR="0002219B" w:rsidRPr="00C07559" w:rsidRDefault="0002219B" w:rsidP="0002219B">
            <w:pPr>
              <w:rPr>
                <w:b/>
                <w:color w:val="000000" w:themeColor="text1"/>
              </w:rPr>
            </w:pPr>
            <w:r w:rsidRPr="00C07559">
              <w:rPr>
                <w:b/>
                <w:color w:val="000000" w:themeColor="text1"/>
              </w:rPr>
              <w:t>% of total expenditure</w:t>
            </w:r>
            <w:r>
              <w:rPr>
                <w:b/>
                <w:color w:val="000000" w:themeColor="text1"/>
              </w:rPr>
              <w:t xml:space="preserve"> </w:t>
            </w:r>
            <w:r w:rsidRPr="00340FB3">
              <w:rPr>
                <w:b/>
                <w:color w:val="000000" w:themeColor="text1"/>
              </w:rPr>
              <w:t>as at 31 December</w:t>
            </w:r>
            <w:r>
              <w:rPr>
                <w:b/>
                <w:color w:val="000000" w:themeColor="text1"/>
              </w:rPr>
              <w:t xml:space="preserve"> 2017</w:t>
            </w:r>
          </w:p>
        </w:tc>
        <w:tc>
          <w:tcPr>
            <w:tcW w:w="1280" w:type="dxa"/>
            <w:shd w:val="clear" w:color="auto" w:fill="BFBFBF" w:themeFill="background1" w:themeFillShade="BF"/>
          </w:tcPr>
          <w:p w:rsidR="0002219B" w:rsidRPr="00C07559" w:rsidRDefault="0002219B" w:rsidP="0002219B">
            <w:pPr>
              <w:rPr>
                <w:b/>
                <w:color w:val="000000" w:themeColor="text1"/>
              </w:rPr>
            </w:pPr>
            <w:r>
              <w:rPr>
                <w:b/>
                <w:color w:val="000000" w:themeColor="text1"/>
              </w:rPr>
              <w:t xml:space="preserve">Variance of expenditure </w:t>
            </w:r>
          </w:p>
        </w:tc>
      </w:tr>
      <w:tr w:rsidR="0002219B" w:rsidRPr="00DC1D85" w:rsidTr="0002219B">
        <w:trPr>
          <w:cnfStyle w:val="000000100000" w:firstRow="0" w:lastRow="0" w:firstColumn="0" w:lastColumn="0" w:oddVBand="0" w:evenVBand="0" w:oddHBand="1" w:evenHBand="0" w:firstRowFirstColumn="0" w:firstRowLastColumn="0" w:lastRowFirstColumn="0" w:lastRowLastColumn="0"/>
        </w:trPr>
        <w:tc>
          <w:tcPr>
            <w:tcW w:w="2014" w:type="dxa"/>
          </w:tcPr>
          <w:p w:rsidR="0002219B" w:rsidRPr="00DC1D85" w:rsidRDefault="0002219B" w:rsidP="0002219B">
            <w:r w:rsidRPr="00DC1D85">
              <w:t>C</w:t>
            </w:r>
            <w:r>
              <w:t xml:space="preserve">lient Access </w:t>
            </w:r>
          </w:p>
        </w:tc>
        <w:tc>
          <w:tcPr>
            <w:tcW w:w="2119" w:type="dxa"/>
          </w:tcPr>
          <w:p w:rsidR="0002219B" w:rsidRPr="00DC1D85" w:rsidRDefault="0002219B" w:rsidP="0002219B">
            <w:pPr>
              <w:jc w:val="right"/>
            </w:pPr>
            <w:r>
              <w:t>0.3 million</w:t>
            </w:r>
          </w:p>
        </w:tc>
        <w:tc>
          <w:tcPr>
            <w:tcW w:w="2103" w:type="dxa"/>
          </w:tcPr>
          <w:p w:rsidR="0002219B" w:rsidRPr="00DC1D85" w:rsidRDefault="0002219B" w:rsidP="0002219B">
            <w:pPr>
              <w:jc w:val="right"/>
            </w:pPr>
            <w:r>
              <w:t>0.3</w:t>
            </w:r>
          </w:p>
        </w:tc>
        <w:tc>
          <w:tcPr>
            <w:tcW w:w="1280" w:type="dxa"/>
          </w:tcPr>
          <w:p w:rsidR="0002219B" w:rsidRDefault="0002219B" w:rsidP="0002219B">
            <w:pPr>
              <w:jc w:val="right"/>
            </w:pPr>
            <w:r>
              <w:t>0.5 million</w:t>
            </w:r>
          </w:p>
        </w:tc>
        <w:tc>
          <w:tcPr>
            <w:tcW w:w="1280" w:type="dxa"/>
          </w:tcPr>
          <w:p w:rsidR="0002219B" w:rsidRDefault="0002219B" w:rsidP="0002219B">
            <w:pPr>
              <w:jc w:val="right"/>
            </w:pPr>
            <w:r>
              <w:t>0.5</w:t>
            </w:r>
          </w:p>
        </w:tc>
        <w:tc>
          <w:tcPr>
            <w:tcW w:w="1280" w:type="dxa"/>
          </w:tcPr>
          <w:p w:rsidR="0002219B" w:rsidRDefault="0002219B" w:rsidP="0002219B">
            <w:pPr>
              <w:jc w:val="right"/>
            </w:pPr>
            <w:r>
              <w:t>0.2 million</w:t>
            </w:r>
          </w:p>
        </w:tc>
      </w:tr>
      <w:tr w:rsidR="0002219B" w:rsidRPr="00DC1D85" w:rsidTr="0002219B">
        <w:trPr>
          <w:cnfStyle w:val="000000010000" w:firstRow="0" w:lastRow="0" w:firstColumn="0" w:lastColumn="0" w:oddVBand="0" w:evenVBand="0" w:oddHBand="0" w:evenHBand="1" w:firstRowFirstColumn="0" w:firstRowLastColumn="0" w:lastRowFirstColumn="0" w:lastRowLastColumn="0"/>
        </w:trPr>
        <w:tc>
          <w:tcPr>
            <w:tcW w:w="2014" w:type="dxa"/>
          </w:tcPr>
          <w:p w:rsidR="0002219B" w:rsidRPr="00DC1D85" w:rsidRDefault="0002219B" w:rsidP="0002219B">
            <w:r>
              <w:t xml:space="preserve">Community Legal Education </w:t>
            </w:r>
          </w:p>
        </w:tc>
        <w:tc>
          <w:tcPr>
            <w:tcW w:w="2119" w:type="dxa"/>
          </w:tcPr>
          <w:p w:rsidR="0002219B" w:rsidRPr="00DC1D85" w:rsidRDefault="0002219B" w:rsidP="0002219B">
            <w:pPr>
              <w:jc w:val="right"/>
            </w:pPr>
            <w:r>
              <w:t>0.7 million</w:t>
            </w:r>
          </w:p>
        </w:tc>
        <w:tc>
          <w:tcPr>
            <w:tcW w:w="2103" w:type="dxa"/>
          </w:tcPr>
          <w:p w:rsidR="0002219B" w:rsidRPr="00DC1D85" w:rsidRDefault="0002219B" w:rsidP="0002219B">
            <w:pPr>
              <w:jc w:val="right"/>
            </w:pPr>
            <w:r>
              <w:t>0.8</w:t>
            </w:r>
          </w:p>
        </w:tc>
        <w:tc>
          <w:tcPr>
            <w:tcW w:w="1280" w:type="dxa"/>
          </w:tcPr>
          <w:p w:rsidR="0002219B" w:rsidRDefault="0002219B" w:rsidP="0002219B">
            <w:pPr>
              <w:jc w:val="right"/>
            </w:pPr>
            <w:r>
              <w:t>0.7 million</w:t>
            </w:r>
          </w:p>
        </w:tc>
        <w:tc>
          <w:tcPr>
            <w:tcW w:w="1280" w:type="dxa"/>
          </w:tcPr>
          <w:p w:rsidR="0002219B" w:rsidRDefault="0002219B" w:rsidP="0002219B">
            <w:pPr>
              <w:jc w:val="right"/>
            </w:pPr>
            <w:r>
              <w:t>0.7</w:t>
            </w:r>
          </w:p>
        </w:tc>
        <w:tc>
          <w:tcPr>
            <w:tcW w:w="1280" w:type="dxa"/>
          </w:tcPr>
          <w:p w:rsidR="0002219B" w:rsidRDefault="0002219B" w:rsidP="0002219B">
            <w:pPr>
              <w:jc w:val="right"/>
            </w:pPr>
            <w:r>
              <w:t>0.0 million</w:t>
            </w:r>
          </w:p>
        </w:tc>
      </w:tr>
      <w:tr w:rsidR="0002219B" w:rsidRPr="00E9367A" w:rsidTr="0002219B">
        <w:trPr>
          <w:cnfStyle w:val="000000100000" w:firstRow="0" w:lastRow="0" w:firstColumn="0" w:lastColumn="0" w:oddVBand="0" w:evenVBand="0" w:oddHBand="1" w:evenHBand="0" w:firstRowFirstColumn="0" w:firstRowLastColumn="0" w:lastRowFirstColumn="0" w:lastRowLastColumn="0"/>
        </w:trPr>
        <w:tc>
          <w:tcPr>
            <w:tcW w:w="2014" w:type="dxa"/>
          </w:tcPr>
          <w:p w:rsidR="0002219B" w:rsidRPr="00011A87" w:rsidRDefault="0002219B" w:rsidP="0002219B">
            <w:r w:rsidRPr="00011A87">
              <w:t>Legal Help</w:t>
            </w:r>
          </w:p>
        </w:tc>
        <w:tc>
          <w:tcPr>
            <w:tcW w:w="2119" w:type="dxa"/>
          </w:tcPr>
          <w:p w:rsidR="0002219B" w:rsidRPr="00E9367A" w:rsidRDefault="0002219B" w:rsidP="0002219B">
            <w:pPr>
              <w:jc w:val="right"/>
            </w:pPr>
            <w:r>
              <w:t>3.0 million</w:t>
            </w:r>
          </w:p>
        </w:tc>
        <w:tc>
          <w:tcPr>
            <w:tcW w:w="2103" w:type="dxa"/>
          </w:tcPr>
          <w:p w:rsidR="0002219B" w:rsidRPr="00E9367A" w:rsidRDefault="0002219B" w:rsidP="0002219B">
            <w:pPr>
              <w:jc w:val="right"/>
            </w:pPr>
            <w:r>
              <w:t>3.7</w:t>
            </w:r>
          </w:p>
        </w:tc>
        <w:tc>
          <w:tcPr>
            <w:tcW w:w="1280" w:type="dxa"/>
          </w:tcPr>
          <w:p w:rsidR="0002219B" w:rsidRDefault="0002219B" w:rsidP="0002219B">
            <w:pPr>
              <w:jc w:val="right"/>
            </w:pPr>
            <w:r>
              <w:t>3.7 million</w:t>
            </w:r>
          </w:p>
        </w:tc>
        <w:tc>
          <w:tcPr>
            <w:tcW w:w="1280" w:type="dxa"/>
          </w:tcPr>
          <w:p w:rsidR="0002219B" w:rsidRDefault="0002219B" w:rsidP="0002219B">
            <w:pPr>
              <w:jc w:val="right"/>
            </w:pPr>
            <w:r>
              <w:t>4.1</w:t>
            </w:r>
          </w:p>
        </w:tc>
        <w:tc>
          <w:tcPr>
            <w:tcW w:w="1280" w:type="dxa"/>
          </w:tcPr>
          <w:p w:rsidR="0002219B" w:rsidRDefault="0002219B" w:rsidP="0002219B">
            <w:pPr>
              <w:jc w:val="right"/>
            </w:pPr>
            <w:r>
              <w:t>0.7 million</w:t>
            </w:r>
          </w:p>
        </w:tc>
      </w:tr>
      <w:tr w:rsidR="0002219B" w:rsidRPr="00E9367A" w:rsidTr="0002219B">
        <w:trPr>
          <w:cnfStyle w:val="010000000000" w:firstRow="0" w:lastRow="1" w:firstColumn="0" w:lastColumn="0" w:oddVBand="0" w:evenVBand="0" w:oddHBand="0" w:evenHBand="0" w:firstRowFirstColumn="0" w:firstRowLastColumn="0" w:lastRowFirstColumn="0" w:lastRowLastColumn="0"/>
        </w:trPr>
        <w:tc>
          <w:tcPr>
            <w:tcW w:w="2014" w:type="dxa"/>
          </w:tcPr>
          <w:p w:rsidR="0002219B" w:rsidRPr="00011A87" w:rsidRDefault="0002219B" w:rsidP="0002219B">
            <w:r w:rsidRPr="00011A87">
              <w:t xml:space="preserve">Total </w:t>
            </w:r>
          </w:p>
        </w:tc>
        <w:tc>
          <w:tcPr>
            <w:tcW w:w="2119" w:type="dxa"/>
          </w:tcPr>
          <w:p w:rsidR="0002219B" w:rsidRPr="00E9367A" w:rsidRDefault="0002219B" w:rsidP="0002219B">
            <w:pPr>
              <w:jc w:val="right"/>
            </w:pPr>
            <w:r>
              <w:t>4.0 million</w:t>
            </w:r>
          </w:p>
        </w:tc>
        <w:tc>
          <w:tcPr>
            <w:tcW w:w="2103" w:type="dxa"/>
          </w:tcPr>
          <w:p w:rsidR="0002219B" w:rsidRPr="00E9367A" w:rsidRDefault="0002219B" w:rsidP="0002219B">
            <w:pPr>
              <w:jc w:val="right"/>
            </w:pPr>
            <w:r>
              <w:t>4.8</w:t>
            </w:r>
          </w:p>
        </w:tc>
        <w:tc>
          <w:tcPr>
            <w:tcW w:w="1280" w:type="dxa"/>
          </w:tcPr>
          <w:p w:rsidR="0002219B" w:rsidRDefault="0002219B" w:rsidP="0002219B">
            <w:pPr>
              <w:jc w:val="right"/>
            </w:pPr>
            <w:r>
              <w:t>4.9 million</w:t>
            </w:r>
          </w:p>
        </w:tc>
        <w:tc>
          <w:tcPr>
            <w:tcW w:w="1280" w:type="dxa"/>
          </w:tcPr>
          <w:p w:rsidR="0002219B" w:rsidRDefault="0002219B" w:rsidP="0002219B">
            <w:pPr>
              <w:jc w:val="right"/>
            </w:pPr>
            <w:r>
              <w:t>5.3</w:t>
            </w:r>
          </w:p>
        </w:tc>
        <w:tc>
          <w:tcPr>
            <w:tcW w:w="1280" w:type="dxa"/>
          </w:tcPr>
          <w:p w:rsidR="0002219B" w:rsidRDefault="0002219B" w:rsidP="0002219B">
            <w:pPr>
              <w:jc w:val="right"/>
            </w:pPr>
            <w:r>
              <w:t>0.9 million</w:t>
            </w:r>
          </w:p>
        </w:tc>
      </w:tr>
    </w:tbl>
    <w:p w:rsidR="0002219B" w:rsidRDefault="0002219B" w:rsidP="0002219B">
      <w:r>
        <w:lastRenderedPageBreak/>
        <w:t>Th</w:t>
      </w:r>
      <w:r w:rsidR="009B2351">
        <w:t xml:space="preserve">is </w:t>
      </w:r>
      <w:r>
        <w:t xml:space="preserve">expenditure table does not include payments or grants made to community legal centres as part of our </w:t>
      </w:r>
      <w:r w:rsidRPr="00FD1C4F">
        <w:t>Community Legal Centre Funding and Development</w:t>
      </w:r>
      <w:r>
        <w:t xml:space="preserve"> program. </w:t>
      </w:r>
    </w:p>
    <w:p w:rsidR="0002219B" w:rsidRPr="005F1DE5" w:rsidRDefault="0002219B" w:rsidP="0002219B">
      <w:pPr>
        <w:pStyle w:val="Heading3"/>
      </w:pPr>
      <w:r w:rsidRPr="005F1DE5">
        <w:t xml:space="preserve">Criminal Law Program </w:t>
      </w:r>
    </w:p>
    <w:p w:rsidR="0002219B" w:rsidRPr="00CE68F2" w:rsidRDefault="0002219B" w:rsidP="0002219B">
      <w:r w:rsidRPr="00CE68F2">
        <w:t xml:space="preserve">We </w:t>
      </w:r>
      <w:r>
        <w:t xml:space="preserve">assist </w:t>
      </w:r>
      <w:r w:rsidRPr="00CE68F2">
        <w:t xml:space="preserve">people charged with criminal offences </w:t>
      </w:r>
      <w:r>
        <w:t xml:space="preserve">and endeavour to positively </w:t>
      </w:r>
      <w:r w:rsidRPr="00CE68F2">
        <w:t>influence the criminal justice system to:</w:t>
      </w:r>
    </w:p>
    <w:p w:rsidR="0002219B" w:rsidRPr="00CE68F2" w:rsidRDefault="0002219B" w:rsidP="0002219B">
      <w:pPr>
        <w:pStyle w:val="ListParagraph"/>
        <w:numPr>
          <w:ilvl w:val="0"/>
          <w:numId w:val="49"/>
        </w:numPr>
      </w:pPr>
      <w:r w:rsidRPr="00CE68F2">
        <w:t>provide timely justice, the fair hearing of charges and appropriate outcomes</w:t>
      </w:r>
    </w:p>
    <w:p w:rsidR="0002219B" w:rsidRDefault="0002219B" w:rsidP="0002219B">
      <w:pPr>
        <w:pStyle w:val="ListParagraph"/>
        <w:numPr>
          <w:ilvl w:val="0"/>
          <w:numId w:val="49"/>
        </w:numPr>
      </w:pPr>
      <w:r w:rsidRPr="00CE68F2">
        <w:t>ensure people charged with offences are treated with dignity</w:t>
      </w:r>
      <w:r>
        <w:t xml:space="preserve"> and </w:t>
      </w:r>
      <w:r w:rsidRPr="00CE68F2">
        <w:t xml:space="preserve">are well-informed </w:t>
      </w:r>
      <w:r>
        <w:t>about their options</w:t>
      </w:r>
    </w:p>
    <w:p w:rsidR="0002219B" w:rsidRPr="00CE68F2" w:rsidRDefault="0002219B" w:rsidP="0002219B">
      <w:pPr>
        <w:pStyle w:val="ListParagraph"/>
        <w:numPr>
          <w:ilvl w:val="0"/>
          <w:numId w:val="49"/>
        </w:numPr>
      </w:pPr>
      <w:r w:rsidRPr="00CE68F2">
        <w:t>improve community understanding of criminal justice and behavioural issues.</w:t>
      </w:r>
    </w:p>
    <w:p w:rsidR="0002219B" w:rsidRPr="00393169" w:rsidRDefault="0002219B" w:rsidP="0002219B">
      <w:pPr>
        <w:pStyle w:val="Heading4"/>
      </w:pPr>
      <w:r w:rsidRPr="0047677D">
        <w:t>Clients</w:t>
      </w:r>
      <w:r>
        <w:t xml:space="preserve"> numbers and service outcomes</w:t>
      </w:r>
    </w:p>
    <w:tbl>
      <w:tblPr>
        <w:tblStyle w:val="TableGrid"/>
        <w:tblW w:w="5000" w:type="pct"/>
        <w:tblLook w:val="04A0" w:firstRow="1" w:lastRow="0" w:firstColumn="1" w:lastColumn="0" w:noHBand="0" w:noVBand="1"/>
      </w:tblPr>
      <w:tblGrid>
        <w:gridCol w:w="5664"/>
        <w:gridCol w:w="1560"/>
        <w:gridCol w:w="1717"/>
        <w:gridCol w:w="1135"/>
      </w:tblGrid>
      <w:tr w:rsidR="0002219B" w:rsidRPr="0047677D" w:rsidTr="0002219B">
        <w:trPr>
          <w:tblHeader/>
        </w:trPr>
        <w:tc>
          <w:tcPr>
            <w:tcW w:w="2811" w:type="pct"/>
            <w:shd w:val="clear" w:color="auto" w:fill="D9D9D9" w:themeFill="background1" w:themeFillShade="D9"/>
          </w:tcPr>
          <w:p w:rsidR="0002219B" w:rsidRPr="0047677D" w:rsidRDefault="009B2351" w:rsidP="0002219B">
            <w:pPr>
              <w:rPr>
                <w:b/>
              </w:rPr>
            </w:pPr>
            <w:r>
              <w:rPr>
                <w:b/>
              </w:rPr>
              <w:t>Service</w:t>
            </w:r>
          </w:p>
        </w:tc>
        <w:tc>
          <w:tcPr>
            <w:tcW w:w="774" w:type="pct"/>
            <w:shd w:val="clear" w:color="auto" w:fill="D9D9D9" w:themeFill="background1" w:themeFillShade="D9"/>
          </w:tcPr>
          <w:p w:rsidR="0002219B" w:rsidRPr="0047677D" w:rsidRDefault="0002219B" w:rsidP="0002219B">
            <w:pPr>
              <w:rPr>
                <w:b/>
              </w:rPr>
            </w:pPr>
            <w:r>
              <w:rPr>
                <w:b/>
              </w:rPr>
              <w:t>31 Dec 2016</w:t>
            </w:r>
          </w:p>
        </w:tc>
        <w:tc>
          <w:tcPr>
            <w:tcW w:w="852" w:type="pct"/>
            <w:shd w:val="clear" w:color="auto" w:fill="D9D9D9" w:themeFill="background1" w:themeFillShade="D9"/>
          </w:tcPr>
          <w:p w:rsidR="0002219B" w:rsidRPr="0047677D" w:rsidRDefault="0002219B" w:rsidP="0002219B">
            <w:pPr>
              <w:rPr>
                <w:b/>
              </w:rPr>
            </w:pPr>
            <w:r>
              <w:rPr>
                <w:b/>
              </w:rPr>
              <w:t>31 Dec 2017</w:t>
            </w:r>
          </w:p>
        </w:tc>
        <w:tc>
          <w:tcPr>
            <w:tcW w:w="563" w:type="pct"/>
            <w:shd w:val="clear" w:color="auto" w:fill="D9D9D9" w:themeFill="background1" w:themeFillShade="D9"/>
          </w:tcPr>
          <w:p w:rsidR="0002219B" w:rsidRPr="0047677D" w:rsidRDefault="0002219B" w:rsidP="0002219B">
            <w:pPr>
              <w:rPr>
                <w:b/>
              </w:rPr>
            </w:pPr>
            <w:r w:rsidRPr="0047677D">
              <w:rPr>
                <w:b/>
              </w:rPr>
              <w:t>Variance</w:t>
            </w:r>
          </w:p>
        </w:tc>
      </w:tr>
      <w:tr w:rsidR="0002219B" w:rsidTr="0002219B">
        <w:tc>
          <w:tcPr>
            <w:tcW w:w="2811" w:type="pct"/>
          </w:tcPr>
          <w:p w:rsidR="0002219B" w:rsidRDefault="0002219B" w:rsidP="0002219B">
            <w:r>
              <w:t>Unique clients</w:t>
            </w:r>
          </w:p>
        </w:tc>
        <w:tc>
          <w:tcPr>
            <w:tcW w:w="774" w:type="pct"/>
          </w:tcPr>
          <w:p w:rsidR="0002219B" w:rsidRPr="00700B87" w:rsidRDefault="0002219B" w:rsidP="0002219B">
            <w:pPr>
              <w:jc w:val="right"/>
            </w:pPr>
            <w:r w:rsidRPr="00700B87">
              <w:t>30,453</w:t>
            </w:r>
          </w:p>
        </w:tc>
        <w:tc>
          <w:tcPr>
            <w:tcW w:w="852" w:type="pct"/>
          </w:tcPr>
          <w:p w:rsidR="0002219B" w:rsidRPr="00700B87" w:rsidRDefault="0002219B" w:rsidP="0002219B">
            <w:pPr>
              <w:jc w:val="right"/>
            </w:pPr>
            <w:r w:rsidRPr="00700B87">
              <w:t>31,576</w:t>
            </w:r>
          </w:p>
        </w:tc>
        <w:tc>
          <w:tcPr>
            <w:tcW w:w="563" w:type="pct"/>
          </w:tcPr>
          <w:p w:rsidR="0002219B" w:rsidRPr="00700B87" w:rsidRDefault="0002219B" w:rsidP="0002219B">
            <w:pPr>
              <w:jc w:val="right"/>
            </w:pPr>
            <w:r>
              <w:t>4</w:t>
            </w:r>
            <w:r w:rsidRPr="00700B87">
              <w:t>%</w:t>
            </w:r>
          </w:p>
        </w:tc>
      </w:tr>
      <w:tr w:rsidR="0002219B" w:rsidTr="0002219B">
        <w:tc>
          <w:tcPr>
            <w:tcW w:w="2811" w:type="pct"/>
          </w:tcPr>
          <w:p w:rsidR="0002219B" w:rsidRPr="00DC1D85" w:rsidRDefault="0002219B" w:rsidP="0002219B">
            <w:r w:rsidRPr="00DC1D85">
              <w:t>Legal advice, minor assistance and advocacy services</w:t>
            </w:r>
          </w:p>
        </w:tc>
        <w:tc>
          <w:tcPr>
            <w:tcW w:w="774" w:type="pct"/>
          </w:tcPr>
          <w:p w:rsidR="0002219B" w:rsidRPr="00700B87" w:rsidRDefault="0002219B" w:rsidP="0002219B">
            <w:pPr>
              <w:jc w:val="right"/>
            </w:pPr>
            <w:r w:rsidRPr="00700B87">
              <w:t>8,162</w:t>
            </w:r>
          </w:p>
        </w:tc>
        <w:tc>
          <w:tcPr>
            <w:tcW w:w="852" w:type="pct"/>
          </w:tcPr>
          <w:p w:rsidR="0002219B" w:rsidRPr="00700B87" w:rsidRDefault="0002219B" w:rsidP="0002219B">
            <w:pPr>
              <w:jc w:val="right"/>
            </w:pPr>
            <w:r w:rsidRPr="00700B87">
              <w:t>5,438</w:t>
            </w:r>
          </w:p>
        </w:tc>
        <w:tc>
          <w:tcPr>
            <w:tcW w:w="563" w:type="pct"/>
          </w:tcPr>
          <w:p w:rsidR="0002219B" w:rsidRPr="00700B87" w:rsidRDefault="0002219B" w:rsidP="0002219B">
            <w:pPr>
              <w:jc w:val="right"/>
            </w:pPr>
            <w:r>
              <w:t>-33</w:t>
            </w:r>
            <w:r w:rsidRPr="00700B87">
              <w:t>%</w:t>
            </w:r>
          </w:p>
        </w:tc>
      </w:tr>
      <w:tr w:rsidR="0002219B" w:rsidTr="0002219B">
        <w:tc>
          <w:tcPr>
            <w:tcW w:w="2811" w:type="pct"/>
          </w:tcPr>
          <w:p w:rsidR="0002219B" w:rsidRDefault="0002219B" w:rsidP="0002219B">
            <w:r>
              <w:t>D</w:t>
            </w:r>
            <w:r w:rsidRPr="00DC1D85">
              <w:t>uty lawyer services</w:t>
            </w:r>
          </w:p>
        </w:tc>
        <w:tc>
          <w:tcPr>
            <w:tcW w:w="774" w:type="pct"/>
            <w:vAlign w:val="bottom"/>
          </w:tcPr>
          <w:p w:rsidR="0002219B" w:rsidRPr="00700B87" w:rsidRDefault="0002219B" w:rsidP="0002219B">
            <w:pPr>
              <w:jc w:val="right"/>
            </w:pPr>
            <w:r w:rsidRPr="00700B87">
              <w:t>33,487</w:t>
            </w:r>
          </w:p>
        </w:tc>
        <w:tc>
          <w:tcPr>
            <w:tcW w:w="852" w:type="pct"/>
            <w:vAlign w:val="bottom"/>
          </w:tcPr>
          <w:p w:rsidR="0002219B" w:rsidRPr="00700B87" w:rsidRDefault="0002219B" w:rsidP="0002219B">
            <w:pPr>
              <w:jc w:val="right"/>
            </w:pPr>
            <w:r w:rsidRPr="000B47BC">
              <w:t>34,194</w:t>
            </w:r>
          </w:p>
        </w:tc>
        <w:tc>
          <w:tcPr>
            <w:tcW w:w="563" w:type="pct"/>
          </w:tcPr>
          <w:p w:rsidR="0002219B" w:rsidRPr="00700B87" w:rsidRDefault="0002219B" w:rsidP="0002219B">
            <w:pPr>
              <w:jc w:val="right"/>
            </w:pPr>
            <w:r>
              <w:t>2</w:t>
            </w:r>
            <w:r w:rsidRPr="00700B87">
              <w:t>%</w:t>
            </w:r>
          </w:p>
        </w:tc>
      </w:tr>
      <w:tr w:rsidR="0002219B" w:rsidTr="0002219B">
        <w:tc>
          <w:tcPr>
            <w:tcW w:w="2811" w:type="pct"/>
          </w:tcPr>
          <w:p w:rsidR="0002219B" w:rsidRDefault="0002219B" w:rsidP="0002219B">
            <w:r w:rsidRPr="00DC1D85">
              <w:t>Grants of legal assistance</w:t>
            </w:r>
          </w:p>
        </w:tc>
        <w:tc>
          <w:tcPr>
            <w:tcW w:w="774" w:type="pct"/>
          </w:tcPr>
          <w:p w:rsidR="0002219B" w:rsidRPr="00700B87" w:rsidRDefault="0002219B" w:rsidP="0002219B">
            <w:pPr>
              <w:jc w:val="right"/>
            </w:pPr>
            <w:r w:rsidRPr="00700B87">
              <w:t>12,080</w:t>
            </w:r>
          </w:p>
        </w:tc>
        <w:tc>
          <w:tcPr>
            <w:tcW w:w="852" w:type="pct"/>
          </w:tcPr>
          <w:p w:rsidR="0002219B" w:rsidRPr="00700B87" w:rsidRDefault="0002219B" w:rsidP="0002219B">
            <w:pPr>
              <w:jc w:val="right"/>
            </w:pPr>
            <w:r w:rsidRPr="00700B87">
              <w:t>12,821</w:t>
            </w:r>
          </w:p>
        </w:tc>
        <w:tc>
          <w:tcPr>
            <w:tcW w:w="563" w:type="pct"/>
          </w:tcPr>
          <w:p w:rsidR="0002219B" w:rsidRPr="00700B87" w:rsidRDefault="0002219B" w:rsidP="0002219B">
            <w:pPr>
              <w:jc w:val="right"/>
            </w:pPr>
            <w:r>
              <w:t>6</w:t>
            </w:r>
            <w:r w:rsidRPr="00700B87">
              <w:t>%</w:t>
            </w:r>
          </w:p>
        </w:tc>
      </w:tr>
    </w:tbl>
    <w:p w:rsidR="0002219B" w:rsidRDefault="0002219B" w:rsidP="0002219B">
      <w:r w:rsidRPr="00CE68F2">
        <w:t>M</w:t>
      </w:r>
      <w:r>
        <w:t xml:space="preserve">uch </w:t>
      </w:r>
      <w:r w:rsidRPr="00CE68F2">
        <w:t>of the increase in duty lawyer services and grants of legal assistance relate</w:t>
      </w:r>
      <w:r>
        <w:t xml:space="preserve"> </w:t>
      </w:r>
      <w:r w:rsidRPr="00CE68F2">
        <w:t xml:space="preserve">to summary crime matters. As we explain on page </w:t>
      </w:r>
      <w:r w:rsidRPr="00DF6DCF">
        <w:t>three,</w:t>
      </w:r>
      <w:r w:rsidRPr="00CE68F2">
        <w:t xml:space="preserve"> the major drivers for this include additional police, changes to sentencing and bail laws, increased </w:t>
      </w:r>
      <w:r>
        <w:t xml:space="preserve">harm from </w:t>
      </w:r>
      <w:r w:rsidRPr="00CE68F2">
        <w:t>drug use and family violence reporting.</w:t>
      </w:r>
      <w:r w:rsidRPr="008F0752">
        <w:t xml:space="preserve"> </w:t>
      </w:r>
    </w:p>
    <w:p w:rsidR="0002219B" w:rsidRPr="00CE68F2" w:rsidRDefault="0002219B" w:rsidP="0002219B">
      <w:r>
        <w:t xml:space="preserve">An independent evaluation </w:t>
      </w:r>
      <w:r w:rsidRPr="00CE68F2">
        <w:t>report</w:t>
      </w:r>
      <w:r>
        <w:t xml:space="preserve">, released in </w:t>
      </w:r>
      <w:r w:rsidRPr="00CE68F2">
        <w:t xml:space="preserve">June 2017, </w:t>
      </w:r>
      <w:r>
        <w:t xml:space="preserve">confirmed the need for </w:t>
      </w:r>
      <w:r w:rsidRPr="00CE68F2">
        <w:t>repair, reform and proper funding</w:t>
      </w:r>
      <w:r>
        <w:t xml:space="preserve"> so the </w:t>
      </w:r>
      <w:r w:rsidRPr="00CE68F2">
        <w:t>summary crime system</w:t>
      </w:r>
      <w:r>
        <w:t xml:space="preserve"> can properly deliver for the community</w:t>
      </w:r>
      <w:r w:rsidRPr="00CE68F2">
        <w:t xml:space="preserve">. </w:t>
      </w:r>
      <w:r>
        <w:t>Funding has since been provided for a</w:t>
      </w:r>
      <w:r w:rsidRPr="00CE68F2">
        <w:t xml:space="preserve"> duty lawyer service at the interim Night Court in the Melbourne Magistrates’ Court. This is an important shift </w:t>
      </w:r>
      <w:r>
        <w:t>in</w:t>
      </w:r>
      <w:r w:rsidRPr="00CE68F2">
        <w:t xml:space="preserve"> the criminal law system because it will provide clients with </w:t>
      </w:r>
      <w:r>
        <w:t xml:space="preserve">necessary </w:t>
      </w:r>
      <w:r w:rsidRPr="00CE68F2">
        <w:t xml:space="preserve">access to </w:t>
      </w:r>
      <w:r>
        <w:t xml:space="preserve">legal advice and other </w:t>
      </w:r>
      <w:r w:rsidRPr="00CE68F2">
        <w:t>services</w:t>
      </w:r>
      <w:r w:rsidRPr="00CE68F2" w:rsidDel="002B63F7">
        <w:t xml:space="preserve"> </w:t>
      </w:r>
      <w:r>
        <w:t xml:space="preserve">to help resolve their issues. This is not available </w:t>
      </w:r>
      <w:r w:rsidRPr="00CE68F2">
        <w:t xml:space="preserve">in the current Night Court model. The interim Night Court is part of the Government’s </w:t>
      </w:r>
      <w:r>
        <w:t xml:space="preserve">positive </w:t>
      </w:r>
      <w:r w:rsidRPr="00CE68F2">
        <w:t>$5.5 million funding announce</w:t>
      </w:r>
      <w:r>
        <w:t>ment</w:t>
      </w:r>
      <w:r w:rsidRPr="00CE68F2">
        <w:t xml:space="preserve"> </w:t>
      </w:r>
      <w:r>
        <w:t xml:space="preserve">on </w:t>
      </w:r>
      <w:r w:rsidRPr="00CE68F2">
        <w:t xml:space="preserve">22 January 2018 and we expect it to commence this financial year, with prosecutions, </w:t>
      </w:r>
      <w:r>
        <w:t>c</w:t>
      </w:r>
      <w:r w:rsidRPr="00CE68F2">
        <w:t xml:space="preserve">ommunity </w:t>
      </w:r>
      <w:r>
        <w:t>c</w:t>
      </w:r>
      <w:r w:rsidRPr="00CE68F2">
        <w:t xml:space="preserve">orrections and </w:t>
      </w:r>
      <w:r>
        <w:t xml:space="preserve">rehabilitative programs also </w:t>
      </w:r>
      <w:r w:rsidRPr="00CE68F2">
        <w:t>funded to participate. </w:t>
      </w:r>
    </w:p>
    <w:p w:rsidR="0002219B" w:rsidRDefault="0002219B" w:rsidP="0002219B">
      <w:pPr>
        <w:pStyle w:val="Heading4"/>
      </w:pPr>
      <w:r w:rsidRPr="006973CA">
        <w:t xml:space="preserve">Criminal Law </w:t>
      </w:r>
      <w:r>
        <w:t xml:space="preserve">Program grants of legal assistance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024"/>
        <w:gridCol w:w="1740"/>
        <w:gridCol w:w="1740"/>
        <w:gridCol w:w="2572"/>
      </w:tblGrid>
      <w:tr w:rsidR="0002219B" w:rsidRPr="00E9367A" w:rsidTr="0089729F">
        <w:trPr>
          <w:cnfStyle w:val="100000000000" w:firstRow="1" w:lastRow="0" w:firstColumn="0" w:lastColumn="0" w:oddVBand="0" w:evenVBand="0" w:oddHBand="0" w:evenHBand="0" w:firstRowFirstColumn="0" w:firstRowLastColumn="0" w:lastRowFirstColumn="0" w:lastRowLastColumn="0"/>
          <w:cantSplit w:val="0"/>
        </w:trPr>
        <w:tc>
          <w:tcPr>
            <w:tcW w:w="0" w:type="dxa"/>
            <w:shd w:val="clear" w:color="auto" w:fill="BFBFBF" w:themeFill="background1" w:themeFillShade="BF"/>
          </w:tcPr>
          <w:p w:rsidR="0002219B" w:rsidRPr="00C07559" w:rsidRDefault="009B2351" w:rsidP="0002219B">
            <w:pPr>
              <w:rPr>
                <w:b/>
                <w:color w:val="000000" w:themeColor="text1"/>
              </w:rPr>
            </w:pPr>
            <w:r>
              <w:rPr>
                <w:b/>
                <w:color w:val="000000" w:themeColor="text1"/>
              </w:rPr>
              <w:t>Criminal Law Program</w:t>
            </w:r>
          </w:p>
        </w:tc>
        <w:tc>
          <w:tcPr>
            <w:tcW w:w="0"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2016</w:t>
            </w:r>
          </w:p>
        </w:tc>
        <w:tc>
          <w:tcPr>
            <w:tcW w:w="0"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2017</w:t>
            </w:r>
          </w:p>
        </w:tc>
        <w:tc>
          <w:tcPr>
            <w:tcW w:w="0"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Variance</w:t>
            </w:r>
          </w:p>
        </w:tc>
      </w:tr>
      <w:tr w:rsidR="0002219B" w:rsidRPr="00E9367A" w:rsidTr="0089729F">
        <w:trPr>
          <w:cnfStyle w:val="000000100000" w:firstRow="0" w:lastRow="0" w:firstColumn="0" w:lastColumn="0" w:oddVBand="0" w:evenVBand="0" w:oddHBand="1" w:evenHBand="0" w:firstRowFirstColumn="0" w:firstRowLastColumn="0" w:lastRowFirstColumn="0" w:lastRowLastColumn="0"/>
        </w:trPr>
        <w:tc>
          <w:tcPr>
            <w:tcW w:w="0" w:type="dxa"/>
          </w:tcPr>
          <w:p w:rsidR="0002219B" w:rsidRPr="00E9367A" w:rsidRDefault="0002219B" w:rsidP="0002219B">
            <w:r w:rsidRPr="00E9367A">
              <w:t>Summary Crime</w:t>
            </w:r>
          </w:p>
        </w:tc>
        <w:tc>
          <w:tcPr>
            <w:tcW w:w="0" w:type="dxa"/>
          </w:tcPr>
          <w:p w:rsidR="0002219B" w:rsidRPr="00414EF5" w:rsidRDefault="0002219B" w:rsidP="0089729F">
            <w:pPr>
              <w:rPr>
                <w:rFonts w:cs="Arial"/>
                <w:color w:val="000000"/>
                <w:szCs w:val="22"/>
              </w:rPr>
            </w:pPr>
            <w:r w:rsidRPr="00414EF5">
              <w:rPr>
                <w:szCs w:val="22"/>
              </w:rPr>
              <w:t>7,819</w:t>
            </w:r>
          </w:p>
        </w:tc>
        <w:tc>
          <w:tcPr>
            <w:tcW w:w="0" w:type="dxa"/>
          </w:tcPr>
          <w:p w:rsidR="0002219B" w:rsidRPr="00414EF5" w:rsidRDefault="0002219B" w:rsidP="0089729F">
            <w:pPr>
              <w:rPr>
                <w:szCs w:val="22"/>
              </w:rPr>
            </w:pPr>
            <w:r w:rsidRPr="00414EF5">
              <w:rPr>
                <w:szCs w:val="22"/>
              </w:rPr>
              <w:t>8,326</w:t>
            </w:r>
          </w:p>
        </w:tc>
        <w:tc>
          <w:tcPr>
            <w:tcW w:w="0" w:type="dxa"/>
          </w:tcPr>
          <w:p w:rsidR="0002219B" w:rsidRPr="00414EF5" w:rsidRDefault="0002219B" w:rsidP="0089729F">
            <w:pPr>
              <w:rPr>
                <w:szCs w:val="22"/>
              </w:rPr>
            </w:pPr>
            <w:r w:rsidRPr="00414EF5">
              <w:rPr>
                <w:szCs w:val="22"/>
              </w:rPr>
              <w:t>6.5%</w:t>
            </w:r>
          </w:p>
        </w:tc>
      </w:tr>
      <w:tr w:rsidR="0002219B" w:rsidRPr="00E9367A" w:rsidTr="0089729F">
        <w:trPr>
          <w:cnfStyle w:val="000000010000" w:firstRow="0" w:lastRow="0" w:firstColumn="0" w:lastColumn="0" w:oddVBand="0" w:evenVBand="0" w:oddHBand="0" w:evenHBand="1" w:firstRowFirstColumn="0" w:firstRowLastColumn="0" w:lastRowFirstColumn="0" w:lastRowLastColumn="0"/>
        </w:trPr>
        <w:tc>
          <w:tcPr>
            <w:tcW w:w="0" w:type="dxa"/>
          </w:tcPr>
          <w:p w:rsidR="0002219B" w:rsidRPr="00E9367A" w:rsidRDefault="0002219B" w:rsidP="0002219B">
            <w:r w:rsidRPr="00E9367A">
              <w:t>Youth Crime</w:t>
            </w:r>
          </w:p>
        </w:tc>
        <w:tc>
          <w:tcPr>
            <w:tcW w:w="0" w:type="dxa"/>
          </w:tcPr>
          <w:p w:rsidR="0002219B" w:rsidRPr="00414EF5" w:rsidRDefault="0002219B" w:rsidP="0089729F">
            <w:pPr>
              <w:rPr>
                <w:rFonts w:cs="Arial"/>
                <w:color w:val="000000"/>
                <w:szCs w:val="22"/>
              </w:rPr>
            </w:pPr>
            <w:r w:rsidRPr="00414EF5">
              <w:rPr>
                <w:szCs w:val="22"/>
              </w:rPr>
              <w:t>1,983</w:t>
            </w:r>
          </w:p>
        </w:tc>
        <w:tc>
          <w:tcPr>
            <w:tcW w:w="0" w:type="dxa"/>
          </w:tcPr>
          <w:p w:rsidR="0002219B" w:rsidRPr="00414EF5" w:rsidRDefault="0002219B" w:rsidP="0089729F">
            <w:pPr>
              <w:rPr>
                <w:szCs w:val="22"/>
              </w:rPr>
            </w:pPr>
            <w:r w:rsidRPr="00414EF5">
              <w:rPr>
                <w:szCs w:val="22"/>
              </w:rPr>
              <w:t>2,085</w:t>
            </w:r>
          </w:p>
        </w:tc>
        <w:tc>
          <w:tcPr>
            <w:tcW w:w="0" w:type="dxa"/>
          </w:tcPr>
          <w:p w:rsidR="0002219B" w:rsidRPr="00414EF5" w:rsidRDefault="0002219B" w:rsidP="0089729F">
            <w:pPr>
              <w:rPr>
                <w:szCs w:val="22"/>
              </w:rPr>
            </w:pPr>
            <w:r w:rsidRPr="00414EF5">
              <w:rPr>
                <w:szCs w:val="22"/>
              </w:rPr>
              <w:t>5%</w:t>
            </w:r>
          </w:p>
        </w:tc>
      </w:tr>
      <w:tr w:rsidR="0002219B" w:rsidRPr="00E9367A" w:rsidTr="0089729F">
        <w:trPr>
          <w:cnfStyle w:val="000000100000" w:firstRow="0" w:lastRow="0" w:firstColumn="0" w:lastColumn="0" w:oddVBand="0" w:evenVBand="0" w:oddHBand="1" w:evenHBand="0" w:firstRowFirstColumn="0" w:firstRowLastColumn="0" w:lastRowFirstColumn="0" w:lastRowLastColumn="0"/>
        </w:trPr>
        <w:tc>
          <w:tcPr>
            <w:tcW w:w="0" w:type="dxa"/>
          </w:tcPr>
          <w:p w:rsidR="0002219B" w:rsidRPr="00E9367A" w:rsidRDefault="0002219B" w:rsidP="0002219B">
            <w:r w:rsidRPr="00E9367A">
              <w:t>Indictable Crime (includes sexual offences)</w:t>
            </w:r>
          </w:p>
        </w:tc>
        <w:tc>
          <w:tcPr>
            <w:tcW w:w="0" w:type="dxa"/>
            <w:vAlign w:val="center"/>
          </w:tcPr>
          <w:p w:rsidR="0002219B" w:rsidRPr="00414EF5" w:rsidRDefault="0002219B" w:rsidP="0089729F">
            <w:pPr>
              <w:rPr>
                <w:rFonts w:cs="Arial"/>
                <w:color w:val="000000"/>
                <w:szCs w:val="22"/>
              </w:rPr>
            </w:pPr>
            <w:r w:rsidRPr="00414EF5">
              <w:rPr>
                <w:szCs w:val="22"/>
              </w:rPr>
              <w:t>1,706</w:t>
            </w:r>
          </w:p>
        </w:tc>
        <w:tc>
          <w:tcPr>
            <w:tcW w:w="0" w:type="dxa"/>
            <w:vAlign w:val="center"/>
          </w:tcPr>
          <w:p w:rsidR="0002219B" w:rsidRPr="00414EF5" w:rsidRDefault="0002219B" w:rsidP="0089729F">
            <w:pPr>
              <w:rPr>
                <w:szCs w:val="22"/>
              </w:rPr>
            </w:pPr>
            <w:r w:rsidRPr="00414EF5">
              <w:rPr>
                <w:szCs w:val="22"/>
              </w:rPr>
              <w:t>1,812</w:t>
            </w:r>
          </w:p>
        </w:tc>
        <w:tc>
          <w:tcPr>
            <w:tcW w:w="0" w:type="dxa"/>
            <w:vAlign w:val="center"/>
          </w:tcPr>
          <w:p w:rsidR="0002219B" w:rsidRPr="00414EF5" w:rsidRDefault="0002219B" w:rsidP="0089729F">
            <w:pPr>
              <w:rPr>
                <w:szCs w:val="22"/>
              </w:rPr>
            </w:pPr>
            <w:r w:rsidRPr="00414EF5">
              <w:rPr>
                <w:szCs w:val="22"/>
              </w:rPr>
              <w:t>6%</w:t>
            </w:r>
          </w:p>
        </w:tc>
      </w:tr>
      <w:tr w:rsidR="0002219B" w:rsidRPr="00E9367A" w:rsidTr="0089729F">
        <w:trPr>
          <w:cnfStyle w:val="000000010000" w:firstRow="0" w:lastRow="0" w:firstColumn="0" w:lastColumn="0" w:oddVBand="0" w:evenVBand="0" w:oddHBand="0" w:evenHBand="1" w:firstRowFirstColumn="0" w:firstRowLastColumn="0" w:lastRowFirstColumn="0" w:lastRowLastColumn="0"/>
        </w:trPr>
        <w:tc>
          <w:tcPr>
            <w:tcW w:w="0" w:type="dxa"/>
          </w:tcPr>
          <w:p w:rsidR="0002219B" w:rsidRPr="00E9367A" w:rsidRDefault="0002219B" w:rsidP="0002219B">
            <w:r w:rsidRPr="00E9367A">
              <w:t>Appellate Crime</w:t>
            </w:r>
          </w:p>
        </w:tc>
        <w:tc>
          <w:tcPr>
            <w:tcW w:w="0" w:type="dxa"/>
          </w:tcPr>
          <w:p w:rsidR="0002219B" w:rsidRPr="00414EF5" w:rsidRDefault="0002219B" w:rsidP="0089729F">
            <w:pPr>
              <w:rPr>
                <w:szCs w:val="22"/>
              </w:rPr>
            </w:pPr>
            <w:r w:rsidRPr="00414EF5">
              <w:rPr>
                <w:rFonts w:cs="Arial"/>
                <w:color w:val="000000"/>
                <w:szCs w:val="22"/>
              </w:rPr>
              <w:t>572</w:t>
            </w:r>
          </w:p>
        </w:tc>
        <w:tc>
          <w:tcPr>
            <w:tcW w:w="0" w:type="dxa"/>
          </w:tcPr>
          <w:p w:rsidR="0002219B" w:rsidRPr="00414EF5" w:rsidRDefault="0002219B" w:rsidP="0089729F">
            <w:pPr>
              <w:rPr>
                <w:szCs w:val="22"/>
              </w:rPr>
            </w:pPr>
            <w:r w:rsidRPr="00414EF5">
              <w:rPr>
                <w:szCs w:val="22"/>
              </w:rPr>
              <w:t>598</w:t>
            </w:r>
          </w:p>
        </w:tc>
        <w:tc>
          <w:tcPr>
            <w:tcW w:w="0" w:type="dxa"/>
            <w:vAlign w:val="center"/>
          </w:tcPr>
          <w:p w:rsidR="0002219B" w:rsidRPr="00414EF5" w:rsidRDefault="0002219B" w:rsidP="0089729F">
            <w:pPr>
              <w:rPr>
                <w:szCs w:val="22"/>
              </w:rPr>
            </w:pPr>
            <w:r w:rsidRPr="00414EF5">
              <w:rPr>
                <w:szCs w:val="22"/>
              </w:rPr>
              <w:t>4.5%</w:t>
            </w:r>
          </w:p>
        </w:tc>
      </w:tr>
      <w:tr w:rsidR="0002219B" w:rsidRPr="00E9367A" w:rsidTr="0089729F">
        <w:trPr>
          <w:cnfStyle w:val="000000100000" w:firstRow="0" w:lastRow="0" w:firstColumn="0" w:lastColumn="0" w:oddVBand="0" w:evenVBand="0" w:oddHBand="1" w:evenHBand="0" w:firstRowFirstColumn="0" w:firstRowLastColumn="0" w:lastRowFirstColumn="0" w:lastRowLastColumn="0"/>
        </w:trPr>
        <w:tc>
          <w:tcPr>
            <w:tcW w:w="0" w:type="dxa"/>
          </w:tcPr>
          <w:p w:rsidR="0002219B" w:rsidRPr="00E9367A" w:rsidRDefault="0002219B" w:rsidP="0002219B">
            <w:pPr>
              <w:pStyle w:val="ListParagraph"/>
              <w:numPr>
                <w:ilvl w:val="0"/>
                <w:numId w:val="44"/>
              </w:numPr>
            </w:pPr>
            <w:r>
              <w:t>Higher court appeals</w:t>
            </w:r>
            <w:r>
              <w:rPr>
                <w:rStyle w:val="FootnoteReference"/>
              </w:rPr>
              <w:footnoteReference w:id="2"/>
            </w:r>
          </w:p>
        </w:tc>
        <w:tc>
          <w:tcPr>
            <w:tcW w:w="0" w:type="dxa"/>
          </w:tcPr>
          <w:p w:rsidR="0002219B" w:rsidRPr="00414EF5" w:rsidRDefault="0002219B" w:rsidP="0089729F">
            <w:pPr>
              <w:rPr>
                <w:szCs w:val="22"/>
              </w:rPr>
            </w:pPr>
            <w:r w:rsidRPr="00414EF5">
              <w:rPr>
                <w:szCs w:val="22"/>
              </w:rPr>
              <w:t>52</w:t>
            </w:r>
          </w:p>
        </w:tc>
        <w:tc>
          <w:tcPr>
            <w:tcW w:w="0" w:type="dxa"/>
          </w:tcPr>
          <w:p w:rsidR="0002219B" w:rsidRPr="00414EF5" w:rsidRDefault="0002219B" w:rsidP="0089729F">
            <w:pPr>
              <w:rPr>
                <w:szCs w:val="22"/>
              </w:rPr>
            </w:pPr>
            <w:r w:rsidRPr="00414EF5">
              <w:rPr>
                <w:szCs w:val="22"/>
              </w:rPr>
              <w:t>50</w:t>
            </w:r>
          </w:p>
        </w:tc>
        <w:tc>
          <w:tcPr>
            <w:tcW w:w="0" w:type="dxa"/>
          </w:tcPr>
          <w:p w:rsidR="0002219B" w:rsidRPr="00414EF5" w:rsidRDefault="0002219B" w:rsidP="0089729F">
            <w:pPr>
              <w:rPr>
                <w:szCs w:val="22"/>
              </w:rPr>
            </w:pPr>
            <w:r w:rsidRPr="00414EF5">
              <w:rPr>
                <w:szCs w:val="22"/>
              </w:rPr>
              <w:t>-4%</w:t>
            </w:r>
          </w:p>
        </w:tc>
      </w:tr>
      <w:tr w:rsidR="0002219B" w:rsidRPr="00E9367A" w:rsidTr="0089729F">
        <w:trPr>
          <w:cnfStyle w:val="000000010000" w:firstRow="0" w:lastRow="0" w:firstColumn="0" w:lastColumn="0" w:oddVBand="0" w:evenVBand="0" w:oddHBand="0" w:evenHBand="1" w:firstRowFirstColumn="0" w:firstRowLastColumn="0" w:lastRowFirstColumn="0" w:lastRowLastColumn="0"/>
        </w:trPr>
        <w:tc>
          <w:tcPr>
            <w:tcW w:w="0" w:type="dxa"/>
          </w:tcPr>
          <w:p w:rsidR="0002219B" w:rsidRPr="00E9367A" w:rsidRDefault="0002219B" w:rsidP="0002219B">
            <w:pPr>
              <w:pStyle w:val="ListParagraph"/>
              <w:numPr>
                <w:ilvl w:val="0"/>
                <w:numId w:val="44"/>
              </w:numPr>
            </w:pPr>
            <w:r w:rsidRPr="00E9367A">
              <w:lastRenderedPageBreak/>
              <w:t>County Court appeals</w:t>
            </w:r>
            <w:r>
              <w:rPr>
                <w:rStyle w:val="FootnoteReference"/>
              </w:rPr>
              <w:footnoteReference w:id="3"/>
            </w:r>
          </w:p>
        </w:tc>
        <w:tc>
          <w:tcPr>
            <w:tcW w:w="0" w:type="dxa"/>
          </w:tcPr>
          <w:p w:rsidR="0002219B" w:rsidRPr="00414EF5" w:rsidRDefault="0002219B" w:rsidP="0089729F">
            <w:pPr>
              <w:rPr>
                <w:szCs w:val="22"/>
              </w:rPr>
            </w:pPr>
            <w:r w:rsidRPr="00414EF5">
              <w:rPr>
                <w:szCs w:val="22"/>
              </w:rPr>
              <w:t>519</w:t>
            </w:r>
          </w:p>
        </w:tc>
        <w:tc>
          <w:tcPr>
            <w:tcW w:w="0" w:type="dxa"/>
          </w:tcPr>
          <w:p w:rsidR="0002219B" w:rsidRPr="00414EF5" w:rsidRDefault="0002219B" w:rsidP="0089729F">
            <w:pPr>
              <w:rPr>
                <w:szCs w:val="22"/>
              </w:rPr>
            </w:pPr>
            <w:r w:rsidRPr="00414EF5">
              <w:rPr>
                <w:szCs w:val="22"/>
              </w:rPr>
              <w:t>549</w:t>
            </w:r>
          </w:p>
        </w:tc>
        <w:tc>
          <w:tcPr>
            <w:tcW w:w="0" w:type="dxa"/>
          </w:tcPr>
          <w:p w:rsidR="0002219B" w:rsidRPr="00414EF5" w:rsidRDefault="0002219B" w:rsidP="0089729F">
            <w:pPr>
              <w:rPr>
                <w:szCs w:val="22"/>
              </w:rPr>
            </w:pPr>
            <w:r w:rsidRPr="00414EF5">
              <w:rPr>
                <w:szCs w:val="22"/>
              </w:rPr>
              <w:t>6%</w:t>
            </w:r>
          </w:p>
        </w:tc>
      </w:tr>
    </w:tbl>
    <w:p w:rsidR="0002219B" w:rsidRPr="005F1DE5" w:rsidRDefault="0002219B" w:rsidP="0002219B">
      <w:pPr>
        <w:pStyle w:val="Heading4"/>
      </w:pPr>
      <w:r w:rsidRPr="006973CA">
        <w:t xml:space="preserve">Criminal Law Program </w:t>
      </w:r>
      <w:r w:rsidRPr="005F1DE5">
        <w:t xml:space="preserve">operating expenditure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2101"/>
        <w:gridCol w:w="1831"/>
        <w:gridCol w:w="1730"/>
        <w:gridCol w:w="1488"/>
        <w:gridCol w:w="1463"/>
        <w:gridCol w:w="1463"/>
      </w:tblGrid>
      <w:tr w:rsidR="0002219B" w:rsidRPr="009B2351" w:rsidTr="0002219B">
        <w:trPr>
          <w:cnfStyle w:val="100000000000" w:firstRow="1" w:lastRow="0" w:firstColumn="0" w:lastColumn="0" w:oddVBand="0" w:evenVBand="0" w:oddHBand="0" w:evenHBand="0" w:firstRowFirstColumn="0" w:firstRowLastColumn="0" w:lastRowFirstColumn="0" w:lastRowLastColumn="0"/>
        </w:trPr>
        <w:tc>
          <w:tcPr>
            <w:tcW w:w="2659" w:type="dxa"/>
            <w:shd w:val="clear" w:color="auto" w:fill="BFBFBF" w:themeFill="background1" w:themeFillShade="BF"/>
          </w:tcPr>
          <w:p w:rsidR="0002219B" w:rsidRPr="0089729F" w:rsidRDefault="009B2351" w:rsidP="0002219B">
            <w:pPr>
              <w:rPr>
                <w:b/>
                <w:color w:val="000000" w:themeColor="text1"/>
              </w:rPr>
            </w:pPr>
            <w:r w:rsidRPr="0089729F">
              <w:rPr>
                <w:b/>
                <w:color w:val="000000" w:themeColor="text1"/>
              </w:rPr>
              <w:t>Criminal Law Program</w:t>
            </w:r>
          </w:p>
        </w:tc>
        <w:tc>
          <w:tcPr>
            <w:tcW w:w="2034" w:type="dxa"/>
            <w:shd w:val="clear" w:color="auto" w:fill="BFBFBF" w:themeFill="background1" w:themeFillShade="BF"/>
          </w:tcPr>
          <w:p w:rsidR="0002219B" w:rsidRPr="009B2351" w:rsidRDefault="0002219B" w:rsidP="0089729F">
            <w:pPr>
              <w:rPr>
                <w:b/>
                <w:color w:val="000000" w:themeColor="text1"/>
              </w:rPr>
            </w:pPr>
            <w:r w:rsidRPr="009B2351">
              <w:rPr>
                <w:b/>
                <w:color w:val="000000" w:themeColor="text1"/>
              </w:rPr>
              <w:t>Expenditure ($) as at 31 December 2016</w:t>
            </w:r>
          </w:p>
        </w:tc>
        <w:tc>
          <w:tcPr>
            <w:tcW w:w="1888" w:type="dxa"/>
            <w:shd w:val="clear" w:color="auto" w:fill="BFBFBF" w:themeFill="background1" w:themeFillShade="BF"/>
          </w:tcPr>
          <w:p w:rsidR="0002219B" w:rsidRPr="009B2351" w:rsidRDefault="0002219B" w:rsidP="0089729F">
            <w:pPr>
              <w:rPr>
                <w:b/>
                <w:color w:val="000000" w:themeColor="text1"/>
              </w:rPr>
            </w:pPr>
            <w:r w:rsidRPr="009B2351">
              <w:rPr>
                <w:b/>
                <w:color w:val="000000" w:themeColor="text1"/>
              </w:rPr>
              <w:t>% of total expenditure as at 31 December 2016</w:t>
            </w:r>
          </w:p>
        </w:tc>
        <w:tc>
          <w:tcPr>
            <w:tcW w:w="1165" w:type="dxa"/>
            <w:shd w:val="clear" w:color="auto" w:fill="BFBFBF" w:themeFill="background1" w:themeFillShade="BF"/>
          </w:tcPr>
          <w:p w:rsidR="0002219B" w:rsidRPr="009B2351" w:rsidRDefault="0002219B" w:rsidP="0089729F">
            <w:pPr>
              <w:rPr>
                <w:b/>
                <w:color w:val="000000" w:themeColor="text1"/>
              </w:rPr>
            </w:pPr>
            <w:r w:rsidRPr="009B2351">
              <w:rPr>
                <w:b/>
                <w:color w:val="000000" w:themeColor="text1"/>
              </w:rPr>
              <w:t>Expenditure ($) as at 31 December 2017</w:t>
            </w:r>
          </w:p>
        </w:tc>
        <w:tc>
          <w:tcPr>
            <w:tcW w:w="1165" w:type="dxa"/>
            <w:shd w:val="clear" w:color="auto" w:fill="BFBFBF" w:themeFill="background1" w:themeFillShade="BF"/>
          </w:tcPr>
          <w:p w:rsidR="0002219B" w:rsidRPr="009B2351" w:rsidRDefault="0002219B" w:rsidP="0089729F">
            <w:pPr>
              <w:rPr>
                <w:b/>
                <w:color w:val="000000" w:themeColor="text1"/>
              </w:rPr>
            </w:pPr>
            <w:r w:rsidRPr="009B2351">
              <w:rPr>
                <w:b/>
                <w:color w:val="000000" w:themeColor="text1"/>
              </w:rPr>
              <w:t>% of total expenditure as at 31 December 2017</w:t>
            </w:r>
          </w:p>
        </w:tc>
        <w:tc>
          <w:tcPr>
            <w:tcW w:w="1165" w:type="dxa"/>
            <w:shd w:val="clear" w:color="auto" w:fill="BFBFBF" w:themeFill="background1" w:themeFillShade="BF"/>
          </w:tcPr>
          <w:p w:rsidR="0002219B" w:rsidRPr="009B2351" w:rsidRDefault="0002219B" w:rsidP="0089729F">
            <w:pPr>
              <w:rPr>
                <w:b/>
                <w:color w:val="000000" w:themeColor="text1"/>
              </w:rPr>
            </w:pPr>
            <w:r w:rsidRPr="009B2351">
              <w:rPr>
                <w:b/>
                <w:color w:val="000000" w:themeColor="text1"/>
              </w:rPr>
              <w:t xml:space="preserve">Variance of expenditure </w:t>
            </w:r>
          </w:p>
        </w:tc>
      </w:tr>
      <w:tr w:rsidR="0002219B" w:rsidRPr="00E9367A" w:rsidTr="0002219B">
        <w:trPr>
          <w:cnfStyle w:val="000000100000" w:firstRow="0" w:lastRow="0" w:firstColumn="0" w:lastColumn="0" w:oddVBand="0" w:evenVBand="0" w:oddHBand="1" w:evenHBand="0" w:firstRowFirstColumn="0" w:firstRowLastColumn="0" w:lastRowFirstColumn="0" w:lastRowLastColumn="0"/>
        </w:trPr>
        <w:tc>
          <w:tcPr>
            <w:tcW w:w="2659" w:type="dxa"/>
          </w:tcPr>
          <w:p w:rsidR="0002219B" w:rsidRPr="00E9367A" w:rsidRDefault="0002219B" w:rsidP="0002219B">
            <w:r w:rsidRPr="00E9367A">
              <w:t>Summary Crime</w:t>
            </w:r>
          </w:p>
        </w:tc>
        <w:tc>
          <w:tcPr>
            <w:tcW w:w="2034" w:type="dxa"/>
          </w:tcPr>
          <w:p w:rsidR="0002219B" w:rsidRPr="00E9367A" w:rsidRDefault="0002219B" w:rsidP="0089729F">
            <w:r>
              <w:t>18.8 million</w:t>
            </w:r>
            <w:r>
              <w:rPr>
                <w:rStyle w:val="FootnoteReference"/>
              </w:rPr>
              <w:footnoteReference w:id="4"/>
            </w:r>
          </w:p>
        </w:tc>
        <w:tc>
          <w:tcPr>
            <w:tcW w:w="1888" w:type="dxa"/>
          </w:tcPr>
          <w:p w:rsidR="0002219B" w:rsidRPr="00E9367A" w:rsidRDefault="0002219B" w:rsidP="0089729F">
            <w:r>
              <w:t>22.6</w:t>
            </w:r>
          </w:p>
        </w:tc>
        <w:tc>
          <w:tcPr>
            <w:tcW w:w="1165" w:type="dxa"/>
          </w:tcPr>
          <w:p w:rsidR="0002219B" w:rsidRDefault="0002219B" w:rsidP="0089729F">
            <w:r>
              <w:t>21.8 million</w:t>
            </w:r>
            <w:r>
              <w:rPr>
                <w:rStyle w:val="FootnoteReference"/>
              </w:rPr>
              <w:footnoteReference w:id="5"/>
            </w:r>
          </w:p>
        </w:tc>
        <w:tc>
          <w:tcPr>
            <w:tcW w:w="1165" w:type="dxa"/>
          </w:tcPr>
          <w:p w:rsidR="0002219B" w:rsidRDefault="0002219B" w:rsidP="0089729F">
            <w:r>
              <w:t>23.7</w:t>
            </w:r>
          </w:p>
        </w:tc>
        <w:tc>
          <w:tcPr>
            <w:tcW w:w="1165" w:type="dxa"/>
          </w:tcPr>
          <w:p w:rsidR="0002219B" w:rsidRDefault="0002219B" w:rsidP="0089729F">
            <w:r>
              <w:t>3.0 million</w:t>
            </w:r>
          </w:p>
        </w:tc>
      </w:tr>
      <w:tr w:rsidR="0002219B" w:rsidRPr="00E9367A" w:rsidTr="0002219B">
        <w:trPr>
          <w:cnfStyle w:val="000000010000" w:firstRow="0" w:lastRow="0" w:firstColumn="0" w:lastColumn="0" w:oddVBand="0" w:evenVBand="0" w:oddHBand="0" w:evenHBand="1" w:firstRowFirstColumn="0" w:firstRowLastColumn="0" w:lastRowFirstColumn="0" w:lastRowLastColumn="0"/>
        </w:trPr>
        <w:tc>
          <w:tcPr>
            <w:tcW w:w="2659" w:type="dxa"/>
          </w:tcPr>
          <w:p w:rsidR="0002219B" w:rsidRPr="00E9367A" w:rsidRDefault="0002219B" w:rsidP="0002219B">
            <w:r w:rsidRPr="00E9367A">
              <w:t>Youth Crime</w:t>
            </w:r>
          </w:p>
        </w:tc>
        <w:tc>
          <w:tcPr>
            <w:tcW w:w="2034" w:type="dxa"/>
          </w:tcPr>
          <w:p w:rsidR="0002219B" w:rsidRPr="00E9367A" w:rsidRDefault="0002219B" w:rsidP="0089729F">
            <w:r>
              <w:t>6.3 million</w:t>
            </w:r>
          </w:p>
        </w:tc>
        <w:tc>
          <w:tcPr>
            <w:tcW w:w="1888" w:type="dxa"/>
          </w:tcPr>
          <w:p w:rsidR="0002219B" w:rsidRPr="00E9367A" w:rsidRDefault="0002219B" w:rsidP="0089729F">
            <w:r>
              <w:t>7.6</w:t>
            </w:r>
          </w:p>
        </w:tc>
        <w:tc>
          <w:tcPr>
            <w:tcW w:w="1165" w:type="dxa"/>
          </w:tcPr>
          <w:p w:rsidR="0002219B" w:rsidRDefault="0002219B" w:rsidP="0089729F">
            <w:r>
              <w:t>7.2 million</w:t>
            </w:r>
          </w:p>
        </w:tc>
        <w:tc>
          <w:tcPr>
            <w:tcW w:w="1165" w:type="dxa"/>
          </w:tcPr>
          <w:p w:rsidR="0002219B" w:rsidRDefault="0002219B" w:rsidP="0089729F">
            <w:r>
              <w:t>7.8</w:t>
            </w:r>
          </w:p>
        </w:tc>
        <w:tc>
          <w:tcPr>
            <w:tcW w:w="1165" w:type="dxa"/>
          </w:tcPr>
          <w:p w:rsidR="0002219B" w:rsidRDefault="0002219B" w:rsidP="0089729F">
            <w:r>
              <w:t>0.9 million</w:t>
            </w:r>
          </w:p>
        </w:tc>
      </w:tr>
      <w:tr w:rsidR="0002219B" w:rsidRPr="00E9367A" w:rsidTr="0002219B">
        <w:trPr>
          <w:cnfStyle w:val="000000100000" w:firstRow="0" w:lastRow="0" w:firstColumn="0" w:lastColumn="0" w:oddVBand="0" w:evenVBand="0" w:oddHBand="1" w:evenHBand="0" w:firstRowFirstColumn="0" w:firstRowLastColumn="0" w:lastRowFirstColumn="0" w:lastRowLastColumn="0"/>
        </w:trPr>
        <w:tc>
          <w:tcPr>
            <w:tcW w:w="2659" w:type="dxa"/>
          </w:tcPr>
          <w:p w:rsidR="0002219B" w:rsidRPr="00E9367A" w:rsidRDefault="0002219B" w:rsidP="0002219B">
            <w:r w:rsidRPr="00E9367A">
              <w:t>Indictable Crime (includes sexual offences)</w:t>
            </w:r>
          </w:p>
        </w:tc>
        <w:tc>
          <w:tcPr>
            <w:tcW w:w="2034" w:type="dxa"/>
          </w:tcPr>
          <w:p w:rsidR="0002219B" w:rsidRDefault="0002219B" w:rsidP="0089729F">
            <w:r>
              <w:t>13.7 million</w:t>
            </w:r>
          </w:p>
        </w:tc>
        <w:tc>
          <w:tcPr>
            <w:tcW w:w="1888" w:type="dxa"/>
          </w:tcPr>
          <w:p w:rsidR="0002219B" w:rsidRDefault="0002219B" w:rsidP="0089729F">
            <w:r>
              <w:t>16.5</w:t>
            </w:r>
          </w:p>
        </w:tc>
        <w:tc>
          <w:tcPr>
            <w:tcW w:w="1165" w:type="dxa"/>
          </w:tcPr>
          <w:p w:rsidR="0002219B" w:rsidRDefault="0002219B" w:rsidP="0089729F">
            <w:r>
              <w:t>15.1 million</w:t>
            </w:r>
          </w:p>
        </w:tc>
        <w:tc>
          <w:tcPr>
            <w:tcW w:w="1165" w:type="dxa"/>
          </w:tcPr>
          <w:p w:rsidR="0002219B" w:rsidRDefault="0002219B" w:rsidP="0089729F">
            <w:r>
              <w:t>16.3</w:t>
            </w:r>
          </w:p>
        </w:tc>
        <w:tc>
          <w:tcPr>
            <w:tcW w:w="1165" w:type="dxa"/>
          </w:tcPr>
          <w:p w:rsidR="0002219B" w:rsidRDefault="0002219B" w:rsidP="0089729F">
            <w:r>
              <w:t>1.4 million</w:t>
            </w:r>
          </w:p>
        </w:tc>
      </w:tr>
      <w:tr w:rsidR="0002219B" w:rsidRPr="00E9367A" w:rsidTr="0002219B">
        <w:trPr>
          <w:cnfStyle w:val="000000010000" w:firstRow="0" w:lastRow="0" w:firstColumn="0" w:lastColumn="0" w:oddVBand="0" w:evenVBand="0" w:oddHBand="0" w:evenHBand="1" w:firstRowFirstColumn="0" w:firstRowLastColumn="0" w:lastRowFirstColumn="0" w:lastRowLastColumn="0"/>
        </w:trPr>
        <w:tc>
          <w:tcPr>
            <w:tcW w:w="2659" w:type="dxa"/>
          </w:tcPr>
          <w:p w:rsidR="0002219B" w:rsidRPr="00E9367A" w:rsidRDefault="0002219B" w:rsidP="0002219B">
            <w:r w:rsidRPr="00E9367A">
              <w:t>Appellate Crime</w:t>
            </w:r>
          </w:p>
        </w:tc>
        <w:tc>
          <w:tcPr>
            <w:tcW w:w="2034" w:type="dxa"/>
          </w:tcPr>
          <w:p w:rsidR="0002219B" w:rsidRDefault="0002219B" w:rsidP="0089729F">
            <w:r>
              <w:t>2.0 million</w:t>
            </w:r>
          </w:p>
        </w:tc>
        <w:tc>
          <w:tcPr>
            <w:tcW w:w="1888" w:type="dxa"/>
          </w:tcPr>
          <w:p w:rsidR="0002219B" w:rsidRDefault="0002219B" w:rsidP="0089729F">
            <w:r>
              <w:t>2.4</w:t>
            </w:r>
          </w:p>
        </w:tc>
        <w:tc>
          <w:tcPr>
            <w:tcW w:w="1165" w:type="dxa"/>
          </w:tcPr>
          <w:p w:rsidR="0002219B" w:rsidRDefault="0002219B" w:rsidP="0089729F">
            <w:r>
              <w:t>2.1 million</w:t>
            </w:r>
          </w:p>
        </w:tc>
        <w:tc>
          <w:tcPr>
            <w:tcW w:w="1165" w:type="dxa"/>
          </w:tcPr>
          <w:p w:rsidR="0002219B" w:rsidRDefault="0002219B" w:rsidP="0089729F">
            <w:r>
              <w:t>2.2</w:t>
            </w:r>
          </w:p>
        </w:tc>
        <w:tc>
          <w:tcPr>
            <w:tcW w:w="1165" w:type="dxa"/>
          </w:tcPr>
          <w:p w:rsidR="0002219B" w:rsidRDefault="0002219B" w:rsidP="0089729F">
            <w:r>
              <w:t>0.1 million</w:t>
            </w:r>
          </w:p>
        </w:tc>
      </w:tr>
      <w:tr w:rsidR="0002219B" w:rsidRPr="00E9367A" w:rsidTr="0002219B">
        <w:trPr>
          <w:cnfStyle w:val="010000000000" w:firstRow="0" w:lastRow="1" w:firstColumn="0" w:lastColumn="0" w:oddVBand="0" w:evenVBand="0" w:oddHBand="0" w:evenHBand="0" w:firstRowFirstColumn="0" w:firstRowLastColumn="0" w:lastRowFirstColumn="0" w:lastRowLastColumn="0"/>
        </w:trPr>
        <w:tc>
          <w:tcPr>
            <w:tcW w:w="2659" w:type="dxa"/>
          </w:tcPr>
          <w:p w:rsidR="0002219B" w:rsidRPr="00E9367A" w:rsidRDefault="0002219B" w:rsidP="0002219B">
            <w:r w:rsidRPr="00E9367A">
              <w:t>Total</w:t>
            </w:r>
          </w:p>
        </w:tc>
        <w:tc>
          <w:tcPr>
            <w:tcW w:w="2034" w:type="dxa"/>
          </w:tcPr>
          <w:p w:rsidR="0002219B" w:rsidRPr="00E9367A" w:rsidRDefault="0002219B" w:rsidP="0089729F">
            <w:r>
              <w:t>40.8 million</w:t>
            </w:r>
          </w:p>
        </w:tc>
        <w:tc>
          <w:tcPr>
            <w:tcW w:w="1888" w:type="dxa"/>
          </w:tcPr>
          <w:p w:rsidR="0002219B" w:rsidRPr="00E9367A" w:rsidRDefault="0002219B" w:rsidP="0089729F">
            <w:r>
              <w:t>49.1</w:t>
            </w:r>
          </w:p>
        </w:tc>
        <w:tc>
          <w:tcPr>
            <w:tcW w:w="1165" w:type="dxa"/>
          </w:tcPr>
          <w:p w:rsidR="0002219B" w:rsidRDefault="0002219B" w:rsidP="0089729F">
            <w:r>
              <w:t>46.2 million</w:t>
            </w:r>
          </w:p>
        </w:tc>
        <w:tc>
          <w:tcPr>
            <w:tcW w:w="1165" w:type="dxa"/>
          </w:tcPr>
          <w:p w:rsidR="0002219B" w:rsidRDefault="0002219B" w:rsidP="0089729F">
            <w:r>
              <w:t>50.0</w:t>
            </w:r>
          </w:p>
        </w:tc>
        <w:tc>
          <w:tcPr>
            <w:tcW w:w="1165" w:type="dxa"/>
          </w:tcPr>
          <w:p w:rsidR="0002219B" w:rsidRDefault="0002219B" w:rsidP="0089729F">
            <w:r>
              <w:t>5.4 million</w:t>
            </w:r>
          </w:p>
        </w:tc>
      </w:tr>
    </w:tbl>
    <w:p w:rsidR="0002219B" w:rsidRPr="009B2351" w:rsidRDefault="0002219B" w:rsidP="0089729F">
      <w:r w:rsidRPr="009B2351">
        <w:rPr>
          <w:b/>
        </w:rPr>
        <w:t xml:space="preserve">The top five matters dealt with by our Criminal Law Program as at 31 December 2017 were: </w:t>
      </w:r>
    </w:p>
    <w:p w:rsidR="0002219B" w:rsidRPr="008B642A" w:rsidRDefault="0002219B" w:rsidP="0002219B">
      <w:pPr>
        <w:pStyle w:val="ListParagraph"/>
        <w:numPr>
          <w:ilvl w:val="0"/>
          <w:numId w:val="40"/>
        </w:numPr>
        <w:rPr>
          <w:color w:val="000000" w:themeColor="text1"/>
        </w:rPr>
      </w:pPr>
      <w:r>
        <w:rPr>
          <w:color w:val="000000" w:themeColor="text1"/>
        </w:rPr>
        <w:t xml:space="preserve">Assault, </w:t>
      </w:r>
      <w:r w:rsidRPr="008B642A">
        <w:rPr>
          <w:color w:val="000000" w:themeColor="text1"/>
        </w:rPr>
        <w:t>4,526</w:t>
      </w:r>
    </w:p>
    <w:p w:rsidR="0002219B" w:rsidRPr="008B642A" w:rsidRDefault="0002219B" w:rsidP="0002219B">
      <w:pPr>
        <w:pStyle w:val="ListParagraph"/>
        <w:numPr>
          <w:ilvl w:val="0"/>
          <w:numId w:val="40"/>
        </w:numPr>
        <w:rPr>
          <w:color w:val="000000" w:themeColor="text1"/>
        </w:rPr>
      </w:pPr>
      <w:r w:rsidRPr="008B642A">
        <w:rPr>
          <w:color w:val="000000" w:themeColor="text1"/>
        </w:rPr>
        <w:t xml:space="preserve">Breach of </w:t>
      </w:r>
      <w:r>
        <w:rPr>
          <w:color w:val="000000" w:themeColor="text1"/>
        </w:rPr>
        <w:t xml:space="preserve">family violence intervention order, </w:t>
      </w:r>
      <w:r w:rsidRPr="008B642A">
        <w:rPr>
          <w:color w:val="000000" w:themeColor="text1"/>
        </w:rPr>
        <w:t>4,058</w:t>
      </w:r>
    </w:p>
    <w:p w:rsidR="0002219B" w:rsidRPr="008B642A" w:rsidRDefault="0002219B" w:rsidP="0002219B">
      <w:pPr>
        <w:pStyle w:val="ListParagraph"/>
        <w:numPr>
          <w:ilvl w:val="0"/>
          <w:numId w:val="40"/>
        </w:numPr>
        <w:rPr>
          <w:color w:val="000000" w:themeColor="text1"/>
        </w:rPr>
      </w:pPr>
      <w:r>
        <w:rPr>
          <w:color w:val="000000" w:themeColor="text1"/>
        </w:rPr>
        <w:t xml:space="preserve">Theft, </w:t>
      </w:r>
      <w:r w:rsidRPr="008B642A">
        <w:rPr>
          <w:color w:val="000000" w:themeColor="text1"/>
        </w:rPr>
        <w:t>2,848</w:t>
      </w:r>
    </w:p>
    <w:p w:rsidR="0002219B" w:rsidRDefault="0002219B" w:rsidP="0002219B">
      <w:pPr>
        <w:pStyle w:val="ListParagraph"/>
        <w:numPr>
          <w:ilvl w:val="0"/>
          <w:numId w:val="40"/>
        </w:numPr>
        <w:rPr>
          <w:color w:val="000000" w:themeColor="text1"/>
        </w:rPr>
      </w:pPr>
      <w:r w:rsidRPr="008B642A">
        <w:rPr>
          <w:color w:val="000000" w:themeColor="text1"/>
        </w:rPr>
        <w:t xml:space="preserve">Drive </w:t>
      </w:r>
      <w:r>
        <w:rPr>
          <w:color w:val="000000" w:themeColor="text1"/>
        </w:rPr>
        <w:t>while licence s</w:t>
      </w:r>
      <w:r w:rsidRPr="008B642A">
        <w:rPr>
          <w:color w:val="000000" w:themeColor="text1"/>
        </w:rPr>
        <w:t>uspended</w:t>
      </w:r>
      <w:r>
        <w:rPr>
          <w:color w:val="000000" w:themeColor="text1"/>
        </w:rPr>
        <w:t xml:space="preserve">, </w:t>
      </w:r>
      <w:r w:rsidRPr="008B642A">
        <w:rPr>
          <w:color w:val="000000" w:themeColor="text1"/>
        </w:rPr>
        <w:t>2,749</w:t>
      </w:r>
    </w:p>
    <w:p w:rsidR="0002219B" w:rsidRDefault="0002219B" w:rsidP="0002219B">
      <w:pPr>
        <w:pStyle w:val="ListParagraph"/>
        <w:numPr>
          <w:ilvl w:val="0"/>
          <w:numId w:val="40"/>
        </w:numPr>
        <w:rPr>
          <w:color w:val="000000" w:themeColor="text1"/>
        </w:rPr>
      </w:pPr>
      <w:r>
        <w:rPr>
          <w:color w:val="000000" w:themeColor="text1"/>
        </w:rPr>
        <w:t xml:space="preserve">Contravention of a Community Correction Order, </w:t>
      </w:r>
      <w:r w:rsidRPr="00D97518">
        <w:rPr>
          <w:color w:val="000000" w:themeColor="text1"/>
        </w:rPr>
        <w:t>2,494</w:t>
      </w:r>
      <w:r>
        <w:rPr>
          <w:color w:val="000000" w:themeColor="text1"/>
        </w:rPr>
        <w:t>.</w:t>
      </w:r>
    </w:p>
    <w:p w:rsidR="0002219B" w:rsidRDefault="0002219B" w:rsidP="0002219B">
      <w:pPr>
        <w:pStyle w:val="Heading3"/>
      </w:pPr>
      <w:r w:rsidRPr="008B642A">
        <w:t>Family, Youth and Children’s Law Program</w:t>
      </w:r>
    </w:p>
    <w:p w:rsidR="0002219B" w:rsidRPr="00CE68F2" w:rsidRDefault="0002219B" w:rsidP="0002219B">
      <w:r w:rsidRPr="00CE68F2">
        <w:t>We assist people to resolve their family disputes to achieve safe, workable and child-focused parenting and care arrangements. We also assist parents to build their capacity to resolve future disputes without legal assistance. We contribute to the safety of adults and children impacted by family violence and assist in reducing the incidence of family violence by providing legal information, advice and representation to affected adults and children.</w:t>
      </w:r>
    </w:p>
    <w:p w:rsidR="0002219B" w:rsidRPr="00393169" w:rsidRDefault="0002219B" w:rsidP="0002219B">
      <w:pPr>
        <w:pStyle w:val="Heading4"/>
      </w:pPr>
      <w:r w:rsidRPr="0047677D">
        <w:t>Clients</w:t>
      </w:r>
      <w:r>
        <w:t xml:space="preserve"> numbers and service outcomes</w:t>
      </w:r>
    </w:p>
    <w:tbl>
      <w:tblPr>
        <w:tblStyle w:val="TableGrid"/>
        <w:tblW w:w="5000" w:type="pct"/>
        <w:tblLook w:val="04A0" w:firstRow="1" w:lastRow="0" w:firstColumn="1" w:lastColumn="0" w:noHBand="0" w:noVBand="1"/>
      </w:tblPr>
      <w:tblGrid>
        <w:gridCol w:w="5664"/>
        <w:gridCol w:w="1560"/>
        <w:gridCol w:w="1717"/>
        <w:gridCol w:w="1135"/>
      </w:tblGrid>
      <w:tr w:rsidR="0002219B" w:rsidRPr="0047677D" w:rsidTr="0002219B">
        <w:trPr>
          <w:tblHeader/>
        </w:trPr>
        <w:tc>
          <w:tcPr>
            <w:tcW w:w="2811" w:type="pct"/>
            <w:shd w:val="clear" w:color="auto" w:fill="D9D9D9" w:themeFill="background1" w:themeFillShade="D9"/>
          </w:tcPr>
          <w:p w:rsidR="0002219B" w:rsidRPr="0047677D" w:rsidRDefault="009B2351" w:rsidP="0002219B">
            <w:pPr>
              <w:rPr>
                <w:b/>
              </w:rPr>
            </w:pPr>
            <w:r>
              <w:rPr>
                <w:b/>
              </w:rPr>
              <w:t>Service</w:t>
            </w:r>
          </w:p>
        </w:tc>
        <w:tc>
          <w:tcPr>
            <w:tcW w:w="774" w:type="pct"/>
            <w:shd w:val="clear" w:color="auto" w:fill="D9D9D9" w:themeFill="background1" w:themeFillShade="D9"/>
          </w:tcPr>
          <w:p w:rsidR="0002219B" w:rsidRPr="0047677D" w:rsidRDefault="0002219B" w:rsidP="009B2351">
            <w:pPr>
              <w:rPr>
                <w:b/>
              </w:rPr>
            </w:pPr>
            <w:r>
              <w:rPr>
                <w:b/>
              </w:rPr>
              <w:t>31 Dec 2016</w:t>
            </w:r>
          </w:p>
        </w:tc>
        <w:tc>
          <w:tcPr>
            <w:tcW w:w="852" w:type="pct"/>
            <w:shd w:val="clear" w:color="auto" w:fill="D9D9D9" w:themeFill="background1" w:themeFillShade="D9"/>
          </w:tcPr>
          <w:p w:rsidR="0002219B" w:rsidRPr="0047677D" w:rsidRDefault="0002219B">
            <w:pPr>
              <w:rPr>
                <w:b/>
              </w:rPr>
            </w:pPr>
            <w:r>
              <w:rPr>
                <w:b/>
              </w:rPr>
              <w:t>31 Dec 2017</w:t>
            </w:r>
          </w:p>
        </w:tc>
        <w:tc>
          <w:tcPr>
            <w:tcW w:w="563" w:type="pct"/>
            <w:shd w:val="clear" w:color="auto" w:fill="D9D9D9" w:themeFill="background1" w:themeFillShade="D9"/>
          </w:tcPr>
          <w:p w:rsidR="0002219B" w:rsidRPr="0047677D" w:rsidRDefault="0002219B">
            <w:pPr>
              <w:rPr>
                <w:b/>
              </w:rPr>
            </w:pPr>
            <w:r w:rsidRPr="0047677D">
              <w:rPr>
                <w:b/>
              </w:rPr>
              <w:t>Variance</w:t>
            </w:r>
          </w:p>
        </w:tc>
      </w:tr>
      <w:tr w:rsidR="0002219B" w:rsidRPr="00117A64" w:rsidTr="0002219B">
        <w:tc>
          <w:tcPr>
            <w:tcW w:w="2811" w:type="pct"/>
          </w:tcPr>
          <w:p w:rsidR="0002219B" w:rsidRDefault="0002219B" w:rsidP="0002219B">
            <w:r>
              <w:t>Unique clients</w:t>
            </w:r>
          </w:p>
        </w:tc>
        <w:tc>
          <w:tcPr>
            <w:tcW w:w="774" w:type="pct"/>
            <w:vAlign w:val="center"/>
          </w:tcPr>
          <w:p w:rsidR="0002219B" w:rsidRPr="008708CC" w:rsidRDefault="0002219B" w:rsidP="0089729F">
            <w:r w:rsidRPr="008708CC">
              <w:t>18,442</w:t>
            </w:r>
          </w:p>
        </w:tc>
        <w:tc>
          <w:tcPr>
            <w:tcW w:w="852" w:type="pct"/>
            <w:vAlign w:val="center"/>
          </w:tcPr>
          <w:p w:rsidR="0002219B" w:rsidRPr="008708CC" w:rsidRDefault="0002219B" w:rsidP="0089729F">
            <w:r w:rsidRPr="008708CC">
              <w:t>19,613</w:t>
            </w:r>
          </w:p>
        </w:tc>
        <w:tc>
          <w:tcPr>
            <w:tcW w:w="563" w:type="pct"/>
            <w:vAlign w:val="center"/>
          </w:tcPr>
          <w:p w:rsidR="0002219B" w:rsidRPr="008708CC" w:rsidRDefault="0002219B" w:rsidP="0089729F">
            <w:r>
              <w:t>6</w:t>
            </w:r>
            <w:r w:rsidRPr="008708CC">
              <w:t>%</w:t>
            </w:r>
          </w:p>
        </w:tc>
      </w:tr>
      <w:tr w:rsidR="0002219B" w:rsidRPr="00117A64" w:rsidTr="0002219B">
        <w:tc>
          <w:tcPr>
            <w:tcW w:w="2811" w:type="pct"/>
          </w:tcPr>
          <w:p w:rsidR="0002219B" w:rsidRDefault="0002219B" w:rsidP="0002219B">
            <w:r w:rsidRPr="00EA6138">
              <w:t>Family Dispute Resolution Conferences</w:t>
            </w:r>
          </w:p>
        </w:tc>
        <w:tc>
          <w:tcPr>
            <w:tcW w:w="774" w:type="pct"/>
            <w:vAlign w:val="center"/>
          </w:tcPr>
          <w:p w:rsidR="0002219B" w:rsidRPr="008708CC" w:rsidRDefault="0002219B" w:rsidP="0089729F">
            <w:r w:rsidRPr="008708CC">
              <w:t>517</w:t>
            </w:r>
          </w:p>
        </w:tc>
        <w:tc>
          <w:tcPr>
            <w:tcW w:w="852" w:type="pct"/>
            <w:vAlign w:val="center"/>
          </w:tcPr>
          <w:p w:rsidR="0002219B" w:rsidRPr="008708CC" w:rsidRDefault="0002219B" w:rsidP="0089729F">
            <w:r w:rsidRPr="008708CC">
              <w:t>469</w:t>
            </w:r>
          </w:p>
        </w:tc>
        <w:tc>
          <w:tcPr>
            <w:tcW w:w="563" w:type="pct"/>
            <w:vAlign w:val="center"/>
          </w:tcPr>
          <w:p w:rsidR="0002219B" w:rsidRPr="008708CC" w:rsidRDefault="0002219B" w:rsidP="0089729F">
            <w:r w:rsidRPr="008708CC">
              <w:t>-9%</w:t>
            </w:r>
          </w:p>
        </w:tc>
      </w:tr>
      <w:tr w:rsidR="0002219B" w:rsidRPr="00117A64" w:rsidTr="0002219B">
        <w:tc>
          <w:tcPr>
            <w:tcW w:w="2811" w:type="pct"/>
          </w:tcPr>
          <w:p w:rsidR="0002219B" w:rsidRPr="00DC1D85" w:rsidRDefault="0002219B" w:rsidP="0002219B">
            <w:r w:rsidRPr="00DC1D85">
              <w:t>Legal advice, minor assistance and advocacy services</w:t>
            </w:r>
          </w:p>
        </w:tc>
        <w:tc>
          <w:tcPr>
            <w:tcW w:w="774" w:type="pct"/>
            <w:vAlign w:val="center"/>
          </w:tcPr>
          <w:p w:rsidR="0002219B" w:rsidRPr="008708CC" w:rsidRDefault="0002219B" w:rsidP="0089729F">
            <w:r w:rsidRPr="008708CC">
              <w:t>5,367</w:t>
            </w:r>
          </w:p>
        </w:tc>
        <w:tc>
          <w:tcPr>
            <w:tcW w:w="852" w:type="pct"/>
            <w:vAlign w:val="center"/>
          </w:tcPr>
          <w:p w:rsidR="0002219B" w:rsidRPr="008708CC" w:rsidRDefault="0002219B" w:rsidP="0089729F">
            <w:r w:rsidRPr="008708CC">
              <w:t>5,865</w:t>
            </w:r>
          </w:p>
        </w:tc>
        <w:tc>
          <w:tcPr>
            <w:tcW w:w="563" w:type="pct"/>
            <w:vAlign w:val="center"/>
          </w:tcPr>
          <w:p w:rsidR="0002219B" w:rsidRPr="008708CC" w:rsidRDefault="0002219B" w:rsidP="0089729F">
            <w:r>
              <w:t>9</w:t>
            </w:r>
            <w:r w:rsidRPr="008708CC">
              <w:t>%</w:t>
            </w:r>
          </w:p>
        </w:tc>
      </w:tr>
      <w:tr w:rsidR="0002219B" w:rsidRPr="00117A64" w:rsidTr="0002219B">
        <w:tc>
          <w:tcPr>
            <w:tcW w:w="2811" w:type="pct"/>
          </w:tcPr>
          <w:p w:rsidR="0002219B" w:rsidRDefault="0002219B" w:rsidP="0002219B">
            <w:r>
              <w:lastRenderedPageBreak/>
              <w:t>Duty</w:t>
            </w:r>
            <w:r w:rsidRPr="00DC1D85">
              <w:t xml:space="preserve"> lawyer services</w:t>
            </w:r>
          </w:p>
        </w:tc>
        <w:tc>
          <w:tcPr>
            <w:tcW w:w="774" w:type="pct"/>
            <w:vAlign w:val="center"/>
          </w:tcPr>
          <w:p w:rsidR="0002219B" w:rsidRPr="008708CC" w:rsidRDefault="0002219B" w:rsidP="0089729F">
            <w:r w:rsidRPr="008708CC">
              <w:t>9,404</w:t>
            </w:r>
          </w:p>
        </w:tc>
        <w:tc>
          <w:tcPr>
            <w:tcW w:w="852" w:type="pct"/>
            <w:vAlign w:val="center"/>
          </w:tcPr>
          <w:p w:rsidR="0002219B" w:rsidRPr="008708CC" w:rsidRDefault="0002219B" w:rsidP="0089729F">
            <w:r w:rsidRPr="008708CC">
              <w:t>9,825</w:t>
            </w:r>
          </w:p>
        </w:tc>
        <w:tc>
          <w:tcPr>
            <w:tcW w:w="563" w:type="pct"/>
            <w:vAlign w:val="center"/>
          </w:tcPr>
          <w:p w:rsidR="0002219B" w:rsidRPr="008708CC" w:rsidRDefault="0002219B" w:rsidP="0089729F">
            <w:r w:rsidRPr="008708CC">
              <w:t>4.5%</w:t>
            </w:r>
          </w:p>
        </w:tc>
      </w:tr>
      <w:tr w:rsidR="0002219B" w:rsidRPr="00117A64" w:rsidTr="0002219B">
        <w:tc>
          <w:tcPr>
            <w:tcW w:w="2811" w:type="pct"/>
          </w:tcPr>
          <w:p w:rsidR="0002219B" w:rsidRDefault="0002219B" w:rsidP="0002219B">
            <w:r w:rsidRPr="00DC1D85">
              <w:t>Grants of legal assistance</w:t>
            </w:r>
          </w:p>
        </w:tc>
        <w:tc>
          <w:tcPr>
            <w:tcW w:w="774" w:type="pct"/>
            <w:vAlign w:val="center"/>
          </w:tcPr>
          <w:p w:rsidR="0002219B" w:rsidRPr="008708CC" w:rsidRDefault="0002219B" w:rsidP="0089729F">
            <w:r w:rsidRPr="008708CC">
              <w:t>7,542</w:t>
            </w:r>
          </w:p>
        </w:tc>
        <w:tc>
          <w:tcPr>
            <w:tcW w:w="852" w:type="pct"/>
            <w:vAlign w:val="center"/>
          </w:tcPr>
          <w:p w:rsidR="0002219B" w:rsidRPr="008708CC" w:rsidRDefault="0002219B" w:rsidP="0089729F">
            <w:r w:rsidRPr="008708CC">
              <w:t>7,521</w:t>
            </w:r>
          </w:p>
        </w:tc>
        <w:tc>
          <w:tcPr>
            <w:tcW w:w="563" w:type="pct"/>
            <w:vAlign w:val="center"/>
          </w:tcPr>
          <w:p w:rsidR="0002219B" w:rsidRPr="008708CC" w:rsidRDefault="0002219B" w:rsidP="0089729F">
            <w:r>
              <w:t>0</w:t>
            </w:r>
            <w:r w:rsidRPr="008708CC">
              <w:t>%</w:t>
            </w:r>
          </w:p>
        </w:tc>
      </w:tr>
    </w:tbl>
    <w:p w:rsidR="0002219B" w:rsidRPr="00CE68F2" w:rsidRDefault="0002219B" w:rsidP="0002219B">
      <w:r>
        <w:t xml:space="preserve">We are progressively implementing 36 actions from our </w:t>
      </w:r>
      <w:r w:rsidRPr="00CE68F2">
        <w:t>Child Protection Legal Aid Services Review</w:t>
      </w:r>
      <w:r>
        <w:t xml:space="preserve"> released in September 2017</w:t>
      </w:r>
      <w:r w:rsidRPr="00CE68F2">
        <w:t xml:space="preserve">. </w:t>
      </w:r>
      <w:r>
        <w:t xml:space="preserve">These actions </w:t>
      </w:r>
      <w:r w:rsidRPr="00CE68F2">
        <w:t xml:space="preserve">will mean children, young people, parents and carers benefit from services that are more effective, </w:t>
      </w:r>
      <w:r>
        <w:t xml:space="preserve">of </w:t>
      </w:r>
      <w:r w:rsidRPr="00CE68F2">
        <w:t>high quality and as widely available as possible. </w:t>
      </w:r>
    </w:p>
    <w:p w:rsidR="0002219B" w:rsidRPr="00CE68F2" w:rsidRDefault="0002219B" w:rsidP="0002219B">
      <w:r>
        <w:t xml:space="preserve">We continue to promote and share </w:t>
      </w:r>
      <w:r w:rsidRPr="00CE68F2">
        <w:t>our Client Safety Framework (CSF) to deepen the</w:t>
      </w:r>
      <w:r>
        <w:t xml:space="preserve"> </w:t>
      </w:r>
      <w:r w:rsidRPr="00CE68F2">
        <w:t xml:space="preserve">understanding of lawyers and client-facing staff at Victoria Legal Aid </w:t>
      </w:r>
      <w:r>
        <w:t>about</w:t>
      </w:r>
      <w:r w:rsidRPr="00CE68F2">
        <w:t xml:space="preserve"> safety risk indicators</w:t>
      </w:r>
      <w:r>
        <w:t xml:space="preserve"> and how to respond to keep clients and families safe.</w:t>
      </w:r>
      <w:r w:rsidRPr="00CE68F2">
        <w:t xml:space="preserve"> We </w:t>
      </w:r>
      <w:r>
        <w:t xml:space="preserve">are </w:t>
      </w:r>
      <w:r w:rsidRPr="00CE68F2">
        <w:t xml:space="preserve">also </w:t>
      </w:r>
      <w:r>
        <w:t xml:space="preserve">contributing to the implementation of many family violence reforms, including the roll-out of specialist family violence courts and connecting legal help into the new Support and Safety Hubs across Victoria. </w:t>
      </w:r>
    </w:p>
    <w:p w:rsidR="0002219B" w:rsidRPr="00CE68F2" w:rsidRDefault="0002219B" w:rsidP="0002219B">
      <w:r w:rsidRPr="00CE68F2">
        <w:t xml:space="preserve">We are identifying </w:t>
      </w:r>
      <w:r>
        <w:t xml:space="preserve">reasons for </w:t>
      </w:r>
      <w:r w:rsidRPr="00CE68F2">
        <w:t xml:space="preserve">the decrease in Family Dispute Resolution Service (FDRS) </w:t>
      </w:r>
      <w:r>
        <w:t xml:space="preserve">legal services and conferences </w:t>
      </w:r>
      <w:r w:rsidRPr="00CE68F2">
        <w:t>over the past six month</w:t>
      </w:r>
      <w:r>
        <w:t>s</w:t>
      </w:r>
      <w:r w:rsidRPr="00CE68F2">
        <w:t xml:space="preserve">. </w:t>
      </w:r>
      <w:r>
        <w:t>F</w:t>
      </w:r>
      <w:r w:rsidRPr="00CE68F2">
        <w:t>ewer applications by legal practitioners for F</w:t>
      </w:r>
      <w:r>
        <w:t>DRS</w:t>
      </w:r>
      <w:r w:rsidRPr="00CE68F2">
        <w:t xml:space="preserve"> grants </w:t>
      </w:r>
      <w:r>
        <w:t xml:space="preserve">have been made </w:t>
      </w:r>
      <w:r w:rsidRPr="00CE68F2">
        <w:t>in the first half of 2017</w:t>
      </w:r>
      <w:r>
        <w:t>,</w:t>
      </w:r>
      <w:r w:rsidRPr="00CE68F2">
        <w:t xml:space="preserve"> </w:t>
      </w:r>
      <w:r>
        <w:t xml:space="preserve">which </w:t>
      </w:r>
      <w:r w:rsidRPr="00CE68F2">
        <w:t xml:space="preserve">has </w:t>
      </w:r>
      <w:r>
        <w:t>led</w:t>
      </w:r>
      <w:r w:rsidRPr="00CE68F2">
        <w:t xml:space="preserve"> to </w:t>
      </w:r>
      <w:r>
        <w:t xml:space="preserve">the </w:t>
      </w:r>
      <w:r w:rsidRPr="00CE68F2">
        <w:t>lower conference numbers</w:t>
      </w:r>
      <w:r>
        <w:t>,</w:t>
      </w:r>
      <w:r w:rsidRPr="00CE68F2">
        <w:t xml:space="preserve"> </w:t>
      </w:r>
      <w:r>
        <w:t>but we are not sure why fewer grant applications are being made.</w:t>
      </w:r>
    </w:p>
    <w:p w:rsidR="0002219B" w:rsidRDefault="0002219B" w:rsidP="0002219B">
      <w:pPr>
        <w:pStyle w:val="Heading4"/>
      </w:pPr>
      <w:r>
        <w:t xml:space="preserve">Family Violence related services </w:t>
      </w:r>
    </w:p>
    <w:p w:rsidR="0002219B" w:rsidRPr="00CE68F2" w:rsidRDefault="0002219B" w:rsidP="0002219B">
      <w:r>
        <w:t>W</w:t>
      </w:r>
      <w:r w:rsidRPr="00CE68F2">
        <w:t xml:space="preserve">e are working with Family Safety Victoria </w:t>
      </w:r>
      <w:r>
        <w:t xml:space="preserve">(FSV) </w:t>
      </w:r>
      <w:r w:rsidRPr="00CE68F2">
        <w:t>and community legal centres on the design and implementation of Support and Safety Hubs, including how legal advice will be provided within or connected with the Hubs.</w:t>
      </w:r>
    </w:p>
    <w:p w:rsidR="0002219B" w:rsidRPr="00CE68F2" w:rsidRDefault="0002219B" w:rsidP="0002219B">
      <w:r>
        <w:t>O</w:t>
      </w:r>
      <w:r w:rsidRPr="00CE68F2">
        <w:t>ur increased focus on family violence services, including where family violence is a factor in other matters such as</w:t>
      </w:r>
      <w:r>
        <w:t xml:space="preserve"> child protection or</w:t>
      </w:r>
      <w:r w:rsidRPr="00CE68F2">
        <w:t xml:space="preserve"> criminal offending</w:t>
      </w:r>
      <w:r>
        <w:t xml:space="preserve">, is progressing as or better than expected. </w:t>
      </w:r>
      <w:r w:rsidRPr="00CE68F2">
        <w:t xml:space="preserve">Our results are </w:t>
      </w:r>
      <w:r>
        <w:t xml:space="preserve">higher </w:t>
      </w:r>
      <w:r w:rsidRPr="00CE68F2">
        <w:t>against targets up to 31 December 2017. </w:t>
      </w:r>
    </w:p>
    <w:tbl>
      <w:tblPr>
        <w:tblStyle w:val="TableGrid"/>
        <w:tblW w:w="0" w:type="auto"/>
        <w:tblLook w:val="04A0" w:firstRow="1" w:lastRow="0" w:firstColumn="1" w:lastColumn="0" w:noHBand="0" w:noVBand="1"/>
      </w:tblPr>
      <w:tblGrid>
        <w:gridCol w:w="2972"/>
        <w:gridCol w:w="2268"/>
        <w:gridCol w:w="2268"/>
        <w:gridCol w:w="1284"/>
        <w:gridCol w:w="1284"/>
      </w:tblGrid>
      <w:tr w:rsidR="0002219B" w:rsidRPr="002312A1" w:rsidTr="0002219B">
        <w:trPr>
          <w:tblHeader/>
        </w:trPr>
        <w:tc>
          <w:tcPr>
            <w:tcW w:w="2972" w:type="dxa"/>
            <w:shd w:val="clear" w:color="auto" w:fill="D9D9D9" w:themeFill="background1" w:themeFillShade="D9"/>
          </w:tcPr>
          <w:p w:rsidR="0002219B" w:rsidRPr="002312A1" w:rsidRDefault="0002219B" w:rsidP="0002219B">
            <w:pPr>
              <w:rPr>
                <w:b/>
                <w:lang w:eastAsia="en-AU"/>
              </w:rPr>
            </w:pPr>
            <w:r w:rsidRPr="002312A1">
              <w:rPr>
                <w:b/>
              </w:rPr>
              <w:t>Output measure</w:t>
            </w:r>
          </w:p>
        </w:tc>
        <w:tc>
          <w:tcPr>
            <w:tcW w:w="2268" w:type="dxa"/>
            <w:shd w:val="clear" w:color="auto" w:fill="D9D9D9" w:themeFill="background1" w:themeFillShade="D9"/>
          </w:tcPr>
          <w:p w:rsidR="0002219B" w:rsidRPr="007C6992" w:rsidRDefault="0002219B" w:rsidP="009B2351">
            <w:pPr>
              <w:rPr>
                <w:b/>
              </w:rPr>
            </w:pPr>
            <w:r w:rsidRPr="002312A1">
              <w:rPr>
                <w:b/>
              </w:rPr>
              <w:t>Annual Target</w:t>
            </w:r>
          </w:p>
        </w:tc>
        <w:tc>
          <w:tcPr>
            <w:tcW w:w="2268" w:type="dxa"/>
            <w:shd w:val="clear" w:color="auto" w:fill="D9D9D9" w:themeFill="background1" w:themeFillShade="D9"/>
          </w:tcPr>
          <w:p w:rsidR="0002219B" w:rsidRPr="002312A1" w:rsidRDefault="0002219B">
            <w:pPr>
              <w:rPr>
                <w:b/>
                <w:lang w:eastAsia="en-AU"/>
              </w:rPr>
            </w:pPr>
            <w:r w:rsidRPr="002312A1">
              <w:rPr>
                <w:b/>
              </w:rPr>
              <w:t>Target</w:t>
            </w:r>
          </w:p>
        </w:tc>
        <w:tc>
          <w:tcPr>
            <w:tcW w:w="1284" w:type="dxa"/>
            <w:shd w:val="clear" w:color="auto" w:fill="D9D9D9" w:themeFill="background1" w:themeFillShade="D9"/>
          </w:tcPr>
          <w:p w:rsidR="0002219B" w:rsidRPr="002312A1" w:rsidRDefault="0002219B">
            <w:pPr>
              <w:rPr>
                <w:b/>
                <w:lang w:eastAsia="en-AU"/>
              </w:rPr>
            </w:pPr>
            <w:r w:rsidRPr="002312A1">
              <w:rPr>
                <w:b/>
              </w:rPr>
              <w:t>Actual</w:t>
            </w:r>
          </w:p>
        </w:tc>
        <w:tc>
          <w:tcPr>
            <w:tcW w:w="1284" w:type="dxa"/>
            <w:shd w:val="clear" w:color="auto" w:fill="D9D9D9" w:themeFill="background1" w:themeFillShade="D9"/>
          </w:tcPr>
          <w:p w:rsidR="0002219B" w:rsidRPr="002312A1" w:rsidRDefault="0002219B">
            <w:pPr>
              <w:rPr>
                <w:b/>
                <w:lang w:eastAsia="en-AU"/>
              </w:rPr>
            </w:pPr>
            <w:r w:rsidRPr="002312A1">
              <w:rPr>
                <w:b/>
              </w:rPr>
              <w:t>Variance</w:t>
            </w:r>
          </w:p>
        </w:tc>
      </w:tr>
      <w:tr w:rsidR="0002219B" w:rsidRPr="00AB66DF" w:rsidTr="0002219B">
        <w:tc>
          <w:tcPr>
            <w:tcW w:w="2972" w:type="dxa"/>
          </w:tcPr>
          <w:p w:rsidR="0002219B" w:rsidRDefault="0002219B" w:rsidP="0002219B">
            <w:pPr>
              <w:rPr>
                <w:lang w:eastAsia="en-AU"/>
              </w:rPr>
            </w:pPr>
            <w:r>
              <w:t>Community legal education and information services –family violence related services</w:t>
            </w:r>
          </w:p>
        </w:tc>
        <w:tc>
          <w:tcPr>
            <w:tcW w:w="2268" w:type="dxa"/>
            <w:vAlign w:val="bottom"/>
          </w:tcPr>
          <w:p w:rsidR="0002219B" w:rsidRPr="00AB66DF" w:rsidRDefault="0002219B" w:rsidP="0089729F">
            <w:pPr>
              <w:rPr>
                <w:lang w:eastAsia="en-AU"/>
              </w:rPr>
            </w:pPr>
            <w:r w:rsidRPr="00AB66DF">
              <w:rPr>
                <w:lang w:eastAsia="en-AU"/>
              </w:rPr>
              <w:t>11,500</w:t>
            </w:r>
          </w:p>
        </w:tc>
        <w:tc>
          <w:tcPr>
            <w:tcW w:w="2268" w:type="dxa"/>
            <w:vAlign w:val="bottom"/>
          </w:tcPr>
          <w:p w:rsidR="0002219B" w:rsidRPr="00AB66DF" w:rsidRDefault="0002219B" w:rsidP="0089729F">
            <w:pPr>
              <w:rPr>
                <w:lang w:eastAsia="en-AU"/>
              </w:rPr>
            </w:pPr>
            <w:r w:rsidRPr="00AB66DF">
              <w:rPr>
                <w:lang w:eastAsia="en-AU"/>
              </w:rPr>
              <w:t>5,800</w:t>
            </w:r>
          </w:p>
        </w:tc>
        <w:tc>
          <w:tcPr>
            <w:tcW w:w="1284" w:type="dxa"/>
            <w:vAlign w:val="bottom"/>
          </w:tcPr>
          <w:p w:rsidR="0002219B" w:rsidRPr="00AB66DF" w:rsidRDefault="0002219B" w:rsidP="0089729F">
            <w:pPr>
              <w:rPr>
                <w:lang w:eastAsia="en-AU"/>
              </w:rPr>
            </w:pPr>
            <w:r w:rsidRPr="00AB66DF">
              <w:rPr>
                <w:lang w:eastAsia="en-AU"/>
              </w:rPr>
              <w:t>12,683</w:t>
            </w:r>
          </w:p>
        </w:tc>
        <w:tc>
          <w:tcPr>
            <w:tcW w:w="1284" w:type="dxa"/>
            <w:vAlign w:val="bottom"/>
          </w:tcPr>
          <w:p w:rsidR="0002219B" w:rsidRPr="00AB66DF" w:rsidRDefault="0002219B" w:rsidP="0089729F">
            <w:pPr>
              <w:rPr>
                <w:lang w:eastAsia="en-AU"/>
              </w:rPr>
            </w:pPr>
            <w:r>
              <w:rPr>
                <w:lang w:eastAsia="en-AU"/>
              </w:rPr>
              <w:t>119</w:t>
            </w:r>
            <w:r w:rsidRPr="00AB66DF">
              <w:rPr>
                <w:lang w:eastAsia="en-AU"/>
              </w:rPr>
              <w:t>%</w:t>
            </w:r>
          </w:p>
        </w:tc>
      </w:tr>
      <w:tr w:rsidR="0002219B" w:rsidTr="0002219B">
        <w:tc>
          <w:tcPr>
            <w:tcW w:w="2972" w:type="dxa"/>
          </w:tcPr>
          <w:p w:rsidR="0002219B" w:rsidRDefault="0002219B" w:rsidP="0002219B">
            <w:r>
              <w:t>Family violence legal services</w:t>
            </w:r>
          </w:p>
        </w:tc>
        <w:tc>
          <w:tcPr>
            <w:tcW w:w="2268" w:type="dxa"/>
            <w:vAlign w:val="bottom"/>
          </w:tcPr>
          <w:p w:rsidR="0002219B" w:rsidRPr="00AB66DF" w:rsidRDefault="0002219B" w:rsidP="0089729F">
            <w:pPr>
              <w:rPr>
                <w:lang w:eastAsia="en-AU"/>
              </w:rPr>
            </w:pPr>
            <w:r w:rsidRPr="00AB66DF">
              <w:rPr>
                <w:lang w:eastAsia="en-AU"/>
              </w:rPr>
              <w:t>32,000</w:t>
            </w:r>
          </w:p>
        </w:tc>
        <w:tc>
          <w:tcPr>
            <w:tcW w:w="2268" w:type="dxa"/>
            <w:vAlign w:val="bottom"/>
          </w:tcPr>
          <w:p w:rsidR="0002219B" w:rsidRPr="00AB66DF" w:rsidRDefault="0002219B" w:rsidP="0089729F">
            <w:pPr>
              <w:rPr>
                <w:lang w:eastAsia="en-AU"/>
              </w:rPr>
            </w:pPr>
            <w:r w:rsidRPr="00AB66DF">
              <w:rPr>
                <w:lang w:eastAsia="en-AU"/>
              </w:rPr>
              <w:t>13,800</w:t>
            </w:r>
          </w:p>
        </w:tc>
        <w:tc>
          <w:tcPr>
            <w:tcW w:w="1284" w:type="dxa"/>
            <w:vAlign w:val="bottom"/>
          </w:tcPr>
          <w:p w:rsidR="0002219B" w:rsidRPr="00AB66DF" w:rsidRDefault="0002219B" w:rsidP="0089729F">
            <w:pPr>
              <w:rPr>
                <w:lang w:eastAsia="en-AU"/>
              </w:rPr>
            </w:pPr>
            <w:r w:rsidRPr="00AB66DF">
              <w:rPr>
                <w:lang w:eastAsia="en-AU"/>
              </w:rPr>
              <w:t>17,589</w:t>
            </w:r>
          </w:p>
        </w:tc>
        <w:tc>
          <w:tcPr>
            <w:tcW w:w="1284" w:type="dxa"/>
            <w:vAlign w:val="bottom"/>
          </w:tcPr>
          <w:p w:rsidR="0002219B" w:rsidRDefault="0002219B" w:rsidP="0089729F">
            <w:pPr>
              <w:rPr>
                <w:lang w:eastAsia="en-AU"/>
              </w:rPr>
            </w:pPr>
            <w:r w:rsidRPr="00AB66DF">
              <w:rPr>
                <w:lang w:eastAsia="en-AU"/>
              </w:rPr>
              <w:t>27.5%</w:t>
            </w:r>
          </w:p>
        </w:tc>
      </w:tr>
    </w:tbl>
    <w:p w:rsidR="0002219B" w:rsidRPr="00CE68F2" w:rsidRDefault="0002219B" w:rsidP="0002219B">
      <w:r w:rsidRPr="00CE68F2">
        <w:t xml:space="preserve">The </w:t>
      </w:r>
      <w:r>
        <w:t xml:space="preserve">significant </w:t>
      </w:r>
      <w:r w:rsidRPr="00CE68F2">
        <w:t>jump in family violence related community legal education and information services can be attributed to an increased focus on family violence legal services</w:t>
      </w:r>
      <w:r>
        <w:t>, improved data capture</w:t>
      </w:r>
      <w:r w:rsidRPr="00CE68F2">
        <w:t xml:space="preserve"> and the </w:t>
      </w:r>
      <w:r>
        <w:t xml:space="preserve">establishment </w:t>
      </w:r>
      <w:r w:rsidRPr="00CE68F2">
        <w:t xml:space="preserve">of </w:t>
      </w:r>
      <w:r>
        <w:t xml:space="preserve">the </w:t>
      </w:r>
      <w:r w:rsidRPr="00CE68F2">
        <w:t>Family Advocacy and Support Services</w:t>
      </w:r>
      <w:r>
        <w:t xml:space="preserve"> in Commonwealth family court registries </w:t>
      </w:r>
      <w:r w:rsidRPr="00CE68F2">
        <w:t>fund</w:t>
      </w:r>
      <w:r>
        <w:t xml:space="preserve">ed by </w:t>
      </w:r>
      <w:r w:rsidRPr="00CE68F2">
        <w:t xml:space="preserve">the </w:t>
      </w:r>
      <w:r>
        <w:t xml:space="preserve">Commonwealth government and launched in May 2017. </w:t>
      </w:r>
    </w:p>
    <w:p w:rsidR="0002219B" w:rsidRDefault="0002219B" w:rsidP="0002219B">
      <w:pPr>
        <w:pStyle w:val="Heading4"/>
      </w:pPr>
      <w:r w:rsidRPr="008B642A">
        <w:t>Family, Youth and Children’s Law Program</w:t>
      </w:r>
      <w:r>
        <w:t xml:space="preserve"> grants of legal assistance </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819"/>
        <w:gridCol w:w="1960"/>
        <w:gridCol w:w="2254"/>
        <w:gridCol w:w="2043"/>
      </w:tblGrid>
      <w:tr w:rsidR="0002219B" w:rsidRPr="00E76BA9" w:rsidTr="0002219B">
        <w:trPr>
          <w:cnfStyle w:val="100000000000" w:firstRow="1" w:lastRow="0" w:firstColumn="0" w:lastColumn="0" w:oddVBand="0" w:evenVBand="0" w:oddHBand="0" w:evenHBand="0" w:firstRowFirstColumn="0" w:firstRowLastColumn="0" w:lastRowFirstColumn="0" w:lastRowLastColumn="0"/>
        </w:trPr>
        <w:tc>
          <w:tcPr>
            <w:tcW w:w="3819" w:type="dxa"/>
            <w:shd w:val="clear" w:color="auto" w:fill="BFBFBF" w:themeFill="background1" w:themeFillShade="BF"/>
          </w:tcPr>
          <w:p w:rsidR="0002219B" w:rsidRPr="003C6849" w:rsidRDefault="009B2351" w:rsidP="0002219B">
            <w:pPr>
              <w:rPr>
                <w:b/>
                <w:color w:val="000000" w:themeColor="text1"/>
              </w:rPr>
            </w:pPr>
            <w:r>
              <w:rPr>
                <w:b/>
                <w:color w:val="000000" w:themeColor="text1"/>
              </w:rPr>
              <w:t>Family, Youth and Children’s Law Program</w:t>
            </w:r>
          </w:p>
        </w:tc>
        <w:tc>
          <w:tcPr>
            <w:tcW w:w="1960"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2016</w:t>
            </w:r>
          </w:p>
        </w:tc>
        <w:tc>
          <w:tcPr>
            <w:tcW w:w="2254"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2017</w:t>
            </w:r>
          </w:p>
        </w:tc>
        <w:tc>
          <w:tcPr>
            <w:tcW w:w="2043"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Variance</w:t>
            </w:r>
          </w:p>
        </w:tc>
      </w:tr>
      <w:tr w:rsidR="0002219B" w:rsidRPr="00E76BA9" w:rsidTr="0002219B">
        <w:trPr>
          <w:cnfStyle w:val="000000100000" w:firstRow="0" w:lastRow="0" w:firstColumn="0" w:lastColumn="0" w:oddVBand="0" w:evenVBand="0" w:oddHBand="1" w:evenHBand="0" w:firstRowFirstColumn="0" w:firstRowLastColumn="0" w:lastRowFirstColumn="0" w:lastRowLastColumn="0"/>
        </w:trPr>
        <w:tc>
          <w:tcPr>
            <w:tcW w:w="3819" w:type="dxa"/>
          </w:tcPr>
          <w:p w:rsidR="0002219B" w:rsidRPr="00E76BA9" w:rsidRDefault="0002219B" w:rsidP="0002219B">
            <w:r w:rsidRPr="00E76BA9">
              <w:t>Child Protection</w:t>
            </w:r>
          </w:p>
        </w:tc>
        <w:tc>
          <w:tcPr>
            <w:tcW w:w="1960" w:type="dxa"/>
          </w:tcPr>
          <w:p w:rsidR="0002219B" w:rsidRPr="008708CC" w:rsidRDefault="0002219B" w:rsidP="0089729F">
            <w:r w:rsidRPr="008708CC">
              <w:t>4,149</w:t>
            </w:r>
          </w:p>
        </w:tc>
        <w:tc>
          <w:tcPr>
            <w:tcW w:w="2254" w:type="dxa"/>
          </w:tcPr>
          <w:p w:rsidR="0002219B" w:rsidRPr="008708CC" w:rsidRDefault="0002219B" w:rsidP="0089729F">
            <w:r w:rsidRPr="008708CC">
              <w:t>4,257</w:t>
            </w:r>
          </w:p>
        </w:tc>
        <w:tc>
          <w:tcPr>
            <w:tcW w:w="2043" w:type="dxa"/>
          </w:tcPr>
          <w:p w:rsidR="0002219B" w:rsidRPr="008708CC" w:rsidRDefault="0002219B" w:rsidP="0089729F">
            <w:r>
              <w:t>3</w:t>
            </w:r>
            <w:r w:rsidRPr="008708CC">
              <w:t>%</w:t>
            </w:r>
          </w:p>
        </w:tc>
      </w:tr>
      <w:tr w:rsidR="0002219B" w:rsidRPr="00E76BA9" w:rsidTr="0002219B">
        <w:trPr>
          <w:cnfStyle w:val="000000010000" w:firstRow="0" w:lastRow="0" w:firstColumn="0" w:lastColumn="0" w:oddVBand="0" w:evenVBand="0" w:oddHBand="0" w:evenHBand="1" w:firstRowFirstColumn="0" w:firstRowLastColumn="0" w:lastRowFirstColumn="0" w:lastRowLastColumn="0"/>
        </w:trPr>
        <w:tc>
          <w:tcPr>
            <w:tcW w:w="3819" w:type="dxa"/>
          </w:tcPr>
          <w:p w:rsidR="0002219B" w:rsidRPr="00E76BA9" w:rsidRDefault="0002219B" w:rsidP="0002219B">
            <w:r w:rsidRPr="00E76BA9">
              <w:t>Family Dispute Resolution</w:t>
            </w:r>
          </w:p>
        </w:tc>
        <w:tc>
          <w:tcPr>
            <w:tcW w:w="1960" w:type="dxa"/>
          </w:tcPr>
          <w:p w:rsidR="0002219B" w:rsidRPr="008708CC" w:rsidRDefault="0002219B" w:rsidP="0089729F">
            <w:r w:rsidRPr="008708CC">
              <w:t>839</w:t>
            </w:r>
          </w:p>
        </w:tc>
        <w:tc>
          <w:tcPr>
            <w:tcW w:w="2254" w:type="dxa"/>
          </w:tcPr>
          <w:p w:rsidR="0002219B" w:rsidRPr="008708CC" w:rsidRDefault="0002219B" w:rsidP="0089729F">
            <w:r w:rsidRPr="008708CC">
              <w:t>696</w:t>
            </w:r>
          </w:p>
        </w:tc>
        <w:tc>
          <w:tcPr>
            <w:tcW w:w="2043" w:type="dxa"/>
          </w:tcPr>
          <w:p w:rsidR="0002219B" w:rsidRPr="008708CC" w:rsidRDefault="0002219B" w:rsidP="0089729F">
            <w:r>
              <w:t>-17</w:t>
            </w:r>
            <w:r w:rsidRPr="008708CC">
              <w:t>%</w:t>
            </w:r>
          </w:p>
        </w:tc>
      </w:tr>
      <w:tr w:rsidR="0002219B" w:rsidRPr="00E76BA9" w:rsidTr="0002219B">
        <w:trPr>
          <w:cnfStyle w:val="000000100000" w:firstRow="0" w:lastRow="0" w:firstColumn="0" w:lastColumn="0" w:oddVBand="0" w:evenVBand="0" w:oddHBand="1" w:evenHBand="0" w:firstRowFirstColumn="0" w:firstRowLastColumn="0" w:lastRowFirstColumn="0" w:lastRowLastColumn="0"/>
        </w:trPr>
        <w:tc>
          <w:tcPr>
            <w:tcW w:w="3819" w:type="dxa"/>
          </w:tcPr>
          <w:p w:rsidR="0002219B" w:rsidRPr="00E76BA9" w:rsidRDefault="0002219B" w:rsidP="0002219B">
            <w:r w:rsidRPr="00E76BA9">
              <w:lastRenderedPageBreak/>
              <w:t>Child Support</w:t>
            </w:r>
          </w:p>
        </w:tc>
        <w:tc>
          <w:tcPr>
            <w:tcW w:w="1960" w:type="dxa"/>
          </w:tcPr>
          <w:p w:rsidR="0002219B" w:rsidRPr="008708CC" w:rsidRDefault="0002219B" w:rsidP="0089729F">
            <w:r w:rsidRPr="008708CC">
              <w:t>242</w:t>
            </w:r>
          </w:p>
        </w:tc>
        <w:tc>
          <w:tcPr>
            <w:tcW w:w="2254" w:type="dxa"/>
          </w:tcPr>
          <w:p w:rsidR="0002219B" w:rsidRPr="008708CC" w:rsidRDefault="0002219B" w:rsidP="0089729F">
            <w:r w:rsidRPr="008708CC">
              <w:t>179</w:t>
            </w:r>
          </w:p>
        </w:tc>
        <w:tc>
          <w:tcPr>
            <w:tcW w:w="2043" w:type="dxa"/>
          </w:tcPr>
          <w:p w:rsidR="0002219B" w:rsidRPr="008708CC" w:rsidRDefault="0002219B" w:rsidP="0089729F">
            <w:r w:rsidRPr="008708CC">
              <w:t>-26%</w:t>
            </w:r>
          </w:p>
        </w:tc>
      </w:tr>
      <w:tr w:rsidR="0002219B" w:rsidRPr="00E76BA9" w:rsidTr="0002219B">
        <w:trPr>
          <w:cnfStyle w:val="000000010000" w:firstRow="0" w:lastRow="0" w:firstColumn="0" w:lastColumn="0" w:oddVBand="0" w:evenVBand="0" w:oddHBand="0" w:evenHBand="1" w:firstRowFirstColumn="0" w:firstRowLastColumn="0" w:lastRowFirstColumn="0" w:lastRowLastColumn="0"/>
        </w:trPr>
        <w:tc>
          <w:tcPr>
            <w:tcW w:w="3819" w:type="dxa"/>
          </w:tcPr>
          <w:p w:rsidR="0002219B" w:rsidRPr="00E76BA9" w:rsidRDefault="0002219B" w:rsidP="0002219B">
            <w:r w:rsidRPr="00E76BA9">
              <w:t>Family Violence</w:t>
            </w:r>
          </w:p>
        </w:tc>
        <w:tc>
          <w:tcPr>
            <w:tcW w:w="1960" w:type="dxa"/>
          </w:tcPr>
          <w:p w:rsidR="0002219B" w:rsidRPr="008708CC" w:rsidRDefault="0002219B" w:rsidP="0089729F">
            <w:r w:rsidRPr="008708CC">
              <w:t>851</w:t>
            </w:r>
          </w:p>
        </w:tc>
        <w:tc>
          <w:tcPr>
            <w:tcW w:w="2254" w:type="dxa"/>
          </w:tcPr>
          <w:p w:rsidR="0002219B" w:rsidRPr="008708CC" w:rsidRDefault="0002219B" w:rsidP="0089729F">
            <w:r w:rsidRPr="008708CC">
              <w:t>929</w:t>
            </w:r>
          </w:p>
        </w:tc>
        <w:tc>
          <w:tcPr>
            <w:tcW w:w="2043" w:type="dxa"/>
          </w:tcPr>
          <w:p w:rsidR="0002219B" w:rsidRPr="008708CC" w:rsidRDefault="0002219B" w:rsidP="0089729F">
            <w:r>
              <w:t>9</w:t>
            </w:r>
            <w:r w:rsidRPr="008708CC">
              <w:t>%</w:t>
            </w:r>
          </w:p>
        </w:tc>
      </w:tr>
      <w:tr w:rsidR="0002219B" w:rsidRPr="00E76BA9" w:rsidTr="0002219B">
        <w:trPr>
          <w:cnfStyle w:val="000000100000" w:firstRow="0" w:lastRow="0" w:firstColumn="0" w:lastColumn="0" w:oddVBand="0" w:evenVBand="0" w:oddHBand="1" w:evenHBand="0" w:firstRowFirstColumn="0" w:firstRowLastColumn="0" w:lastRowFirstColumn="0" w:lastRowLastColumn="0"/>
        </w:trPr>
        <w:tc>
          <w:tcPr>
            <w:tcW w:w="3819" w:type="dxa"/>
          </w:tcPr>
          <w:p w:rsidR="0002219B" w:rsidRPr="00E76BA9" w:rsidRDefault="0002219B" w:rsidP="0002219B">
            <w:r w:rsidRPr="00E76BA9">
              <w:t>Independent Children’s Lawyers</w:t>
            </w:r>
          </w:p>
        </w:tc>
        <w:tc>
          <w:tcPr>
            <w:tcW w:w="1960" w:type="dxa"/>
          </w:tcPr>
          <w:p w:rsidR="0002219B" w:rsidRPr="008708CC" w:rsidRDefault="0002219B" w:rsidP="0089729F">
            <w:r w:rsidRPr="008708CC">
              <w:t>683</w:t>
            </w:r>
          </w:p>
        </w:tc>
        <w:tc>
          <w:tcPr>
            <w:tcW w:w="2254" w:type="dxa"/>
          </w:tcPr>
          <w:p w:rsidR="0002219B" w:rsidRPr="008708CC" w:rsidRDefault="0002219B" w:rsidP="0089729F">
            <w:r w:rsidRPr="008708CC">
              <w:t>653</w:t>
            </w:r>
          </w:p>
        </w:tc>
        <w:tc>
          <w:tcPr>
            <w:tcW w:w="2043" w:type="dxa"/>
          </w:tcPr>
          <w:p w:rsidR="0002219B" w:rsidRPr="008708CC" w:rsidRDefault="0002219B" w:rsidP="0089729F">
            <w:r>
              <w:t>-4</w:t>
            </w:r>
            <w:r w:rsidRPr="008708CC">
              <w:t>%</w:t>
            </w:r>
          </w:p>
        </w:tc>
      </w:tr>
      <w:tr w:rsidR="0002219B" w:rsidRPr="00E76BA9" w:rsidTr="0002219B">
        <w:trPr>
          <w:cnfStyle w:val="000000010000" w:firstRow="0" w:lastRow="0" w:firstColumn="0" w:lastColumn="0" w:oddVBand="0" w:evenVBand="0" w:oddHBand="0" w:evenHBand="1" w:firstRowFirstColumn="0" w:firstRowLastColumn="0" w:lastRowFirstColumn="0" w:lastRowLastColumn="0"/>
        </w:trPr>
        <w:tc>
          <w:tcPr>
            <w:tcW w:w="3819" w:type="dxa"/>
          </w:tcPr>
          <w:p w:rsidR="0002219B" w:rsidRPr="00E76BA9" w:rsidRDefault="0002219B" w:rsidP="0002219B">
            <w:r w:rsidRPr="00E76BA9">
              <w:t>Parenting Disputes</w:t>
            </w:r>
          </w:p>
        </w:tc>
        <w:tc>
          <w:tcPr>
            <w:tcW w:w="1960" w:type="dxa"/>
          </w:tcPr>
          <w:p w:rsidR="0002219B" w:rsidRPr="008708CC" w:rsidRDefault="0002219B" w:rsidP="0089729F">
            <w:r w:rsidRPr="008708CC">
              <w:t>778</w:t>
            </w:r>
          </w:p>
        </w:tc>
        <w:tc>
          <w:tcPr>
            <w:tcW w:w="2254" w:type="dxa"/>
          </w:tcPr>
          <w:p w:rsidR="0002219B" w:rsidRPr="008708CC" w:rsidRDefault="0002219B" w:rsidP="0089729F">
            <w:r w:rsidRPr="008708CC">
              <w:t>807</w:t>
            </w:r>
          </w:p>
        </w:tc>
        <w:tc>
          <w:tcPr>
            <w:tcW w:w="2043" w:type="dxa"/>
          </w:tcPr>
          <w:p w:rsidR="0002219B" w:rsidRPr="008708CC" w:rsidRDefault="0002219B" w:rsidP="0089729F">
            <w:r>
              <w:t>4</w:t>
            </w:r>
            <w:r w:rsidRPr="008708CC">
              <w:t>%</w:t>
            </w:r>
          </w:p>
        </w:tc>
      </w:tr>
    </w:tbl>
    <w:p w:rsidR="0002219B" w:rsidRPr="005F1DE5" w:rsidRDefault="0002219B" w:rsidP="0002219B">
      <w:pPr>
        <w:pStyle w:val="Heading4"/>
      </w:pPr>
      <w:r w:rsidRPr="008B642A">
        <w:t>Family, Youth and Children’s Law Program</w:t>
      </w:r>
      <w:r>
        <w:t xml:space="preserve"> </w:t>
      </w:r>
      <w:r w:rsidRPr="005F1DE5">
        <w:t xml:space="preserve">operating </w:t>
      </w:r>
      <w:r>
        <w:t xml:space="preserve">expenditure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2110"/>
        <w:gridCol w:w="1885"/>
        <w:gridCol w:w="1667"/>
        <w:gridCol w:w="1488"/>
        <w:gridCol w:w="1463"/>
        <w:gridCol w:w="1463"/>
      </w:tblGrid>
      <w:tr w:rsidR="0002219B" w:rsidRPr="00E76BA9" w:rsidTr="0002219B">
        <w:trPr>
          <w:cnfStyle w:val="100000000000" w:firstRow="1" w:lastRow="0" w:firstColumn="0" w:lastColumn="0" w:oddVBand="0" w:evenVBand="0" w:oddHBand="0" w:evenHBand="0" w:firstRowFirstColumn="0" w:firstRowLastColumn="0" w:lastRowFirstColumn="0" w:lastRowLastColumn="0"/>
        </w:trPr>
        <w:tc>
          <w:tcPr>
            <w:tcW w:w="2678" w:type="dxa"/>
            <w:shd w:val="clear" w:color="auto" w:fill="BFBFBF" w:themeFill="background1" w:themeFillShade="BF"/>
          </w:tcPr>
          <w:p w:rsidR="0002219B" w:rsidRPr="003C6849" w:rsidRDefault="0089729F" w:rsidP="0002219B">
            <w:pPr>
              <w:rPr>
                <w:b/>
                <w:color w:val="000000" w:themeColor="text1"/>
              </w:rPr>
            </w:pPr>
            <w:r>
              <w:rPr>
                <w:b/>
                <w:color w:val="000000" w:themeColor="text1"/>
              </w:rPr>
              <w:t>Family, Youth and Children’s Law Program</w:t>
            </w:r>
          </w:p>
        </w:tc>
        <w:tc>
          <w:tcPr>
            <w:tcW w:w="2220" w:type="dxa"/>
            <w:shd w:val="clear" w:color="auto" w:fill="BFBFBF" w:themeFill="background1" w:themeFillShade="BF"/>
          </w:tcPr>
          <w:p w:rsidR="0002219B" w:rsidRPr="003C6849" w:rsidRDefault="0002219B" w:rsidP="0089729F">
            <w:pPr>
              <w:rPr>
                <w:b/>
                <w:color w:val="000000" w:themeColor="text1"/>
              </w:rPr>
            </w:pPr>
            <w:r w:rsidRPr="00C07559">
              <w:rPr>
                <w:b/>
                <w:color w:val="000000" w:themeColor="text1"/>
              </w:rPr>
              <w:t>Expenditure ($)</w:t>
            </w:r>
            <w:r>
              <w:rPr>
                <w:b/>
                <w:color w:val="000000" w:themeColor="text1"/>
              </w:rPr>
              <w:t xml:space="preserve"> </w:t>
            </w:r>
            <w:r w:rsidRPr="00340FB3">
              <w:rPr>
                <w:b/>
                <w:color w:val="000000" w:themeColor="text1"/>
              </w:rPr>
              <w:t>as at 31 December</w:t>
            </w:r>
            <w:r>
              <w:rPr>
                <w:b/>
                <w:color w:val="000000" w:themeColor="text1"/>
              </w:rPr>
              <w:t xml:space="preserve"> 2016</w:t>
            </w:r>
          </w:p>
        </w:tc>
        <w:tc>
          <w:tcPr>
            <w:tcW w:w="1839" w:type="dxa"/>
            <w:shd w:val="clear" w:color="auto" w:fill="BFBFBF" w:themeFill="background1" w:themeFillShade="BF"/>
          </w:tcPr>
          <w:p w:rsidR="0002219B" w:rsidRPr="003C6849" w:rsidRDefault="0002219B" w:rsidP="0089729F">
            <w:pPr>
              <w:rPr>
                <w:b/>
                <w:color w:val="000000" w:themeColor="text1"/>
              </w:rPr>
            </w:pPr>
            <w:r w:rsidRPr="00C07559">
              <w:rPr>
                <w:b/>
                <w:color w:val="000000" w:themeColor="text1"/>
              </w:rPr>
              <w:t>% of total expenditure</w:t>
            </w:r>
            <w:r>
              <w:rPr>
                <w:b/>
                <w:color w:val="000000" w:themeColor="text1"/>
              </w:rPr>
              <w:t xml:space="preserve"> </w:t>
            </w:r>
            <w:r w:rsidRPr="00340FB3">
              <w:rPr>
                <w:b/>
                <w:color w:val="000000" w:themeColor="text1"/>
              </w:rPr>
              <w:t>as at 31 December</w:t>
            </w:r>
            <w:r>
              <w:rPr>
                <w:b/>
                <w:color w:val="000000" w:themeColor="text1"/>
              </w:rPr>
              <w:t xml:space="preserve"> 2016</w:t>
            </w:r>
          </w:p>
        </w:tc>
        <w:tc>
          <w:tcPr>
            <w:tcW w:w="1113" w:type="dxa"/>
            <w:shd w:val="clear" w:color="auto" w:fill="BFBFBF" w:themeFill="background1" w:themeFillShade="BF"/>
          </w:tcPr>
          <w:p w:rsidR="0002219B" w:rsidRPr="003C6849" w:rsidRDefault="0002219B" w:rsidP="0089729F">
            <w:pPr>
              <w:rPr>
                <w:b/>
                <w:color w:val="000000" w:themeColor="text1"/>
              </w:rPr>
            </w:pPr>
            <w:r w:rsidRPr="00C07559">
              <w:rPr>
                <w:b/>
                <w:color w:val="000000" w:themeColor="text1"/>
              </w:rPr>
              <w:t>Expenditure ($)</w:t>
            </w:r>
            <w:r>
              <w:rPr>
                <w:b/>
                <w:color w:val="000000" w:themeColor="text1"/>
              </w:rPr>
              <w:t xml:space="preserve"> </w:t>
            </w:r>
            <w:r w:rsidRPr="00340FB3">
              <w:rPr>
                <w:b/>
                <w:color w:val="000000" w:themeColor="text1"/>
              </w:rPr>
              <w:t>as at 31 December</w:t>
            </w:r>
            <w:r>
              <w:rPr>
                <w:b/>
                <w:color w:val="000000" w:themeColor="text1"/>
              </w:rPr>
              <w:t xml:space="preserve"> 2017</w:t>
            </w:r>
          </w:p>
        </w:tc>
        <w:tc>
          <w:tcPr>
            <w:tcW w:w="1113" w:type="dxa"/>
            <w:shd w:val="clear" w:color="auto" w:fill="BFBFBF" w:themeFill="background1" w:themeFillShade="BF"/>
          </w:tcPr>
          <w:p w:rsidR="0002219B" w:rsidRPr="003C6849" w:rsidRDefault="0002219B" w:rsidP="0089729F">
            <w:pPr>
              <w:rPr>
                <w:b/>
                <w:color w:val="000000" w:themeColor="text1"/>
              </w:rPr>
            </w:pPr>
            <w:r w:rsidRPr="00C07559">
              <w:rPr>
                <w:b/>
                <w:color w:val="000000" w:themeColor="text1"/>
              </w:rPr>
              <w:t>% of total expenditure</w:t>
            </w:r>
            <w:r>
              <w:rPr>
                <w:b/>
                <w:color w:val="000000" w:themeColor="text1"/>
              </w:rPr>
              <w:t xml:space="preserve"> </w:t>
            </w:r>
            <w:r w:rsidRPr="00340FB3">
              <w:rPr>
                <w:b/>
                <w:color w:val="000000" w:themeColor="text1"/>
              </w:rPr>
              <w:t>as at 31 December</w:t>
            </w:r>
            <w:r>
              <w:rPr>
                <w:b/>
                <w:color w:val="000000" w:themeColor="text1"/>
              </w:rPr>
              <w:t xml:space="preserve"> 2017</w:t>
            </w:r>
          </w:p>
        </w:tc>
        <w:tc>
          <w:tcPr>
            <w:tcW w:w="1113" w:type="dxa"/>
            <w:shd w:val="clear" w:color="auto" w:fill="BFBFBF" w:themeFill="background1" w:themeFillShade="BF"/>
          </w:tcPr>
          <w:p w:rsidR="0002219B" w:rsidRPr="003C6849" w:rsidRDefault="0002219B" w:rsidP="0089729F">
            <w:pPr>
              <w:rPr>
                <w:b/>
                <w:color w:val="000000" w:themeColor="text1"/>
              </w:rPr>
            </w:pPr>
            <w:r>
              <w:rPr>
                <w:b/>
                <w:color w:val="000000" w:themeColor="text1"/>
              </w:rPr>
              <w:t xml:space="preserve">Variance of expenditure </w:t>
            </w:r>
          </w:p>
        </w:tc>
      </w:tr>
      <w:tr w:rsidR="0002219B" w:rsidRPr="00E76BA9" w:rsidTr="0002219B">
        <w:trPr>
          <w:cnfStyle w:val="000000100000" w:firstRow="0" w:lastRow="0" w:firstColumn="0" w:lastColumn="0" w:oddVBand="0" w:evenVBand="0" w:oddHBand="1" w:evenHBand="0" w:firstRowFirstColumn="0" w:firstRowLastColumn="0" w:lastRowFirstColumn="0" w:lastRowLastColumn="0"/>
        </w:trPr>
        <w:tc>
          <w:tcPr>
            <w:tcW w:w="2678" w:type="dxa"/>
          </w:tcPr>
          <w:p w:rsidR="0002219B" w:rsidRPr="00E76BA9" w:rsidRDefault="0002219B" w:rsidP="0002219B">
            <w:r w:rsidRPr="00E76BA9">
              <w:t>Child Protection</w:t>
            </w:r>
          </w:p>
        </w:tc>
        <w:tc>
          <w:tcPr>
            <w:tcW w:w="2220" w:type="dxa"/>
          </w:tcPr>
          <w:p w:rsidR="0002219B" w:rsidRPr="00E76BA9" w:rsidRDefault="0002219B" w:rsidP="0089729F">
            <w:r>
              <w:t>12.7 million</w:t>
            </w:r>
          </w:p>
        </w:tc>
        <w:tc>
          <w:tcPr>
            <w:tcW w:w="1839" w:type="dxa"/>
          </w:tcPr>
          <w:p w:rsidR="0002219B" w:rsidRPr="00E76BA9" w:rsidRDefault="0002219B" w:rsidP="0089729F">
            <w:r>
              <w:t>15.3</w:t>
            </w:r>
          </w:p>
        </w:tc>
        <w:tc>
          <w:tcPr>
            <w:tcW w:w="1113" w:type="dxa"/>
          </w:tcPr>
          <w:p w:rsidR="0002219B" w:rsidRDefault="0002219B" w:rsidP="0089729F">
            <w:r>
              <w:t>13.8 million</w:t>
            </w:r>
          </w:p>
        </w:tc>
        <w:tc>
          <w:tcPr>
            <w:tcW w:w="1113" w:type="dxa"/>
          </w:tcPr>
          <w:p w:rsidR="0002219B" w:rsidRDefault="0002219B" w:rsidP="0089729F">
            <w:r>
              <w:t>14.8</w:t>
            </w:r>
          </w:p>
        </w:tc>
        <w:tc>
          <w:tcPr>
            <w:tcW w:w="1113" w:type="dxa"/>
          </w:tcPr>
          <w:p w:rsidR="0002219B" w:rsidRDefault="0002219B" w:rsidP="0089729F">
            <w:r>
              <w:t>1.1 million</w:t>
            </w:r>
          </w:p>
        </w:tc>
      </w:tr>
      <w:tr w:rsidR="0002219B" w:rsidRPr="00E76BA9" w:rsidTr="0002219B">
        <w:trPr>
          <w:cnfStyle w:val="000000010000" w:firstRow="0" w:lastRow="0" w:firstColumn="0" w:lastColumn="0" w:oddVBand="0" w:evenVBand="0" w:oddHBand="0" w:evenHBand="1" w:firstRowFirstColumn="0" w:firstRowLastColumn="0" w:lastRowFirstColumn="0" w:lastRowLastColumn="0"/>
        </w:trPr>
        <w:tc>
          <w:tcPr>
            <w:tcW w:w="2678" w:type="dxa"/>
          </w:tcPr>
          <w:p w:rsidR="0002219B" w:rsidRPr="00E76BA9" w:rsidRDefault="0002219B" w:rsidP="0002219B">
            <w:r w:rsidRPr="00E76BA9">
              <w:t>Family Dispute Resolution</w:t>
            </w:r>
          </w:p>
        </w:tc>
        <w:tc>
          <w:tcPr>
            <w:tcW w:w="2220" w:type="dxa"/>
          </w:tcPr>
          <w:p w:rsidR="0002219B" w:rsidRPr="00E76BA9" w:rsidRDefault="0002219B" w:rsidP="0089729F">
            <w:r>
              <w:t>5.5 million</w:t>
            </w:r>
          </w:p>
        </w:tc>
        <w:tc>
          <w:tcPr>
            <w:tcW w:w="1839" w:type="dxa"/>
          </w:tcPr>
          <w:p w:rsidR="0002219B" w:rsidRPr="00E76BA9" w:rsidRDefault="0002219B" w:rsidP="0089729F">
            <w:r>
              <w:t>6.6</w:t>
            </w:r>
          </w:p>
        </w:tc>
        <w:tc>
          <w:tcPr>
            <w:tcW w:w="1113" w:type="dxa"/>
          </w:tcPr>
          <w:p w:rsidR="0002219B" w:rsidRDefault="0002219B" w:rsidP="0089729F">
            <w:r>
              <w:t>5.3 million</w:t>
            </w:r>
          </w:p>
        </w:tc>
        <w:tc>
          <w:tcPr>
            <w:tcW w:w="1113" w:type="dxa"/>
          </w:tcPr>
          <w:p w:rsidR="0002219B" w:rsidRDefault="0002219B" w:rsidP="0089729F">
            <w:r>
              <w:t>5.8</w:t>
            </w:r>
          </w:p>
        </w:tc>
        <w:tc>
          <w:tcPr>
            <w:tcW w:w="1113" w:type="dxa"/>
          </w:tcPr>
          <w:p w:rsidR="0002219B" w:rsidRDefault="0002219B" w:rsidP="0089729F">
            <w:r>
              <w:t>-0.2 million</w:t>
            </w:r>
          </w:p>
        </w:tc>
      </w:tr>
      <w:tr w:rsidR="0002219B" w:rsidRPr="00E76BA9" w:rsidTr="0002219B">
        <w:trPr>
          <w:cnfStyle w:val="000000100000" w:firstRow="0" w:lastRow="0" w:firstColumn="0" w:lastColumn="0" w:oddVBand="0" w:evenVBand="0" w:oddHBand="1" w:evenHBand="0" w:firstRowFirstColumn="0" w:firstRowLastColumn="0" w:lastRowFirstColumn="0" w:lastRowLastColumn="0"/>
        </w:trPr>
        <w:tc>
          <w:tcPr>
            <w:tcW w:w="2678" w:type="dxa"/>
          </w:tcPr>
          <w:p w:rsidR="0002219B" w:rsidRPr="00E76BA9" w:rsidRDefault="0002219B" w:rsidP="0002219B">
            <w:r w:rsidRPr="00E76BA9">
              <w:t>Child Support</w:t>
            </w:r>
          </w:p>
        </w:tc>
        <w:tc>
          <w:tcPr>
            <w:tcW w:w="2220" w:type="dxa"/>
          </w:tcPr>
          <w:p w:rsidR="0002219B" w:rsidRPr="00E76BA9" w:rsidRDefault="0002219B" w:rsidP="0089729F">
            <w:r>
              <w:t>0.8 million</w:t>
            </w:r>
          </w:p>
        </w:tc>
        <w:tc>
          <w:tcPr>
            <w:tcW w:w="1839" w:type="dxa"/>
          </w:tcPr>
          <w:p w:rsidR="0002219B" w:rsidRPr="00E76BA9" w:rsidRDefault="0002219B" w:rsidP="0089729F">
            <w:r>
              <w:t>0.9</w:t>
            </w:r>
          </w:p>
        </w:tc>
        <w:tc>
          <w:tcPr>
            <w:tcW w:w="1113" w:type="dxa"/>
          </w:tcPr>
          <w:p w:rsidR="0002219B" w:rsidRDefault="0002219B" w:rsidP="0089729F">
            <w:r>
              <w:t>0.8 million</w:t>
            </w:r>
          </w:p>
        </w:tc>
        <w:tc>
          <w:tcPr>
            <w:tcW w:w="1113" w:type="dxa"/>
          </w:tcPr>
          <w:p w:rsidR="0002219B" w:rsidRDefault="0002219B" w:rsidP="0089729F">
            <w:r>
              <w:t>0.9</w:t>
            </w:r>
          </w:p>
        </w:tc>
        <w:tc>
          <w:tcPr>
            <w:tcW w:w="1113" w:type="dxa"/>
          </w:tcPr>
          <w:p w:rsidR="0002219B" w:rsidRDefault="0002219B" w:rsidP="0089729F">
            <w:r>
              <w:t>0.0 million</w:t>
            </w:r>
          </w:p>
        </w:tc>
      </w:tr>
      <w:tr w:rsidR="0002219B" w:rsidRPr="00E76BA9" w:rsidTr="0002219B">
        <w:trPr>
          <w:cnfStyle w:val="000000010000" w:firstRow="0" w:lastRow="0" w:firstColumn="0" w:lastColumn="0" w:oddVBand="0" w:evenVBand="0" w:oddHBand="0" w:evenHBand="1" w:firstRowFirstColumn="0" w:firstRowLastColumn="0" w:lastRowFirstColumn="0" w:lastRowLastColumn="0"/>
        </w:trPr>
        <w:tc>
          <w:tcPr>
            <w:tcW w:w="2678" w:type="dxa"/>
          </w:tcPr>
          <w:p w:rsidR="0002219B" w:rsidRPr="00E76BA9" w:rsidRDefault="0002219B" w:rsidP="0002219B">
            <w:r w:rsidRPr="00E76BA9">
              <w:t>Family Violence</w:t>
            </w:r>
          </w:p>
        </w:tc>
        <w:tc>
          <w:tcPr>
            <w:tcW w:w="2220" w:type="dxa"/>
          </w:tcPr>
          <w:p w:rsidR="0002219B" w:rsidRPr="00E76BA9" w:rsidRDefault="0002219B" w:rsidP="0089729F">
            <w:r>
              <w:t>1.8 million</w:t>
            </w:r>
            <w:r>
              <w:rPr>
                <w:rStyle w:val="FootnoteReference"/>
              </w:rPr>
              <w:footnoteReference w:id="6"/>
            </w:r>
          </w:p>
        </w:tc>
        <w:tc>
          <w:tcPr>
            <w:tcW w:w="1839" w:type="dxa"/>
          </w:tcPr>
          <w:p w:rsidR="0002219B" w:rsidRPr="00E76BA9" w:rsidRDefault="0002219B" w:rsidP="0089729F">
            <w:r>
              <w:t>2.2</w:t>
            </w:r>
          </w:p>
        </w:tc>
        <w:tc>
          <w:tcPr>
            <w:tcW w:w="1113" w:type="dxa"/>
          </w:tcPr>
          <w:p w:rsidR="0002219B" w:rsidRDefault="0002219B" w:rsidP="0089729F">
            <w:r>
              <w:t>2.3 million</w:t>
            </w:r>
            <w:r>
              <w:rPr>
                <w:rStyle w:val="FootnoteReference"/>
              </w:rPr>
              <w:footnoteReference w:id="7"/>
            </w:r>
          </w:p>
        </w:tc>
        <w:tc>
          <w:tcPr>
            <w:tcW w:w="1113" w:type="dxa"/>
          </w:tcPr>
          <w:p w:rsidR="0002219B" w:rsidRDefault="0002219B" w:rsidP="0089729F">
            <w:r>
              <w:t>2.5</w:t>
            </w:r>
          </w:p>
        </w:tc>
        <w:tc>
          <w:tcPr>
            <w:tcW w:w="1113" w:type="dxa"/>
          </w:tcPr>
          <w:p w:rsidR="0002219B" w:rsidRDefault="0002219B" w:rsidP="0089729F">
            <w:r>
              <w:t>0.5 million</w:t>
            </w:r>
          </w:p>
        </w:tc>
      </w:tr>
      <w:tr w:rsidR="0002219B" w:rsidRPr="00E76BA9" w:rsidTr="0002219B">
        <w:trPr>
          <w:cnfStyle w:val="000000100000" w:firstRow="0" w:lastRow="0" w:firstColumn="0" w:lastColumn="0" w:oddVBand="0" w:evenVBand="0" w:oddHBand="1" w:evenHBand="0" w:firstRowFirstColumn="0" w:firstRowLastColumn="0" w:lastRowFirstColumn="0" w:lastRowLastColumn="0"/>
        </w:trPr>
        <w:tc>
          <w:tcPr>
            <w:tcW w:w="2678" w:type="dxa"/>
          </w:tcPr>
          <w:p w:rsidR="0002219B" w:rsidRPr="00E76BA9" w:rsidRDefault="0002219B" w:rsidP="0002219B">
            <w:r w:rsidRPr="00E76BA9">
              <w:t>Independent Children’s Lawyers</w:t>
            </w:r>
          </w:p>
        </w:tc>
        <w:tc>
          <w:tcPr>
            <w:tcW w:w="2220" w:type="dxa"/>
          </w:tcPr>
          <w:p w:rsidR="0002219B" w:rsidRPr="00E76BA9" w:rsidRDefault="0002219B" w:rsidP="0089729F">
            <w:r>
              <w:t>4.7 million</w:t>
            </w:r>
          </w:p>
        </w:tc>
        <w:tc>
          <w:tcPr>
            <w:tcW w:w="1839" w:type="dxa"/>
          </w:tcPr>
          <w:p w:rsidR="0002219B" w:rsidRPr="00E76BA9" w:rsidRDefault="0002219B" w:rsidP="0089729F">
            <w:r>
              <w:t>5.7</w:t>
            </w:r>
          </w:p>
        </w:tc>
        <w:tc>
          <w:tcPr>
            <w:tcW w:w="1113" w:type="dxa"/>
          </w:tcPr>
          <w:p w:rsidR="0002219B" w:rsidRDefault="0002219B" w:rsidP="0089729F">
            <w:r>
              <w:t>5.5 million</w:t>
            </w:r>
          </w:p>
        </w:tc>
        <w:tc>
          <w:tcPr>
            <w:tcW w:w="1113" w:type="dxa"/>
          </w:tcPr>
          <w:p w:rsidR="0002219B" w:rsidRDefault="0002219B" w:rsidP="0089729F">
            <w:r>
              <w:t>6.0</w:t>
            </w:r>
          </w:p>
        </w:tc>
        <w:tc>
          <w:tcPr>
            <w:tcW w:w="1113" w:type="dxa"/>
          </w:tcPr>
          <w:p w:rsidR="0002219B" w:rsidRDefault="0002219B" w:rsidP="0089729F">
            <w:r>
              <w:t>0.8 million</w:t>
            </w:r>
          </w:p>
        </w:tc>
      </w:tr>
      <w:tr w:rsidR="0002219B" w:rsidRPr="00E76BA9" w:rsidTr="0002219B">
        <w:trPr>
          <w:cnfStyle w:val="000000010000" w:firstRow="0" w:lastRow="0" w:firstColumn="0" w:lastColumn="0" w:oddVBand="0" w:evenVBand="0" w:oddHBand="0" w:evenHBand="1" w:firstRowFirstColumn="0" w:firstRowLastColumn="0" w:lastRowFirstColumn="0" w:lastRowLastColumn="0"/>
        </w:trPr>
        <w:tc>
          <w:tcPr>
            <w:tcW w:w="2678" w:type="dxa"/>
          </w:tcPr>
          <w:p w:rsidR="0002219B" w:rsidRPr="00E76BA9" w:rsidRDefault="0002219B" w:rsidP="0002219B">
            <w:r w:rsidRPr="00E76BA9">
              <w:t>Parenting Disputes</w:t>
            </w:r>
          </w:p>
        </w:tc>
        <w:tc>
          <w:tcPr>
            <w:tcW w:w="2220" w:type="dxa"/>
          </w:tcPr>
          <w:p w:rsidR="0002219B" w:rsidRPr="00E76BA9" w:rsidRDefault="0002219B" w:rsidP="0089729F">
            <w:r>
              <w:t>4.9 million</w:t>
            </w:r>
          </w:p>
        </w:tc>
        <w:tc>
          <w:tcPr>
            <w:tcW w:w="1839" w:type="dxa"/>
          </w:tcPr>
          <w:p w:rsidR="0002219B" w:rsidRPr="00E76BA9" w:rsidRDefault="0002219B" w:rsidP="0089729F">
            <w:r>
              <w:t>6.0</w:t>
            </w:r>
          </w:p>
        </w:tc>
        <w:tc>
          <w:tcPr>
            <w:tcW w:w="1113" w:type="dxa"/>
          </w:tcPr>
          <w:p w:rsidR="0002219B" w:rsidRDefault="0002219B" w:rsidP="0089729F">
            <w:r>
              <w:t>5.4 million</w:t>
            </w:r>
          </w:p>
        </w:tc>
        <w:tc>
          <w:tcPr>
            <w:tcW w:w="1113" w:type="dxa"/>
          </w:tcPr>
          <w:p w:rsidR="0002219B" w:rsidRDefault="0002219B" w:rsidP="0089729F">
            <w:r>
              <w:t>5.8</w:t>
            </w:r>
          </w:p>
        </w:tc>
        <w:tc>
          <w:tcPr>
            <w:tcW w:w="1113" w:type="dxa"/>
          </w:tcPr>
          <w:p w:rsidR="0002219B" w:rsidRDefault="0002219B" w:rsidP="0089729F">
            <w:r>
              <w:t>0.5 million</w:t>
            </w:r>
          </w:p>
        </w:tc>
      </w:tr>
      <w:tr w:rsidR="0002219B" w:rsidRPr="00E9367A" w:rsidTr="0002219B">
        <w:trPr>
          <w:cnfStyle w:val="010000000000" w:firstRow="0" w:lastRow="1" w:firstColumn="0" w:lastColumn="0" w:oddVBand="0" w:evenVBand="0" w:oddHBand="0" w:evenHBand="0" w:firstRowFirstColumn="0" w:firstRowLastColumn="0" w:lastRowFirstColumn="0" w:lastRowLastColumn="0"/>
        </w:trPr>
        <w:tc>
          <w:tcPr>
            <w:tcW w:w="2678" w:type="dxa"/>
          </w:tcPr>
          <w:p w:rsidR="0002219B" w:rsidRPr="00E76BA9" w:rsidRDefault="0002219B" w:rsidP="0002219B">
            <w:r w:rsidRPr="00E76BA9">
              <w:t>Total</w:t>
            </w:r>
          </w:p>
        </w:tc>
        <w:tc>
          <w:tcPr>
            <w:tcW w:w="2220" w:type="dxa"/>
          </w:tcPr>
          <w:p w:rsidR="0002219B" w:rsidRPr="00E76BA9" w:rsidRDefault="0002219B" w:rsidP="0089729F">
            <w:r>
              <w:t>30.4 million</w:t>
            </w:r>
          </w:p>
        </w:tc>
        <w:tc>
          <w:tcPr>
            <w:tcW w:w="1839" w:type="dxa"/>
          </w:tcPr>
          <w:p w:rsidR="0002219B" w:rsidRPr="00E9367A" w:rsidRDefault="0002219B" w:rsidP="0089729F">
            <w:r>
              <w:t>36.7</w:t>
            </w:r>
          </w:p>
        </w:tc>
        <w:tc>
          <w:tcPr>
            <w:tcW w:w="1113" w:type="dxa"/>
          </w:tcPr>
          <w:p w:rsidR="0002219B" w:rsidRDefault="0002219B" w:rsidP="0089729F">
            <w:r>
              <w:t>33.1 million</w:t>
            </w:r>
          </w:p>
        </w:tc>
        <w:tc>
          <w:tcPr>
            <w:tcW w:w="1113" w:type="dxa"/>
          </w:tcPr>
          <w:p w:rsidR="0002219B" w:rsidRDefault="0002219B" w:rsidP="0089729F">
            <w:r>
              <w:t>35.8</w:t>
            </w:r>
          </w:p>
        </w:tc>
        <w:tc>
          <w:tcPr>
            <w:tcW w:w="1113" w:type="dxa"/>
          </w:tcPr>
          <w:p w:rsidR="0002219B" w:rsidRDefault="0002219B" w:rsidP="0089729F">
            <w:r>
              <w:t>2.7 million</w:t>
            </w:r>
          </w:p>
        </w:tc>
      </w:tr>
    </w:tbl>
    <w:p w:rsidR="0002219B" w:rsidRPr="009B2351" w:rsidRDefault="0002219B" w:rsidP="0089729F">
      <w:r w:rsidRPr="009B2351">
        <w:rPr>
          <w:b/>
        </w:rPr>
        <w:t>The top five matters dealt with by our Family, Youth and Children’s Law Program as at 31 December 2017 were:</w:t>
      </w:r>
    </w:p>
    <w:p w:rsidR="0002219B" w:rsidRDefault="0002219B" w:rsidP="0002219B">
      <w:pPr>
        <w:pStyle w:val="ListParagraph"/>
        <w:numPr>
          <w:ilvl w:val="0"/>
          <w:numId w:val="41"/>
        </w:numPr>
      </w:pPr>
      <w:r>
        <w:t xml:space="preserve">Responding to a family violence intervention order, </w:t>
      </w:r>
      <w:r w:rsidRPr="005F1DE5">
        <w:t>8,335</w:t>
      </w:r>
    </w:p>
    <w:p w:rsidR="0002219B" w:rsidRDefault="0002219B" w:rsidP="0002219B">
      <w:pPr>
        <w:pStyle w:val="ListParagraph"/>
        <w:numPr>
          <w:ilvl w:val="0"/>
          <w:numId w:val="41"/>
        </w:numPr>
      </w:pPr>
      <w:r>
        <w:t xml:space="preserve">Spending time with children, </w:t>
      </w:r>
      <w:r w:rsidRPr="005F1DE5">
        <w:t>6,560</w:t>
      </w:r>
    </w:p>
    <w:p w:rsidR="0002219B" w:rsidRDefault="0002219B" w:rsidP="0002219B">
      <w:pPr>
        <w:pStyle w:val="ListParagraph"/>
        <w:numPr>
          <w:ilvl w:val="0"/>
          <w:numId w:val="41"/>
        </w:numPr>
      </w:pPr>
      <w:r>
        <w:t xml:space="preserve">Application for a family violence intervention order, </w:t>
      </w:r>
      <w:r w:rsidRPr="005F1DE5">
        <w:t>4,942</w:t>
      </w:r>
    </w:p>
    <w:p w:rsidR="0002219B" w:rsidRDefault="0002219B" w:rsidP="0002219B">
      <w:pPr>
        <w:pStyle w:val="ListParagraph"/>
        <w:numPr>
          <w:ilvl w:val="0"/>
          <w:numId w:val="41"/>
        </w:numPr>
      </w:pPr>
      <w:r>
        <w:t xml:space="preserve">Property settlement, </w:t>
      </w:r>
      <w:r w:rsidRPr="005F1DE5">
        <w:t>3,072</w:t>
      </w:r>
    </w:p>
    <w:p w:rsidR="0002219B" w:rsidRDefault="0002219B" w:rsidP="0002219B">
      <w:pPr>
        <w:pStyle w:val="ListParagraph"/>
        <w:numPr>
          <w:ilvl w:val="0"/>
          <w:numId w:val="41"/>
        </w:numPr>
      </w:pPr>
      <w:r>
        <w:t xml:space="preserve">Who children live with, </w:t>
      </w:r>
      <w:r w:rsidRPr="005F1DE5">
        <w:t>3,021</w:t>
      </w:r>
      <w:r>
        <w:t>.</w:t>
      </w:r>
    </w:p>
    <w:p w:rsidR="0002219B" w:rsidRDefault="0002219B" w:rsidP="009B2351">
      <w:pPr>
        <w:pStyle w:val="Heading3"/>
      </w:pPr>
      <w:r>
        <w:br w:type="page"/>
      </w:r>
      <w:r w:rsidRPr="005F1DE5">
        <w:lastRenderedPageBreak/>
        <w:t>Civil Justice</w:t>
      </w:r>
      <w:r>
        <w:t xml:space="preserve"> Program </w:t>
      </w:r>
    </w:p>
    <w:p w:rsidR="0002219B" w:rsidRPr="00CE68F2" w:rsidRDefault="0002219B" w:rsidP="0002219B">
      <w:r>
        <w:t xml:space="preserve">Our work in civil law aims to contribute to a more inclusive and rights-respecting community. We help people with </w:t>
      </w:r>
      <w:r w:rsidRPr="00CE68F2">
        <w:t>social security, mental health, guardianship and administration, infringements, immigration, tenancy, debt, discrimination, sexual harassment and victims of crime</w:t>
      </w:r>
      <w:r>
        <w:t xml:space="preserve"> issues</w:t>
      </w:r>
      <w:r w:rsidRPr="00CE68F2">
        <w:t xml:space="preserve">. </w:t>
      </w:r>
    </w:p>
    <w:p w:rsidR="0002219B" w:rsidRPr="00393169" w:rsidRDefault="0002219B" w:rsidP="0002219B">
      <w:pPr>
        <w:pStyle w:val="Heading4"/>
      </w:pPr>
      <w:r w:rsidRPr="0047677D">
        <w:t>Clients</w:t>
      </w:r>
      <w:r>
        <w:t xml:space="preserve"> numbers and service outcomes</w:t>
      </w:r>
    </w:p>
    <w:tbl>
      <w:tblPr>
        <w:tblStyle w:val="TableGrid"/>
        <w:tblW w:w="5000" w:type="pct"/>
        <w:tblLook w:val="04A0" w:firstRow="1" w:lastRow="0" w:firstColumn="1" w:lastColumn="0" w:noHBand="0" w:noVBand="1"/>
      </w:tblPr>
      <w:tblGrid>
        <w:gridCol w:w="5664"/>
        <w:gridCol w:w="1560"/>
        <w:gridCol w:w="1717"/>
        <w:gridCol w:w="1135"/>
      </w:tblGrid>
      <w:tr w:rsidR="0002219B" w:rsidRPr="0047677D" w:rsidTr="0002219B">
        <w:trPr>
          <w:tblHeader/>
        </w:trPr>
        <w:tc>
          <w:tcPr>
            <w:tcW w:w="2811" w:type="pct"/>
            <w:shd w:val="clear" w:color="auto" w:fill="D9D9D9" w:themeFill="background1" w:themeFillShade="D9"/>
          </w:tcPr>
          <w:p w:rsidR="0002219B" w:rsidRPr="0047677D" w:rsidRDefault="009B2351" w:rsidP="0002219B">
            <w:pPr>
              <w:rPr>
                <w:b/>
              </w:rPr>
            </w:pPr>
            <w:r>
              <w:rPr>
                <w:b/>
              </w:rPr>
              <w:t>Service</w:t>
            </w:r>
          </w:p>
        </w:tc>
        <w:tc>
          <w:tcPr>
            <w:tcW w:w="774" w:type="pct"/>
            <w:shd w:val="clear" w:color="auto" w:fill="D9D9D9" w:themeFill="background1" w:themeFillShade="D9"/>
          </w:tcPr>
          <w:p w:rsidR="0002219B" w:rsidRPr="0047677D" w:rsidRDefault="0002219B" w:rsidP="009B2351">
            <w:pPr>
              <w:rPr>
                <w:b/>
              </w:rPr>
            </w:pPr>
            <w:r>
              <w:rPr>
                <w:b/>
              </w:rPr>
              <w:t>31 Dec 2016</w:t>
            </w:r>
          </w:p>
        </w:tc>
        <w:tc>
          <w:tcPr>
            <w:tcW w:w="852" w:type="pct"/>
            <w:shd w:val="clear" w:color="auto" w:fill="D9D9D9" w:themeFill="background1" w:themeFillShade="D9"/>
          </w:tcPr>
          <w:p w:rsidR="0002219B" w:rsidRPr="0047677D" w:rsidRDefault="0002219B">
            <w:pPr>
              <w:rPr>
                <w:b/>
              </w:rPr>
            </w:pPr>
            <w:r>
              <w:rPr>
                <w:b/>
              </w:rPr>
              <w:t>31 Dec 2017</w:t>
            </w:r>
          </w:p>
        </w:tc>
        <w:tc>
          <w:tcPr>
            <w:tcW w:w="563" w:type="pct"/>
            <w:shd w:val="clear" w:color="auto" w:fill="D9D9D9" w:themeFill="background1" w:themeFillShade="D9"/>
          </w:tcPr>
          <w:p w:rsidR="0002219B" w:rsidRPr="0047677D" w:rsidRDefault="0002219B">
            <w:pPr>
              <w:rPr>
                <w:b/>
              </w:rPr>
            </w:pPr>
            <w:r w:rsidRPr="0047677D">
              <w:rPr>
                <w:b/>
              </w:rPr>
              <w:t>Variance</w:t>
            </w:r>
          </w:p>
        </w:tc>
      </w:tr>
      <w:tr w:rsidR="0002219B" w:rsidTr="0002219B">
        <w:tc>
          <w:tcPr>
            <w:tcW w:w="2811" w:type="pct"/>
          </w:tcPr>
          <w:p w:rsidR="0002219B" w:rsidRDefault="0002219B" w:rsidP="0002219B">
            <w:r>
              <w:t>Unique clients</w:t>
            </w:r>
          </w:p>
        </w:tc>
        <w:tc>
          <w:tcPr>
            <w:tcW w:w="774" w:type="pct"/>
            <w:vAlign w:val="bottom"/>
          </w:tcPr>
          <w:p w:rsidR="0002219B" w:rsidRDefault="0002219B" w:rsidP="0089729F">
            <w:r>
              <w:t>6,937</w:t>
            </w:r>
          </w:p>
        </w:tc>
        <w:tc>
          <w:tcPr>
            <w:tcW w:w="852" w:type="pct"/>
            <w:vAlign w:val="bottom"/>
          </w:tcPr>
          <w:p w:rsidR="0002219B" w:rsidRDefault="0002219B" w:rsidP="0089729F">
            <w:r>
              <w:t>6,907</w:t>
            </w:r>
          </w:p>
        </w:tc>
        <w:tc>
          <w:tcPr>
            <w:tcW w:w="563" w:type="pct"/>
            <w:vAlign w:val="bottom"/>
          </w:tcPr>
          <w:p w:rsidR="0002219B" w:rsidRDefault="0002219B" w:rsidP="0089729F">
            <w:r>
              <w:t>0%</w:t>
            </w:r>
          </w:p>
        </w:tc>
      </w:tr>
      <w:tr w:rsidR="0002219B" w:rsidTr="0002219B">
        <w:tc>
          <w:tcPr>
            <w:tcW w:w="2811" w:type="pct"/>
          </w:tcPr>
          <w:p w:rsidR="0002219B" w:rsidRDefault="0002219B" w:rsidP="0002219B">
            <w:r w:rsidRPr="00393169">
              <w:t>Independent Mental Health Advocacy, high intensity occasions of servic</w:t>
            </w:r>
            <w:r>
              <w:t xml:space="preserve">e (advocacy and self-advocacy) </w:t>
            </w:r>
          </w:p>
        </w:tc>
        <w:tc>
          <w:tcPr>
            <w:tcW w:w="774" w:type="pct"/>
            <w:vAlign w:val="bottom"/>
          </w:tcPr>
          <w:p w:rsidR="0002219B" w:rsidRPr="007F098D" w:rsidRDefault="0002219B" w:rsidP="0089729F">
            <w:r w:rsidRPr="007F098D">
              <w:t>2</w:t>
            </w:r>
            <w:r>
              <w:t>,</w:t>
            </w:r>
            <w:r w:rsidRPr="007F098D">
              <w:t>601</w:t>
            </w:r>
          </w:p>
        </w:tc>
        <w:tc>
          <w:tcPr>
            <w:tcW w:w="852" w:type="pct"/>
            <w:vAlign w:val="bottom"/>
          </w:tcPr>
          <w:p w:rsidR="0002219B" w:rsidRPr="007F098D" w:rsidRDefault="0002219B" w:rsidP="0089729F">
            <w:r>
              <w:t>3,838</w:t>
            </w:r>
          </w:p>
        </w:tc>
        <w:tc>
          <w:tcPr>
            <w:tcW w:w="563" w:type="pct"/>
            <w:vAlign w:val="bottom"/>
          </w:tcPr>
          <w:p w:rsidR="0002219B" w:rsidRPr="007F098D" w:rsidRDefault="0002219B" w:rsidP="0089729F">
            <w:r>
              <w:t>48%</w:t>
            </w:r>
          </w:p>
        </w:tc>
      </w:tr>
      <w:tr w:rsidR="0002219B" w:rsidTr="0002219B">
        <w:tc>
          <w:tcPr>
            <w:tcW w:w="2811" w:type="pct"/>
          </w:tcPr>
          <w:p w:rsidR="0002219B" w:rsidRDefault="0002219B" w:rsidP="0002219B">
            <w:r w:rsidRPr="00393169">
              <w:t xml:space="preserve">Independent Mental Health Advocacy, </w:t>
            </w:r>
            <w:r>
              <w:t>l</w:t>
            </w:r>
            <w:r w:rsidRPr="00393169">
              <w:t>ow intensity occasions of serv</w:t>
            </w:r>
            <w:r>
              <w:t xml:space="preserve">ice (information and referral) </w:t>
            </w:r>
          </w:p>
        </w:tc>
        <w:tc>
          <w:tcPr>
            <w:tcW w:w="774" w:type="pct"/>
            <w:vAlign w:val="bottom"/>
          </w:tcPr>
          <w:p w:rsidR="0002219B" w:rsidRPr="007F098D" w:rsidRDefault="0002219B" w:rsidP="0089729F">
            <w:pPr>
              <w:rPr>
                <w:sz w:val="18"/>
                <w:szCs w:val="18"/>
              </w:rPr>
            </w:pPr>
            <w:r>
              <w:t>4,313</w:t>
            </w:r>
          </w:p>
        </w:tc>
        <w:tc>
          <w:tcPr>
            <w:tcW w:w="852" w:type="pct"/>
            <w:vAlign w:val="bottom"/>
          </w:tcPr>
          <w:p w:rsidR="0002219B" w:rsidRPr="007F098D" w:rsidRDefault="0002219B" w:rsidP="0089729F">
            <w:r>
              <w:t>7,014</w:t>
            </w:r>
          </w:p>
        </w:tc>
        <w:tc>
          <w:tcPr>
            <w:tcW w:w="563" w:type="pct"/>
            <w:vAlign w:val="bottom"/>
          </w:tcPr>
          <w:p w:rsidR="0002219B" w:rsidRPr="007F098D" w:rsidRDefault="0002219B" w:rsidP="0089729F">
            <w:r>
              <w:t>63%</w:t>
            </w:r>
          </w:p>
        </w:tc>
      </w:tr>
      <w:tr w:rsidR="0002219B" w:rsidTr="0002219B">
        <w:tc>
          <w:tcPr>
            <w:tcW w:w="2811" w:type="pct"/>
          </w:tcPr>
          <w:p w:rsidR="0002219B" w:rsidRDefault="0002219B" w:rsidP="0002219B">
            <w:r w:rsidRPr="00DC1D85">
              <w:t>Referrals to external agencies</w:t>
            </w:r>
          </w:p>
        </w:tc>
        <w:tc>
          <w:tcPr>
            <w:tcW w:w="774" w:type="pct"/>
            <w:vAlign w:val="bottom"/>
          </w:tcPr>
          <w:p w:rsidR="0002219B" w:rsidRPr="00025952" w:rsidRDefault="0002219B" w:rsidP="0089729F">
            <w:r w:rsidRPr="00025952">
              <w:t>41</w:t>
            </w:r>
            <w:r>
              <w:t>,</w:t>
            </w:r>
            <w:r w:rsidRPr="00025952">
              <w:t>698</w:t>
            </w:r>
          </w:p>
        </w:tc>
        <w:tc>
          <w:tcPr>
            <w:tcW w:w="852" w:type="pct"/>
            <w:vAlign w:val="bottom"/>
          </w:tcPr>
          <w:p w:rsidR="0002219B" w:rsidRPr="00680A29" w:rsidRDefault="0002219B" w:rsidP="0089729F">
            <w:r w:rsidRPr="00680A29">
              <w:t>45,364</w:t>
            </w:r>
          </w:p>
        </w:tc>
        <w:tc>
          <w:tcPr>
            <w:tcW w:w="563" w:type="pct"/>
            <w:vAlign w:val="bottom"/>
          </w:tcPr>
          <w:p w:rsidR="0002219B" w:rsidRPr="00680A29" w:rsidRDefault="0002219B" w:rsidP="0089729F">
            <w:r w:rsidRPr="00680A29">
              <w:t>9%</w:t>
            </w:r>
          </w:p>
        </w:tc>
      </w:tr>
      <w:tr w:rsidR="0002219B" w:rsidTr="0002219B">
        <w:tc>
          <w:tcPr>
            <w:tcW w:w="2811" w:type="pct"/>
          </w:tcPr>
          <w:p w:rsidR="0002219B" w:rsidRDefault="0002219B" w:rsidP="0002219B">
            <w:r w:rsidRPr="00DC1D85">
              <w:t>Legal advice, minor assistance and advocacy services</w:t>
            </w:r>
          </w:p>
        </w:tc>
        <w:tc>
          <w:tcPr>
            <w:tcW w:w="774" w:type="pct"/>
            <w:vAlign w:val="bottom"/>
          </w:tcPr>
          <w:p w:rsidR="0002219B" w:rsidRDefault="0002219B" w:rsidP="0089729F">
            <w:r>
              <w:t>7,700</w:t>
            </w:r>
          </w:p>
        </w:tc>
        <w:tc>
          <w:tcPr>
            <w:tcW w:w="852" w:type="pct"/>
            <w:vAlign w:val="bottom"/>
          </w:tcPr>
          <w:p w:rsidR="0002219B" w:rsidRPr="00680A29" w:rsidRDefault="0002219B" w:rsidP="0089729F">
            <w:r w:rsidRPr="00680A29">
              <w:t>7,039</w:t>
            </w:r>
          </w:p>
        </w:tc>
        <w:tc>
          <w:tcPr>
            <w:tcW w:w="563" w:type="pct"/>
            <w:vAlign w:val="bottom"/>
          </w:tcPr>
          <w:p w:rsidR="0002219B" w:rsidRPr="00680A29" w:rsidRDefault="0002219B" w:rsidP="0089729F">
            <w:r>
              <w:t>-9</w:t>
            </w:r>
            <w:r w:rsidRPr="00680A29">
              <w:t>%</w:t>
            </w:r>
          </w:p>
        </w:tc>
      </w:tr>
      <w:tr w:rsidR="0002219B" w:rsidTr="0002219B">
        <w:tc>
          <w:tcPr>
            <w:tcW w:w="2811" w:type="pct"/>
          </w:tcPr>
          <w:p w:rsidR="0002219B" w:rsidRDefault="0002219B" w:rsidP="0002219B">
            <w:r>
              <w:t>Duty</w:t>
            </w:r>
            <w:r w:rsidRPr="00DC1D85">
              <w:t xml:space="preserve"> lawyer services</w:t>
            </w:r>
          </w:p>
        </w:tc>
        <w:tc>
          <w:tcPr>
            <w:tcW w:w="774" w:type="pct"/>
            <w:vAlign w:val="bottom"/>
          </w:tcPr>
          <w:p w:rsidR="0002219B" w:rsidRDefault="0002219B" w:rsidP="0089729F">
            <w:r>
              <w:t>2,809</w:t>
            </w:r>
          </w:p>
        </w:tc>
        <w:tc>
          <w:tcPr>
            <w:tcW w:w="852" w:type="pct"/>
            <w:vAlign w:val="bottom"/>
          </w:tcPr>
          <w:p w:rsidR="0002219B" w:rsidRPr="00680A29" w:rsidRDefault="0002219B" w:rsidP="0089729F">
            <w:r w:rsidRPr="00680A29">
              <w:t>2,946</w:t>
            </w:r>
          </w:p>
        </w:tc>
        <w:tc>
          <w:tcPr>
            <w:tcW w:w="563" w:type="pct"/>
            <w:vAlign w:val="bottom"/>
          </w:tcPr>
          <w:p w:rsidR="0002219B" w:rsidRPr="00680A29" w:rsidRDefault="0002219B" w:rsidP="0089729F">
            <w:r>
              <w:t>5</w:t>
            </w:r>
            <w:r w:rsidRPr="00680A29">
              <w:t>%</w:t>
            </w:r>
          </w:p>
        </w:tc>
      </w:tr>
      <w:tr w:rsidR="0002219B" w:rsidTr="0002219B">
        <w:tc>
          <w:tcPr>
            <w:tcW w:w="2811" w:type="pct"/>
          </w:tcPr>
          <w:p w:rsidR="0002219B" w:rsidRDefault="0002219B" w:rsidP="0002219B">
            <w:r w:rsidRPr="00DC1D85">
              <w:t>Grants of legal assistance</w:t>
            </w:r>
          </w:p>
        </w:tc>
        <w:tc>
          <w:tcPr>
            <w:tcW w:w="774" w:type="pct"/>
            <w:vAlign w:val="bottom"/>
          </w:tcPr>
          <w:p w:rsidR="0002219B" w:rsidRDefault="0002219B" w:rsidP="0089729F">
            <w:r>
              <w:t>563</w:t>
            </w:r>
          </w:p>
        </w:tc>
        <w:tc>
          <w:tcPr>
            <w:tcW w:w="852" w:type="pct"/>
            <w:vAlign w:val="bottom"/>
          </w:tcPr>
          <w:p w:rsidR="0002219B" w:rsidRPr="00680A29" w:rsidRDefault="0002219B" w:rsidP="0089729F">
            <w:r w:rsidRPr="00680A29">
              <w:t>568</w:t>
            </w:r>
          </w:p>
        </w:tc>
        <w:tc>
          <w:tcPr>
            <w:tcW w:w="563" w:type="pct"/>
            <w:vAlign w:val="bottom"/>
          </w:tcPr>
          <w:p w:rsidR="0002219B" w:rsidRPr="00680A29" w:rsidRDefault="0002219B" w:rsidP="0089729F">
            <w:r>
              <w:t>1</w:t>
            </w:r>
            <w:r w:rsidRPr="00680A29">
              <w:t>%</w:t>
            </w:r>
          </w:p>
        </w:tc>
      </w:tr>
    </w:tbl>
    <w:p w:rsidR="0002219B" w:rsidRPr="00CE68F2" w:rsidRDefault="0002219B" w:rsidP="0002219B">
      <w:r>
        <w:t>Because we can’t assist everyone,</w:t>
      </w:r>
      <w:r w:rsidRPr="00CE68F2">
        <w:t xml:space="preserve"> </w:t>
      </w:r>
      <w:r>
        <w:t xml:space="preserve">we use our experience working with individuals to reform systems so that they work in a fairer way. </w:t>
      </w:r>
      <w:r w:rsidRPr="00CE68F2">
        <w:t>For example, we push</w:t>
      </w:r>
      <w:r>
        <w:t>ed</w:t>
      </w:r>
      <w:r w:rsidRPr="00CE68F2">
        <w:t xml:space="preserve"> for </w:t>
      </w:r>
      <w:r>
        <w:t>fairer</w:t>
      </w:r>
      <w:r w:rsidRPr="00CE68F2">
        <w:t xml:space="preserve"> tenancy laws </w:t>
      </w:r>
      <w:r>
        <w:t xml:space="preserve">and </w:t>
      </w:r>
      <w:r w:rsidRPr="00CE68F2">
        <w:t xml:space="preserve">safer housing for Victorians, and raised awareness of the need for a </w:t>
      </w:r>
      <w:r>
        <w:t xml:space="preserve">true </w:t>
      </w:r>
      <w:r w:rsidRPr="00CE68F2">
        <w:t>safety net for National Disability Insurance Scheme participants</w:t>
      </w:r>
      <w:r>
        <w:t>.</w:t>
      </w:r>
      <w:r w:rsidRPr="00CE68F2">
        <w:t xml:space="preserve"> We also ran important test cases to clarify laws relating to the administration of electroconvulsive treatment against a person’s will.</w:t>
      </w:r>
    </w:p>
    <w:p w:rsidR="0002219B" w:rsidRPr="00CE68F2" w:rsidRDefault="0002219B" w:rsidP="0002219B">
      <w:r w:rsidRPr="00CE68F2">
        <w:t>We brought together a range of stakeholders to discuss solutions to the increasing burden that toll road infringements have on communities, the courts and the justice system</w:t>
      </w:r>
      <w:r>
        <w:t xml:space="preserve"> and campaigned </w:t>
      </w:r>
      <w:r w:rsidRPr="00CE68F2">
        <w:t xml:space="preserve">to reduce reliance on the infringements system to enforce tolls.  </w:t>
      </w:r>
    </w:p>
    <w:p w:rsidR="0002219B" w:rsidRDefault="0002219B" w:rsidP="0002219B">
      <w:r w:rsidRPr="00CE68F2">
        <w:t xml:space="preserve">Our Independent Mental Health Advocacy service </w:t>
      </w:r>
      <w:r>
        <w:t xml:space="preserve">continues to deliver more and better services. Consumers who have used the IHMA service are now also encouraging other consumers to contact our service. Rates of representation by lawyers before the Mental Health Tribunal fell, reflecting a revaluation of staffing capacity and rosters across the Mental Health and Disability Law program.  </w:t>
      </w:r>
    </w:p>
    <w:p w:rsidR="0002219B" w:rsidRDefault="0002219B" w:rsidP="0002219B">
      <w:r>
        <w:t xml:space="preserve">Our work in Migration continued its shift towards fewer, more targeted </w:t>
      </w:r>
      <w:r w:rsidRPr="00CE68F2">
        <w:t>advice</w:t>
      </w:r>
      <w:r>
        <w:t xml:space="preserve"> sessions</w:t>
      </w:r>
      <w:r w:rsidRPr="00CE68F2">
        <w:t xml:space="preserve">, </w:t>
      </w:r>
      <w:r>
        <w:t xml:space="preserve">including </w:t>
      </w:r>
      <w:r w:rsidRPr="00CE68F2">
        <w:t xml:space="preserve">in prisons, </w:t>
      </w:r>
      <w:r>
        <w:t xml:space="preserve">and an increase in legal challenges before courts, so that when helping individuals we are also clarifying new laws and procedures. </w:t>
      </w:r>
    </w:p>
    <w:p w:rsidR="0002219B" w:rsidRDefault="0002219B" w:rsidP="009B2351">
      <w:pPr>
        <w:pStyle w:val="Heading3"/>
      </w:pPr>
      <w:r>
        <w:br w:type="page"/>
      </w:r>
      <w:r w:rsidRPr="005F1DE5">
        <w:lastRenderedPageBreak/>
        <w:t>Civil Justice</w:t>
      </w:r>
      <w:r>
        <w:t xml:space="preserve"> Program performance </w:t>
      </w:r>
    </w:p>
    <w:p w:rsidR="0002219B" w:rsidRDefault="0002219B" w:rsidP="0002219B">
      <w:pPr>
        <w:pStyle w:val="Heading5"/>
      </w:pPr>
      <w:r>
        <w:t xml:space="preserve">Commonwealth Entitlements </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819"/>
        <w:gridCol w:w="1960"/>
        <w:gridCol w:w="2254"/>
        <w:gridCol w:w="2043"/>
      </w:tblGrid>
      <w:tr w:rsidR="0002219B" w:rsidRPr="00E76BA9" w:rsidTr="0002219B">
        <w:trPr>
          <w:cnfStyle w:val="100000000000" w:firstRow="1" w:lastRow="0" w:firstColumn="0" w:lastColumn="0" w:oddVBand="0" w:evenVBand="0" w:oddHBand="0" w:evenHBand="0" w:firstRowFirstColumn="0" w:firstRowLastColumn="0" w:lastRowFirstColumn="0" w:lastRowLastColumn="0"/>
        </w:trPr>
        <w:tc>
          <w:tcPr>
            <w:tcW w:w="3819" w:type="dxa"/>
            <w:shd w:val="clear" w:color="auto" w:fill="BFBFBF" w:themeFill="background1" w:themeFillShade="BF"/>
          </w:tcPr>
          <w:p w:rsidR="0002219B" w:rsidRPr="003C6849" w:rsidRDefault="006C4164" w:rsidP="0002219B">
            <w:pPr>
              <w:rPr>
                <w:b/>
                <w:color w:val="000000" w:themeColor="text1"/>
              </w:rPr>
            </w:pPr>
            <w:r>
              <w:rPr>
                <w:b/>
                <w:color w:val="000000" w:themeColor="text1"/>
              </w:rPr>
              <w:t>Service</w:t>
            </w:r>
          </w:p>
        </w:tc>
        <w:tc>
          <w:tcPr>
            <w:tcW w:w="1960"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2016</w:t>
            </w:r>
          </w:p>
        </w:tc>
        <w:tc>
          <w:tcPr>
            <w:tcW w:w="2254"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2017</w:t>
            </w:r>
          </w:p>
        </w:tc>
        <w:tc>
          <w:tcPr>
            <w:tcW w:w="2043"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Variance</w:t>
            </w:r>
          </w:p>
        </w:tc>
      </w:tr>
      <w:tr w:rsidR="0002219B" w:rsidRPr="00E76BA9" w:rsidTr="0002219B">
        <w:trPr>
          <w:cnfStyle w:val="000000100000" w:firstRow="0" w:lastRow="0" w:firstColumn="0" w:lastColumn="0" w:oddVBand="0" w:evenVBand="0" w:oddHBand="1" w:evenHBand="0" w:firstRowFirstColumn="0" w:firstRowLastColumn="0" w:lastRowFirstColumn="0" w:lastRowLastColumn="0"/>
        </w:trPr>
        <w:tc>
          <w:tcPr>
            <w:tcW w:w="3819" w:type="dxa"/>
          </w:tcPr>
          <w:p w:rsidR="0002219B" w:rsidRPr="00E76BA9" w:rsidRDefault="0002219B" w:rsidP="0002219B">
            <w:r>
              <w:t xml:space="preserve">Grants of legal assistance   </w:t>
            </w:r>
          </w:p>
        </w:tc>
        <w:tc>
          <w:tcPr>
            <w:tcW w:w="1960" w:type="dxa"/>
          </w:tcPr>
          <w:p w:rsidR="0002219B" w:rsidRPr="003410EE" w:rsidRDefault="0002219B" w:rsidP="0089729F">
            <w:r>
              <w:t>51</w:t>
            </w:r>
          </w:p>
        </w:tc>
        <w:tc>
          <w:tcPr>
            <w:tcW w:w="2254" w:type="dxa"/>
          </w:tcPr>
          <w:p w:rsidR="0002219B" w:rsidRPr="003410EE" w:rsidRDefault="0002219B" w:rsidP="0089729F">
            <w:r>
              <w:t>54</w:t>
            </w:r>
          </w:p>
        </w:tc>
        <w:tc>
          <w:tcPr>
            <w:tcW w:w="2043" w:type="dxa"/>
          </w:tcPr>
          <w:p w:rsidR="0002219B" w:rsidRPr="003410EE" w:rsidRDefault="0002219B" w:rsidP="0089729F">
            <w:r>
              <w:t>6%</w:t>
            </w:r>
          </w:p>
        </w:tc>
      </w:tr>
      <w:tr w:rsidR="0002219B" w:rsidRPr="00E76BA9" w:rsidTr="0002219B">
        <w:trPr>
          <w:cnfStyle w:val="000000010000" w:firstRow="0" w:lastRow="0" w:firstColumn="0" w:lastColumn="0" w:oddVBand="0" w:evenVBand="0" w:oddHBand="0" w:evenHBand="1" w:firstRowFirstColumn="0" w:firstRowLastColumn="0" w:lastRowFirstColumn="0" w:lastRowLastColumn="0"/>
        </w:trPr>
        <w:tc>
          <w:tcPr>
            <w:tcW w:w="3819" w:type="dxa"/>
          </w:tcPr>
          <w:p w:rsidR="0002219B" w:rsidRPr="00E76BA9" w:rsidRDefault="0002219B" w:rsidP="0002219B">
            <w:r>
              <w:t xml:space="preserve">Legal advice </w:t>
            </w:r>
          </w:p>
        </w:tc>
        <w:tc>
          <w:tcPr>
            <w:tcW w:w="1960" w:type="dxa"/>
          </w:tcPr>
          <w:p w:rsidR="0002219B" w:rsidRPr="008708CC" w:rsidRDefault="0002219B" w:rsidP="0089729F">
            <w:r>
              <w:t>1,106</w:t>
            </w:r>
          </w:p>
        </w:tc>
        <w:tc>
          <w:tcPr>
            <w:tcW w:w="2254" w:type="dxa"/>
          </w:tcPr>
          <w:p w:rsidR="0002219B" w:rsidRPr="008708CC" w:rsidRDefault="0002219B" w:rsidP="0089729F">
            <w:r>
              <w:t>1,024</w:t>
            </w:r>
          </w:p>
        </w:tc>
        <w:tc>
          <w:tcPr>
            <w:tcW w:w="2043" w:type="dxa"/>
          </w:tcPr>
          <w:p w:rsidR="0002219B" w:rsidRPr="008708CC" w:rsidRDefault="0002219B" w:rsidP="0089729F">
            <w:r>
              <w:t>-7%</w:t>
            </w:r>
          </w:p>
        </w:tc>
      </w:tr>
    </w:tbl>
    <w:p w:rsidR="0002219B" w:rsidRDefault="0002219B" w:rsidP="0002219B">
      <w:pPr>
        <w:pStyle w:val="Heading5"/>
      </w:pPr>
      <w:r>
        <w:t xml:space="preserve">Equality Law  </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819"/>
        <w:gridCol w:w="1960"/>
        <w:gridCol w:w="2254"/>
        <w:gridCol w:w="2043"/>
      </w:tblGrid>
      <w:tr w:rsidR="0002219B" w:rsidRPr="00E76BA9" w:rsidTr="0002219B">
        <w:trPr>
          <w:cnfStyle w:val="100000000000" w:firstRow="1" w:lastRow="0" w:firstColumn="0" w:lastColumn="0" w:oddVBand="0" w:evenVBand="0" w:oddHBand="0" w:evenHBand="0" w:firstRowFirstColumn="0" w:firstRowLastColumn="0" w:lastRowFirstColumn="0" w:lastRowLastColumn="0"/>
        </w:trPr>
        <w:tc>
          <w:tcPr>
            <w:tcW w:w="3819" w:type="dxa"/>
            <w:shd w:val="clear" w:color="auto" w:fill="BFBFBF" w:themeFill="background1" w:themeFillShade="BF"/>
          </w:tcPr>
          <w:p w:rsidR="0002219B" w:rsidRPr="003C6849" w:rsidRDefault="006C4164" w:rsidP="0002219B">
            <w:pPr>
              <w:rPr>
                <w:b/>
                <w:color w:val="000000" w:themeColor="text1"/>
              </w:rPr>
            </w:pPr>
            <w:r>
              <w:rPr>
                <w:b/>
                <w:color w:val="000000" w:themeColor="text1"/>
              </w:rPr>
              <w:t>Service</w:t>
            </w:r>
          </w:p>
        </w:tc>
        <w:tc>
          <w:tcPr>
            <w:tcW w:w="1960"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2016</w:t>
            </w:r>
          </w:p>
        </w:tc>
        <w:tc>
          <w:tcPr>
            <w:tcW w:w="2254"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2017</w:t>
            </w:r>
          </w:p>
        </w:tc>
        <w:tc>
          <w:tcPr>
            <w:tcW w:w="2043"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Variance</w:t>
            </w:r>
          </w:p>
        </w:tc>
      </w:tr>
      <w:tr w:rsidR="0002219B" w:rsidRPr="00E76BA9" w:rsidTr="0002219B">
        <w:trPr>
          <w:cnfStyle w:val="000000100000" w:firstRow="0" w:lastRow="0" w:firstColumn="0" w:lastColumn="0" w:oddVBand="0" w:evenVBand="0" w:oddHBand="1" w:evenHBand="0" w:firstRowFirstColumn="0" w:firstRowLastColumn="0" w:lastRowFirstColumn="0" w:lastRowLastColumn="0"/>
        </w:trPr>
        <w:tc>
          <w:tcPr>
            <w:tcW w:w="3819" w:type="dxa"/>
          </w:tcPr>
          <w:p w:rsidR="0002219B" w:rsidRPr="00E76BA9" w:rsidRDefault="0002219B" w:rsidP="0002219B">
            <w:r>
              <w:t xml:space="preserve">Unique clients  </w:t>
            </w:r>
          </w:p>
        </w:tc>
        <w:tc>
          <w:tcPr>
            <w:tcW w:w="1960" w:type="dxa"/>
          </w:tcPr>
          <w:p w:rsidR="0002219B" w:rsidRPr="00C642F4" w:rsidRDefault="0002219B" w:rsidP="0089729F">
            <w:r w:rsidRPr="00C642F4">
              <w:t>486</w:t>
            </w:r>
          </w:p>
        </w:tc>
        <w:tc>
          <w:tcPr>
            <w:tcW w:w="2254" w:type="dxa"/>
          </w:tcPr>
          <w:p w:rsidR="0002219B" w:rsidRPr="00C642F4" w:rsidRDefault="0002219B" w:rsidP="0089729F">
            <w:r w:rsidRPr="00C642F4">
              <w:t>504</w:t>
            </w:r>
          </w:p>
        </w:tc>
        <w:tc>
          <w:tcPr>
            <w:tcW w:w="2043" w:type="dxa"/>
          </w:tcPr>
          <w:p w:rsidR="0002219B" w:rsidRPr="00C642F4" w:rsidRDefault="0002219B" w:rsidP="0089729F">
            <w:r>
              <w:t>4</w:t>
            </w:r>
            <w:r w:rsidRPr="00C642F4">
              <w:t>%</w:t>
            </w:r>
          </w:p>
        </w:tc>
      </w:tr>
      <w:tr w:rsidR="0002219B" w:rsidRPr="00E76BA9" w:rsidTr="0002219B">
        <w:trPr>
          <w:cnfStyle w:val="000000010000" w:firstRow="0" w:lastRow="0" w:firstColumn="0" w:lastColumn="0" w:oddVBand="0" w:evenVBand="0" w:oddHBand="0" w:evenHBand="1" w:firstRowFirstColumn="0" w:firstRowLastColumn="0" w:lastRowFirstColumn="0" w:lastRowLastColumn="0"/>
        </w:trPr>
        <w:tc>
          <w:tcPr>
            <w:tcW w:w="3819" w:type="dxa"/>
          </w:tcPr>
          <w:p w:rsidR="0002219B" w:rsidRPr="00E76BA9" w:rsidRDefault="0002219B" w:rsidP="0002219B">
            <w:r>
              <w:t xml:space="preserve">Legal advice </w:t>
            </w:r>
          </w:p>
        </w:tc>
        <w:tc>
          <w:tcPr>
            <w:tcW w:w="1960" w:type="dxa"/>
          </w:tcPr>
          <w:p w:rsidR="0002219B" w:rsidRPr="00C642F4" w:rsidRDefault="0002219B" w:rsidP="0089729F">
            <w:r w:rsidRPr="00C642F4">
              <w:rPr>
                <w:bCs/>
              </w:rPr>
              <w:t>857</w:t>
            </w:r>
          </w:p>
        </w:tc>
        <w:tc>
          <w:tcPr>
            <w:tcW w:w="2254" w:type="dxa"/>
          </w:tcPr>
          <w:p w:rsidR="0002219B" w:rsidRPr="00C642F4" w:rsidRDefault="0002219B" w:rsidP="0089729F">
            <w:r w:rsidRPr="00C642F4">
              <w:rPr>
                <w:bCs/>
              </w:rPr>
              <w:t>876</w:t>
            </w:r>
          </w:p>
        </w:tc>
        <w:tc>
          <w:tcPr>
            <w:tcW w:w="2043" w:type="dxa"/>
          </w:tcPr>
          <w:p w:rsidR="0002219B" w:rsidRPr="00C642F4" w:rsidRDefault="0002219B" w:rsidP="0089729F">
            <w:r w:rsidRPr="00C642F4">
              <w:rPr>
                <w:bCs/>
              </w:rPr>
              <w:t>2%</w:t>
            </w:r>
          </w:p>
        </w:tc>
      </w:tr>
    </w:tbl>
    <w:p w:rsidR="0002219B" w:rsidRDefault="0002219B" w:rsidP="0002219B">
      <w:pPr>
        <w:pStyle w:val="Heading5"/>
      </w:pPr>
      <w:r w:rsidRPr="003410EE">
        <w:t>Mental Health and Disability Advocacy</w:t>
      </w:r>
      <w:r>
        <w:t xml:space="preserv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792"/>
        <w:gridCol w:w="1957"/>
        <w:gridCol w:w="2231"/>
        <w:gridCol w:w="2096"/>
      </w:tblGrid>
      <w:tr w:rsidR="0002219B" w:rsidRPr="00E76BA9" w:rsidTr="0002219B">
        <w:trPr>
          <w:cnfStyle w:val="100000000000" w:firstRow="1" w:lastRow="0" w:firstColumn="0" w:lastColumn="0" w:oddVBand="0" w:evenVBand="0" w:oddHBand="0" w:evenHBand="0" w:firstRowFirstColumn="0" w:firstRowLastColumn="0" w:lastRowFirstColumn="0" w:lastRowLastColumn="0"/>
          <w:cantSplit w:val="0"/>
          <w:trHeight w:val="415"/>
        </w:trPr>
        <w:tc>
          <w:tcPr>
            <w:tcW w:w="3794" w:type="dxa"/>
            <w:shd w:val="clear" w:color="auto" w:fill="BFBFBF" w:themeFill="background1" w:themeFillShade="BF"/>
          </w:tcPr>
          <w:p w:rsidR="0002219B" w:rsidRPr="003C6849" w:rsidRDefault="006C4164" w:rsidP="0002219B">
            <w:pPr>
              <w:rPr>
                <w:b/>
                <w:color w:val="000000" w:themeColor="text1"/>
              </w:rPr>
            </w:pPr>
            <w:r>
              <w:rPr>
                <w:b/>
                <w:color w:val="000000" w:themeColor="text1"/>
              </w:rPr>
              <w:t>Service</w:t>
            </w:r>
          </w:p>
        </w:tc>
        <w:tc>
          <w:tcPr>
            <w:tcW w:w="1958"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2016</w:t>
            </w:r>
          </w:p>
        </w:tc>
        <w:tc>
          <w:tcPr>
            <w:tcW w:w="2232"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2017</w:t>
            </w:r>
          </w:p>
        </w:tc>
        <w:tc>
          <w:tcPr>
            <w:tcW w:w="2097"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Variance</w:t>
            </w:r>
          </w:p>
        </w:tc>
      </w:tr>
      <w:tr w:rsidR="0002219B" w:rsidRPr="00E76BA9" w:rsidTr="0002219B">
        <w:trPr>
          <w:cnfStyle w:val="000000100000" w:firstRow="0" w:lastRow="0" w:firstColumn="0" w:lastColumn="0" w:oddVBand="0" w:evenVBand="0" w:oddHBand="1" w:evenHBand="0" w:firstRowFirstColumn="0" w:firstRowLastColumn="0" w:lastRowFirstColumn="0" w:lastRowLastColumn="0"/>
        </w:trPr>
        <w:tc>
          <w:tcPr>
            <w:tcW w:w="3794" w:type="dxa"/>
          </w:tcPr>
          <w:p w:rsidR="0002219B" w:rsidRDefault="0002219B" w:rsidP="0002219B">
            <w:r w:rsidRPr="00A108F8">
              <w:t>Number of clients represented</w:t>
            </w:r>
            <w:r>
              <w:t xml:space="preserve"> before the Mental Health Tribunal </w:t>
            </w:r>
          </w:p>
        </w:tc>
        <w:tc>
          <w:tcPr>
            <w:tcW w:w="1958" w:type="dxa"/>
          </w:tcPr>
          <w:p w:rsidR="0002219B" w:rsidRDefault="0002219B" w:rsidP="0089729F">
            <w:r w:rsidRPr="00CE68F2">
              <w:t>628</w:t>
            </w:r>
          </w:p>
        </w:tc>
        <w:tc>
          <w:tcPr>
            <w:tcW w:w="2232" w:type="dxa"/>
          </w:tcPr>
          <w:p w:rsidR="0002219B" w:rsidRDefault="0002219B" w:rsidP="0089729F">
            <w:r w:rsidRPr="00CE68F2">
              <w:t>491</w:t>
            </w:r>
          </w:p>
        </w:tc>
        <w:tc>
          <w:tcPr>
            <w:tcW w:w="2097" w:type="dxa"/>
          </w:tcPr>
          <w:p w:rsidR="0002219B" w:rsidRDefault="0002219B" w:rsidP="0089729F">
            <w:r w:rsidRPr="00CE68F2">
              <w:t>-2</w:t>
            </w:r>
            <w:r>
              <w:t>8</w:t>
            </w:r>
            <w:r w:rsidRPr="00CE68F2">
              <w:t>%</w:t>
            </w:r>
          </w:p>
        </w:tc>
      </w:tr>
      <w:tr w:rsidR="0002219B" w:rsidRPr="00E76BA9" w:rsidTr="0002219B">
        <w:trPr>
          <w:cnfStyle w:val="000000010000" w:firstRow="0" w:lastRow="0" w:firstColumn="0" w:lastColumn="0" w:oddVBand="0" w:evenVBand="0" w:oddHBand="0" w:evenHBand="1" w:firstRowFirstColumn="0" w:firstRowLastColumn="0" w:lastRowFirstColumn="0" w:lastRowLastColumn="0"/>
        </w:trPr>
        <w:tc>
          <w:tcPr>
            <w:tcW w:w="3794" w:type="dxa"/>
          </w:tcPr>
          <w:p w:rsidR="0002219B" w:rsidRPr="00E76BA9" w:rsidRDefault="0002219B" w:rsidP="0002219B">
            <w:r>
              <w:t xml:space="preserve">Legal advice </w:t>
            </w:r>
          </w:p>
        </w:tc>
        <w:tc>
          <w:tcPr>
            <w:tcW w:w="1958" w:type="dxa"/>
          </w:tcPr>
          <w:p w:rsidR="0002219B" w:rsidRPr="008708CC" w:rsidRDefault="0002219B" w:rsidP="0089729F">
            <w:r>
              <w:t>2,189</w:t>
            </w:r>
          </w:p>
        </w:tc>
        <w:tc>
          <w:tcPr>
            <w:tcW w:w="2232" w:type="dxa"/>
          </w:tcPr>
          <w:p w:rsidR="0002219B" w:rsidRPr="008708CC" w:rsidRDefault="0002219B" w:rsidP="0089729F">
            <w:r>
              <w:t>1,887</w:t>
            </w:r>
          </w:p>
        </w:tc>
        <w:tc>
          <w:tcPr>
            <w:tcW w:w="2097" w:type="dxa"/>
          </w:tcPr>
          <w:p w:rsidR="0002219B" w:rsidRPr="008708CC" w:rsidRDefault="0002219B" w:rsidP="0089729F">
            <w:r>
              <w:t>-14%</w:t>
            </w:r>
          </w:p>
        </w:tc>
      </w:tr>
    </w:tbl>
    <w:p w:rsidR="0002219B" w:rsidRDefault="0002219B" w:rsidP="0002219B">
      <w:pPr>
        <w:pStyle w:val="Heading5"/>
      </w:pPr>
      <w:r>
        <w:t xml:space="preserve">Migration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787"/>
        <w:gridCol w:w="1955"/>
        <w:gridCol w:w="2230"/>
        <w:gridCol w:w="2104"/>
      </w:tblGrid>
      <w:tr w:rsidR="0002219B" w:rsidRPr="00E76BA9" w:rsidTr="0002219B">
        <w:trPr>
          <w:cnfStyle w:val="100000000000" w:firstRow="1" w:lastRow="0" w:firstColumn="0" w:lastColumn="0" w:oddVBand="0" w:evenVBand="0" w:oddHBand="0" w:evenHBand="0" w:firstRowFirstColumn="0" w:firstRowLastColumn="0" w:lastRowFirstColumn="0" w:lastRowLastColumn="0"/>
          <w:cantSplit w:val="0"/>
          <w:trHeight w:val="375"/>
        </w:trPr>
        <w:tc>
          <w:tcPr>
            <w:tcW w:w="3795" w:type="dxa"/>
            <w:shd w:val="clear" w:color="auto" w:fill="BFBFBF" w:themeFill="background1" w:themeFillShade="BF"/>
          </w:tcPr>
          <w:p w:rsidR="0002219B" w:rsidRPr="003C6849" w:rsidRDefault="006C4164" w:rsidP="0002219B">
            <w:pPr>
              <w:rPr>
                <w:b/>
                <w:color w:val="000000" w:themeColor="text1"/>
              </w:rPr>
            </w:pPr>
            <w:r>
              <w:rPr>
                <w:b/>
                <w:color w:val="000000" w:themeColor="text1"/>
              </w:rPr>
              <w:t>Service</w:t>
            </w:r>
          </w:p>
        </w:tc>
        <w:tc>
          <w:tcPr>
            <w:tcW w:w="1960"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2016</w:t>
            </w:r>
          </w:p>
        </w:tc>
        <w:tc>
          <w:tcPr>
            <w:tcW w:w="2236"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2017</w:t>
            </w:r>
          </w:p>
        </w:tc>
        <w:tc>
          <w:tcPr>
            <w:tcW w:w="2108"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Variance</w:t>
            </w:r>
          </w:p>
        </w:tc>
      </w:tr>
      <w:tr w:rsidR="0002219B" w:rsidRPr="00E76BA9" w:rsidTr="0002219B">
        <w:trPr>
          <w:cnfStyle w:val="000000100000" w:firstRow="0" w:lastRow="0" w:firstColumn="0" w:lastColumn="0" w:oddVBand="0" w:evenVBand="0" w:oddHBand="1" w:evenHBand="0" w:firstRowFirstColumn="0" w:firstRowLastColumn="0" w:lastRowFirstColumn="0" w:lastRowLastColumn="0"/>
          <w:trHeight w:val="375"/>
        </w:trPr>
        <w:tc>
          <w:tcPr>
            <w:tcW w:w="3795" w:type="dxa"/>
          </w:tcPr>
          <w:p w:rsidR="0002219B" w:rsidRPr="00E76BA9" w:rsidRDefault="0002219B" w:rsidP="0002219B">
            <w:r>
              <w:t xml:space="preserve">Grants of legal assistance   </w:t>
            </w:r>
          </w:p>
        </w:tc>
        <w:tc>
          <w:tcPr>
            <w:tcW w:w="1960" w:type="dxa"/>
          </w:tcPr>
          <w:p w:rsidR="0002219B" w:rsidRPr="003410EE" w:rsidRDefault="0002219B" w:rsidP="0089729F">
            <w:r>
              <w:t>34</w:t>
            </w:r>
          </w:p>
        </w:tc>
        <w:tc>
          <w:tcPr>
            <w:tcW w:w="2236" w:type="dxa"/>
          </w:tcPr>
          <w:p w:rsidR="0002219B" w:rsidRPr="003410EE" w:rsidRDefault="0002219B" w:rsidP="0089729F">
            <w:r>
              <w:t>58</w:t>
            </w:r>
          </w:p>
        </w:tc>
        <w:tc>
          <w:tcPr>
            <w:tcW w:w="2108" w:type="dxa"/>
          </w:tcPr>
          <w:p w:rsidR="0002219B" w:rsidRPr="003410EE" w:rsidRDefault="0002219B" w:rsidP="0089729F">
            <w:r>
              <w:t>71%</w:t>
            </w:r>
          </w:p>
        </w:tc>
      </w:tr>
      <w:tr w:rsidR="0002219B" w:rsidRPr="00E76BA9" w:rsidTr="0002219B">
        <w:trPr>
          <w:cnfStyle w:val="000000010000" w:firstRow="0" w:lastRow="0" w:firstColumn="0" w:lastColumn="0" w:oddVBand="0" w:evenVBand="0" w:oddHBand="0" w:evenHBand="1" w:firstRowFirstColumn="0" w:firstRowLastColumn="0" w:lastRowFirstColumn="0" w:lastRowLastColumn="0"/>
          <w:trHeight w:val="375"/>
        </w:trPr>
        <w:tc>
          <w:tcPr>
            <w:tcW w:w="3795" w:type="dxa"/>
          </w:tcPr>
          <w:p w:rsidR="0002219B" w:rsidRPr="00E76BA9" w:rsidRDefault="0002219B" w:rsidP="0002219B">
            <w:r>
              <w:t xml:space="preserve">Legal advice </w:t>
            </w:r>
          </w:p>
        </w:tc>
        <w:tc>
          <w:tcPr>
            <w:tcW w:w="1960" w:type="dxa"/>
          </w:tcPr>
          <w:p w:rsidR="0002219B" w:rsidRPr="00C92515" w:rsidRDefault="0002219B" w:rsidP="0089729F">
            <w:r>
              <w:t>665</w:t>
            </w:r>
          </w:p>
        </w:tc>
        <w:tc>
          <w:tcPr>
            <w:tcW w:w="2236" w:type="dxa"/>
          </w:tcPr>
          <w:p w:rsidR="0002219B" w:rsidRPr="00C92515" w:rsidRDefault="0002219B" w:rsidP="0089729F">
            <w:r>
              <w:t>514</w:t>
            </w:r>
          </w:p>
        </w:tc>
        <w:tc>
          <w:tcPr>
            <w:tcW w:w="2108" w:type="dxa"/>
          </w:tcPr>
          <w:p w:rsidR="0002219B" w:rsidRPr="00C92515" w:rsidRDefault="0002219B" w:rsidP="0089729F">
            <w:r>
              <w:t>-23%</w:t>
            </w:r>
          </w:p>
        </w:tc>
      </w:tr>
    </w:tbl>
    <w:p w:rsidR="0002219B" w:rsidRDefault="0002219B" w:rsidP="0002219B">
      <w:pPr>
        <w:pStyle w:val="Heading5"/>
      </w:pPr>
      <w:r>
        <w:t>Social inclusion</w:t>
      </w:r>
      <w:r>
        <w:br/>
      </w:r>
      <w:r w:rsidRPr="00901866">
        <w:rPr>
          <w:b w:val="0"/>
        </w:rPr>
        <w:t xml:space="preserve">(Including problems relating to </w:t>
      </w:r>
      <w:r>
        <w:rPr>
          <w:b w:val="0"/>
        </w:rPr>
        <w:t>debt, tenancy, infringements and coronial investigations and inquires</w:t>
      </w:r>
      <w:r w:rsidRPr="00901866">
        <w:rPr>
          <w:b w:val="0"/>
        </w:rPr>
        <w: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777"/>
        <w:gridCol w:w="1959"/>
        <w:gridCol w:w="2234"/>
        <w:gridCol w:w="2106"/>
      </w:tblGrid>
      <w:tr w:rsidR="0002219B" w:rsidRPr="00E76BA9" w:rsidTr="0002219B">
        <w:trPr>
          <w:cnfStyle w:val="100000000000" w:firstRow="1" w:lastRow="0" w:firstColumn="0" w:lastColumn="0" w:oddVBand="0" w:evenVBand="0" w:oddHBand="0" w:evenHBand="0" w:firstRowFirstColumn="0" w:firstRowLastColumn="0" w:lastRowFirstColumn="0" w:lastRowLastColumn="0"/>
          <w:cantSplit w:val="0"/>
          <w:trHeight w:val="419"/>
        </w:trPr>
        <w:tc>
          <w:tcPr>
            <w:tcW w:w="3645" w:type="dxa"/>
            <w:shd w:val="clear" w:color="auto" w:fill="BFBFBF" w:themeFill="background1" w:themeFillShade="BF"/>
          </w:tcPr>
          <w:p w:rsidR="0002219B" w:rsidRPr="003C6849" w:rsidRDefault="006C4164" w:rsidP="0002219B">
            <w:pPr>
              <w:rPr>
                <w:b/>
                <w:color w:val="000000" w:themeColor="text1"/>
              </w:rPr>
            </w:pPr>
            <w:r>
              <w:rPr>
                <w:b/>
                <w:color w:val="000000" w:themeColor="text1"/>
              </w:rPr>
              <w:t>Service</w:t>
            </w:r>
          </w:p>
        </w:tc>
        <w:tc>
          <w:tcPr>
            <w:tcW w:w="1891"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2016</w:t>
            </w:r>
          </w:p>
        </w:tc>
        <w:tc>
          <w:tcPr>
            <w:tcW w:w="2156"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31 Dec 2017</w:t>
            </w:r>
          </w:p>
        </w:tc>
        <w:tc>
          <w:tcPr>
            <w:tcW w:w="2033" w:type="dxa"/>
            <w:shd w:val="clear" w:color="auto" w:fill="BFBFBF" w:themeFill="background1" w:themeFillShade="BF"/>
          </w:tcPr>
          <w:p w:rsidR="0002219B" w:rsidRPr="00B32B83" w:rsidRDefault="0002219B" w:rsidP="0089729F">
            <w:pPr>
              <w:rPr>
                <w:b/>
                <w:color w:val="000000" w:themeColor="text1"/>
              </w:rPr>
            </w:pPr>
            <w:r w:rsidRPr="00B32B83">
              <w:rPr>
                <w:b/>
                <w:color w:val="000000" w:themeColor="text1"/>
              </w:rPr>
              <w:t>Variance</w:t>
            </w:r>
          </w:p>
        </w:tc>
      </w:tr>
      <w:tr w:rsidR="0002219B" w:rsidRPr="00E76BA9" w:rsidTr="0002219B">
        <w:trPr>
          <w:cnfStyle w:val="000000100000" w:firstRow="0" w:lastRow="0" w:firstColumn="0" w:lastColumn="0" w:oddVBand="0" w:evenVBand="0" w:oddHBand="1" w:evenHBand="0" w:firstRowFirstColumn="0" w:firstRowLastColumn="0" w:lastRowFirstColumn="0" w:lastRowLastColumn="0"/>
          <w:trHeight w:val="419"/>
        </w:trPr>
        <w:tc>
          <w:tcPr>
            <w:tcW w:w="3645" w:type="dxa"/>
          </w:tcPr>
          <w:p w:rsidR="0002219B" w:rsidRPr="00E76BA9" w:rsidRDefault="0002219B" w:rsidP="0002219B">
            <w:r>
              <w:t xml:space="preserve">Grants of legal assistance   </w:t>
            </w:r>
          </w:p>
        </w:tc>
        <w:tc>
          <w:tcPr>
            <w:tcW w:w="1891" w:type="dxa"/>
          </w:tcPr>
          <w:p w:rsidR="0002219B" w:rsidRPr="00C92515" w:rsidRDefault="0002219B" w:rsidP="0089729F">
            <w:r>
              <w:t>359</w:t>
            </w:r>
          </w:p>
        </w:tc>
        <w:tc>
          <w:tcPr>
            <w:tcW w:w="2156" w:type="dxa"/>
          </w:tcPr>
          <w:p w:rsidR="0002219B" w:rsidRPr="00C92515" w:rsidRDefault="0002219B" w:rsidP="0089729F">
            <w:r>
              <w:t>377</w:t>
            </w:r>
          </w:p>
        </w:tc>
        <w:tc>
          <w:tcPr>
            <w:tcW w:w="2033" w:type="dxa"/>
          </w:tcPr>
          <w:p w:rsidR="0002219B" w:rsidRPr="00C92515" w:rsidRDefault="0002219B" w:rsidP="0089729F">
            <w:r>
              <w:t>5%</w:t>
            </w:r>
          </w:p>
        </w:tc>
      </w:tr>
      <w:tr w:rsidR="0002219B" w:rsidRPr="00E76BA9" w:rsidTr="0002219B">
        <w:trPr>
          <w:cnfStyle w:val="000000010000" w:firstRow="0" w:lastRow="0" w:firstColumn="0" w:lastColumn="0" w:oddVBand="0" w:evenVBand="0" w:oddHBand="0" w:evenHBand="1" w:firstRowFirstColumn="0" w:firstRowLastColumn="0" w:lastRowFirstColumn="0" w:lastRowLastColumn="0"/>
          <w:trHeight w:val="419"/>
        </w:trPr>
        <w:tc>
          <w:tcPr>
            <w:tcW w:w="3645" w:type="dxa"/>
          </w:tcPr>
          <w:p w:rsidR="0002219B" w:rsidRPr="00E76BA9" w:rsidRDefault="0002219B" w:rsidP="0002219B">
            <w:r>
              <w:t xml:space="preserve">Legal advice </w:t>
            </w:r>
          </w:p>
        </w:tc>
        <w:tc>
          <w:tcPr>
            <w:tcW w:w="1891" w:type="dxa"/>
          </w:tcPr>
          <w:p w:rsidR="0002219B" w:rsidRPr="00C92515" w:rsidRDefault="0002219B" w:rsidP="0089729F">
            <w:r>
              <w:t>2,256</w:t>
            </w:r>
          </w:p>
        </w:tc>
        <w:tc>
          <w:tcPr>
            <w:tcW w:w="2156" w:type="dxa"/>
          </w:tcPr>
          <w:p w:rsidR="0002219B" w:rsidRPr="00C92515" w:rsidRDefault="0002219B" w:rsidP="0089729F">
            <w:r>
              <w:t>2,194</w:t>
            </w:r>
          </w:p>
        </w:tc>
        <w:tc>
          <w:tcPr>
            <w:tcW w:w="2033" w:type="dxa"/>
          </w:tcPr>
          <w:p w:rsidR="0002219B" w:rsidRPr="00C92515" w:rsidRDefault="0002219B" w:rsidP="0089729F">
            <w:r>
              <w:t>-3%</w:t>
            </w:r>
          </w:p>
        </w:tc>
      </w:tr>
      <w:tr w:rsidR="0002219B" w:rsidRPr="00E76BA9" w:rsidTr="0002219B">
        <w:trPr>
          <w:cnfStyle w:val="000000100000" w:firstRow="0" w:lastRow="0" w:firstColumn="0" w:lastColumn="0" w:oddVBand="0" w:evenVBand="0" w:oddHBand="1" w:evenHBand="0" w:firstRowFirstColumn="0" w:firstRowLastColumn="0" w:lastRowFirstColumn="0" w:lastRowLastColumn="0"/>
          <w:trHeight w:val="419"/>
        </w:trPr>
        <w:tc>
          <w:tcPr>
            <w:tcW w:w="3645" w:type="dxa"/>
          </w:tcPr>
          <w:p w:rsidR="0002219B" w:rsidRDefault="0002219B" w:rsidP="0002219B">
            <w:r>
              <w:t xml:space="preserve">VCAT duty lawyer services </w:t>
            </w:r>
          </w:p>
        </w:tc>
        <w:tc>
          <w:tcPr>
            <w:tcW w:w="1891" w:type="dxa"/>
          </w:tcPr>
          <w:p w:rsidR="0002219B" w:rsidRPr="00C92515" w:rsidRDefault="0002219B" w:rsidP="0089729F">
            <w:r>
              <w:t>146</w:t>
            </w:r>
          </w:p>
        </w:tc>
        <w:tc>
          <w:tcPr>
            <w:tcW w:w="2156" w:type="dxa"/>
          </w:tcPr>
          <w:p w:rsidR="0002219B" w:rsidRPr="00C92515" w:rsidRDefault="0002219B" w:rsidP="0089729F">
            <w:r>
              <w:t>140</w:t>
            </w:r>
          </w:p>
        </w:tc>
        <w:tc>
          <w:tcPr>
            <w:tcW w:w="2033" w:type="dxa"/>
          </w:tcPr>
          <w:p w:rsidR="0002219B" w:rsidRPr="00C92515" w:rsidRDefault="0002219B" w:rsidP="0089729F">
            <w:r>
              <w:t>-4%</w:t>
            </w:r>
          </w:p>
        </w:tc>
      </w:tr>
    </w:tbl>
    <w:p w:rsidR="0002219B" w:rsidRDefault="0002219B" w:rsidP="0002219B">
      <w:pPr>
        <w:pStyle w:val="Heading4"/>
      </w:pPr>
    </w:p>
    <w:p w:rsidR="0002219B" w:rsidRDefault="0002219B" w:rsidP="0002219B">
      <w:pPr>
        <w:spacing w:after="0" w:line="240" w:lineRule="auto"/>
        <w:rPr>
          <w:rFonts w:cs="Arial"/>
          <w:b/>
          <w:bCs/>
          <w:sz w:val="24"/>
          <w:lang w:eastAsia="en-AU"/>
        </w:rPr>
      </w:pPr>
      <w:r>
        <w:br w:type="page"/>
      </w:r>
    </w:p>
    <w:p w:rsidR="0002219B" w:rsidRDefault="0002219B" w:rsidP="0002219B">
      <w:pPr>
        <w:pStyle w:val="Heading4"/>
      </w:pPr>
      <w:r w:rsidRPr="005F1DE5">
        <w:lastRenderedPageBreak/>
        <w:t>Civil Justice</w:t>
      </w:r>
      <w:r>
        <w:t xml:space="preserve"> Program operating expenditure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2250"/>
        <w:gridCol w:w="1744"/>
        <w:gridCol w:w="1668"/>
        <w:gridCol w:w="1488"/>
        <w:gridCol w:w="1463"/>
        <w:gridCol w:w="1463"/>
      </w:tblGrid>
      <w:tr w:rsidR="0002219B" w:rsidRPr="00DC1D85" w:rsidTr="0002219B">
        <w:trPr>
          <w:cnfStyle w:val="100000000000" w:firstRow="1" w:lastRow="0" w:firstColumn="0" w:lastColumn="0" w:oddVBand="0" w:evenVBand="0" w:oddHBand="0" w:evenHBand="0" w:firstRowFirstColumn="0" w:firstRowLastColumn="0" w:lastRowFirstColumn="0" w:lastRowLastColumn="0"/>
        </w:trPr>
        <w:tc>
          <w:tcPr>
            <w:tcW w:w="2250" w:type="dxa"/>
            <w:shd w:val="clear" w:color="auto" w:fill="BFBFBF" w:themeFill="background1" w:themeFillShade="BF"/>
          </w:tcPr>
          <w:p w:rsidR="0002219B" w:rsidRPr="00C07559" w:rsidRDefault="006C4164" w:rsidP="0002219B">
            <w:pPr>
              <w:rPr>
                <w:b/>
              </w:rPr>
            </w:pPr>
            <w:r>
              <w:rPr>
                <w:b/>
              </w:rPr>
              <w:t>Civil Justice Program</w:t>
            </w:r>
          </w:p>
        </w:tc>
        <w:tc>
          <w:tcPr>
            <w:tcW w:w="1744" w:type="dxa"/>
            <w:shd w:val="clear" w:color="auto" w:fill="BFBFBF" w:themeFill="background1" w:themeFillShade="BF"/>
          </w:tcPr>
          <w:p w:rsidR="0002219B" w:rsidRPr="00C07559" w:rsidRDefault="0002219B" w:rsidP="0089729F">
            <w:pPr>
              <w:rPr>
                <w:b/>
                <w:color w:val="000000" w:themeColor="text1"/>
              </w:rPr>
            </w:pPr>
            <w:r w:rsidRPr="00C07559">
              <w:rPr>
                <w:b/>
                <w:color w:val="000000" w:themeColor="text1"/>
              </w:rPr>
              <w:t>Expenditure ($)</w:t>
            </w:r>
            <w:r>
              <w:rPr>
                <w:b/>
                <w:color w:val="000000" w:themeColor="text1"/>
              </w:rPr>
              <w:t xml:space="preserve"> </w:t>
            </w:r>
            <w:r w:rsidRPr="00340FB3">
              <w:rPr>
                <w:b/>
                <w:color w:val="000000" w:themeColor="text1"/>
              </w:rPr>
              <w:t>as at 31 December</w:t>
            </w:r>
            <w:r>
              <w:rPr>
                <w:b/>
                <w:color w:val="000000" w:themeColor="text1"/>
              </w:rPr>
              <w:t xml:space="preserve"> 2016</w:t>
            </w:r>
          </w:p>
        </w:tc>
        <w:tc>
          <w:tcPr>
            <w:tcW w:w="1668" w:type="dxa"/>
            <w:shd w:val="clear" w:color="auto" w:fill="BFBFBF" w:themeFill="background1" w:themeFillShade="BF"/>
          </w:tcPr>
          <w:p w:rsidR="0002219B" w:rsidRPr="00C07559" w:rsidRDefault="0002219B" w:rsidP="0089729F">
            <w:pPr>
              <w:rPr>
                <w:b/>
                <w:color w:val="000000" w:themeColor="text1"/>
              </w:rPr>
            </w:pPr>
            <w:r w:rsidRPr="00C07559">
              <w:rPr>
                <w:b/>
                <w:color w:val="000000" w:themeColor="text1"/>
              </w:rPr>
              <w:t>% of total expenditure</w:t>
            </w:r>
            <w:r>
              <w:rPr>
                <w:b/>
                <w:color w:val="000000" w:themeColor="text1"/>
              </w:rPr>
              <w:t xml:space="preserve"> </w:t>
            </w:r>
            <w:r w:rsidRPr="00340FB3">
              <w:rPr>
                <w:b/>
                <w:color w:val="000000" w:themeColor="text1"/>
              </w:rPr>
              <w:t>as at 31 December</w:t>
            </w:r>
            <w:r>
              <w:rPr>
                <w:b/>
                <w:color w:val="000000" w:themeColor="text1"/>
              </w:rPr>
              <w:t xml:space="preserve"> 2016</w:t>
            </w:r>
          </w:p>
        </w:tc>
        <w:tc>
          <w:tcPr>
            <w:tcW w:w="1488" w:type="dxa"/>
            <w:shd w:val="clear" w:color="auto" w:fill="BFBFBF" w:themeFill="background1" w:themeFillShade="BF"/>
          </w:tcPr>
          <w:p w:rsidR="0002219B" w:rsidRPr="00C07559" w:rsidRDefault="0002219B" w:rsidP="0089729F">
            <w:pPr>
              <w:rPr>
                <w:b/>
                <w:color w:val="000000" w:themeColor="text1"/>
              </w:rPr>
            </w:pPr>
            <w:r w:rsidRPr="00C07559">
              <w:rPr>
                <w:b/>
                <w:color w:val="000000" w:themeColor="text1"/>
              </w:rPr>
              <w:t>Expenditure ($)</w:t>
            </w:r>
            <w:r>
              <w:rPr>
                <w:b/>
                <w:color w:val="000000" w:themeColor="text1"/>
              </w:rPr>
              <w:t xml:space="preserve"> </w:t>
            </w:r>
            <w:r w:rsidRPr="00340FB3">
              <w:rPr>
                <w:b/>
                <w:color w:val="000000" w:themeColor="text1"/>
              </w:rPr>
              <w:t>as at 31 December</w:t>
            </w:r>
            <w:r>
              <w:rPr>
                <w:b/>
                <w:color w:val="000000" w:themeColor="text1"/>
              </w:rPr>
              <w:t xml:space="preserve"> 2017</w:t>
            </w:r>
          </w:p>
        </w:tc>
        <w:tc>
          <w:tcPr>
            <w:tcW w:w="1463" w:type="dxa"/>
            <w:shd w:val="clear" w:color="auto" w:fill="BFBFBF" w:themeFill="background1" w:themeFillShade="BF"/>
          </w:tcPr>
          <w:p w:rsidR="0002219B" w:rsidRPr="00C07559" w:rsidRDefault="0002219B" w:rsidP="0089729F">
            <w:pPr>
              <w:rPr>
                <w:b/>
                <w:color w:val="000000" w:themeColor="text1"/>
              </w:rPr>
            </w:pPr>
            <w:r w:rsidRPr="00C07559">
              <w:rPr>
                <w:b/>
                <w:color w:val="000000" w:themeColor="text1"/>
              </w:rPr>
              <w:t>% of total expenditure</w:t>
            </w:r>
            <w:r>
              <w:rPr>
                <w:b/>
                <w:color w:val="000000" w:themeColor="text1"/>
              </w:rPr>
              <w:t xml:space="preserve"> </w:t>
            </w:r>
            <w:r w:rsidRPr="00340FB3">
              <w:rPr>
                <w:b/>
                <w:color w:val="000000" w:themeColor="text1"/>
              </w:rPr>
              <w:t>as at 31 December</w:t>
            </w:r>
            <w:r>
              <w:rPr>
                <w:b/>
                <w:color w:val="000000" w:themeColor="text1"/>
              </w:rPr>
              <w:t xml:space="preserve"> 2017</w:t>
            </w:r>
          </w:p>
        </w:tc>
        <w:tc>
          <w:tcPr>
            <w:tcW w:w="1463" w:type="dxa"/>
            <w:shd w:val="clear" w:color="auto" w:fill="BFBFBF" w:themeFill="background1" w:themeFillShade="BF"/>
          </w:tcPr>
          <w:p w:rsidR="0002219B" w:rsidRPr="00C07559" w:rsidRDefault="0002219B" w:rsidP="0089729F">
            <w:pPr>
              <w:rPr>
                <w:b/>
                <w:color w:val="000000" w:themeColor="text1"/>
              </w:rPr>
            </w:pPr>
            <w:r>
              <w:rPr>
                <w:b/>
                <w:color w:val="000000" w:themeColor="text1"/>
              </w:rPr>
              <w:t xml:space="preserve">Variance of expenditure </w:t>
            </w:r>
          </w:p>
        </w:tc>
      </w:tr>
      <w:tr w:rsidR="0002219B" w:rsidRPr="00DC1D85" w:rsidTr="0002219B">
        <w:trPr>
          <w:cnfStyle w:val="000000100000" w:firstRow="0" w:lastRow="0" w:firstColumn="0" w:lastColumn="0" w:oddVBand="0" w:evenVBand="0" w:oddHBand="1" w:evenHBand="0" w:firstRowFirstColumn="0" w:firstRowLastColumn="0" w:lastRowFirstColumn="0" w:lastRowLastColumn="0"/>
        </w:trPr>
        <w:tc>
          <w:tcPr>
            <w:tcW w:w="2250" w:type="dxa"/>
          </w:tcPr>
          <w:p w:rsidR="0002219B" w:rsidRPr="00DC1D85" w:rsidRDefault="0002219B" w:rsidP="0002219B">
            <w:r w:rsidRPr="00DC1D85">
              <w:t>Commonwealth Entitlements</w:t>
            </w:r>
          </w:p>
        </w:tc>
        <w:tc>
          <w:tcPr>
            <w:tcW w:w="1744" w:type="dxa"/>
          </w:tcPr>
          <w:p w:rsidR="0002219B" w:rsidRPr="00DC1D85" w:rsidRDefault="0002219B" w:rsidP="0089729F">
            <w:r>
              <w:t>1.4 million</w:t>
            </w:r>
          </w:p>
        </w:tc>
        <w:tc>
          <w:tcPr>
            <w:tcW w:w="1668" w:type="dxa"/>
          </w:tcPr>
          <w:p w:rsidR="0002219B" w:rsidRPr="00DC1D85" w:rsidRDefault="0002219B" w:rsidP="0089729F">
            <w:r>
              <w:t>1.8</w:t>
            </w:r>
          </w:p>
        </w:tc>
        <w:tc>
          <w:tcPr>
            <w:tcW w:w="1488" w:type="dxa"/>
          </w:tcPr>
          <w:p w:rsidR="0002219B" w:rsidRDefault="0002219B" w:rsidP="0089729F">
            <w:r>
              <w:t>1.6 million</w:t>
            </w:r>
          </w:p>
        </w:tc>
        <w:tc>
          <w:tcPr>
            <w:tcW w:w="1463" w:type="dxa"/>
          </w:tcPr>
          <w:p w:rsidR="0002219B" w:rsidRDefault="0002219B" w:rsidP="0089729F">
            <w:r>
              <w:t>1.7</w:t>
            </w:r>
          </w:p>
        </w:tc>
        <w:tc>
          <w:tcPr>
            <w:tcW w:w="1463" w:type="dxa"/>
          </w:tcPr>
          <w:p w:rsidR="0002219B" w:rsidRDefault="0002219B" w:rsidP="0089729F">
            <w:r>
              <w:t>0.2 million</w:t>
            </w:r>
          </w:p>
        </w:tc>
      </w:tr>
      <w:tr w:rsidR="0002219B" w:rsidRPr="00DC1D85" w:rsidTr="0002219B">
        <w:trPr>
          <w:cnfStyle w:val="000000010000" w:firstRow="0" w:lastRow="0" w:firstColumn="0" w:lastColumn="0" w:oddVBand="0" w:evenVBand="0" w:oddHBand="0" w:evenHBand="1" w:firstRowFirstColumn="0" w:firstRowLastColumn="0" w:lastRowFirstColumn="0" w:lastRowLastColumn="0"/>
        </w:trPr>
        <w:tc>
          <w:tcPr>
            <w:tcW w:w="2250" w:type="dxa"/>
          </w:tcPr>
          <w:p w:rsidR="0002219B" w:rsidRPr="00DC1D85" w:rsidRDefault="0002219B" w:rsidP="0002219B">
            <w:r w:rsidRPr="00DC1D85">
              <w:t>Equality</w:t>
            </w:r>
          </w:p>
        </w:tc>
        <w:tc>
          <w:tcPr>
            <w:tcW w:w="1744" w:type="dxa"/>
          </w:tcPr>
          <w:p w:rsidR="0002219B" w:rsidRPr="00DC1D85" w:rsidRDefault="0002219B" w:rsidP="0089729F">
            <w:r>
              <w:t>1.0 million</w:t>
            </w:r>
          </w:p>
        </w:tc>
        <w:tc>
          <w:tcPr>
            <w:tcW w:w="1668" w:type="dxa"/>
          </w:tcPr>
          <w:p w:rsidR="0002219B" w:rsidRPr="00DC1D85" w:rsidRDefault="0002219B" w:rsidP="0089729F">
            <w:r>
              <w:t>1.2</w:t>
            </w:r>
          </w:p>
        </w:tc>
        <w:tc>
          <w:tcPr>
            <w:tcW w:w="1488" w:type="dxa"/>
          </w:tcPr>
          <w:p w:rsidR="0002219B" w:rsidRPr="00263470" w:rsidRDefault="0002219B" w:rsidP="0089729F">
            <w:r>
              <w:t>1.0 million</w:t>
            </w:r>
          </w:p>
        </w:tc>
        <w:tc>
          <w:tcPr>
            <w:tcW w:w="1463" w:type="dxa"/>
          </w:tcPr>
          <w:p w:rsidR="0002219B" w:rsidRPr="00263470" w:rsidRDefault="0002219B" w:rsidP="0089729F">
            <w:r w:rsidRPr="00263470">
              <w:t>1.0</w:t>
            </w:r>
          </w:p>
        </w:tc>
        <w:tc>
          <w:tcPr>
            <w:tcW w:w="1463" w:type="dxa"/>
          </w:tcPr>
          <w:p w:rsidR="0002219B" w:rsidRPr="00263470" w:rsidRDefault="0002219B" w:rsidP="0089729F">
            <w:r>
              <w:t>0.0 million</w:t>
            </w:r>
          </w:p>
        </w:tc>
      </w:tr>
      <w:tr w:rsidR="0002219B" w:rsidRPr="00DC1D85" w:rsidTr="0002219B">
        <w:trPr>
          <w:cnfStyle w:val="000000100000" w:firstRow="0" w:lastRow="0" w:firstColumn="0" w:lastColumn="0" w:oddVBand="0" w:evenVBand="0" w:oddHBand="1" w:evenHBand="0" w:firstRowFirstColumn="0" w:firstRowLastColumn="0" w:lastRowFirstColumn="0" w:lastRowLastColumn="0"/>
        </w:trPr>
        <w:tc>
          <w:tcPr>
            <w:tcW w:w="2250" w:type="dxa"/>
          </w:tcPr>
          <w:p w:rsidR="0002219B" w:rsidRPr="00DC1D85" w:rsidRDefault="0002219B" w:rsidP="0002219B">
            <w:r w:rsidRPr="00DC1D85">
              <w:t>Mental Health and Disability Advocacy</w:t>
            </w:r>
          </w:p>
        </w:tc>
        <w:tc>
          <w:tcPr>
            <w:tcW w:w="1744" w:type="dxa"/>
          </w:tcPr>
          <w:p w:rsidR="0002219B" w:rsidRPr="00DC1D85" w:rsidRDefault="0002219B" w:rsidP="0089729F">
            <w:r>
              <w:t>1.7 million</w:t>
            </w:r>
          </w:p>
        </w:tc>
        <w:tc>
          <w:tcPr>
            <w:tcW w:w="1668" w:type="dxa"/>
          </w:tcPr>
          <w:p w:rsidR="0002219B" w:rsidRPr="00DC1D85" w:rsidRDefault="0002219B" w:rsidP="0089729F">
            <w:r>
              <w:t>2.0</w:t>
            </w:r>
          </w:p>
        </w:tc>
        <w:tc>
          <w:tcPr>
            <w:tcW w:w="1488" w:type="dxa"/>
          </w:tcPr>
          <w:p w:rsidR="0002219B" w:rsidRPr="00263470" w:rsidRDefault="0002219B" w:rsidP="0089729F">
            <w:r w:rsidRPr="00263470">
              <w:t>1.7</w:t>
            </w:r>
            <w:r>
              <w:t xml:space="preserve"> million</w:t>
            </w:r>
          </w:p>
        </w:tc>
        <w:tc>
          <w:tcPr>
            <w:tcW w:w="1463" w:type="dxa"/>
          </w:tcPr>
          <w:p w:rsidR="0002219B" w:rsidRPr="00263470" w:rsidRDefault="0002219B" w:rsidP="0089729F">
            <w:r w:rsidRPr="00263470">
              <w:t>1.9</w:t>
            </w:r>
          </w:p>
        </w:tc>
        <w:tc>
          <w:tcPr>
            <w:tcW w:w="1463" w:type="dxa"/>
          </w:tcPr>
          <w:p w:rsidR="0002219B" w:rsidRPr="00263470" w:rsidRDefault="0002219B" w:rsidP="0089729F">
            <w:r>
              <w:t>0.0 million</w:t>
            </w:r>
          </w:p>
        </w:tc>
      </w:tr>
      <w:tr w:rsidR="0002219B" w:rsidRPr="00DC1D85" w:rsidTr="0002219B">
        <w:trPr>
          <w:cnfStyle w:val="000000010000" w:firstRow="0" w:lastRow="0" w:firstColumn="0" w:lastColumn="0" w:oddVBand="0" w:evenVBand="0" w:oddHBand="0" w:evenHBand="1" w:firstRowFirstColumn="0" w:firstRowLastColumn="0" w:lastRowFirstColumn="0" w:lastRowLastColumn="0"/>
        </w:trPr>
        <w:tc>
          <w:tcPr>
            <w:tcW w:w="2250" w:type="dxa"/>
          </w:tcPr>
          <w:p w:rsidR="0002219B" w:rsidRPr="00DC1D85" w:rsidRDefault="0002219B" w:rsidP="0002219B">
            <w:r w:rsidRPr="00DC1D85">
              <w:t>Migration</w:t>
            </w:r>
          </w:p>
        </w:tc>
        <w:tc>
          <w:tcPr>
            <w:tcW w:w="1744" w:type="dxa"/>
          </w:tcPr>
          <w:p w:rsidR="0002219B" w:rsidRPr="00DC1D85" w:rsidRDefault="0002219B" w:rsidP="0089729F">
            <w:r>
              <w:t>1.1 million</w:t>
            </w:r>
          </w:p>
        </w:tc>
        <w:tc>
          <w:tcPr>
            <w:tcW w:w="1668" w:type="dxa"/>
          </w:tcPr>
          <w:p w:rsidR="0002219B" w:rsidRPr="00DC1D85" w:rsidRDefault="0002219B" w:rsidP="0089729F">
            <w:r>
              <w:t>1.3</w:t>
            </w:r>
          </w:p>
        </w:tc>
        <w:tc>
          <w:tcPr>
            <w:tcW w:w="1488" w:type="dxa"/>
          </w:tcPr>
          <w:p w:rsidR="0002219B" w:rsidRPr="00263470" w:rsidRDefault="0002219B" w:rsidP="0089729F">
            <w:r w:rsidRPr="00263470">
              <w:t>1.2</w:t>
            </w:r>
            <w:r>
              <w:t xml:space="preserve"> million</w:t>
            </w:r>
          </w:p>
        </w:tc>
        <w:tc>
          <w:tcPr>
            <w:tcW w:w="1463" w:type="dxa"/>
          </w:tcPr>
          <w:p w:rsidR="0002219B" w:rsidRPr="00263470" w:rsidRDefault="0002219B" w:rsidP="0089729F">
            <w:r w:rsidRPr="00263470">
              <w:t>1.3</w:t>
            </w:r>
          </w:p>
        </w:tc>
        <w:tc>
          <w:tcPr>
            <w:tcW w:w="1463" w:type="dxa"/>
          </w:tcPr>
          <w:p w:rsidR="0002219B" w:rsidRPr="00263470" w:rsidRDefault="0002219B" w:rsidP="0089729F">
            <w:r>
              <w:t>0.1 million</w:t>
            </w:r>
          </w:p>
        </w:tc>
      </w:tr>
      <w:tr w:rsidR="0002219B" w:rsidRPr="00DC1D85" w:rsidTr="0002219B">
        <w:trPr>
          <w:cnfStyle w:val="000000100000" w:firstRow="0" w:lastRow="0" w:firstColumn="0" w:lastColumn="0" w:oddVBand="0" w:evenVBand="0" w:oddHBand="1" w:evenHBand="0" w:firstRowFirstColumn="0" w:firstRowLastColumn="0" w:lastRowFirstColumn="0" w:lastRowLastColumn="0"/>
        </w:trPr>
        <w:tc>
          <w:tcPr>
            <w:tcW w:w="2250" w:type="dxa"/>
          </w:tcPr>
          <w:p w:rsidR="0002219B" w:rsidRPr="00DC1D85" w:rsidRDefault="0002219B" w:rsidP="0002219B">
            <w:r w:rsidRPr="00DC1D85">
              <w:t>Social Inclusion</w:t>
            </w:r>
          </w:p>
        </w:tc>
        <w:tc>
          <w:tcPr>
            <w:tcW w:w="1744" w:type="dxa"/>
          </w:tcPr>
          <w:p w:rsidR="0002219B" w:rsidRPr="00DC1D85" w:rsidRDefault="0002219B" w:rsidP="0089729F">
            <w:r>
              <w:t>1.6 million</w:t>
            </w:r>
          </w:p>
        </w:tc>
        <w:tc>
          <w:tcPr>
            <w:tcW w:w="1668" w:type="dxa"/>
          </w:tcPr>
          <w:p w:rsidR="0002219B" w:rsidRPr="00DC1D85" w:rsidRDefault="0002219B" w:rsidP="0089729F">
            <w:r>
              <w:t>1.9</w:t>
            </w:r>
          </w:p>
        </w:tc>
        <w:tc>
          <w:tcPr>
            <w:tcW w:w="1488" w:type="dxa"/>
          </w:tcPr>
          <w:p w:rsidR="0002219B" w:rsidRPr="00263470" w:rsidRDefault="0002219B" w:rsidP="0089729F">
            <w:r>
              <w:t>1.7 million</w:t>
            </w:r>
          </w:p>
        </w:tc>
        <w:tc>
          <w:tcPr>
            <w:tcW w:w="1463" w:type="dxa"/>
          </w:tcPr>
          <w:p w:rsidR="0002219B" w:rsidRPr="00263470" w:rsidRDefault="0002219B" w:rsidP="0089729F">
            <w:r w:rsidRPr="00263470">
              <w:t>1.8</w:t>
            </w:r>
          </w:p>
        </w:tc>
        <w:tc>
          <w:tcPr>
            <w:tcW w:w="1463" w:type="dxa"/>
          </w:tcPr>
          <w:p w:rsidR="0002219B" w:rsidRPr="00263470" w:rsidRDefault="0002219B" w:rsidP="0089729F">
            <w:r>
              <w:t>0.1 million</w:t>
            </w:r>
          </w:p>
        </w:tc>
      </w:tr>
      <w:tr w:rsidR="0002219B" w:rsidRPr="00DC1D85" w:rsidTr="0002219B">
        <w:trPr>
          <w:cnfStyle w:val="000000010000" w:firstRow="0" w:lastRow="0" w:firstColumn="0" w:lastColumn="0" w:oddVBand="0" w:evenVBand="0" w:oddHBand="0" w:evenHBand="1" w:firstRowFirstColumn="0" w:firstRowLastColumn="0" w:lastRowFirstColumn="0" w:lastRowLastColumn="0"/>
        </w:trPr>
        <w:tc>
          <w:tcPr>
            <w:tcW w:w="2250" w:type="dxa"/>
          </w:tcPr>
          <w:p w:rsidR="0002219B" w:rsidRPr="00DC1D85" w:rsidRDefault="0002219B" w:rsidP="0002219B">
            <w:r w:rsidRPr="00DC1D85">
              <w:t>Independent Mental Health Advocacy</w:t>
            </w:r>
          </w:p>
        </w:tc>
        <w:tc>
          <w:tcPr>
            <w:tcW w:w="1744" w:type="dxa"/>
          </w:tcPr>
          <w:p w:rsidR="0002219B" w:rsidRPr="00DC1D85" w:rsidRDefault="0002219B" w:rsidP="0089729F">
            <w:r>
              <w:t>1.0 million</w:t>
            </w:r>
          </w:p>
        </w:tc>
        <w:tc>
          <w:tcPr>
            <w:tcW w:w="1668" w:type="dxa"/>
          </w:tcPr>
          <w:p w:rsidR="0002219B" w:rsidRPr="00DC1D85" w:rsidRDefault="0002219B" w:rsidP="0089729F">
            <w:r>
              <w:t>1.2</w:t>
            </w:r>
          </w:p>
        </w:tc>
        <w:tc>
          <w:tcPr>
            <w:tcW w:w="1488" w:type="dxa"/>
          </w:tcPr>
          <w:p w:rsidR="0002219B" w:rsidRPr="00263470" w:rsidRDefault="0002219B" w:rsidP="0089729F">
            <w:r w:rsidRPr="00263470">
              <w:t>1.2</w:t>
            </w:r>
            <w:r>
              <w:t xml:space="preserve"> million</w:t>
            </w:r>
          </w:p>
        </w:tc>
        <w:tc>
          <w:tcPr>
            <w:tcW w:w="1463" w:type="dxa"/>
          </w:tcPr>
          <w:p w:rsidR="0002219B" w:rsidRPr="00263470" w:rsidRDefault="0002219B" w:rsidP="0089729F">
            <w:r w:rsidRPr="00263470">
              <w:t>1.2</w:t>
            </w:r>
          </w:p>
        </w:tc>
        <w:tc>
          <w:tcPr>
            <w:tcW w:w="1463" w:type="dxa"/>
          </w:tcPr>
          <w:p w:rsidR="0002219B" w:rsidRPr="00263470" w:rsidRDefault="0002219B" w:rsidP="0089729F">
            <w:r>
              <w:t>0.2 million</w:t>
            </w:r>
          </w:p>
        </w:tc>
      </w:tr>
      <w:tr w:rsidR="0002219B" w:rsidRPr="00E914E3" w:rsidTr="0002219B">
        <w:trPr>
          <w:cnfStyle w:val="010000000000" w:firstRow="0" w:lastRow="1" w:firstColumn="0" w:lastColumn="0" w:oddVBand="0" w:evenVBand="0" w:oddHBand="0" w:evenHBand="0" w:firstRowFirstColumn="0" w:firstRowLastColumn="0" w:lastRowFirstColumn="0" w:lastRowLastColumn="0"/>
        </w:trPr>
        <w:tc>
          <w:tcPr>
            <w:tcW w:w="2250" w:type="dxa"/>
          </w:tcPr>
          <w:p w:rsidR="0002219B" w:rsidRPr="00DC1D85" w:rsidRDefault="0002219B" w:rsidP="0002219B">
            <w:r w:rsidRPr="00DC1D85">
              <w:t>Total</w:t>
            </w:r>
          </w:p>
        </w:tc>
        <w:tc>
          <w:tcPr>
            <w:tcW w:w="1744" w:type="dxa"/>
          </w:tcPr>
          <w:p w:rsidR="0002219B" w:rsidRPr="00DC1D85" w:rsidRDefault="0002219B" w:rsidP="0089729F">
            <w:r>
              <w:t>7.8 million</w:t>
            </w:r>
          </w:p>
        </w:tc>
        <w:tc>
          <w:tcPr>
            <w:tcW w:w="1668" w:type="dxa"/>
          </w:tcPr>
          <w:p w:rsidR="0002219B" w:rsidRPr="00E914E3" w:rsidRDefault="0002219B" w:rsidP="0089729F">
            <w:r>
              <w:t>9.4</w:t>
            </w:r>
          </w:p>
        </w:tc>
        <w:tc>
          <w:tcPr>
            <w:tcW w:w="1488" w:type="dxa"/>
          </w:tcPr>
          <w:p w:rsidR="0002219B" w:rsidRPr="00263470" w:rsidRDefault="0002219B" w:rsidP="0089729F">
            <w:r>
              <w:t>8.2 million</w:t>
            </w:r>
          </w:p>
        </w:tc>
        <w:tc>
          <w:tcPr>
            <w:tcW w:w="1463" w:type="dxa"/>
          </w:tcPr>
          <w:p w:rsidR="0002219B" w:rsidRPr="00263470" w:rsidRDefault="0002219B" w:rsidP="0089729F">
            <w:r w:rsidRPr="00263470">
              <w:t>8.9</w:t>
            </w:r>
          </w:p>
        </w:tc>
        <w:tc>
          <w:tcPr>
            <w:tcW w:w="1463" w:type="dxa"/>
          </w:tcPr>
          <w:p w:rsidR="0002219B" w:rsidRPr="00263470" w:rsidRDefault="0002219B" w:rsidP="0089729F">
            <w:r>
              <w:t>0.4 million</w:t>
            </w:r>
          </w:p>
        </w:tc>
      </w:tr>
    </w:tbl>
    <w:p w:rsidR="0002219B" w:rsidRDefault="0002219B" w:rsidP="0002219B">
      <w:r w:rsidRPr="0089729F">
        <w:rPr>
          <w:b/>
        </w:rPr>
        <w:t>Note:</w:t>
      </w:r>
      <w:r w:rsidRPr="004A4150">
        <w:t xml:space="preserve"> Rounding errors do occur with the</w:t>
      </w:r>
      <w:r w:rsidR="006C4164">
        <w:t>se</w:t>
      </w:r>
      <w:r w:rsidRPr="004A4150">
        <w:t xml:space="preserve"> costs</w:t>
      </w:r>
      <w:r>
        <w:t>.</w:t>
      </w:r>
    </w:p>
    <w:p w:rsidR="0002219B" w:rsidRDefault="0002219B" w:rsidP="0002219B">
      <w:pPr>
        <w:pStyle w:val="Heading5"/>
      </w:pPr>
      <w:r>
        <w:t xml:space="preserve">The top five matters dealt with by our Civil Justice Program as at 31 December 2017 were: </w:t>
      </w:r>
    </w:p>
    <w:p w:rsidR="0002219B" w:rsidRDefault="0002219B" w:rsidP="0002219B">
      <w:pPr>
        <w:pStyle w:val="ListParagraph"/>
        <w:numPr>
          <w:ilvl w:val="0"/>
          <w:numId w:val="42"/>
        </w:numPr>
      </w:pPr>
      <w:r>
        <w:t xml:space="preserve">Infringements, </w:t>
      </w:r>
      <w:r w:rsidRPr="00AF7753">
        <w:t>6,052</w:t>
      </w:r>
    </w:p>
    <w:p w:rsidR="0002219B" w:rsidRDefault="0002219B" w:rsidP="0002219B">
      <w:pPr>
        <w:pStyle w:val="ListParagraph"/>
        <w:numPr>
          <w:ilvl w:val="0"/>
          <w:numId w:val="42"/>
        </w:numPr>
      </w:pPr>
      <w:r>
        <w:t xml:space="preserve">Landlord and tenant dispute—resident, </w:t>
      </w:r>
      <w:r w:rsidRPr="00AF7753">
        <w:t>2,727</w:t>
      </w:r>
    </w:p>
    <w:p w:rsidR="0002219B" w:rsidRDefault="0002219B" w:rsidP="0002219B">
      <w:pPr>
        <w:pStyle w:val="ListParagraph"/>
        <w:numPr>
          <w:ilvl w:val="0"/>
          <w:numId w:val="42"/>
        </w:numPr>
      </w:pPr>
      <w:r>
        <w:t>The law in general</w:t>
      </w:r>
      <w:r>
        <w:rPr>
          <w:rStyle w:val="FootnoteReference"/>
        </w:rPr>
        <w:footnoteReference w:id="8"/>
      </w:r>
      <w:r>
        <w:t xml:space="preserve">, </w:t>
      </w:r>
      <w:r w:rsidRPr="00AF7753">
        <w:t>1,785</w:t>
      </w:r>
    </w:p>
    <w:p w:rsidR="0002219B" w:rsidRDefault="0002219B" w:rsidP="0002219B">
      <w:pPr>
        <w:pStyle w:val="ListParagraph"/>
        <w:numPr>
          <w:ilvl w:val="0"/>
          <w:numId w:val="42"/>
        </w:numPr>
      </w:pPr>
      <w:r>
        <w:t>Inpatient treatment order</w:t>
      </w:r>
      <w:r>
        <w:rPr>
          <w:rStyle w:val="FootnoteReference"/>
        </w:rPr>
        <w:footnoteReference w:id="9"/>
      </w:r>
      <w:r>
        <w:t xml:space="preserve">, </w:t>
      </w:r>
      <w:r w:rsidRPr="00AF7753">
        <w:t>1,390</w:t>
      </w:r>
    </w:p>
    <w:p w:rsidR="0002219B" w:rsidRDefault="0002219B" w:rsidP="0002219B">
      <w:pPr>
        <w:pStyle w:val="ListParagraph"/>
        <w:numPr>
          <w:ilvl w:val="0"/>
          <w:numId w:val="42"/>
        </w:numPr>
      </w:pPr>
      <w:r w:rsidRPr="00050918">
        <w:t>Centrelink (other), 1,180.</w:t>
      </w:r>
    </w:p>
    <w:p w:rsidR="0002219B" w:rsidRDefault="0002219B" w:rsidP="006C4164">
      <w:pPr>
        <w:pStyle w:val="Heading2"/>
      </w:pPr>
      <w:r>
        <w:br w:type="page"/>
      </w:r>
      <w:r>
        <w:lastRenderedPageBreak/>
        <w:t>Financial summary</w:t>
      </w:r>
    </w:p>
    <w:p w:rsidR="0002219B" w:rsidRPr="00CE68F2" w:rsidRDefault="0002219B" w:rsidP="0002219B">
      <w:r w:rsidRPr="00CE68F2">
        <w:t>For the first six months of 2017–18, we operated (as expected) with a $1 million deficit. </w:t>
      </w:r>
      <w:r>
        <w:t xml:space="preserve">This will increase to $6 million by 30 June 2018. </w:t>
      </w:r>
    </w:p>
    <w:p w:rsidR="0002219B" w:rsidRPr="00CE68F2" w:rsidRDefault="0002219B" w:rsidP="0002219B">
      <w:r w:rsidRPr="00CE68F2">
        <w:t>Case-related payments which include payments to private practitioners, barristers, medical experts and interpreters, as well as to third parties for services provided for cases run by Victoria Legal Aid lawyers, increased by $5.8 million or 14 per cent, compared to the same period last year. This growth can be attributed to payments relating to criminal and family and children’s law, which is a direct result of the increased demand for grants of legal assistance.</w:t>
      </w:r>
    </w:p>
    <w:p w:rsidR="0002219B" w:rsidRPr="00CE68F2" w:rsidRDefault="0002219B" w:rsidP="0002219B">
      <w:r w:rsidRPr="00CE68F2">
        <w:t>As outlined on page</w:t>
      </w:r>
      <w:r>
        <w:t xml:space="preserve"> two, the 19 per cent increase in S</w:t>
      </w:r>
      <w:r w:rsidRPr="00CE68F2">
        <w:t xml:space="preserve">tate </w:t>
      </w:r>
      <w:r>
        <w:t>funding</w:t>
      </w:r>
      <w:r w:rsidRPr="00CE68F2">
        <w:t xml:space="preserve"> was directed towards new and expanded services. </w:t>
      </w:r>
      <w:r w:rsidRPr="004F2693">
        <w:t xml:space="preserve">The </w:t>
      </w:r>
      <w:r>
        <w:t xml:space="preserve">six per cent </w:t>
      </w:r>
      <w:r w:rsidRPr="004F2693">
        <w:t>increase in Commonwealth grants is a result of the Expensive Commonwealth Criminal Cases Fund, which reimburses Victoria Legal Aid for costs incurred defending clients in serious, high cost, Commonwealth criminal matters (such as drug importation, people smuggling, terrorism, fraud and slavery).</w:t>
      </w:r>
    </w:p>
    <w:p w:rsidR="0002219B" w:rsidRDefault="0002219B" w:rsidP="0002219B">
      <w:r w:rsidRPr="00CE68F2">
        <w:t>Much of the 50 per cent decrease in other income, which includes interest payments, can be attributed to declining cash reserves.</w:t>
      </w:r>
    </w:p>
    <w:p w:rsidR="0002219B" w:rsidRDefault="0002219B" w:rsidP="0002219B">
      <w:pPr>
        <w:pStyle w:val="Heading3"/>
      </w:pPr>
      <w:r>
        <w:t>Revenue</w:t>
      </w:r>
    </w:p>
    <w:tbl>
      <w:tblPr>
        <w:tblStyle w:val="TableGrid"/>
        <w:tblW w:w="10076" w:type="dxa"/>
        <w:tblLook w:val="04A0" w:firstRow="1" w:lastRow="0" w:firstColumn="1" w:lastColumn="0" w:noHBand="0" w:noVBand="1"/>
      </w:tblPr>
      <w:tblGrid>
        <w:gridCol w:w="3963"/>
        <w:gridCol w:w="2037"/>
        <w:gridCol w:w="2038"/>
        <w:gridCol w:w="2038"/>
      </w:tblGrid>
      <w:tr w:rsidR="0002219B" w:rsidTr="0002219B">
        <w:trPr>
          <w:tblHeader/>
        </w:trPr>
        <w:tc>
          <w:tcPr>
            <w:tcW w:w="3963" w:type="dxa"/>
            <w:shd w:val="clear" w:color="auto" w:fill="D9D9D9" w:themeFill="background1" w:themeFillShade="D9"/>
          </w:tcPr>
          <w:p w:rsidR="0002219B" w:rsidRPr="002312A1" w:rsidRDefault="0002219B" w:rsidP="0002219B">
            <w:pPr>
              <w:rPr>
                <w:b/>
                <w:lang w:eastAsia="en-AU"/>
              </w:rPr>
            </w:pPr>
            <w:r w:rsidRPr="002312A1">
              <w:rPr>
                <w:b/>
              </w:rPr>
              <w:t>Year to date</w:t>
            </w:r>
          </w:p>
        </w:tc>
        <w:tc>
          <w:tcPr>
            <w:tcW w:w="2037" w:type="dxa"/>
            <w:shd w:val="clear" w:color="auto" w:fill="D9D9D9" w:themeFill="background1" w:themeFillShade="D9"/>
          </w:tcPr>
          <w:p w:rsidR="0002219B" w:rsidRPr="002312A1" w:rsidRDefault="0002219B" w:rsidP="006C4164">
            <w:pPr>
              <w:rPr>
                <w:b/>
                <w:lang w:eastAsia="en-AU"/>
              </w:rPr>
            </w:pPr>
            <w:r>
              <w:rPr>
                <w:b/>
                <w:lang w:eastAsia="en-AU"/>
              </w:rPr>
              <w:t>As at 31 Dec 2016</w:t>
            </w:r>
            <w:r w:rsidRPr="002312A1">
              <w:rPr>
                <w:b/>
                <w:lang w:eastAsia="en-AU"/>
              </w:rPr>
              <w:t xml:space="preserve"> ($’m)</w:t>
            </w:r>
          </w:p>
        </w:tc>
        <w:tc>
          <w:tcPr>
            <w:tcW w:w="2038" w:type="dxa"/>
            <w:shd w:val="clear" w:color="auto" w:fill="D9D9D9" w:themeFill="background1" w:themeFillShade="D9"/>
          </w:tcPr>
          <w:p w:rsidR="0002219B" w:rsidRPr="002312A1" w:rsidRDefault="0002219B">
            <w:pPr>
              <w:rPr>
                <w:b/>
                <w:lang w:eastAsia="en-AU"/>
              </w:rPr>
            </w:pPr>
            <w:r>
              <w:rPr>
                <w:b/>
                <w:noProof/>
                <w:lang w:eastAsia="en-AU"/>
              </w:rPr>
              <mc:AlternateContent>
                <mc:Choice Requires="wpi">
                  <w:drawing>
                    <wp:anchor distT="0" distB="0" distL="114300" distR="114300" simplePos="0" relativeHeight="251658752" behindDoc="0" locked="0" layoutInCell="1" allowOverlap="1" wp14:anchorId="1BBB3413" wp14:editId="77C9868E">
                      <wp:simplePos x="0" y="0"/>
                      <wp:positionH relativeFrom="column">
                        <wp:posOffset>510031</wp:posOffset>
                      </wp:positionH>
                      <wp:positionV relativeFrom="paragraph">
                        <wp:posOffset>356009</wp:posOffset>
                      </wp:positionV>
                      <wp:extent cx="5394" cy="5394"/>
                      <wp:effectExtent l="19050" t="19050" r="52070" b="52070"/>
                      <wp:wrapNone/>
                      <wp:docPr id="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5394" cy="5394"/>
                            </w14:xfrm>
                          </w14:contentPart>
                        </a:graphicData>
                      </a:graphic>
                    </wp:anchor>
                  </w:drawing>
                </mc:Choice>
                <mc:Fallback>
                  <w:pict>
                    <v:shapetype w14:anchorId="540707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0pt;margin-top:27.9pt;width:.7pt;height:.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">
                      <v:imagedata r:id="rId9" o:title=""/>
                    </v:shape>
                  </w:pict>
                </mc:Fallback>
              </mc:AlternateContent>
            </w:r>
            <w:r>
              <w:rPr>
                <w:b/>
              </w:rPr>
              <w:t>As at 31 Dec 2017</w:t>
            </w:r>
            <w:r w:rsidRPr="002312A1">
              <w:rPr>
                <w:b/>
              </w:rPr>
              <w:t xml:space="preserve"> </w:t>
            </w:r>
            <w:r w:rsidRPr="002312A1">
              <w:rPr>
                <w:b/>
                <w:lang w:eastAsia="en-AU"/>
              </w:rPr>
              <w:t>($’m)</w:t>
            </w:r>
          </w:p>
        </w:tc>
        <w:tc>
          <w:tcPr>
            <w:tcW w:w="2038" w:type="dxa"/>
            <w:shd w:val="clear" w:color="auto" w:fill="D9D9D9" w:themeFill="background1" w:themeFillShade="D9"/>
          </w:tcPr>
          <w:p w:rsidR="0002219B" w:rsidRPr="002312A1" w:rsidRDefault="0002219B">
            <w:pPr>
              <w:rPr>
                <w:b/>
                <w:lang w:eastAsia="en-AU"/>
              </w:rPr>
            </w:pPr>
            <w:r w:rsidRPr="002312A1">
              <w:rPr>
                <w:b/>
                <w:lang w:eastAsia="en-AU"/>
              </w:rPr>
              <w:t>Variance</w:t>
            </w:r>
          </w:p>
        </w:tc>
      </w:tr>
      <w:tr w:rsidR="0002219B" w:rsidTr="0002219B">
        <w:tc>
          <w:tcPr>
            <w:tcW w:w="3963" w:type="dxa"/>
            <w:vAlign w:val="bottom"/>
          </w:tcPr>
          <w:p w:rsidR="0002219B" w:rsidRDefault="0002219B" w:rsidP="0002219B">
            <w:pPr>
              <w:rPr>
                <w:lang w:eastAsia="en-AU"/>
              </w:rPr>
            </w:pPr>
            <w:r w:rsidRPr="008903A8">
              <w:t>Commonwealth grants</w:t>
            </w:r>
          </w:p>
        </w:tc>
        <w:tc>
          <w:tcPr>
            <w:tcW w:w="2037" w:type="dxa"/>
          </w:tcPr>
          <w:p w:rsidR="0002219B" w:rsidRDefault="0002219B" w:rsidP="0089729F">
            <w:pPr>
              <w:rPr>
                <w:lang w:eastAsia="en-AU"/>
              </w:rPr>
            </w:pPr>
            <w:r w:rsidRPr="0029651E">
              <w:rPr>
                <w:lang w:eastAsia="en-AU"/>
              </w:rPr>
              <w:t>30.4</w:t>
            </w:r>
          </w:p>
        </w:tc>
        <w:tc>
          <w:tcPr>
            <w:tcW w:w="2038" w:type="dxa"/>
          </w:tcPr>
          <w:p w:rsidR="0002219B" w:rsidRDefault="0002219B" w:rsidP="0089729F">
            <w:pPr>
              <w:rPr>
                <w:rFonts w:cs="Arial"/>
                <w:color w:val="000000"/>
                <w:szCs w:val="22"/>
              </w:rPr>
            </w:pPr>
            <w:r>
              <w:rPr>
                <w:rFonts w:cs="Arial"/>
                <w:color w:val="000000"/>
                <w:szCs w:val="22"/>
              </w:rPr>
              <w:t>32.3</w:t>
            </w:r>
          </w:p>
        </w:tc>
        <w:tc>
          <w:tcPr>
            <w:tcW w:w="2038" w:type="dxa"/>
            <w:vAlign w:val="center"/>
          </w:tcPr>
          <w:p w:rsidR="0002219B" w:rsidRDefault="0002219B" w:rsidP="0089729F">
            <w:pPr>
              <w:rPr>
                <w:lang w:eastAsia="en-AU"/>
              </w:rPr>
            </w:pPr>
            <w:r>
              <w:rPr>
                <w:lang w:eastAsia="en-AU"/>
              </w:rPr>
              <w:t>6%</w:t>
            </w:r>
          </w:p>
        </w:tc>
      </w:tr>
      <w:tr w:rsidR="0002219B" w:rsidTr="0002219B">
        <w:tc>
          <w:tcPr>
            <w:tcW w:w="3963" w:type="dxa"/>
            <w:vAlign w:val="bottom"/>
          </w:tcPr>
          <w:p w:rsidR="0002219B" w:rsidRDefault="0002219B" w:rsidP="0002219B">
            <w:pPr>
              <w:rPr>
                <w:lang w:eastAsia="en-AU"/>
              </w:rPr>
            </w:pPr>
            <w:r w:rsidRPr="008903A8">
              <w:t>State grants</w:t>
            </w:r>
          </w:p>
        </w:tc>
        <w:tc>
          <w:tcPr>
            <w:tcW w:w="2037" w:type="dxa"/>
          </w:tcPr>
          <w:p w:rsidR="0002219B" w:rsidRDefault="0002219B" w:rsidP="0089729F">
            <w:pPr>
              <w:rPr>
                <w:lang w:eastAsia="en-AU"/>
              </w:rPr>
            </w:pPr>
            <w:r w:rsidRPr="0029651E">
              <w:rPr>
                <w:lang w:eastAsia="en-AU"/>
              </w:rPr>
              <w:t>47.3</w:t>
            </w:r>
          </w:p>
        </w:tc>
        <w:tc>
          <w:tcPr>
            <w:tcW w:w="2038" w:type="dxa"/>
          </w:tcPr>
          <w:p w:rsidR="0002219B" w:rsidRDefault="0002219B" w:rsidP="0089729F">
            <w:pPr>
              <w:rPr>
                <w:rFonts w:cs="Arial"/>
                <w:color w:val="000000"/>
                <w:szCs w:val="22"/>
              </w:rPr>
            </w:pPr>
            <w:r>
              <w:rPr>
                <w:rFonts w:cs="Arial"/>
                <w:color w:val="000000"/>
                <w:szCs w:val="22"/>
              </w:rPr>
              <w:t>56.3</w:t>
            </w:r>
          </w:p>
        </w:tc>
        <w:tc>
          <w:tcPr>
            <w:tcW w:w="2038" w:type="dxa"/>
            <w:vAlign w:val="center"/>
          </w:tcPr>
          <w:p w:rsidR="0002219B" w:rsidRDefault="0002219B" w:rsidP="0089729F">
            <w:pPr>
              <w:rPr>
                <w:lang w:eastAsia="en-AU"/>
              </w:rPr>
            </w:pPr>
            <w:r>
              <w:rPr>
                <w:lang w:eastAsia="en-AU"/>
              </w:rPr>
              <w:t>19%</w:t>
            </w:r>
          </w:p>
        </w:tc>
      </w:tr>
      <w:tr w:rsidR="0002219B" w:rsidTr="0002219B">
        <w:tc>
          <w:tcPr>
            <w:tcW w:w="3963" w:type="dxa"/>
            <w:vAlign w:val="bottom"/>
          </w:tcPr>
          <w:p w:rsidR="0002219B" w:rsidRDefault="0002219B" w:rsidP="0002219B">
            <w:pPr>
              <w:rPr>
                <w:lang w:eastAsia="en-AU"/>
              </w:rPr>
            </w:pPr>
            <w:r w:rsidRPr="008903A8">
              <w:t>Public Purpose Fund</w:t>
            </w:r>
          </w:p>
        </w:tc>
        <w:tc>
          <w:tcPr>
            <w:tcW w:w="2037" w:type="dxa"/>
          </w:tcPr>
          <w:p w:rsidR="0002219B" w:rsidRDefault="0002219B" w:rsidP="0089729F">
            <w:pPr>
              <w:rPr>
                <w:lang w:eastAsia="en-AU"/>
              </w:rPr>
            </w:pPr>
            <w:r w:rsidRPr="0029651E">
              <w:rPr>
                <w:lang w:eastAsia="en-AU"/>
              </w:rPr>
              <w:t>14.6</w:t>
            </w:r>
          </w:p>
        </w:tc>
        <w:tc>
          <w:tcPr>
            <w:tcW w:w="2038" w:type="dxa"/>
          </w:tcPr>
          <w:p w:rsidR="0002219B" w:rsidRDefault="0002219B" w:rsidP="0089729F">
            <w:pPr>
              <w:rPr>
                <w:rFonts w:cs="Arial"/>
                <w:color w:val="000000"/>
                <w:szCs w:val="22"/>
              </w:rPr>
            </w:pPr>
            <w:r>
              <w:rPr>
                <w:rFonts w:cs="Arial"/>
                <w:color w:val="000000"/>
                <w:szCs w:val="22"/>
              </w:rPr>
              <w:t>15.0</w:t>
            </w:r>
          </w:p>
        </w:tc>
        <w:tc>
          <w:tcPr>
            <w:tcW w:w="2038" w:type="dxa"/>
            <w:vAlign w:val="center"/>
          </w:tcPr>
          <w:p w:rsidR="0002219B" w:rsidRDefault="0002219B" w:rsidP="0089729F">
            <w:pPr>
              <w:rPr>
                <w:lang w:eastAsia="en-AU"/>
              </w:rPr>
            </w:pPr>
            <w:r>
              <w:rPr>
                <w:lang w:eastAsia="en-AU"/>
              </w:rPr>
              <w:t>3%</w:t>
            </w:r>
          </w:p>
        </w:tc>
      </w:tr>
      <w:tr w:rsidR="0002219B" w:rsidTr="0002219B">
        <w:tc>
          <w:tcPr>
            <w:tcW w:w="3963" w:type="dxa"/>
            <w:vAlign w:val="bottom"/>
          </w:tcPr>
          <w:p w:rsidR="0002219B" w:rsidRDefault="0002219B" w:rsidP="0002219B">
            <w:pPr>
              <w:rPr>
                <w:lang w:eastAsia="en-AU"/>
              </w:rPr>
            </w:pPr>
            <w:r w:rsidRPr="008903A8">
              <w:t>Client contributions</w:t>
            </w:r>
          </w:p>
        </w:tc>
        <w:tc>
          <w:tcPr>
            <w:tcW w:w="2037" w:type="dxa"/>
          </w:tcPr>
          <w:p w:rsidR="0002219B" w:rsidRDefault="0002219B" w:rsidP="0089729F">
            <w:pPr>
              <w:rPr>
                <w:lang w:eastAsia="en-AU"/>
              </w:rPr>
            </w:pPr>
            <w:r>
              <w:rPr>
                <w:lang w:eastAsia="en-AU"/>
              </w:rPr>
              <w:t>2.1</w:t>
            </w:r>
          </w:p>
        </w:tc>
        <w:tc>
          <w:tcPr>
            <w:tcW w:w="2038" w:type="dxa"/>
          </w:tcPr>
          <w:p w:rsidR="0002219B" w:rsidRDefault="0002219B" w:rsidP="0089729F">
            <w:pPr>
              <w:rPr>
                <w:rFonts w:cs="Arial"/>
                <w:color w:val="000000"/>
                <w:szCs w:val="22"/>
              </w:rPr>
            </w:pPr>
            <w:r>
              <w:rPr>
                <w:rFonts w:cs="Arial"/>
                <w:color w:val="000000"/>
                <w:szCs w:val="22"/>
              </w:rPr>
              <w:t>2.0</w:t>
            </w:r>
          </w:p>
        </w:tc>
        <w:tc>
          <w:tcPr>
            <w:tcW w:w="2038" w:type="dxa"/>
            <w:vAlign w:val="center"/>
          </w:tcPr>
          <w:p w:rsidR="0002219B" w:rsidRDefault="0002219B" w:rsidP="0089729F">
            <w:pPr>
              <w:rPr>
                <w:lang w:eastAsia="en-AU"/>
              </w:rPr>
            </w:pPr>
            <w:r>
              <w:rPr>
                <w:lang w:eastAsia="en-AU"/>
              </w:rPr>
              <w:t>-5%</w:t>
            </w:r>
          </w:p>
        </w:tc>
      </w:tr>
      <w:tr w:rsidR="0002219B" w:rsidTr="0002219B">
        <w:tc>
          <w:tcPr>
            <w:tcW w:w="3963" w:type="dxa"/>
            <w:tcBorders>
              <w:bottom w:val="single" w:sz="4" w:space="0" w:color="auto"/>
            </w:tcBorders>
            <w:vAlign w:val="bottom"/>
          </w:tcPr>
          <w:p w:rsidR="0002219B" w:rsidRDefault="0002219B" w:rsidP="0002219B">
            <w:pPr>
              <w:rPr>
                <w:lang w:eastAsia="en-AU"/>
              </w:rPr>
            </w:pPr>
            <w:r w:rsidRPr="008903A8">
              <w:t>Other income</w:t>
            </w:r>
          </w:p>
        </w:tc>
        <w:tc>
          <w:tcPr>
            <w:tcW w:w="2037" w:type="dxa"/>
            <w:tcBorders>
              <w:bottom w:val="single" w:sz="4" w:space="0" w:color="auto"/>
            </w:tcBorders>
          </w:tcPr>
          <w:p w:rsidR="0002219B" w:rsidRDefault="0002219B" w:rsidP="0089729F">
            <w:pPr>
              <w:rPr>
                <w:lang w:eastAsia="en-AU"/>
              </w:rPr>
            </w:pPr>
            <w:r>
              <w:rPr>
                <w:lang w:eastAsia="en-AU"/>
              </w:rPr>
              <w:t>1.0</w:t>
            </w:r>
          </w:p>
        </w:tc>
        <w:tc>
          <w:tcPr>
            <w:tcW w:w="2038" w:type="dxa"/>
            <w:tcBorders>
              <w:bottom w:val="single" w:sz="4" w:space="0" w:color="auto"/>
            </w:tcBorders>
          </w:tcPr>
          <w:p w:rsidR="0002219B" w:rsidRDefault="0002219B" w:rsidP="0089729F">
            <w:pPr>
              <w:rPr>
                <w:rFonts w:cs="Arial"/>
                <w:color w:val="000000"/>
                <w:szCs w:val="22"/>
              </w:rPr>
            </w:pPr>
            <w:r>
              <w:rPr>
                <w:rFonts w:cs="Arial"/>
                <w:color w:val="000000"/>
                <w:szCs w:val="22"/>
              </w:rPr>
              <w:t>0.5</w:t>
            </w:r>
          </w:p>
        </w:tc>
        <w:tc>
          <w:tcPr>
            <w:tcW w:w="2038" w:type="dxa"/>
            <w:tcBorders>
              <w:bottom w:val="single" w:sz="4" w:space="0" w:color="auto"/>
            </w:tcBorders>
            <w:vAlign w:val="center"/>
          </w:tcPr>
          <w:p w:rsidR="0002219B" w:rsidRDefault="0002219B" w:rsidP="0089729F">
            <w:pPr>
              <w:rPr>
                <w:lang w:eastAsia="en-AU"/>
              </w:rPr>
            </w:pPr>
            <w:r>
              <w:rPr>
                <w:lang w:eastAsia="en-AU"/>
              </w:rPr>
              <w:t>-50%</w:t>
            </w:r>
          </w:p>
        </w:tc>
      </w:tr>
      <w:tr w:rsidR="0002219B" w:rsidTr="0002219B">
        <w:tc>
          <w:tcPr>
            <w:tcW w:w="3963" w:type="dxa"/>
            <w:shd w:val="clear" w:color="auto" w:fill="F2F2F2" w:themeFill="background1" w:themeFillShade="F2"/>
            <w:vAlign w:val="bottom"/>
          </w:tcPr>
          <w:p w:rsidR="0002219B" w:rsidRPr="002312A1" w:rsidRDefault="0002219B" w:rsidP="0002219B">
            <w:pPr>
              <w:rPr>
                <w:b/>
                <w:lang w:eastAsia="en-AU"/>
              </w:rPr>
            </w:pPr>
            <w:r w:rsidRPr="00E4299E">
              <w:rPr>
                <w:b/>
              </w:rPr>
              <w:t>Total income from transactions</w:t>
            </w:r>
          </w:p>
        </w:tc>
        <w:tc>
          <w:tcPr>
            <w:tcW w:w="2037" w:type="dxa"/>
            <w:shd w:val="clear" w:color="auto" w:fill="F2F2F2" w:themeFill="background1" w:themeFillShade="F2"/>
          </w:tcPr>
          <w:p w:rsidR="0002219B" w:rsidRDefault="0002219B" w:rsidP="0089729F">
            <w:pPr>
              <w:rPr>
                <w:lang w:eastAsia="en-AU"/>
              </w:rPr>
            </w:pPr>
            <w:r w:rsidRPr="008A404C">
              <w:rPr>
                <w:b/>
                <w:lang w:eastAsia="en-AU"/>
              </w:rPr>
              <w:t>95</w:t>
            </w:r>
            <w:r>
              <w:rPr>
                <w:b/>
                <w:lang w:eastAsia="en-AU"/>
              </w:rPr>
              <w:t>.4</w:t>
            </w:r>
          </w:p>
        </w:tc>
        <w:tc>
          <w:tcPr>
            <w:tcW w:w="2038" w:type="dxa"/>
            <w:shd w:val="clear" w:color="auto" w:fill="F2F2F2" w:themeFill="background1" w:themeFillShade="F2"/>
          </w:tcPr>
          <w:p w:rsidR="0002219B" w:rsidRDefault="0002219B" w:rsidP="0089729F">
            <w:pPr>
              <w:rPr>
                <w:rFonts w:cs="Arial"/>
                <w:color w:val="000000"/>
                <w:szCs w:val="22"/>
              </w:rPr>
            </w:pPr>
            <w:r>
              <w:rPr>
                <w:rFonts w:cs="Arial"/>
                <w:b/>
                <w:color w:val="000000"/>
                <w:szCs w:val="22"/>
              </w:rPr>
              <w:t>106.1</w:t>
            </w:r>
          </w:p>
        </w:tc>
        <w:tc>
          <w:tcPr>
            <w:tcW w:w="2038" w:type="dxa"/>
            <w:shd w:val="clear" w:color="auto" w:fill="F2F2F2" w:themeFill="background1" w:themeFillShade="F2"/>
            <w:vAlign w:val="center"/>
          </w:tcPr>
          <w:p w:rsidR="0002219B" w:rsidRDefault="0002219B" w:rsidP="0089729F">
            <w:r>
              <w:rPr>
                <w:b/>
              </w:rPr>
              <w:t>11%</w:t>
            </w:r>
          </w:p>
        </w:tc>
      </w:tr>
    </w:tbl>
    <w:p w:rsidR="0002219B" w:rsidRDefault="0002219B" w:rsidP="0002219B">
      <w:pPr>
        <w:pStyle w:val="Heading3"/>
      </w:pPr>
      <w:r>
        <w:t>Expenditure</w:t>
      </w:r>
    </w:p>
    <w:tbl>
      <w:tblPr>
        <w:tblStyle w:val="TableGrid"/>
        <w:tblW w:w="10076" w:type="dxa"/>
        <w:tblLook w:val="04A0" w:firstRow="1" w:lastRow="0" w:firstColumn="1" w:lastColumn="0" w:noHBand="0" w:noVBand="1"/>
      </w:tblPr>
      <w:tblGrid>
        <w:gridCol w:w="3963"/>
        <w:gridCol w:w="2037"/>
        <w:gridCol w:w="2038"/>
        <w:gridCol w:w="2038"/>
      </w:tblGrid>
      <w:tr w:rsidR="0002219B" w:rsidTr="0002219B">
        <w:trPr>
          <w:tblHeader/>
        </w:trPr>
        <w:tc>
          <w:tcPr>
            <w:tcW w:w="3963" w:type="dxa"/>
            <w:shd w:val="clear" w:color="auto" w:fill="D9D9D9" w:themeFill="background1" w:themeFillShade="D9"/>
          </w:tcPr>
          <w:p w:rsidR="0002219B" w:rsidRPr="002312A1" w:rsidRDefault="0002219B" w:rsidP="0002219B">
            <w:pPr>
              <w:rPr>
                <w:b/>
                <w:lang w:eastAsia="en-AU"/>
              </w:rPr>
            </w:pPr>
            <w:r w:rsidRPr="002312A1">
              <w:rPr>
                <w:b/>
              </w:rPr>
              <w:t>Year to date</w:t>
            </w:r>
          </w:p>
        </w:tc>
        <w:tc>
          <w:tcPr>
            <w:tcW w:w="2037" w:type="dxa"/>
            <w:shd w:val="clear" w:color="auto" w:fill="D9D9D9" w:themeFill="background1" w:themeFillShade="D9"/>
          </w:tcPr>
          <w:p w:rsidR="0002219B" w:rsidRPr="002312A1" w:rsidRDefault="0002219B" w:rsidP="006C4164">
            <w:pPr>
              <w:rPr>
                <w:b/>
                <w:lang w:eastAsia="en-AU"/>
              </w:rPr>
            </w:pPr>
            <w:r>
              <w:rPr>
                <w:b/>
                <w:lang w:eastAsia="en-AU"/>
              </w:rPr>
              <w:t>As at 31 Dec 2016</w:t>
            </w:r>
            <w:r w:rsidRPr="002312A1">
              <w:rPr>
                <w:b/>
                <w:lang w:eastAsia="en-AU"/>
              </w:rPr>
              <w:t xml:space="preserve"> ($’m)</w:t>
            </w:r>
          </w:p>
        </w:tc>
        <w:tc>
          <w:tcPr>
            <w:tcW w:w="2038" w:type="dxa"/>
            <w:shd w:val="clear" w:color="auto" w:fill="D9D9D9" w:themeFill="background1" w:themeFillShade="D9"/>
          </w:tcPr>
          <w:p w:rsidR="0002219B" w:rsidRPr="002312A1" w:rsidRDefault="0002219B">
            <w:pPr>
              <w:rPr>
                <w:b/>
                <w:lang w:eastAsia="en-AU"/>
              </w:rPr>
            </w:pPr>
            <w:r>
              <w:rPr>
                <w:b/>
                <w:noProof/>
                <w:lang w:eastAsia="en-AU"/>
              </w:rPr>
              <mc:AlternateContent>
                <mc:Choice Requires="wpi">
                  <w:drawing>
                    <wp:anchor distT="0" distB="0" distL="114300" distR="114300" simplePos="0" relativeHeight="251660800" behindDoc="0" locked="0" layoutInCell="1" allowOverlap="1" wp14:anchorId="093BE4A2" wp14:editId="59BED5D2">
                      <wp:simplePos x="0" y="0"/>
                      <wp:positionH relativeFrom="column">
                        <wp:posOffset>510031</wp:posOffset>
                      </wp:positionH>
                      <wp:positionV relativeFrom="paragraph">
                        <wp:posOffset>356009</wp:posOffset>
                      </wp:positionV>
                      <wp:extent cx="5394" cy="5394"/>
                      <wp:effectExtent l="19050" t="19050" r="52070" b="52070"/>
                      <wp:wrapNone/>
                      <wp:docPr id="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5394" cy="5394"/>
                            </w14:xfrm>
                          </w14:contentPart>
                        </a:graphicData>
                      </a:graphic>
                    </wp:anchor>
                  </w:drawing>
                </mc:Choice>
                <mc:Fallback>
                  <w:pict>
                    <v:shape w14:anchorId="2CE00F59" id="Ink 1" o:spid="_x0000_s1026" type="#_x0000_t75" style="position:absolute;margin-left:40pt;margin-top:27.9pt;width:.7pt;height:.7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">
                      <v:imagedata r:id="rId9" o:title=""/>
                    </v:shape>
                  </w:pict>
                </mc:Fallback>
              </mc:AlternateContent>
            </w:r>
            <w:r>
              <w:rPr>
                <w:b/>
              </w:rPr>
              <w:t>As at 31 Dec 2017</w:t>
            </w:r>
            <w:r w:rsidRPr="002312A1">
              <w:rPr>
                <w:b/>
              </w:rPr>
              <w:t xml:space="preserve"> </w:t>
            </w:r>
            <w:r w:rsidRPr="002312A1">
              <w:rPr>
                <w:b/>
                <w:lang w:eastAsia="en-AU"/>
              </w:rPr>
              <w:t>($’m)</w:t>
            </w:r>
          </w:p>
        </w:tc>
        <w:tc>
          <w:tcPr>
            <w:tcW w:w="2038" w:type="dxa"/>
            <w:shd w:val="clear" w:color="auto" w:fill="D9D9D9" w:themeFill="background1" w:themeFillShade="D9"/>
          </w:tcPr>
          <w:p w:rsidR="0002219B" w:rsidRPr="002312A1" w:rsidRDefault="0002219B">
            <w:pPr>
              <w:rPr>
                <w:b/>
                <w:lang w:eastAsia="en-AU"/>
              </w:rPr>
            </w:pPr>
            <w:r w:rsidRPr="002312A1">
              <w:rPr>
                <w:b/>
                <w:lang w:eastAsia="en-AU"/>
              </w:rPr>
              <w:t>Variance</w:t>
            </w:r>
          </w:p>
        </w:tc>
      </w:tr>
      <w:tr w:rsidR="0002219B" w:rsidTr="0002219B">
        <w:tc>
          <w:tcPr>
            <w:tcW w:w="3963" w:type="dxa"/>
            <w:vAlign w:val="bottom"/>
          </w:tcPr>
          <w:p w:rsidR="0002219B" w:rsidRDefault="0002219B" w:rsidP="0002219B">
            <w:pPr>
              <w:rPr>
                <w:lang w:eastAsia="en-AU"/>
              </w:rPr>
            </w:pPr>
            <w:r w:rsidRPr="00320668">
              <w:t>Case-related payments</w:t>
            </w:r>
          </w:p>
        </w:tc>
        <w:tc>
          <w:tcPr>
            <w:tcW w:w="2037" w:type="dxa"/>
          </w:tcPr>
          <w:p w:rsidR="0002219B" w:rsidRDefault="0002219B" w:rsidP="0089729F">
            <w:pPr>
              <w:rPr>
                <w:lang w:eastAsia="en-AU"/>
              </w:rPr>
            </w:pPr>
            <w:r>
              <w:rPr>
                <w:lang w:eastAsia="en-AU"/>
              </w:rPr>
              <w:t>40.6</w:t>
            </w:r>
          </w:p>
        </w:tc>
        <w:tc>
          <w:tcPr>
            <w:tcW w:w="2038" w:type="dxa"/>
          </w:tcPr>
          <w:p w:rsidR="0002219B" w:rsidRDefault="0002219B" w:rsidP="0089729F">
            <w:pPr>
              <w:rPr>
                <w:rFonts w:cs="Arial"/>
                <w:color w:val="000000"/>
                <w:szCs w:val="22"/>
              </w:rPr>
            </w:pPr>
            <w:r>
              <w:rPr>
                <w:rFonts w:cs="Arial"/>
                <w:color w:val="000000"/>
                <w:szCs w:val="22"/>
              </w:rPr>
              <w:t>46.4</w:t>
            </w:r>
          </w:p>
        </w:tc>
        <w:tc>
          <w:tcPr>
            <w:tcW w:w="2038" w:type="dxa"/>
            <w:vAlign w:val="center"/>
          </w:tcPr>
          <w:p w:rsidR="0002219B" w:rsidRDefault="0002219B" w:rsidP="0089729F">
            <w:pPr>
              <w:rPr>
                <w:lang w:eastAsia="en-AU"/>
              </w:rPr>
            </w:pPr>
            <w:r>
              <w:rPr>
                <w:lang w:eastAsia="en-AU"/>
              </w:rPr>
              <w:t>14%</w:t>
            </w:r>
          </w:p>
        </w:tc>
      </w:tr>
      <w:tr w:rsidR="0002219B" w:rsidTr="0002219B">
        <w:tc>
          <w:tcPr>
            <w:tcW w:w="3963" w:type="dxa"/>
            <w:vAlign w:val="bottom"/>
          </w:tcPr>
          <w:p w:rsidR="0002219B" w:rsidRDefault="0002219B" w:rsidP="0002219B">
            <w:pPr>
              <w:rPr>
                <w:lang w:eastAsia="en-AU"/>
              </w:rPr>
            </w:pPr>
            <w:r>
              <w:t>CLC payments</w:t>
            </w:r>
          </w:p>
        </w:tc>
        <w:tc>
          <w:tcPr>
            <w:tcW w:w="2037" w:type="dxa"/>
          </w:tcPr>
          <w:p w:rsidR="0002219B" w:rsidRDefault="0002219B" w:rsidP="0089729F">
            <w:pPr>
              <w:rPr>
                <w:lang w:eastAsia="en-AU"/>
              </w:rPr>
            </w:pPr>
            <w:r>
              <w:rPr>
                <w:lang w:eastAsia="en-AU"/>
              </w:rPr>
              <w:t>14.4</w:t>
            </w:r>
          </w:p>
        </w:tc>
        <w:tc>
          <w:tcPr>
            <w:tcW w:w="2038" w:type="dxa"/>
          </w:tcPr>
          <w:p w:rsidR="0002219B" w:rsidRDefault="0002219B" w:rsidP="0089729F">
            <w:pPr>
              <w:rPr>
                <w:rFonts w:cs="Arial"/>
                <w:color w:val="000000"/>
                <w:szCs w:val="22"/>
              </w:rPr>
            </w:pPr>
            <w:r>
              <w:rPr>
                <w:rFonts w:cs="Arial"/>
                <w:color w:val="000000"/>
                <w:szCs w:val="22"/>
              </w:rPr>
              <w:t>14.3</w:t>
            </w:r>
          </w:p>
        </w:tc>
        <w:tc>
          <w:tcPr>
            <w:tcW w:w="2038" w:type="dxa"/>
            <w:vAlign w:val="center"/>
          </w:tcPr>
          <w:p w:rsidR="0002219B" w:rsidRDefault="0002219B" w:rsidP="0089729F">
            <w:pPr>
              <w:rPr>
                <w:lang w:eastAsia="en-AU"/>
              </w:rPr>
            </w:pPr>
            <w:r>
              <w:rPr>
                <w:lang w:eastAsia="en-AU"/>
              </w:rPr>
              <w:t>-1%</w:t>
            </w:r>
          </w:p>
        </w:tc>
      </w:tr>
      <w:tr w:rsidR="0002219B" w:rsidTr="0002219B">
        <w:tc>
          <w:tcPr>
            <w:tcW w:w="3963" w:type="dxa"/>
            <w:vAlign w:val="bottom"/>
          </w:tcPr>
          <w:p w:rsidR="0002219B" w:rsidRDefault="0002219B" w:rsidP="0002219B">
            <w:pPr>
              <w:rPr>
                <w:lang w:eastAsia="en-AU"/>
              </w:rPr>
            </w:pPr>
            <w:r w:rsidRPr="00320668">
              <w:t>Employee benefits</w:t>
            </w:r>
          </w:p>
        </w:tc>
        <w:tc>
          <w:tcPr>
            <w:tcW w:w="2037" w:type="dxa"/>
          </w:tcPr>
          <w:p w:rsidR="0002219B" w:rsidRDefault="0002219B" w:rsidP="0089729F">
            <w:pPr>
              <w:rPr>
                <w:lang w:eastAsia="en-AU"/>
              </w:rPr>
            </w:pPr>
            <w:r>
              <w:rPr>
                <w:lang w:eastAsia="en-AU"/>
              </w:rPr>
              <w:t>32.5</w:t>
            </w:r>
          </w:p>
        </w:tc>
        <w:tc>
          <w:tcPr>
            <w:tcW w:w="2038" w:type="dxa"/>
          </w:tcPr>
          <w:p w:rsidR="0002219B" w:rsidRDefault="0002219B" w:rsidP="0089729F">
            <w:pPr>
              <w:rPr>
                <w:rFonts w:cs="Arial"/>
                <w:color w:val="000000"/>
                <w:szCs w:val="22"/>
              </w:rPr>
            </w:pPr>
            <w:r>
              <w:rPr>
                <w:rFonts w:cs="Arial"/>
                <w:color w:val="000000"/>
                <w:szCs w:val="22"/>
              </w:rPr>
              <w:t>35.3</w:t>
            </w:r>
          </w:p>
        </w:tc>
        <w:tc>
          <w:tcPr>
            <w:tcW w:w="2038" w:type="dxa"/>
            <w:vAlign w:val="center"/>
          </w:tcPr>
          <w:p w:rsidR="0002219B" w:rsidRDefault="0002219B" w:rsidP="0089729F">
            <w:pPr>
              <w:rPr>
                <w:lang w:eastAsia="en-AU"/>
              </w:rPr>
            </w:pPr>
            <w:r>
              <w:rPr>
                <w:lang w:eastAsia="en-AU"/>
              </w:rPr>
              <w:t>9%</w:t>
            </w:r>
          </w:p>
        </w:tc>
      </w:tr>
      <w:tr w:rsidR="0002219B" w:rsidTr="0002219B">
        <w:tc>
          <w:tcPr>
            <w:tcW w:w="3963" w:type="dxa"/>
            <w:vAlign w:val="bottom"/>
          </w:tcPr>
          <w:p w:rsidR="0002219B" w:rsidRDefault="0002219B" w:rsidP="0002219B">
            <w:r w:rsidRPr="00320668">
              <w:t>Depreciation and amortisation</w:t>
            </w:r>
          </w:p>
        </w:tc>
        <w:tc>
          <w:tcPr>
            <w:tcW w:w="2037" w:type="dxa"/>
          </w:tcPr>
          <w:p w:rsidR="0002219B" w:rsidRDefault="0002219B" w:rsidP="0089729F">
            <w:pPr>
              <w:rPr>
                <w:lang w:eastAsia="en-AU"/>
              </w:rPr>
            </w:pPr>
            <w:r>
              <w:rPr>
                <w:lang w:eastAsia="en-AU"/>
              </w:rPr>
              <w:t>1.4</w:t>
            </w:r>
          </w:p>
        </w:tc>
        <w:tc>
          <w:tcPr>
            <w:tcW w:w="2038" w:type="dxa"/>
          </w:tcPr>
          <w:p w:rsidR="0002219B" w:rsidRDefault="0002219B" w:rsidP="0089729F">
            <w:pPr>
              <w:rPr>
                <w:rFonts w:cs="Arial"/>
                <w:color w:val="000000"/>
                <w:szCs w:val="22"/>
              </w:rPr>
            </w:pPr>
            <w:r>
              <w:rPr>
                <w:rFonts w:cs="Arial"/>
                <w:color w:val="000000"/>
                <w:szCs w:val="22"/>
              </w:rPr>
              <w:t>1.5</w:t>
            </w:r>
          </w:p>
        </w:tc>
        <w:tc>
          <w:tcPr>
            <w:tcW w:w="2038" w:type="dxa"/>
            <w:vAlign w:val="center"/>
          </w:tcPr>
          <w:p w:rsidR="0002219B" w:rsidRDefault="0002219B" w:rsidP="0089729F">
            <w:pPr>
              <w:rPr>
                <w:lang w:eastAsia="en-AU"/>
              </w:rPr>
            </w:pPr>
            <w:r>
              <w:rPr>
                <w:lang w:eastAsia="en-AU"/>
              </w:rPr>
              <w:t>7%</w:t>
            </w:r>
          </w:p>
        </w:tc>
      </w:tr>
      <w:tr w:rsidR="0002219B" w:rsidTr="0002219B">
        <w:tc>
          <w:tcPr>
            <w:tcW w:w="3963" w:type="dxa"/>
            <w:shd w:val="clear" w:color="auto" w:fill="FFFFFF" w:themeFill="background1"/>
            <w:vAlign w:val="bottom"/>
          </w:tcPr>
          <w:p w:rsidR="0002219B" w:rsidRPr="002312A1" w:rsidRDefault="0002219B" w:rsidP="0002219B">
            <w:pPr>
              <w:rPr>
                <w:b/>
                <w:lang w:eastAsia="en-AU"/>
              </w:rPr>
            </w:pPr>
            <w:r w:rsidRPr="00320668">
              <w:t xml:space="preserve">Other </w:t>
            </w:r>
            <w:r w:rsidRPr="00BF65AA">
              <w:t>expenditure</w:t>
            </w:r>
          </w:p>
        </w:tc>
        <w:tc>
          <w:tcPr>
            <w:tcW w:w="2037" w:type="dxa"/>
            <w:shd w:val="clear" w:color="auto" w:fill="FFFFFF" w:themeFill="background1"/>
          </w:tcPr>
          <w:p w:rsidR="0002219B" w:rsidRDefault="0002219B" w:rsidP="0089729F">
            <w:pPr>
              <w:rPr>
                <w:lang w:eastAsia="en-AU"/>
              </w:rPr>
            </w:pPr>
            <w:r>
              <w:rPr>
                <w:lang w:eastAsia="en-AU"/>
              </w:rPr>
              <w:t>8.8</w:t>
            </w:r>
          </w:p>
        </w:tc>
        <w:tc>
          <w:tcPr>
            <w:tcW w:w="2038" w:type="dxa"/>
            <w:shd w:val="clear" w:color="auto" w:fill="FFFFFF" w:themeFill="background1"/>
          </w:tcPr>
          <w:p w:rsidR="0002219B" w:rsidRDefault="0002219B" w:rsidP="0089729F">
            <w:pPr>
              <w:rPr>
                <w:rFonts w:cs="Arial"/>
                <w:color w:val="000000"/>
                <w:szCs w:val="22"/>
              </w:rPr>
            </w:pPr>
            <w:r>
              <w:rPr>
                <w:rFonts w:cs="Arial"/>
                <w:color w:val="000000"/>
                <w:szCs w:val="22"/>
              </w:rPr>
              <w:t>9.5</w:t>
            </w:r>
          </w:p>
        </w:tc>
        <w:tc>
          <w:tcPr>
            <w:tcW w:w="2038" w:type="dxa"/>
            <w:shd w:val="clear" w:color="auto" w:fill="FFFFFF" w:themeFill="background1"/>
            <w:vAlign w:val="center"/>
          </w:tcPr>
          <w:p w:rsidR="0002219B" w:rsidRDefault="0002219B" w:rsidP="0089729F">
            <w:r>
              <w:t>8%</w:t>
            </w:r>
          </w:p>
        </w:tc>
      </w:tr>
      <w:tr w:rsidR="0002219B" w:rsidTr="0002219B">
        <w:tc>
          <w:tcPr>
            <w:tcW w:w="3963" w:type="dxa"/>
            <w:tcBorders>
              <w:bottom w:val="single" w:sz="4" w:space="0" w:color="auto"/>
            </w:tcBorders>
            <w:shd w:val="clear" w:color="auto" w:fill="F2F2F2" w:themeFill="background1" w:themeFillShade="F2"/>
            <w:vAlign w:val="bottom"/>
          </w:tcPr>
          <w:p w:rsidR="0002219B" w:rsidRPr="00320668" w:rsidRDefault="0002219B" w:rsidP="0002219B">
            <w:r w:rsidRPr="00E83534">
              <w:rPr>
                <w:b/>
              </w:rPr>
              <w:t>Total expenses from transactions</w:t>
            </w:r>
          </w:p>
        </w:tc>
        <w:tc>
          <w:tcPr>
            <w:tcW w:w="2037" w:type="dxa"/>
            <w:tcBorders>
              <w:bottom w:val="single" w:sz="4" w:space="0" w:color="auto"/>
            </w:tcBorders>
            <w:shd w:val="clear" w:color="auto" w:fill="F2F2F2" w:themeFill="background1" w:themeFillShade="F2"/>
          </w:tcPr>
          <w:p w:rsidR="0002219B" w:rsidRPr="00762D97" w:rsidRDefault="0002219B" w:rsidP="0089729F">
            <w:pPr>
              <w:rPr>
                <w:b/>
                <w:lang w:eastAsia="en-AU"/>
              </w:rPr>
            </w:pPr>
            <w:r w:rsidRPr="00762D97">
              <w:rPr>
                <w:b/>
                <w:lang w:eastAsia="en-AU"/>
              </w:rPr>
              <w:t>97.7</w:t>
            </w:r>
          </w:p>
        </w:tc>
        <w:tc>
          <w:tcPr>
            <w:tcW w:w="2038" w:type="dxa"/>
            <w:tcBorders>
              <w:bottom w:val="single" w:sz="4" w:space="0" w:color="auto"/>
            </w:tcBorders>
            <w:shd w:val="clear" w:color="auto" w:fill="F2F2F2" w:themeFill="background1" w:themeFillShade="F2"/>
          </w:tcPr>
          <w:p w:rsidR="0002219B" w:rsidRDefault="0002219B" w:rsidP="0089729F">
            <w:pPr>
              <w:rPr>
                <w:rFonts w:cs="Arial"/>
                <w:color w:val="000000"/>
                <w:szCs w:val="22"/>
              </w:rPr>
            </w:pPr>
            <w:r>
              <w:rPr>
                <w:rFonts w:cs="Arial"/>
                <w:b/>
                <w:color w:val="000000"/>
                <w:szCs w:val="22"/>
              </w:rPr>
              <w:t>106.</w:t>
            </w:r>
            <w:r w:rsidRPr="00727923">
              <w:rPr>
                <w:rFonts w:cs="Arial"/>
                <w:b/>
                <w:color w:val="000000"/>
                <w:szCs w:val="22"/>
              </w:rPr>
              <w:t>9</w:t>
            </w:r>
          </w:p>
        </w:tc>
        <w:tc>
          <w:tcPr>
            <w:tcW w:w="2038" w:type="dxa"/>
            <w:tcBorders>
              <w:bottom w:val="single" w:sz="4" w:space="0" w:color="auto"/>
            </w:tcBorders>
            <w:shd w:val="clear" w:color="auto" w:fill="F2F2F2" w:themeFill="background1" w:themeFillShade="F2"/>
            <w:vAlign w:val="center"/>
          </w:tcPr>
          <w:p w:rsidR="0002219B" w:rsidRDefault="0002219B" w:rsidP="0089729F">
            <w:r>
              <w:t>9%</w:t>
            </w:r>
          </w:p>
        </w:tc>
      </w:tr>
    </w:tbl>
    <w:p w:rsidR="0002219B" w:rsidRDefault="0002219B" w:rsidP="0002219B">
      <w:pPr>
        <w:pStyle w:val="Heading3"/>
      </w:pPr>
      <w:r>
        <w:lastRenderedPageBreak/>
        <w:t xml:space="preserve">Our financial future </w:t>
      </w:r>
    </w:p>
    <w:p w:rsidR="0002219B" w:rsidRDefault="0002219B" w:rsidP="0002219B">
      <w:bookmarkStart w:id="0" w:name="_Funding_we_distribute"/>
      <w:bookmarkEnd w:id="0"/>
      <w:r w:rsidRPr="00CE68F2">
        <w:t xml:space="preserve">Our financial future is uncertain. </w:t>
      </w:r>
      <w:r>
        <w:t>We have limited control over what drives demand for our services and the number of people needing our</w:t>
      </w:r>
      <w:r w:rsidRPr="00774C29">
        <w:t xml:space="preserve"> </w:t>
      </w:r>
      <w:r>
        <w:t>help</w:t>
      </w:r>
      <w:r w:rsidRPr="00774C29">
        <w:t xml:space="preserve"> has been growing </w:t>
      </w:r>
      <w:r>
        <w:t xml:space="preserve">faster </w:t>
      </w:r>
      <w:r w:rsidRPr="00774C29">
        <w:t>than our core funding.</w:t>
      </w:r>
      <w:r>
        <w:t xml:space="preserve"> </w:t>
      </w:r>
      <w:r w:rsidRPr="00774C29">
        <w:t xml:space="preserve">We are </w:t>
      </w:r>
      <w:r>
        <w:t xml:space="preserve">using our cash reserves to preserve existing eligibility guidelines but this can’t go on forever. Although it is a responsible use of funds now, more </w:t>
      </w:r>
      <w:r w:rsidRPr="00774C29">
        <w:t xml:space="preserve">investment is needed to better balance </w:t>
      </w:r>
      <w:r>
        <w:t xml:space="preserve">what are </w:t>
      </w:r>
      <w:r w:rsidRPr="00774C29">
        <w:t>unprecedented pressures on the criminal justice system</w:t>
      </w:r>
      <w:r>
        <w:t xml:space="preserve">, </w:t>
      </w:r>
      <w:r w:rsidRPr="00774C29">
        <w:t>courts</w:t>
      </w:r>
      <w:r>
        <w:t xml:space="preserve"> and</w:t>
      </w:r>
      <w:r w:rsidRPr="00774C29">
        <w:t xml:space="preserve"> legal aid, </w:t>
      </w:r>
      <w:r>
        <w:t xml:space="preserve">brought about by </w:t>
      </w:r>
      <w:r w:rsidRPr="00774C29">
        <w:t xml:space="preserve">the Victorian Government’s </w:t>
      </w:r>
      <w:r>
        <w:t xml:space="preserve">community safety initiatives. </w:t>
      </w:r>
    </w:p>
    <w:p w:rsidR="0002219B" w:rsidRDefault="0002219B" w:rsidP="0002219B">
      <w:r>
        <w:t xml:space="preserve">The table below shows Victoria Legal Aid’s revenue, expenditure and operating results for the past four years and our forecast results for the next four years. The results show that we expect to spend more money than we are receiving over the next few years due to the impacts of increased family violence reporting, youth justice reforms, additional police and child protection officers and other changes in the law design to improve community safety. These are conservative forecasts that do not fully factor in the impact of bail law reforms and 3,000 additional police coming on line over the next few years. They are based on recent average trend growth and population growth. </w:t>
      </w:r>
    </w:p>
    <w:p w:rsidR="0002219B" w:rsidRDefault="0002219B" w:rsidP="0002219B">
      <w:pPr>
        <w:pStyle w:val="Heading4"/>
      </w:pPr>
      <w:r w:rsidRPr="006D5FA0">
        <w:t>Victoria Legal Aid operating re</w:t>
      </w:r>
      <w:r>
        <w:t>sults (actual and forecast) 2013</w:t>
      </w:r>
      <w:r w:rsidRPr="006D5FA0">
        <w:t>–</w:t>
      </w:r>
      <w:r w:rsidR="006C4164" w:rsidRPr="006D5FA0">
        <w:t>20</w:t>
      </w:r>
      <w:r w:rsidR="006C4164">
        <w:t>17</w:t>
      </w:r>
    </w:p>
    <w:tbl>
      <w:tblPr>
        <w:tblStyle w:val="TableGrid"/>
        <w:tblW w:w="5000" w:type="pct"/>
        <w:tblLook w:val="04A0" w:firstRow="1" w:lastRow="0" w:firstColumn="1" w:lastColumn="0" w:noHBand="0" w:noVBand="1"/>
      </w:tblPr>
      <w:tblGrid>
        <w:gridCol w:w="2050"/>
        <w:gridCol w:w="2007"/>
        <w:gridCol w:w="2007"/>
        <w:gridCol w:w="2007"/>
        <w:gridCol w:w="2005"/>
      </w:tblGrid>
      <w:tr w:rsidR="0002219B" w:rsidRPr="001E250B" w:rsidTr="0089729F">
        <w:trPr>
          <w:tblHeader/>
        </w:trPr>
        <w:tc>
          <w:tcPr>
            <w:tcW w:w="1017" w:type="pct"/>
            <w:shd w:val="clear" w:color="auto" w:fill="D9D9D9" w:themeFill="background1" w:themeFillShade="D9"/>
            <w:vAlign w:val="bottom"/>
          </w:tcPr>
          <w:p w:rsidR="0002219B" w:rsidRPr="006D5FA0" w:rsidRDefault="0002219B" w:rsidP="0002219B">
            <w:pPr>
              <w:rPr>
                <w:rFonts w:cs="Arial"/>
                <w:b/>
                <w:szCs w:val="22"/>
              </w:rPr>
            </w:pPr>
            <w:r w:rsidRPr="006D5FA0">
              <w:rPr>
                <w:rFonts w:cs="Arial"/>
                <w:b/>
                <w:szCs w:val="22"/>
              </w:rPr>
              <w:t>$</w:t>
            </w:r>
            <w:r>
              <w:rPr>
                <w:rFonts w:cs="Arial"/>
                <w:b/>
                <w:szCs w:val="22"/>
              </w:rPr>
              <w:t xml:space="preserve"> </w:t>
            </w:r>
            <w:r w:rsidRPr="006D5FA0">
              <w:rPr>
                <w:rFonts w:cs="Arial"/>
                <w:b/>
                <w:szCs w:val="22"/>
              </w:rPr>
              <w:t>millions</w:t>
            </w:r>
          </w:p>
        </w:tc>
        <w:tc>
          <w:tcPr>
            <w:tcW w:w="996" w:type="pct"/>
            <w:shd w:val="clear" w:color="auto" w:fill="D9D9D9" w:themeFill="background1" w:themeFillShade="D9"/>
            <w:vAlign w:val="bottom"/>
          </w:tcPr>
          <w:p w:rsidR="0002219B" w:rsidRPr="001E250B" w:rsidRDefault="0002219B" w:rsidP="0089729F">
            <w:pPr>
              <w:rPr>
                <w:rFonts w:cs="Arial"/>
                <w:szCs w:val="22"/>
              </w:rPr>
            </w:pPr>
            <w:r w:rsidRPr="006D5FA0">
              <w:rPr>
                <w:rFonts w:cs="Arial"/>
                <w:b/>
                <w:bCs/>
                <w:szCs w:val="22"/>
              </w:rPr>
              <w:t>2013–14</w:t>
            </w:r>
          </w:p>
        </w:tc>
        <w:tc>
          <w:tcPr>
            <w:tcW w:w="996" w:type="pct"/>
            <w:shd w:val="clear" w:color="auto" w:fill="D9D9D9" w:themeFill="background1" w:themeFillShade="D9"/>
            <w:vAlign w:val="bottom"/>
          </w:tcPr>
          <w:p w:rsidR="0002219B" w:rsidRPr="001E250B" w:rsidRDefault="0002219B" w:rsidP="0089729F">
            <w:pPr>
              <w:rPr>
                <w:rFonts w:cs="Arial"/>
                <w:szCs w:val="22"/>
              </w:rPr>
            </w:pPr>
            <w:r w:rsidRPr="006D5FA0">
              <w:rPr>
                <w:rFonts w:cs="Arial"/>
                <w:b/>
                <w:bCs/>
                <w:szCs w:val="22"/>
              </w:rPr>
              <w:t>2014–15</w:t>
            </w:r>
          </w:p>
        </w:tc>
        <w:tc>
          <w:tcPr>
            <w:tcW w:w="996" w:type="pct"/>
            <w:shd w:val="clear" w:color="auto" w:fill="D9D9D9" w:themeFill="background1" w:themeFillShade="D9"/>
            <w:vAlign w:val="bottom"/>
          </w:tcPr>
          <w:p w:rsidR="0002219B" w:rsidRPr="001E250B" w:rsidRDefault="0002219B" w:rsidP="0089729F">
            <w:pPr>
              <w:rPr>
                <w:rFonts w:cs="Arial"/>
                <w:szCs w:val="22"/>
              </w:rPr>
            </w:pPr>
            <w:r w:rsidRPr="006D5FA0">
              <w:rPr>
                <w:rFonts w:cs="Arial"/>
                <w:b/>
                <w:bCs/>
                <w:szCs w:val="22"/>
              </w:rPr>
              <w:t>2015–16</w:t>
            </w:r>
          </w:p>
        </w:tc>
        <w:tc>
          <w:tcPr>
            <w:tcW w:w="995" w:type="pct"/>
            <w:shd w:val="clear" w:color="auto" w:fill="D9D9D9" w:themeFill="background1" w:themeFillShade="D9"/>
            <w:vAlign w:val="bottom"/>
          </w:tcPr>
          <w:p w:rsidR="0002219B" w:rsidRPr="001E250B" w:rsidRDefault="0002219B" w:rsidP="0089729F">
            <w:pPr>
              <w:rPr>
                <w:rFonts w:cs="Arial"/>
                <w:szCs w:val="22"/>
              </w:rPr>
            </w:pPr>
            <w:r w:rsidRPr="006D5FA0">
              <w:rPr>
                <w:rFonts w:cs="Arial"/>
                <w:b/>
                <w:bCs/>
                <w:szCs w:val="22"/>
              </w:rPr>
              <w:t>2016–17</w:t>
            </w:r>
          </w:p>
        </w:tc>
      </w:tr>
      <w:tr w:rsidR="0002219B" w:rsidRPr="001E250B" w:rsidTr="0002219B">
        <w:tc>
          <w:tcPr>
            <w:tcW w:w="1017" w:type="pct"/>
            <w:vAlign w:val="bottom"/>
          </w:tcPr>
          <w:p w:rsidR="0002219B" w:rsidRPr="001E250B" w:rsidRDefault="0002219B" w:rsidP="0002219B">
            <w:r w:rsidRPr="006D5FA0">
              <w:t>Revenue</w:t>
            </w:r>
          </w:p>
        </w:tc>
        <w:tc>
          <w:tcPr>
            <w:tcW w:w="996" w:type="pct"/>
            <w:vAlign w:val="bottom"/>
          </w:tcPr>
          <w:p w:rsidR="0002219B" w:rsidRPr="008950E4" w:rsidRDefault="0002219B" w:rsidP="0089729F">
            <w:r>
              <w:rPr>
                <w:lang w:eastAsia="en-AU"/>
              </w:rPr>
              <w:t>171.3</w:t>
            </w:r>
          </w:p>
        </w:tc>
        <w:tc>
          <w:tcPr>
            <w:tcW w:w="996" w:type="pct"/>
            <w:vAlign w:val="bottom"/>
          </w:tcPr>
          <w:p w:rsidR="0002219B" w:rsidRPr="008950E4" w:rsidRDefault="0002219B" w:rsidP="0089729F">
            <w:r>
              <w:rPr>
                <w:lang w:eastAsia="en-AU"/>
              </w:rPr>
              <w:t>175.9</w:t>
            </w:r>
          </w:p>
        </w:tc>
        <w:tc>
          <w:tcPr>
            <w:tcW w:w="996" w:type="pct"/>
            <w:vAlign w:val="bottom"/>
          </w:tcPr>
          <w:p w:rsidR="0002219B" w:rsidRPr="008950E4" w:rsidRDefault="0002219B" w:rsidP="0089729F">
            <w:r>
              <w:rPr>
                <w:lang w:eastAsia="en-AU"/>
              </w:rPr>
              <w:t>183.5</w:t>
            </w:r>
          </w:p>
        </w:tc>
        <w:tc>
          <w:tcPr>
            <w:tcW w:w="995" w:type="pct"/>
            <w:vAlign w:val="bottom"/>
          </w:tcPr>
          <w:p w:rsidR="0002219B" w:rsidRPr="008950E4" w:rsidRDefault="0002219B" w:rsidP="0089729F">
            <w:r>
              <w:rPr>
                <w:lang w:eastAsia="en-AU"/>
              </w:rPr>
              <w:t>191.9</w:t>
            </w:r>
          </w:p>
        </w:tc>
      </w:tr>
      <w:tr w:rsidR="0002219B" w:rsidRPr="001E250B" w:rsidTr="0002219B">
        <w:tc>
          <w:tcPr>
            <w:tcW w:w="1017" w:type="pct"/>
            <w:vAlign w:val="bottom"/>
          </w:tcPr>
          <w:p w:rsidR="0002219B" w:rsidRPr="001E250B" w:rsidRDefault="0002219B" w:rsidP="0002219B">
            <w:r w:rsidRPr="006D5FA0">
              <w:t>Expenditure</w:t>
            </w:r>
          </w:p>
        </w:tc>
        <w:tc>
          <w:tcPr>
            <w:tcW w:w="996" w:type="pct"/>
            <w:vAlign w:val="bottom"/>
          </w:tcPr>
          <w:p w:rsidR="0002219B" w:rsidRPr="008950E4" w:rsidRDefault="0002219B" w:rsidP="0089729F">
            <w:r>
              <w:rPr>
                <w:lang w:eastAsia="en-AU"/>
              </w:rPr>
              <w:t>155.9</w:t>
            </w:r>
          </w:p>
        </w:tc>
        <w:tc>
          <w:tcPr>
            <w:tcW w:w="996" w:type="pct"/>
            <w:vAlign w:val="bottom"/>
          </w:tcPr>
          <w:p w:rsidR="0002219B" w:rsidRPr="008950E4" w:rsidRDefault="0002219B" w:rsidP="0089729F">
            <w:r>
              <w:rPr>
                <w:lang w:eastAsia="en-AU"/>
              </w:rPr>
              <w:t>164.9</w:t>
            </w:r>
          </w:p>
        </w:tc>
        <w:tc>
          <w:tcPr>
            <w:tcW w:w="996" w:type="pct"/>
            <w:vAlign w:val="bottom"/>
          </w:tcPr>
          <w:p w:rsidR="0002219B" w:rsidRPr="008950E4" w:rsidRDefault="0002219B" w:rsidP="0089729F">
            <w:r>
              <w:rPr>
                <w:lang w:eastAsia="en-AU"/>
              </w:rPr>
              <w:t>182.0</w:t>
            </w:r>
          </w:p>
        </w:tc>
        <w:tc>
          <w:tcPr>
            <w:tcW w:w="995" w:type="pct"/>
            <w:vAlign w:val="bottom"/>
          </w:tcPr>
          <w:p w:rsidR="0002219B" w:rsidRPr="008950E4" w:rsidRDefault="0002219B" w:rsidP="0089729F">
            <w:r>
              <w:rPr>
                <w:lang w:eastAsia="en-AU"/>
              </w:rPr>
              <w:t>201.8</w:t>
            </w:r>
          </w:p>
        </w:tc>
      </w:tr>
      <w:tr w:rsidR="0002219B" w:rsidRPr="001E250B" w:rsidTr="0002219B">
        <w:tc>
          <w:tcPr>
            <w:tcW w:w="1017" w:type="pct"/>
            <w:vAlign w:val="bottom"/>
          </w:tcPr>
          <w:p w:rsidR="0002219B" w:rsidRDefault="0002219B" w:rsidP="0002219B">
            <w:r w:rsidRPr="006D5FA0">
              <w:t>Operating Result</w:t>
            </w:r>
          </w:p>
        </w:tc>
        <w:tc>
          <w:tcPr>
            <w:tcW w:w="996" w:type="pct"/>
            <w:vAlign w:val="bottom"/>
          </w:tcPr>
          <w:p w:rsidR="0002219B" w:rsidRPr="008950E4" w:rsidRDefault="0002219B" w:rsidP="0089729F">
            <w:r>
              <w:rPr>
                <w:lang w:eastAsia="en-AU"/>
              </w:rPr>
              <w:t>16.1</w:t>
            </w:r>
          </w:p>
        </w:tc>
        <w:tc>
          <w:tcPr>
            <w:tcW w:w="996" w:type="pct"/>
            <w:vAlign w:val="bottom"/>
          </w:tcPr>
          <w:p w:rsidR="0002219B" w:rsidRPr="008950E4" w:rsidRDefault="0002219B" w:rsidP="0089729F">
            <w:r>
              <w:rPr>
                <w:lang w:eastAsia="en-AU"/>
              </w:rPr>
              <w:t>11.0</w:t>
            </w:r>
          </w:p>
        </w:tc>
        <w:tc>
          <w:tcPr>
            <w:tcW w:w="996" w:type="pct"/>
            <w:vAlign w:val="bottom"/>
          </w:tcPr>
          <w:p w:rsidR="0002219B" w:rsidRPr="008950E4" w:rsidRDefault="0002219B" w:rsidP="0089729F">
            <w:r>
              <w:rPr>
                <w:lang w:eastAsia="en-AU"/>
              </w:rPr>
              <w:t>2.7</w:t>
            </w:r>
          </w:p>
        </w:tc>
        <w:tc>
          <w:tcPr>
            <w:tcW w:w="995" w:type="pct"/>
            <w:vAlign w:val="bottom"/>
          </w:tcPr>
          <w:p w:rsidR="0002219B" w:rsidRPr="008950E4" w:rsidRDefault="0002219B" w:rsidP="0089729F">
            <w:r>
              <w:rPr>
                <w:lang w:eastAsia="en-AU"/>
              </w:rPr>
              <w:t>-10.9</w:t>
            </w:r>
          </w:p>
        </w:tc>
      </w:tr>
      <w:tr w:rsidR="0002219B" w:rsidRPr="001E250B" w:rsidTr="0002219B">
        <w:tc>
          <w:tcPr>
            <w:tcW w:w="1017" w:type="pct"/>
            <w:vAlign w:val="bottom"/>
          </w:tcPr>
          <w:p w:rsidR="0002219B" w:rsidRDefault="0002219B" w:rsidP="0002219B">
            <w:r w:rsidRPr="006D5FA0">
              <w:t>Cash</w:t>
            </w:r>
          </w:p>
        </w:tc>
        <w:tc>
          <w:tcPr>
            <w:tcW w:w="996" w:type="pct"/>
            <w:vAlign w:val="bottom"/>
          </w:tcPr>
          <w:p w:rsidR="0002219B" w:rsidRPr="008950E4" w:rsidRDefault="0002219B" w:rsidP="0089729F">
            <w:r>
              <w:rPr>
                <w:lang w:eastAsia="en-AU"/>
              </w:rPr>
              <w:t>30.0</w:t>
            </w:r>
          </w:p>
        </w:tc>
        <w:tc>
          <w:tcPr>
            <w:tcW w:w="996" w:type="pct"/>
            <w:vAlign w:val="bottom"/>
          </w:tcPr>
          <w:p w:rsidR="0002219B" w:rsidRPr="008950E4" w:rsidRDefault="0002219B" w:rsidP="0089729F">
            <w:r>
              <w:rPr>
                <w:lang w:eastAsia="en-AU"/>
              </w:rPr>
              <w:t>42.2</w:t>
            </w:r>
          </w:p>
        </w:tc>
        <w:tc>
          <w:tcPr>
            <w:tcW w:w="996" w:type="pct"/>
            <w:vAlign w:val="bottom"/>
          </w:tcPr>
          <w:p w:rsidR="0002219B" w:rsidRPr="008950E4" w:rsidRDefault="0002219B" w:rsidP="0089729F">
            <w:r>
              <w:rPr>
                <w:lang w:eastAsia="en-AU"/>
              </w:rPr>
              <w:t>48.7</w:t>
            </w:r>
          </w:p>
        </w:tc>
        <w:tc>
          <w:tcPr>
            <w:tcW w:w="995" w:type="pct"/>
            <w:vAlign w:val="bottom"/>
          </w:tcPr>
          <w:p w:rsidR="0002219B" w:rsidRPr="008950E4" w:rsidRDefault="0002219B" w:rsidP="0089729F">
            <w:r>
              <w:rPr>
                <w:lang w:eastAsia="en-AU"/>
              </w:rPr>
              <w:t>44.6</w:t>
            </w:r>
          </w:p>
        </w:tc>
      </w:tr>
    </w:tbl>
    <w:p w:rsidR="0002219B" w:rsidRPr="006C4164" w:rsidRDefault="006C4164" w:rsidP="0089729F">
      <w:pPr>
        <w:pStyle w:val="Heading4"/>
      </w:pPr>
      <w:r w:rsidRPr="006D5FA0">
        <w:t>Victoria Legal Aid operating re</w:t>
      </w:r>
      <w:r>
        <w:t>sults (actual and forecast) 2017</w:t>
      </w:r>
      <w:r w:rsidRPr="006D5FA0">
        <w:t>–2021</w:t>
      </w:r>
    </w:p>
    <w:tbl>
      <w:tblPr>
        <w:tblStyle w:val="TableGrid"/>
        <w:tblW w:w="5000" w:type="pct"/>
        <w:tblLook w:val="04A0" w:firstRow="1" w:lastRow="0" w:firstColumn="1" w:lastColumn="0" w:noHBand="0" w:noVBand="1"/>
      </w:tblPr>
      <w:tblGrid>
        <w:gridCol w:w="2050"/>
        <w:gridCol w:w="2006"/>
        <w:gridCol w:w="2006"/>
        <w:gridCol w:w="2006"/>
        <w:gridCol w:w="2008"/>
      </w:tblGrid>
      <w:tr w:rsidR="0002219B" w:rsidRPr="001E250B" w:rsidTr="0089729F">
        <w:trPr>
          <w:tblHeader/>
        </w:trPr>
        <w:tc>
          <w:tcPr>
            <w:tcW w:w="1709" w:type="dxa"/>
            <w:shd w:val="clear" w:color="auto" w:fill="D9D9D9" w:themeFill="background1" w:themeFillShade="D9"/>
            <w:vAlign w:val="bottom"/>
          </w:tcPr>
          <w:p w:rsidR="0002219B" w:rsidRPr="006D5FA0" w:rsidRDefault="0002219B" w:rsidP="0002219B">
            <w:pPr>
              <w:rPr>
                <w:rFonts w:cs="Arial"/>
                <w:b/>
                <w:szCs w:val="22"/>
              </w:rPr>
            </w:pPr>
            <w:r w:rsidRPr="006D5FA0">
              <w:rPr>
                <w:rFonts w:cs="Arial"/>
                <w:b/>
                <w:szCs w:val="22"/>
              </w:rPr>
              <w:t>$</w:t>
            </w:r>
            <w:r>
              <w:rPr>
                <w:rFonts w:cs="Arial"/>
                <w:b/>
                <w:szCs w:val="22"/>
              </w:rPr>
              <w:t xml:space="preserve"> </w:t>
            </w:r>
            <w:r w:rsidRPr="006D5FA0">
              <w:rPr>
                <w:rFonts w:cs="Arial"/>
                <w:b/>
                <w:szCs w:val="22"/>
              </w:rPr>
              <w:t>millions</w:t>
            </w:r>
          </w:p>
        </w:tc>
        <w:tc>
          <w:tcPr>
            <w:tcW w:w="1673" w:type="dxa"/>
            <w:shd w:val="clear" w:color="auto" w:fill="D9D9D9" w:themeFill="background1" w:themeFillShade="D9"/>
          </w:tcPr>
          <w:p w:rsidR="0002219B" w:rsidRPr="006D5FA0" w:rsidRDefault="0002219B" w:rsidP="0089729F">
            <w:pPr>
              <w:rPr>
                <w:rFonts w:cs="Arial"/>
                <w:b/>
                <w:szCs w:val="22"/>
              </w:rPr>
            </w:pPr>
            <w:r w:rsidRPr="006D5FA0">
              <w:rPr>
                <w:b/>
              </w:rPr>
              <w:t>Forecast</w:t>
            </w:r>
            <w:r>
              <w:rPr>
                <w:b/>
              </w:rPr>
              <w:t xml:space="preserve"> </w:t>
            </w:r>
            <w:r>
              <w:rPr>
                <w:b/>
              </w:rPr>
              <w:br/>
            </w:r>
            <w:r w:rsidRPr="006D5FA0">
              <w:rPr>
                <w:b/>
              </w:rPr>
              <w:t>2017–18</w:t>
            </w:r>
          </w:p>
        </w:tc>
        <w:tc>
          <w:tcPr>
            <w:tcW w:w="1673" w:type="dxa"/>
            <w:shd w:val="clear" w:color="auto" w:fill="D9D9D9" w:themeFill="background1" w:themeFillShade="D9"/>
          </w:tcPr>
          <w:p w:rsidR="0002219B" w:rsidRPr="006D5FA0" w:rsidRDefault="0002219B" w:rsidP="0089729F">
            <w:pPr>
              <w:rPr>
                <w:rFonts w:cs="Arial"/>
                <w:b/>
                <w:szCs w:val="22"/>
              </w:rPr>
            </w:pPr>
            <w:r w:rsidRPr="006D5FA0">
              <w:rPr>
                <w:b/>
              </w:rPr>
              <w:t>Projection</w:t>
            </w:r>
            <w:r>
              <w:rPr>
                <w:b/>
              </w:rPr>
              <w:br/>
            </w:r>
            <w:r w:rsidRPr="006D5FA0">
              <w:rPr>
                <w:b/>
              </w:rPr>
              <w:t>2018–19</w:t>
            </w:r>
          </w:p>
        </w:tc>
        <w:tc>
          <w:tcPr>
            <w:tcW w:w="1673" w:type="dxa"/>
            <w:shd w:val="clear" w:color="auto" w:fill="D9D9D9" w:themeFill="background1" w:themeFillShade="D9"/>
          </w:tcPr>
          <w:p w:rsidR="0002219B" w:rsidRPr="006D5FA0" w:rsidRDefault="0002219B" w:rsidP="0089729F">
            <w:pPr>
              <w:rPr>
                <w:rFonts w:cs="Arial"/>
                <w:b/>
                <w:szCs w:val="22"/>
              </w:rPr>
            </w:pPr>
            <w:r w:rsidRPr="006D5FA0">
              <w:rPr>
                <w:b/>
              </w:rPr>
              <w:t>Projection</w:t>
            </w:r>
            <w:r>
              <w:rPr>
                <w:b/>
              </w:rPr>
              <w:br/>
            </w:r>
            <w:r w:rsidRPr="006D5FA0">
              <w:rPr>
                <w:b/>
              </w:rPr>
              <w:t>2019–20</w:t>
            </w:r>
          </w:p>
        </w:tc>
        <w:tc>
          <w:tcPr>
            <w:tcW w:w="1674" w:type="dxa"/>
            <w:shd w:val="clear" w:color="auto" w:fill="D9D9D9" w:themeFill="background1" w:themeFillShade="D9"/>
          </w:tcPr>
          <w:p w:rsidR="0002219B" w:rsidRPr="006D5FA0" w:rsidRDefault="0002219B" w:rsidP="0089729F">
            <w:pPr>
              <w:rPr>
                <w:rFonts w:cs="Arial"/>
                <w:b/>
                <w:szCs w:val="22"/>
              </w:rPr>
            </w:pPr>
            <w:r w:rsidRPr="006D5FA0">
              <w:rPr>
                <w:b/>
              </w:rPr>
              <w:t>Projection</w:t>
            </w:r>
            <w:r>
              <w:rPr>
                <w:b/>
              </w:rPr>
              <w:br/>
            </w:r>
            <w:r w:rsidRPr="006D5FA0">
              <w:rPr>
                <w:b/>
              </w:rPr>
              <w:t>2020–21</w:t>
            </w:r>
          </w:p>
        </w:tc>
      </w:tr>
      <w:tr w:rsidR="0002219B" w:rsidRPr="008950E4" w:rsidTr="0002219B">
        <w:tc>
          <w:tcPr>
            <w:tcW w:w="1709" w:type="dxa"/>
            <w:vAlign w:val="bottom"/>
          </w:tcPr>
          <w:p w:rsidR="0002219B" w:rsidRPr="006D5FA0" w:rsidRDefault="0002219B" w:rsidP="0002219B">
            <w:pPr>
              <w:rPr>
                <w:rFonts w:cs="Arial"/>
                <w:szCs w:val="22"/>
              </w:rPr>
            </w:pPr>
            <w:r w:rsidRPr="006D5FA0">
              <w:rPr>
                <w:rFonts w:cs="Arial"/>
                <w:szCs w:val="22"/>
              </w:rPr>
              <w:t>Revenue</w:t>
            </w:r>
          </w:p>
        </w:tc>
        <w:tc>
          <w:tcPr>
            <w:tcW w:w="1673" w:type="dxa"/>
            <w:vAlign w:val="bottom"/>
          </w:tcPr>
          <w:p w:rsidR="0002219B" w:rsidRPr="006D5FA0" w:rsidRDefault="0002219B" w:rsidP="0089729F">
            <w:pPr>
              <w:rPr>
                <w:rFonts w:cs="Arial"/>
                <w:szCs w:val="22"/>
              </w:rPr>
            </w:pPr>
            <w:r w:rsidRPr="006D5FA0">
              <w:rPr>
                <w:rFonts w:cs="Arial"/>
                <w:color w:val="000000"/>
                <w:szCs w:val="22"/>
                <w:lang w:eastAsia="en-AU"/>
              </w:rPr>
              <w:t>217.1</w:t>
            </w:r>
          </w:p>
        </w:tc>
        <w:tc>
          <w:tcPr>
            <w:tcW w:w="1673" w:type="dxa"/>
            <w:vAlign w:val="bottom"/>
          </w:tcPr>
          <w:p w:rsidR="0002219B" w:rsidRPr="006D5FA0" w:rsidRDefault="0002219B" w:rsidP="0089729F">
            <w:pPr>
              <w:rPr>
                <w:rFonts w:cs="Arial"/>
                <w:szCs w:val="22"/>
              </w:rPr>
            </w:pPr>
            <w:r w:rsidRPr="006D5FA0">
              <w:rPr>
                <w:rFonts w:cs="Arial"/>
                <w:color w:val="000000"/>
                <w:szCs w:val="22"/>
                <w:lang w:eastAsia="en-AU"/>
              </w:rPr>
              <w:t>218.6</w:t>
            </w:r>
          </w:p>
        </w:tc>
        <w:tc>
          <w:tcPr>
            <w:tcW w:w="1673" w:type="dxa"/>
            <w:vAlign w:val="bottom"/>
          </w:tcPr>
          <w:p w:rsidR="0002219B" w:rsidRPr="006D5FA0" w:rsidRDefault="0002219B" w:rsidP="0089729F">
            <w:pPr>
              <w:rPr>
                <w:rFonts w:cs="Arial"/>
                <w:szCs w:val="22"/>
              </w:rPr>
            </w:pPr>
            <w:r w:rsidRPr="006D5FA0">
              <w:rPr>
                <w:rFonts w:cs="Arial"/>
                <w:color w:val="000000"/>
                <w:szCs w:val="22"/>
                <w:lang w:eastAsia="en-AU"/>
              </w:rPr>
              <w:t>220.3</w:t>
            </w:r>
          </w:p>
        </w:tc>
        <w:tc>
          <w:tcPr>
            <w:tcW w:w="1674" w:type="dxa"/>
            <w:vAlign w:val="bottom"/>
          </w:tcPr>
          <w:p w:rsidR="0002219B" w:rsidRPr="006D5FA0" w:rsidRDefault="0002219B" w:rsidP="0089729F">
            <w:pPr>
              <w:rPr>
                <w:rFonts w:cs="Arial"/>
                <w:szCs w:val="22"/>
              </w:rPr>
            </w:pPr>
            <w:r w:rsidRPr="006D5FA0">
              <w:rPr>
                <w:rFonts w:cs="Arial"/>
                <w:color w:val="000000"/>
                <w:szCs w:val="22"/>
                <w:lang w:eastAsia="en-AU"/>
              </w:rPr>
              <w:t>222.9</w:t>
            </w:r>
          </w:p>
        </w:tc>
      </w:tr>
      <w:tr w:rsidR="0002219B" w:rsidRPr="008950E4" w:rsidTr="0002219B">
        <w:tc>
          <w:tcPr>
            <w:tcW w:w="1709" w:type="dxa"/>
            <w:vAlign w:val="bottom"/>
          </w:tcPr>
          <w:p w:rsidR="0002219B" w:rsidRPr="006D5FA0" w:rsidRDefault="0002219B" w:rsidP="0002219B">
            <w:pPr>
              <w:rPr>
                <w:rFonts w:cs="Arial"/>
                <w:szCs w:val="22"/>
              </w:rPr>
            </w:pPr>
            <w:r w:rsidRPr="006D5FA0">
              <w:rPr>
                <w:rFonts w:cs="Arial"/>
                <w:szCs w:val="22"/>
              </w:rPr>
              <w:t>Expenditure</w:t>
            </w:r>
          </w:p>
        </w:tc>
        <w:tc>
          <w:tcPr>
            <w:tcW w:w="1673" w:type="dxa"/>
            <w:vAlign w:val="bottom"/>
          </w:tcPr>
          <w:p w:rsidR="0002219B" w:rsidRPr="006D5FA0" w:rsidRDefault="0002219B" w:rsidP="0089729F">
            <w:pPr>
              <w:rPr>
                <w:rFonts w:cs="Arial"/>
                <w:szCs w:val="22"/>
              </w:rPr>
            </w:pPr>
            <w:r w:rsidRPr="006D5FA0">
              <w:rPr>
                <w:rFonts w:cs="Arial"/>
                <w:color w:val="000000"/>
                <w:szCs w:val="22"/>
                <w:lang w:eastAsia="en-AU"/>
              </w:rPr>
              <w:t>223.1</w:t>
            </w:r>
          </w:p>
        </w:tc>
        <w:tc>
          <w:tcPr>
            <w:tcW w:w="1673" w:type="dxa"/>
            <w:vAlign w:val="bottom"/>
          </w:tcPr>
          <w:p w:rsidR="0002219B" w:rsidRPr="006D5FA0" w:rsidRDefault="0002219B" w:rsidP="0089729F">
            <w:pPr>
              <w:rPr>
                <w:rFonts w:cs="Arial"/>
                <w:szCs w:val="22"/>
              </w:rPr>
            </w:pPr>
            <w:r w:rsidRPr="006D5FA0">
              <w:rPr>
                <w:rFonts w:cs="Arial"/>
                <w:color w:val="000000"/>
                <w:szCs w:val="22"/>
                <w:lang w:eastAsia="en-AU"/>
              </w:rPr>
              <w:t>231.3</w:t>
            </w:r>
          </w:p>
        </w:tc>
        <w:tc>
          <w:tcPr>
            <w:tcW w:w="1673" w:type="dxa"/>
            <w:vAlign w:val="bottom"/>
          </w:tcPr>
          <w:p w:rsidR="0002219B" w:rsidRPr="006D5FA0" w:rsidRDefault="0002219B" w:rsidP="0089729F">
            <w:pPr>
              <w:rPr>
                <w:rFonts w:cs="Arial"/>
                <w:szCs w:val="22"/>
              </w:rPr>
            </w:pPr>
            <w:r w:rsidRPr="006D5FA0">
              <w:rPr>
                <w:rFonts w:cs="Arial"/>
                <w:color w:val="000000"/>
                <w:szCs w:val="22"/>
                <w:lang w:eastAsia="en-AU"/>
              </w:rPr>
              <w:t>239.4</w:t>
            </w:r>
          </w:p>
        </w:tc>
        <w:tc>
          <w:tcPr>
            <w:tcW w:w="1674" w:type="dxa"/>
            <w:vAlign w:val="bottom"/>
          </w:tcPr>
          <w:p w:rsidR="0002219B" w:rsidRPr="006D5FA0" w:rsidRDefault="0002219B" w:rsidP="0089729F">
            <w:pPr>
              <w:rPr>
                <w:rFonts w:cs="Arial"/>
                <w:szCs w:val="22"/>
              </w:rPr>
            </w:pPr>
            <w:r w:rsidRPr="006D5FA0">
              <w:rPr>
                <w:rFonts w:cs="Arial"/>
                <w:color w:val="000000"/>
                <w:szCs w:val="22"/>
                <w:lang w:eastAsia="en-AU"/>
              </w:rPr>
              <w:t>248.8</w:t>
            </w:r>
          </w:p>
        </w:tc>
      </w:tr>
      <w:tr w:rsidR="0002219B" w:rsidRPr="008950E4" w:rsidTr="0002219B">
        <w:tc>
          <w:tcPr>
            <w:tcW w:w="1709" w:type="dxa"/>
            <w:vAlign w:val="bottom"/>
          </w:tcPr>
          <w:p w:rsidR="0002219B" w:rsidRPr="006D5FA0" w:rsidRDefault="0002219B" w:rsidP="0002219B">
            <w:pPr>
              <w:rPr>
                <w:rFonts w:cs="Arial"/>
                <w:szCs w:val="22"/>
              </w:rPr>
            </w:pPr>
            <w:r w:rsidRPr="006D5FA0">
              <w:rPr>
                <w:rFonts w:cs="Arial"/>
                <w:szCs w:val="22"/>
              </w:rPr>
              <w:t>Operating Result</w:t>
            </w:r>
          </w:p>
        </w:tc>
        <w:tc>
          <w:tcPr>
            <w:tcW w:w="1673" w:type="dxa"/>
            <w:vAlign w:val="bottom"/>
          </w:tcPr>
          <w:p w:rsidR="0002219B" w:rsidRPr="006D5FA0" w:rsidRDefault="0002219B" w:rsidP="0089729F">
            <w:pPr>
              <w:rPr>
                <w:rFonts w:cs="Arial"/>
                <w:szCs w:val="22"/>
              </w:rPr>
            </w:pPr>
            <w:r w:rsidRPr="006D5FA0">
              <w:rPr>
                <w:rFonts w:cs="Arial"/>
                <w:color w:val="000000"/>
                <w:szCs w:val="22"/>
                <w:lang w:eastAsia="en-AU"/>
              </w:rPr>
              <w:t>-6.0</w:t>
            </w:r>
          </w:p>
        </w:tc>
        <w:tc>
          <w:tcPr>
            <w:tcW w:w="1673" w:type="dxa"/>
            <w:vAlign w:val="bottom"/>
          </w:tcPr>
          <w:p w:rsidR="0002219B" w:rsidRPr="006D5FA0" w:rsidRDefault="0002219B" w:rsidP="0089729F">
            <w:pPr>
              <w:rPr>
                <w:rFonts w:cs="Arial"/>
                <w:szCs w:val="22"/>
              </w:rPr>
            </w:pPr>
            <w:r w:rsidRPr="006D5FA0">
              <w:rPr>
                <w:rFonts w:cs="Arial"/>
                <w:color w:val="000000"/>
                <w:szCs w:val="22"/>
                <w:lang w:eastAsia="en-AU"/>
              </w:rPr>
              <w:t>-12.7</w:t>
            </w:r>
          </w:p>
        </w:tc>
        <w:tc>
          <w:tcPr>
            <w:tcW w:w="1673" w:type="dxa"/>
            <w:vAlign w:val="bottom"/>
          </w:tcPr>
          <w:p w:rsidR="0002219B" w:rsidRPr="006D5FA0" w:rsidRDefault="0002219B" w:rsidP="0089729F">
            <w:pPr>
              <w:rPr>
                <w:rFonts w:cs="Arial"/>
                <w:szCs w:val="22"/>
              </w:rPr>
            </w:pPr>
            <w:r w:rsidRPr="006D5FA0">
              <w:rPr>
                <w:rFonts w:cs="Arial"/>
                <w:color w:val="000000"/>
                <w:szCs w:val="22"/>
                <w:lang w:eastAsia="en-AU"/>
              </w:rPr>
              <w:t>-19.1</w:t>
            </w:r>
          </w:p>
        </w:tc>
        <w:tc>
          <w:tcPr>
            <w:tcW w:w="1674" w:type="dxa"/>
            <w:vAlign w:val="bottom"/>
          </w:tcPr>
          <w:p w:rsidR="0002219B" w:rsidRPr="006D5FA0" w:rsidRDefault="0002219B" w:rsidP="0089729F">
            <w:pPr>
              <w:rPr>
                <w:rFonts w:cs="Arial"/>
                <w:szCs w:val="22"/>
              </w:rPr>
            </w:pPr>
            <w:r w:rsidRPr="006D5FA0">
              <w:rPr>
                <w:rFonts w:cs="Arial"/>
                <w:color w:val="000000"/>
                <w:szCs w:val="22"/>
                <w:lang w:eastAsia="en-AU"/>
              </w:rPr>
              <w:t>-25.9</w:t>
            </w:r>
          </w:p>
        </w:tc>
      </w:tr>
      <w:tr w:rsidR="0002219B" w:rsidRPr="008950E4" w:rsidTr="0002219B">
        <w:tc>
          <w:tcPr>
            <w:tcW w:w="1709" w:type="dxa"/>
            <w:vAlign w:val="bottom"/>
          </w:tcPr>
          <w:p w:rsidR="0002219B" w:rsidRPr="006D5FA0" w:rsidRDefault="0002219B" w:rsidP="0002219B">
            <w:pPr>
              <w:rPr>
                <w:rFonts w:cs="Arial"/>
                <w:szCs w:val="22"/>
              </w:rPr>
            </w:pPr>
            <w:r w:rsidRPr="006D5FA0">
              <w:rPr>
                <w:rFonts w:cs="Arial"/>
                <w:szCs w:val="22"/>
              </w:rPr>
              <w:t>Cash</w:t>
            </w:r>
          </w:p>
        </w:tc>
        <w:tc>
          <w:tcPr>
            <w:tcW w:w="1673" w:type="dxa"/>
            <w:vAlign w:val="bottom"/>
          </w:tcPr>
          <w:p w:rsidR="0002219B" w:rsidRPr="006D5FA0" w:rsidRDefault="0002219B" w:rsidP="0089729F">
            <w:pPr>
              <w:rPr>
                <w:rFonts w:cs="Arial"/>
                <w:szCs w:val="22"/>
              </w:rPr>
            </w:pPr>
            <w:r w:rsidRPr="006D5FA0">
              <w:rPr>
                <w:rFonts w:cs="Arial"/>
                <w:color w:val="000000"/>
                <w:szCs w:val="22"/>
                <w:lang w:eastAsia="en-AU"/>
              </w:rPr>
              <w:t>40.1</w:t>
            </w:r>
          </w:p>
        </w:tc>
        <w:tc>
          <w:tcPr>
            <w:tcW w:w="1673" w:type="dxa"/>
            <w:vAlign w:val="bottom"/>
          </w:tcPr>
          <w:p w:rsidR="0002219B" w:rsidRPr="006D5FA0" w:rsidRDefault="0002219B" w:rsidP="0089729F">
            <w:pPr>
              <w:rPr>
                <w:rFonts w:cs="Arial"/>
                <w:szCs w:val="22"/>
              </w:rPr>
            </w:pPr>
            <w:r w:rsidRPr="006D5FA0">
              <w:rPr>
                <w:rFonts w:cs="Arial"/>
                <w:color w:val="000000"/>
                <w:szCs w:val="22"/>
                <w:lang w:eastAsia="en-AU"/>
              </w:rPr>
              <w:t>29.1</w:t>
            </w:r>
          </w:p>
        </w:tc>
        <w:tc>
          <w:tcPr>
            <w:tcW w:w="1673" w:type="dxa"/>
            <w:vAlign w:val="bottom"/>
          </w:tcPr>
          <w:p w:rsidR="0002219B" w:rsidRPr="006D5FA0" w:rsidRDefault="0002219B" w:rsidP="0089729F">
            <w:pPr>
              <w:rPr>
                <w:rFonts w:cs="Arial"/>
                <w:szCs w:val="22"/>
              </w:rPr>
            </w:pPr>
            <w:r w:rsidRPr="006D5FA0">
              <w:rPr>
                <w:rFonts w:cs="Arial"/>
                <w:color w:val="000000"/>
                <w:szCs w:val="22"/>
                <w:lang w:eastAsia="en-AU"/>
              </w:rPr>
              <w:t>11.1</w:t>
            </w:r>
          </w:p>
        </w:tc>
        <w:tc>
          <w:tcPr>
            <w:tcW w:w="1674" w:type="dxa"/>
            <w:vAlign w:val="bottom"/>
          </w:tcPr>
          <w:p w:rsidR="0002219B" w:rsidRPr="006D5FA0" w:rsidRDefault="0002219B" w:rsidP="0089729F">
            <w:pPr>
              <w:rPr>
                <w:rFonts w:cs="Arial"/>
                <w:szCs w:val="22"/>
              </w:rPr>
            </w:pPr>
            <w:r w:rsidRPr="006D5FA0">
              <w:rPr>
                <w:rFonts w:cs="Arial"/>
                <w:color w:val="000000"/>
                <w:szCs w:val="22"/>
                <w:lang w:eastAsia="en-AU"/>
              </w:rPr>
              <w:t>-11.9</w:t>
            </w:r>
          </w:p>
        </w:tc>
      </w:tr>
    </w:tbl>
    <w:p w:rsidR="0002219B" w:rsidRDefault="0002219B" w:rsidP="0002219B">
      <w:pPr>
        <w:spacing w:after="0" w:line="240" w:lineRule="auto"/>
      </w:pPr>
    </w:p>
    <w:p w:rsidR="0002219B" w:rsidRDefault="0002219B" w:rsidP="006C4164">
      <w:pPr>
        <w:pStyle w:val="Heading3"/>
      </w:pPr>
      <w:r>
        <w:br w:type="page"/>
      </w:r>
      <w:r>
        <w:lastRenderedPageBreak/>
        <w:t xml:space="preserve">2017–18 </w:t>
      </w:r>
      <w:r w:rsidR="006C4164">
        <w:t>s</w:t>
      </w:r>
      <w:r>
        <w:t xml:space="preserve">ervice and expenditure profile </w:t>
      </w:r>
    </w:p>
    <w:p w:rsidR="0002219B" w:rsidRDefault="0002219B" w:rsidP="0002219B">
      <w:r>
        <w:t>The following information outlines full year service and expenditure details across Victoria Legal Aid, and provides important context for our six monthly results. It shows where our funding comes from and how we allocated funds for the current financial year, in response to the different types of legal need in the community and our current eligibility guidelines. The data shows our criminal law program, the largest program in terms of services and expenditure, is expecting the greatest growth this year due to unprecedented pressures on the criminal justice system.</w:t>
      </w:r>
    </w:p>
    <w:p w:rsidR="0002219B" w:rsidRDefault="0002219B" w:rsidP="0002219B">
      <w:r>
        <w:t>Part of Victoria Legal Aid’s role is to improve access to justice. Maintaining our existing eligibility guidelines is one of the ways we perform this role. Our guidelines are already tight enough, following a service contraction in 2012–13. Numerous independent reviews, such as the Access to Justice Review, have since affirmed the important role we play in making the system of laws and their operation fairer and accessible to all. This is why we planned to spend $216 million at the start of the year despite only receiving $210 million. At the six month mark, we expect to still deliver an annual operating deficit of approximately $6 million.</w:t>
      </w:r>
    </w:p>
    <w:p w:rsidR="0002219B" w:rsidRDefault="0002219B" w:rsidP="0002219B">
      <w:pPr>
        <w:pStyle w:val="Heading4"/>
      </w:pPr>
      <w:r w:rsidRPr="00C6585D">
        <w:t>2018 budgeted annual revenue by funding source</w:t>
      </w:r>
    </w:p>
    <w:tbl>
      <w:tblPr>
        <w:tblStyle w:val="TableGrid"/>
        <w:tblW w:w="5000" w:type="pct"/>
        <w:tblLook w:val="04A0" w:firstRow="1" w:lastRow="0" w:firstColumn="1" w:lastColumn="0" w:noHBand="0" w:noVBand="1"/>
      </w:tblPr>
      <w:tblGrid>
        <w:gridCol w:w="3404"/>
        <w:gridCol w:w="3336"/>
        <w:gridCol w:w="3336"/>
      </w:tblGrid>
      <w:tr w:rsidR="0002219B" w:rsidRPr="006D5FA0" w:rsidTr="006C4164">
        <w:trPr>
          <w:tblHeader/>
        </w:trPr>
        <w:tc>
          <w:tcPr>
            <w:tcW w:w="2557" w:type="dxa"/>
            <w:shd w:val="clear" w:color="auto" w:fill="D9D9D9" w:themeFill="background1" w:themeFillShade="D9"/>
            <w:vAlign w:val="bottom"/>
          </w:tcPr>
          <w:p w:rsidR="0002219B" w:rsidRPr="006D5FA0" w:rsidRDefault="006C4164" w:rsidP="0002219B">
            <w:pPr>
              <w:rPr>
                <w:rFonts w:cs="Arial"/>
                <w:b/>
                <w:szCs w:val="22"/>
              </w:rPr>
            </w:pPr>
            <w:r>
              <w:rPr>
                <w:rFonts w:cs="Arial"/>
                <w:b/>
                <w:szCs w:val="22"/>
              </w:rPr>
              <w:t>Funding source</w:t>
            </w:r>
          </w:p>
        </w:tc>
        <w:tc>
          <w:tcPr>
            <w:tcW w:w="2506" w:type="dxa"/>
            <w:shd w:val="clear" w:color="auto" w:fill="D9D9D9" w:themeFill="background1" w:themeFillShade="D9"/>
          </w:tcPr>
          <w:p w:rsidR="0002219B" w:rsidRPr="006D5FA0" w:rsidRDefault="0002219B" w:rsidP="0089729F">
            <w:pPr>
              <w:rPr>
                <w:rFonts w:cs="Arial"/>
                <w:b/>
                <w:szCs w:val="22"/>
              </w:rPr>
            </w:pPr>
            <w:r>
              <w:rPr>
                <w:b/>
              </w:rPr>
              <w:t>Funding ($ millions)</w:t>
            </w:r>
          </w:p>
        </w:tc>
        <w:tc>
          <w:tcPr>
            <w:tcW w:w="2506" w:type="dxa"/>
            <w:shd w:val="clear" w:color="auto" w:fill="D9D9D9" w:themeFill="background1" w:themeFillShade="D9"/>
            <w:vAlign w:val="bottom"/>
          </w:tcPr>
          <w:p w:rsidR="0002219B" w:rsidRPr="009B6B08" w:rsidRDefault="0002219B" w:rsidP="0089729F">
            <w:pPr>
              <w:spacing w:after="0" w:line="240" w:lineRule="auto"/>
              <w:rPr>
                <w:rFonts w:cs="Arial"/>
                <w:b/>
                <w:color w:val="000000"/>
                <w:sz w:val="24"/>
              </w:rPr>
            </w:pPr>
            <w:r w:rsidRPr="009B6B08">
              <w:rPr>
                <w:rFonts w:cs="Arial"/>
                <w:b/>
                <w:color w:val="000000"/>
              </w:rPr>
              <w:t>Share of annual funding</w:t>
            </w:r>
          </w:p>
        </w:tc>
      </w:tr>
      <w:tr w:rsidR="0002219B" w:rsidRPr="006D5FA0" w:rsidTr="0002219B">
        <w:tc>
          <w:tcPr>
            <w:tcW w:w="2557" w:type="dxa"/>
            <w:vAlign w:val="center"/>
          </w:tcPr>
          <w:p w:rsidR="0002219B" w:rsidRDefault="0002219B" w:rsidP="0002219B">
            <w:pPr>
              <w:spacing w:after="0" w:line="240" w:lineRule="auto"/>
              <w:rPr>
                <w:rFonts w:cs="Arial"/>
                <w:color w:val="000000"/>
                <w:sz w:val="24"/>
              </w:rPr>
            </w:pPr>
            <w:r>
              <w:rPr>
                <w:rFonts w:cs="Arial"/>
                <w:color w:val="000000"/>
              </w:rPr>
              <w:t>State Government</w:t>
            </w:r>
          </w:p>
        </w:tc>
        <w:tc>
          <w:tcPr>
            <w:tcW w:w="2506" w:type="dxa"/>
            <w:vAlign w:val="center"/>
          </w:tcPr>
          <w:p w:rsidR="0002219B" w:rsidRDefault="0002219B" w:rsidP="0089729F">
            <w:pPr>
              <w:spacing w:after="0" w:line="240" w:lineRule="auto"/>
              <w:rPr>
                <w:rFonts w:cs="Arial"/>
                <w:color w:val="000000"/>
                <w:sz w:val="24"/>
              </w:rPr>
            </w:pPr>
            <w:r>
              <w:rPr>
                <w:rFonts w:cs="Arial"/>
                <w:color w:val="000000"/>
              </w:rPr>
              <w:t>112.6</w:t>
            </w:r>
          </w:p>
        </w:tc>
        <w:tc>
          <w:tcPr>
            <w:tcW w:w="2506" w:type="dxa"/>
            <w:vAlign w:val="center"/>
          </w:tcPr>
          <w:p w:rsidR="0002219B" w:rsidRDefault="0002219B" w:rsidP="0089729F">
            <w:pPr>
              <w:rPr>
                <w:rFonts w:cs="Arial"/>
                <w:color w:val="000000"/>
              </w:rPr>
            </w:pPr>
            <w:r>
              <w:rPr>
                <w:rFonts w:cs="Arial"/>
                <w:color w:val="000000"/>
              </w:rPr>
              <w:t>53%</w:t>
            </w:r>
          </w:p>
        </w:tc>
      </w:tr>
      <w:tr w:rsidR="0002219B" w:rsidRPr="006D5FA0" w:rsidTr="0002219B">
        <w:tc>
          <w:tcPr>
            <w:tcW w:w="2557" w:type="dxa"/>
            <w:vAlign w:val="center"/>
          </w:tcPr>
          <w:p w:rsidR="0002219B" w:rsidRDefault="0002219B" w:rsidP="0002219B">
            <w:pPr>
              <w:rPr>
                <w:rFonts w:cs="Arial"/>
                <w:color w:val="000000"/>
              </w:rPr>
            </w:pPr>
            <w:r>
              <w:rPr>
                <w:rFonts w:cs="Arial"/>
                <w:color w:val="000000"/>
              </w:rPr>
              <w:t>Commonwealth Government</w:t>
            </w:r>
          </w:p>
        </w:tc>
        <w:tc>
          <w:tcPr>
            <w:tcW w:w="2506" w:type="dxa"/>
            <w:vAlign w:val="center"/>
          </w:tcPr>
          <w:p w:rsidR="0002219B" w:rsidRDefault="0002219B" w:rsidP="0089729F">
            <w:pPr>
              <w:rPr>
                <w:rFonts w:cs="Arial"/>
                <w:color w:val="000000"/>
              </w:rPr>
            </w:pPr>
            <w:r>
              <w:rPr>
                <w:rFonts w:cs="Arial"/>
                <w:color w:val="000000"/>
              </w:rPr>
              <w:t>62.2</w:t>
            </w:r>
          </w:p>
        </w:tc>
        <w:tc>
          <w:tcPr>
            <w:tcW w:w="2506" w:type="dxa"/>
            <w:vAlign w:val="center"/>
          </w:tcPr>
          <w:p w:rsidR="0002219B" w:rsidRDefault="0002219B" w:rsidP="0089729F">
            <w:pPr>
              <w:rPr>
                <w:rFonts w:cs="Arial"/>
                <w:color w:val="000000"/>
              </w:rPr>
            </w:pPr>
            <w:r>
              <w:rPr>
                <w:rFonts w:cs="Arial"/>
                <w:color w:val="000000"/>
              </w:rPr>
              <w:t>30%</w:t>
            </w:r>
          </w:p>
        </w:tc>
      </w:tr>
      <w:tr w:rsidR="0002219B" w:rsidRPr="006D5FA0" w:rsidTr="0002219B">
        <w:tc>
          <w:tcPr>
            <w:tcW w:w="2557" w:type="dxa"/>
            <w:vAlign w:val="center"/>
          </w:tcPr>
          <w:p w:rsidR="0002219B" w:rsidRDefault="0002219B" w:rsidP="0002219B">
            <w:pPr>
              <w:rPr>
                <w:rFonts w:cs="Arial"/>
                <w:color w:val="000000"/>
              </w:rPr>
            </w:pPr>
            <w:r>
              <w:rPr>
                <w:rFonts w:cs="Arial"/>
                <w:color w:val="000000"/>
              </w:rPr>
              <w:t>Legal Services Board</w:t>
            </w:r>
          </w:p>
        </w:tc>
        <w:tc>
          <w:tcPr>
            <w:tcW w:w="2506" w:type="dxa"/>
            <w:vAlign w:val="center"/>
          </w:tcPr>
          <w:p w:rsidR="0002219B" w:rsidRDefault="0002219B" w:rsidP="0089729F">
            <w:pPr>
              <w:rPr>
                <w:rFonts w:cs="Arial"/>
                <w:color w:val="000000"/>
              </w:rPr>
            </w:pPr>
            <w:r>
              <w:rPr>
                <w:rFonts w:cs="Arial"/>
                <w:color w:val="000000"/>
              </w:rPr>
              <w:t>30.0</w:t>
            </w:r>
          </w:p>
        </w:tc>
        <w:tc>
          <w:tcPr>
            <w:tcW w:w="2506" w:type="dxa"/>
            <w:vAlign w:val="center"/>
          </w:tcPr>
          <w:p w:rsidR="0002219B" w:rsidRDefault="0002219B" w:rsidP="0089729F">
            <w:pPr>
              <w:rPr>
                <w:rFonts w:cs="Arial"/>
                <w:color w:val="000000"/>
              </w:rPr>
            </w:pPr>
            <w:r>
              <w:rPr>
                <w:rFonts w:cs="Arial"/>
                <w:color w:val="000000"/>
              </w:rPr>
              <w:t>14%</w:t>
            </w:r>
          </w:p>
        </w:tc>
      </w:tr>
      <w:tr w:rsidR="0002219B" w:rsidRPr="006D5FA0" w:rsidTr="0002219B">
        <w:tc>
          <w:tcPr>
            <w:tcW w:w="2557" w:type="dxa"/>
            <w:vAlign w:val="center"/>
          </w:tcPr>
          <w:p w:rsidR="0002219B" w:rsidRDefault="0002219B" w:rsidP="0002219B">
            <w:pPr>
              <w:rPr>
                <w:rFonts w:cs="Arial"/>
                <w:color w:val="000000"/>
              </w:rPr>
            </w:pPr>
            <w:r>
              <w:rPr>
                <w:rFonts w:cs="Arial"/>
                <w:color w:val="000000"/>
              </w:rPr>
              <w:t>Other</w:t>
            </w:r>
          </w:p>
        </w:tc>
        <w:tc>
          <w:tcPr>
            <w:tcW w:w="2506" w:type="dxa"/>
            <w:vAlign w:val="center"/>
          </w:tcPr>
          <w:p w:rsidR="0002219B" w:rsidRDefault="0002219B" w:rsidP="0089729F">
            <w:pPr>
              <w:rPr>
                <w:rFonts w:cs="Arial"/>
                <w:color w:val="000000"/>
              </w:rPr>
            </w:pPr>
            <w:r>
              <w:rPr>
                <w:rFonts w:cs="Arial"/>
                <w:color w:val="000000"/>
              </w:rPr>
              <w:t>5.4</w:t>
            </w:r>
          </w:p>
        </w:tc>
        <w:tc>
          <w:tcPr>
            <w:tcW w:w="2506" w:type="dxa"/>
            <w:vAlign w:val="center"/>
          </w:tcPr>
          <w:p w:rsidR="0002219B" w:rsidRDefault="0002219B" w:rsidP="0089729F">
            <w:pPr>
              <w:rPr>
                <w:rFonts w:cs="Arial"/>
                <w:color w:val="000000"/>
              </w:rPr>
            </w:pPr>
            <w:r>
              <w:rPr>
                <w:rFonts w:cs="Arial"/>
                <w:color w:val="000000"/>
              </w:rPr>
              <w:t>3%</w:t>
            </w:r>
          </w:p>
        </w:tc>
      </w:tr>
      <w:tr w:rsidR="0002219B" w:rsidRPr="006D5FA0" w:rsidTr="0002219B">
        <w:tc>
          <w:tcPr>
            <w:tcW w:w="2557" w:type="dxa"/>
            <w:vAlign w:val="center"/>
          </w:tcPr>
          <w:p w:rsidR="0002219B" w:rsidRDefault="0002219B" w:rsidP="0002219B">
            <w:pPr>
              <w:rPr>
                <w:rFonts w:cs="Arial"/>
                <w:color w:val="000000"/>
              </w:rPr>
            </w:pPr>
            <w:r>
              <w:rPr>
                <w:rFonts w:cs="Arial"/>
                <w:color w:val="000000"/>
              </w:rPr>
              <w:t xml:space="preserve">Total </w:t>
            </w:r>
          </w:p>
        </w:tc>
        <w:tc>
          <w:tcPr>
            <w:tcW w:w="2506" w:type="dxa"/>
            <w:vAlign w:val="center"/>
          </w:tcPr>
          <w:p w:rsidR="0002219B" w:rsidRDefault="0002219B" w:rsidP="0089729F">
            <w:pPr>
              <w:rPr>
                <w:rFonts w:cs="Arial"/>
                <w:color w:val="000000"/>
              </w:rPr>
            </w:pPr>
            <w:r>
              <w:rPr>
                <w:rFonts w:cs="Arial"/>
                <w:color w:val="000000"/>
              </w:rPr>
              <w:t>210.2</w:t>
            </w:r>
          </w:p>
        </w:tc>
        <w:tc>
          <w:tcPr>
            <w:tcW w:w="2506" w:type="dxa"/>
            <w:vAlign w:val="center"/>
          </w:tcPr>
          <w:p w:rsidR="0002219B" w:rsidRDefault="0002219B" w:rsidP="0089729F">
            <w:pPr>
              <w:rPr>
                <w:rFonts w:cs="Arial"/>
                <w:color w:val="000000"/>
              </w:rPr>
            </w:pPr>
            <w:r>
              <w:rPr>
                <w:rFonts w:cs="Arial"/>
                <w:color w:val="000000"/>
              </w:rPr>
              <w:t>100%</w:t>
            </w:r>
          </w:p>
        </w:tc>
      </w:tr>
    </w:tbl>
    <w:p w:rsidR="0002219B" w:rsidRDefault="0002219B" w:rsidP="0002219B">
      <w:pPr>
        <w:pStyle w:val="Heading4"/>
      </w:pPr>
      <w:r w:rsidRPr="009B6B08">
        <w:t>Expenditure by program area 2017–18 budget</w:t>
      </w:r>
    </w:p>
    <w:tbl>
      <w:tblPr>
        <w:tblStyle w:val="TableGrid"/>
        <w:tblW w:w="5000" w:type="pct"/>
        <w:tblLook w:val="04A0" w:firstRow="1" w:lastRow="0" w:firstColumn="1" w:lastColumn="0" w:noHBand="0" w:noVBand="1"/>
      </w:tblPr>
      <w:tblGrid>
        <w:gridCol w:w="2309"/>
        <w:gridCol w:w="2053"/>
        <w:gridCol w:w="2037"/>
        <w:gridCol w:w="1552"/>
        <w:gridCol w:w="2125"/>
      </w:tblGrid>
      <w:tr w:rsidR="0002219B" w:rsidRPr="009B6B08" w:rsidTr="006C4164">
        <w:trPr>
          <w:tblHeader/>
        </w:trPr>
        <w:tc>
          <w:tcPr>
            <w:tcW w:w="2498" w:type="dxa"/>
            <w:shd w:val="clear" w:color="auto" w:fill="D9D9D9" w:themeFill="background1" w:themeFillShade="D9"/>
          </w:tcPr>
          <w:p w:rsidR="0002219B" w:rsidRPr="006D5FA0" w:rsidRDefault="006C4164" w:rsidP="0089729F">
            <w:pPr>
              <w:rPr>
                <w:rFonts w:cs="Arial"/>
                <w:b/>
                <w:szCs w:val="22"/>
              </w:rPr>
            </w:pPr>
            <w:r>
              <w:rPr>
                <w:rFonts w:cs="Arial"/>
                <w:b/>
                <w:szCs w:val="22"/>
              </w:rPr>
              <w:t>Program area</w:t>
            </w:r>
          </w:p>
        </w:tc>
        <w:tc>
          <w:tcPr>
            <w:tcW w:w="2233" w:type="dxa"/>
            <w:shd w:val="clear" w:color="auto" w:fill="D9D9D9" w:themeFill="background1" w:themeFillShade="D9"/>
          </w:tcPr>
          <w:p w:rsidR="0002219B" w:rsidRPr="00B757C2" w:rsidRDefault="0002219B" w:rsidP="0089729F">
            <w:pPr>
              <w:spacing w:after="0" w:line="240" w:lineRule="auto"/>
              <w:rPr>
                <w:rFonts w:cs="Arial"/>
                <w:b/>
                <w:color w:val="000000"/>
                <w:sz w:val="24"/>
              </w:rPr>
            </w:pPr>
            <w:r w:rsidRPr="00B757C2">
              <w:rPr>
                <w:rFonts w:cs="Arial"/>
                <w:b/>
                <w:color w:val="000000"/>
              </w:rPr>
              <w:t>State</w:t>
            </w:r>
            <w:r>
              <w:rPr>
                <w:rFonts w:cs="Arial"/>
                <w:b/>
                <w:color w:val="000000"/>
              </w:rPr>
              <w:t xml:space="preserve"> ($ millions)</w:t>
            </w:r>
          </w:p>
        </w:tc>
        <w:tc>
          <w:tcPr>
            <w:tcW w:w="2073" w:type="dxa"/>
            <w:shd w:val="clear" w:color="auto" w:fill="D9D9D9" w:themeFill="background1" w:themeFillShade="D9"/>
          </w:tcPr>
          <w:p w:rsidR="0002219B" w:rsidRPr="00B757C2" w:rsidRDefault="0002219B" w:rsidP="0089729F">
            <w:pPr>
              <w:spacing w:after="0" w:line="240" w:lineRule="auto"/>
              <w:rPr>
                <w:rFonts w:cs="Arial"/>
                <w:b/>
                <w:color w:val="000000"/>
                <w:sz w:val="24"/>
              </w:rPr>
            </w:pPr>
            <w:r w:rsidRPr="00B757C2">
              <w:rPr>
                <w:rFonts w:cs="Arial"/>
                <w:b/>
                <w:color w:val="000000"/>
              </w:rPr>
              <w:t>Commonwealth</w:t>
            </w:r>
            <w:r>
              <w:rPr>
                <w:rFonts w:cs="Arial"/>
                <w:b/>
                <w:color w:val="000000"/>
              </w:rPr>
              <w:t xml:space="preserve"> ($ millions)</w:t>
            </w:r>
          </w:p>
        </w:tc>
        <w:tc>
          <w:tcPr>
            <w:tcW w:w="1636" w:type="dxa"/>
            <w:shd w:val="clear" w:color="auto" w:fill="D9D9D9" w:themeFill="background1" w:themeFillShade="D9"/>
          </w:tcPr>
          <w:p w:rsidR="0002219B" w:rsidRPr="009B6B08" w:rsidRDefault="0002219B" w:rsidP="0089729F">
            <w:pPr>
              <w:spacing w:after="0" w:line="240" w:lineRule="auto"/>
              <w:rPr>
                <w:rFonts w:cs="Arial"/>
                <w:b/>
                <w:color w:val="000000"/>
              </w:rPr>
            </w:pPr>
            <w:r>
              <w:rPr>
                <w:rFonts w:cs="Arial"/>
                <w:b/>
                <w:color w:val="000000"/>
              </w:rPr>
              <w:t xml:space="preserve">Total </w:t>
            </w:r>
            <w:r>
              <w:rPr>
                <w:rFonts w:cs="Arial"/>
                <w:b/>
                <w:color w:val="000000"/>
              </w:rPr>
              <w:br/>
              <w:t xml:space="preserve">($ millions) </w:t>
            </w:r>
          </w:p>
        </w:tc>
        <w:tc>
          <w:tcPr>
            <w:tcW w:w="1636" w:type="dxa"/>
            <w:shd w:val="clear" w:color="auto" w:fill="D9D9D9" w:themeFill="background1" w:themeFillShade="D9"/>
          </w:tcPr>
          <w:p w:rsidR="0002219B" w:rsidRPr="009B6B08" w:rsidRDefault="0002219B" w:rsidP="0089729F">
            <w:pPr>
              <w:spacing w:after="0" w:line="240" w:lineRule="auto"/>
              <w:rPr>
                <w:rFonts w:cs="Arial"/>
                <w:b/>
                <w:color w:val="000000"/>
              </w:rPr>
            </w:pPr>
            <w:r>
              <w:rPr>
                <w:rFonts w:cs="Arial"/>
                <w:b/>
                <w:color w:val="000000"/>
              </w:rPr>
              <w:t xml:space="preserve">Increase/decrease </w:t>
            </w:r>
            <w:r w:rsidRPr="00B757C2">
              <w:rPr>
                <w:rFonts w:cs="Arial"/>
                <w:b/>
                <w:color w:val="000000"/>
              </w:rPr>
              <w:t xml:space="preserve">from </w:t>
            </w:r>
            <w:r>
              <w:rPr>
                <w:rFonts w:cs="Arial"/>
                <w:b/>
                <w:color w:val="000000"/>
              </w:rPr>
              <w:br/>
            </w:r>
            <w:r w:rsidRPr="00B757C2">
              <w:rPr>
                <w:rFonts w:cs="Arial"/>
                <w:b/>
                <w:color w:val="000000"/>
              </w:rPr>
              <w:t>2016–17</w:t>
            </w:r>
            <w:r>
              <w:rPr>
                <w:rFonts w:cs="Arial"/>
                <w:b/>
                <w:color w:val="000000"/>
              </w:rPr>
              <w:br/>
              <w:t xml:space="preserve">($ millions)  </w:t>
            </w:r>
          </w:p>
        </w:tc>
      </w:tr>
      <w:tr w:rsidR="0002219B" w:rsidTr="0002219B">
        <w:tc>
          <w:tcPr>
            <w:tcW w:w="2498" w:type="dxa"/>
          </w:tcPr>
          <w:p w:rsidR="0002219B" w:rsidRDefault="0002219B" w:rsidP="0089729F">
            <w:r w:rsidRPr="00BF5D6B">
              <w:t>Criminal law</w:t>
            </w:r>
          </w:p>
        </w:tc>
        <w:tc>
          <w:tcPr>
            <w:tcW w:w="2233" w:type="dxa"/>
          </w:tcPr>
          <w:p w:rsidR="0002219B" w:rsidRDefault="0002219B" w:rsidP="0089729F">
            <w:pPr>
              <w:rPr>
                <w:rFonts w:cs="Arial"/>
                <w:color w:val="000000"/>
              </w:rPr>
            </w:pPr>
            <w:r>
              <w:rPr>
                <w:rFonts w:cs="Arial"/>
                <w:color w:val="000000"/>
              </w:rPr>
              <w:t>88.0</w:t>
            </w:r>
          </w:p>
        </w:tc>
        <w:tc>
          <w:tcPr>
            <w:tcW w:w="2073" w:type="dxa"/>
          </w:tcPr>
          <w:p w:rsidR="0002219B" w:rsidRDefault="0002219B" w:rsidP="0089729F">
            <w:pPr>
              <w:rPr>
                <w:rFonts w:cs="Arial"/>
                <w:color w:val="000000"/>
              </w:rPr>
            </w:pPr>
            <w:r>
              <w:rPr>
                <w:rFonts w:cs="Arial"/>
                <w:color w:val="000000"/>
              </w:rPr>
              <w:t>3.8</w:t>
            </w:r>
          </w:p>
        </w:tc>
        <w:tc>
          <w:tcPr>
            <w:tcW w:w="1636" w:type="dxa"/>
          </w:tcPr>
          <w:p w:rsidR="0002219B" w:rsidRDefault="0002219B" w:rsidP="0089729F">
            <w:pPr>
              <w:rPr>
                <w:rFonts w:cs="Arial"/>
                <w:color w:val="000000"/>
              </w:rPr>
            </w:pPr>
            <w:r>
              <w:rPr>
                <w:rFonts w:cs="Arial"/>
                <w:color w:val="000000"/>
              </w:rPr>
              <w:t>91.8</w:t>
            </w:r>
          </w:p>
        </w:tc>
        <w:tc>
          <w:tcPr>
            <w:tcW w:w="1636" w:type="dxa"/>
          </w:tcPr>
          <w:p w:rsidR="0002219B" w:rsidRDefault="0002219B" w:rsidP="0089729F">
            <w:pPr>
              <w:rPr>
                <w:rFonts w:cs="Arial"/>
                <w:color w:val="000000"/>
              </w:rPr>
            </w:pPr>
            <w:r>
              <w:rPr>
                <w:rFonts w:cs="Arial"/>
                <w:color w:val="000000"/>
              </w:rPr>
              <w:t>7.5</w:t>
            </w:r>
          </w:p>
        </w:tc>
      </w:tr>
      <w:tr w:rsidR="0002219B" w:rsidTr="0002219B">
        <w:tc>
          <w:tcPr>
            <w:tcW w:w="2498" w:type="dxa"/>
          </w:tcPr>
          <w:p w:rsidR="0002219B" w:rsidRPr="00BF5D6B" w:rsidRDefault="0002219B" w:rsidP="0089729F">
            <w:r w:rsidRPr="00BF5D6B">
              <w:t>Family, Youth, and Children's Law</w:t>
            </w:r>
          </w:p>
        </w:tc>
        <w:tc>
          <w:tcPr>
            <w:tcW w:w="2233" w:type="dxa"/>
          </w:tcPr>
          <w:p w:rsidR="0002219B" w:rsidRDefault="0002219B" w:rsidP="0089729F">
            <w:pPr>
              <w:rPr>
                <w:rFonts w:cs="Arial"/>
                <w:color w:val="000000"/>
              </w:rPr>
            </w:pPr>
            <w:r>
              <w:rPr>
                <w:rFonts w:cs="Arial"/>
                <w:color w:val="000000"/>
              </w:rPr>
              <w:t>31.8</w:t>
            </w:r>
          </w:p>
        </w:tc>
        <w:tc>
          <w:tcPr>
            <w:tcW w:w="2073" w:type="dxa"/>
          </w:tcPr>
          <w:p w:rsidR="0002219B" w:rsidRDefault="0002219B" w:rsidP="0089729F">
            <w:pPr>
              <w:rPr>
                <w:rFonts w:cs="Arial"/>
                <w:color w:val="000000"/>
              </w:rPr>
            </w:pPr>
            <w:r>
              <w:rPr>
                <w:rFonts w:cs="Arial"/>
                <w:color w:val="000000"/>
              </w:rPr>
              <w:t>35.6</w:t>
            </w:r>
          </w:p>
        </w:tc>
        <w:tc>
          <w:tcPr>
            <w:tcW w:w="1636" w:type="dxa"/>
          </w:tcPr>
          <w:p w:rsidR="0002219B" w:rsidRDefault="0002219B" w:rsidP="0089729F">
            <w:pPr>
              <w:rPr>
                <w:rFonts w:cs="Arial"/>
                <w:color w:val="000000"/>
              </w:rPr>
            </w:pPr>
            <w:r>
              <w:rPr>
                <w:rFonts w:cs="Arial"/>
                <w:color w:val="000000"/>
              </w:rPr>
              <w:t>67.4</w:t>
            </w:r>
          </w:p>
        </w:tc>
        <w:tc>
          <w:tcPr>
            <w:tcW w:w="1636" w:type="dxa"/>
          </w:tcPr>
          <w:p w:rsidR="0002219B" w:rsidRDefault="0002219B" w:rsidP="0089729F">
            <w:pPr>
              <w:rPr>
                <w:rFonts w:cs="Arial"/>
                <w:color w:val="000000"/>
              </w:rPr>
            </w:pPr>
            <w:r>
              <w:rPr>
                <w:rFonts w:cs="Arial"/>
                <w:color w:val="000000"/>
              </w:rPr>
              <w:t>1.8</w:t>
            </w:r>
          </w:p>
        </w:tc>
      </w:tr>
      <w:tr w:rsidR="0002219B" w:rsidTr="0002219B">
        <w:tc>
          <w:tcPr>
            <w:tcW w:w="2498" w:type="dxa"/>
          </w:tcPr>
          <w:p w:rsidR="0002219B" w:rsidRPr="00BF5D6B" w:rsidRDefault="0002219B" w:rsidP="0089729F">
            <w:r w:rsidRPr="00BF5D6B">
              <w:t>Civil Justice</w:t>
            </w:r>
          </w:p>
        </w:tc>
        <w:tc>
          <w:tcPr>
            <w:tcW w:w="2233" w:type="dxa"/>
          </w:tcPr>
          <w:p w:rsidR="0002219B" w:rsidRDefault="0002219B" w:rsidP="0089729F">
            <w:pPr>
              <w:rPr>
                <w:rFonts w:cs="Arial"/>
                <w:color w:val="000000"/>
              </w:rPr>
            </w:pPr>
            <w:r>
              <w:rPr>
                <w:rFonts w:cs="Arial"/>
                <w:color w:val="000000"/>
              </w:rPr>
              <w:t>9.8</w:t>
            </w:r>
          </w:p>
        </w:tc>
        <w:tc>
          <w:tcPr>
            <w:tcW w:w="2073" w:type="dxa"/>
          </w:tcPr>
          <w:p w:rsidR="0002219B" w:rsidRDefault="0002219B" w:rsidP="0089729F">
            <w:pPr>
              <w:rPr>
                <w:rFonts w:cs="Arial"/>
                <w:color w:val="000000"/>
              </w:rPr>
            </w:pPr>
            <w:r>
              <w:rPr>
                <w:rFonts w:cs="Arial"/>
                <w:color w:val="000000"/>
              </w:rPr>
              <w:t>7.4</w:t>
            </w:r>
          </w:p>
        </w:tc>
        <w:tc>
          <w:tcPr>
            <w:tcW w:w="1636" w:type="dxa"/>
          </w:tcPr>
          <w:p w:rsidR="0002219B" w:rsidRDefault="0002219B" w:rsidP="0089729F">
            <w:pPr>
              <w:rPr>
                <w:rFonts w:cs="Arial"/>
                <w:color w:val="000000"/>
              </w:rPr>
            </w:pPr>
            <w:r>
              <w:rPr>
                <w:rFonts w:cs="Arial"/>
                <w:color w:val="000000"/>
              </w:rPr>
              <w:t>17.2</w:t>
            </w:r>
          </w:p>
        </w:tc>
        <w:tc>
          <w:tcPr>
            <w:tcW w:w="1636" w:type="dxa"/>
          </w:tcPr>
          <w:p w:rsidR="0002219B" w:rsidRDefault="0002219B" w:rsidP="0089729F">
            <w:pPr>
              <w:rPr>
                <w:rFonts w:cs="Arial"/>
                <w:color w:val="000000"/>
              </w:rPr>
            </w:pPr>
            <w:r>
              <w:rPr>
                <w:rFonts w:cs="Arial"/>
                <w:color w:val="000000"/>
              </w:rPr>
              <w:t>-2.1</w:t>
            </w:r>
          </w:p>
        </w:tc>
      </w:tr>
      <w:tr w:rsidR="0002219B" w:rsidTr="0002219B">
        <w:tc>
          <w:tcPr>
            <w:tcW w:w="2498" w:type="dxa"/>
          </w:tcPr>
          <w:p w:rsidR="0002219B" w:rsidRPr="00BF5D6B" w:rsidRDefault="0002219B" w:rsidP="0089729F">
            <w:r>
              <w:t>Access and</w:t>
            </w:r>
            <w:r w:rsidRPr="00BF5D6B">
              <w:t xml:space="preserve"> Equity</w:t>
            </w:r>
          </w:p>
        </w:tc>
        <w:tc>
          <w:tcPr>
            <w:tcW w:w="2233" w:type="dxa"/>
          </w:tcPr>
          <w:p w:rsidR="0002219B" w:rsidRDefault="0002219B" w:rsidP="0089729F">
            <w:pPr>
              <w:rPr>
                <w:rFonts w:cs="Arial"/>
                <w:color w:val="000000"/>
              </w:rPr>
            </w:pPr>
            <w:r>
              <w:rPr>
                <w:rFonts w:cs="Arial"/>
                <w:color w:val="000000"/>
              </w:rPr>
              <w:t>0.6</w:t>
            </w:r>
          </w:p>
        </w:tc>
        <w:tc>
          <w:tcPr>
            <w:tcW w:w="2073" w:type="dxa"/>
          </w:tcPr>
          <w:p w:rsidR="0002219B" w:rsidRDefault="0002219B" w:rsidP="0089729F">
            <w:pPr>
              <w:rPr>
                <w:rFonts w:cs="Arial"/>
                <w:color w:val="000000"/>
              </w:rPr>
            </w:pPr>
            <w:r>
              <w:rPr>
                <w:rFonts w:cs="Arial"/>
                <w:color w:val="000000"/>
              </w:rPr>
              <w:t>10.2</w:t>
            </w:r>
          </w:p>
        </w:tc>
        <w:tc>
          <w:tcPr>
            <w:tcW w:w="1636" w:type="dxa"/>
          </w:tcPr>
          <w:p w:rsidR="0002219B" w:rsidRDefault="0002219B" w:rsidP="0089729F">
            <w:pPr>
              <w:rPr>
                <w:rFonts w:cs="Arial"/>
                <w:color w:val="000000"/>
              </w:rPr>
            </w:pPr>
            <w:r>
              <w:rPr>
                <w:rFonts w:cs="Arial"/>
                <w:color w:val="000000"/>
              </w:rPr>
              <w:t>10.8</w:t>
            </w:r>
          </w:p>
        </w:tc>
        <w:tc>
          <w:tcPr>
            <w:tcW w:w="1636" w:type="dxa"/>
          </w:tcPr>
          <w:p w:rsidR="0002219B" w:rsidRDefault="0002219B" w:rsidP="0089729F">
            <w:pPr>
              <w:rPr>
                <w:rFonts w:cs="Arial"/>
                <w:color w:val="000000"/>
              </w:rPr>
            </w:pPr>
            <w:r>
              <w:rPr>
                <w:rFonts w:cs="Arial"/>
                <w:color w:val="000000"/>
              </w:rPr>
              <w:t>2</w:t>
            </w:r>
          </w:p>
        </w:tc>
      </w:tr>
      <w:tr w:rsidR="0002219B" w:rsidTr="0002219B">
        <w:tc>
          <w:tcPr>
            <w:tcW w:w="2498" w:type="dxa"/>
          </w:tcPr>
          <w:p w:rsidR="0002219B" w:rsidRPr="00BF5D6B" w:rsidRDefault="0002219B" w:rsidP="0089729F">
            <w:r w:rsidRPr="00BF5D6B">
              <w:t>Community Legal Centres</w:t>
            </w:r>
          </w:p>
        </w:tc>
        <w:tc>
          <w:tcPr>
            <w:tcW w:w="2233" w:type="dxa"/>
          </w:tcPr>
          <w:p w:rsidR="0002219B" w:rsidRDefault="0002219B" w:rsidP="0089729F">
            <w:pPr>
              <w:rPr>
                <w:rFonts w:cs="Arial"/>
                <w:color w:val="000000"/>
              </w:rPr>
            </w:pPr>
            <w:r>
              <w:rPr>
                <w:rFonts w:cs="Arial"/>
                <w:color w:val="000000"/>
              </w:rPr>
              <w:t>17.8</w:t>
            </w:r>
          </w:p>
        </w:tc>
        <w:tc>
          <w:tcPr>
            <w:tcW w:w="2073" w:type="dxa"/>
          </w:tcPr>
          <w:p w:rsidR="0002219B" w:rsidRDefault="0002219B" w:rsidP="0089729F">
            <w:pPr>
              <w:rPr>
                <w:rFonts w:cs="Arial"/>
                <w:color w:val="000000"/>
              </w:rPr>
            </w:pPr>
            <w:r>
              <w:rPr>
                <w:rFonts w:cs="Arial"/>
                <w:color w:val="000000"/>
              </w:rPr>
              <w:t>11.5</w:t>
            </w:r>
          </w:p>
        </w:tc>
        <w:tc>
          <w:tcPr>
            <w:tcW w:w="1636" w:type="dxa"/>
          </w:tcPr>
          <w:p w:rsidR="0002219B" w:rsidRDefault="0002219B" w:rsidP="0089729F">
            <w:pPr>
              <w:rPr>
                <w:rFonts w:cs="Arial"/>
                <w:color w:val="000000"/>
              </w:rPr>
            </w:pPr>
            <w:r>
              <w:rPr>
                <w:rFonts w:cs="Arial"/>
                <w:color w:val="000000"/>
              </w:rPr>
              <w:t>29.3</w:t>
            </w:r>
          </w:p>
        </w:tc>
        <w:tc>
          <w:tcPr>
            <w:tcW w:w="1636" w:type="dxa"/>
          </w:tcPr>
          <w:p w:rsidR="0002219B" w:rsidRDefault="0002219B" w:rsidP="0089729F">
            <w:pPr>
              <w:rPr>
                <w:rFonts w:cs="Arial"/>
                <w:color w:val="000000"/>
              </w:rPr>
            </w:pPr>
            <w:r>
              <w:rPr>
                <w:rFonts w:cs="Arial"/>
                <w:color w:val="000000"/>
              </w:rPr>
              <w:t>2</w:t>
            </w:r>
          </w:p>
        </w:tc>
      </w:tr>
    </w:tbl>
    <w:p w:rsidR="0002219B" w:rsidRDefault="0002219B" w:rsidP="0002219B">
      <w:pPr>
        <w:spacing w:after="0" w:line="240" w:lineRule="auto"/>
      </w:pPr>
      <w:r>
        <w:t xml:space="preserve">Total expenditure is $216.5 million. </w:t>
      </w:r>
    </w:p>
    <w:p w:rsidR="0002219B" w:rsidRDefault="0002219B" w:rsidP="006C4164">
      <w:pPr>
        <w:pStyle w:val="Heading4"/>
      </w:pPr>
      <w:r>
        <w:br w:type="page"/>
      </w:r>
      <w:r>
        <w:lastRenderedPageBreak/>
        <w:t xml:space="preserve">Access and Equity </w:t>
      </w:r>
      <w:r w:rsidRPr="009B6B08">
        <w:t>2017–18 budget</w:t>
      </w:r>
    </w:p>
    <w:tbl>
      <w:tblPr>
        <w:tblStyle w:val="TableGrid"/>
        <w:tblW w:w="5000" w:type="pct"/>
        <w:tblLook w:val="04A0" w:firstRow="1" w:lastRow="0" w:firstColumn="1" w:lastColumn="0" w:noHBand="0" w:noVBand="1"/>
      </w:tblPr>
      <w:tblGrid>
        <w:gridCol w:w="2878"/>
        <w:gridCol w:w="2581"/>
        <w:gridCol w:w="2438"/>
        <w:gridCol w:w="2179"/>
      </w:tblGrid>
      <w:tr w:rsidR="0002219B" w:rsidRPr="009B6B08" w:rsidTr="006C4164">
        <w:trPr>
          <w:tblHeader/>
        </w:trPr>
        <w:tc>
          <w:tcPr>
            <w:tcW w:w="2878" w:type="dxa"/>
            <w:shd w:val="clear" w:color="auto" w:fill="D9D9D9" w:themeFill="background1" w:themeFillShade="D9"/>
          </w:tcPr>
          <w:p w:rsidR="0002219B" w:rsidRPr="006D5FA0" w:rsidRDefault="006C4164" w:rsidP="006C4164">
            <w:pPr>
              <w:rPr>
                <w:rFonts w:cs="Arial"/>
                <w:b/>
                <w:szCs w:val="22"/>
              </w:rPr>
            </w:pPr>
            <w:r>
              <w:rPr>
                <w:rFonts w:cs="Arial"/>
                <w:b/>
                <w:szCs w:val="22"/>
              </w:rPr>
              <w:t>Access and Equity program</w:t>
            </w:r>
          </w:p>
        </w:tc>
        <w:tc>
          <w:tcPr>
            <w:tcW w:w="2581" w:type="dxa"/>
            <w:shd w:val="clear" w:color="auto" w:fill="D9D9D9" w:themeFill="background1" w:themeFillShade="D9"/>
          </w:tcPr>
          <w:p w:rsidR="0002219B" w:rsidRPr="00B757C2" w:rsidRDefault="0002219B" w:rsidP="006C4164">
            <w:pPr>
              <w:spacing w:after="0" w:line="240" w:lineRule="auto"/>
              <w:rPr>
                <w:rFonts w:cs="Arial"/>
                <w:b/>
                <w:color w:val="000000"/>
                <w:sz w:val="24"/>
              </w:rPr>
            </w:pPr>
            <w:r w:rsidRPr="00B757C2">
              <w:rPr>
                <w:rFonts w:cs="Arial"/>
                <w:b/>
                <w:color w:val="000000"/>
              </w:rPr>
              <w:t>State</w:t>
            </w:r>
            <w:r>
              <w:rPr>
                <w:rFonts w:cs="Arial"/>
                <w:b/>
                <w:color w:val="000000"/>
              </w:rPr>
              <w:t xml:space="preserve"> </w:t>
            </w:r>
            <w:r>
              <w:rPr>
                <w:rFonts w:cs="Arial"/>
                <w:b/>
                <w:color w:val="000000"/>
              </w:rPr>
              <w:br/>
              <w:t>($ millions)</w:t>
            </w:r>
          </w:p>
        </w:tc>
        <w:tc>
          <w:tcPr>
            <w:tcW w:w="2438" w:type="dxa"/>
            <w:shd w:val="clear" w:color="auto" w:fill="D9D9D9" w:themeFill="background1" w:themeFillShade="D9"/>
          </w:tcPr>
          <w:p w:rsidR="0002219B" w:rsidRPr="00B757C2" w:rsidRDefault="0002219B" w:rsidP="006C4164">
            <w:pPr>
              <w:spacing w:after="0" w:line="240" w:lineRule="auto"/>
              <w:rPr>
                <w:rFonts w:cs="Arial"/>
                <w:b/>
                <w:color w:val="000000"/>
                <w:sz w:val="24"/>
              </w:rPr>
            </w:pPr>
            <w:r w:rsidRPr="00B757C2">
              <w:rPr>
                <w:rFonts w:cs="Arial"/>
                <w:b/>
                <w:color w:val="000000"/>
              </w:rPr>
              <w:t>Commonwealth</w:t>
            </w:r>
            <w:r>
              <w:rPr>
                <w:rFonts w:cs="Arial"/>
                <w:b/>
                <w:color w:val="000000"/>
              </w:rPr>
              <w:t xml:space="preserve"> </w:t>
            </w:r>
            <w:r>
              <w:rPr>
                <w:rFonts w:cs="Arial"/>
                <w:b/>
                <w:color w:val="000000"/>
              </w:rPr>
              <w:br/>
              <w:t>($ millions)</w:t>
            </w:r>
          </w:p>
        </w:tc>
        <w:tc>
          <w:tcPr>
            <w:tcW w:w="2179" w:type="dxa"/>
            <w:shd w:val="clear" w:color="auto" w:fill="D9D9D9" w:themeFill="background1" w:themeFillShade="D9"/>
          </w:tcPr>
          <w:p w:rsidR="0002219B" w:rsidRPr="009B6B08" w:rsidRDefault="0002219B" w:rsidP="006C4164">
            <w:pPr>
              <w:spacing w:after="0" w:line="240" w:lineRule="auto"/>
              <w:rPr>
                <w:rFonts w:cs="Arial"/>
                <w:b/>
                <w:color w:val="000000"/>
              </w:rPr>
            </w:pPr>
            <w:r>
              <w:rPr>
                <w:rFonts w:cs="Arial"/>
                <w:b/>
                <w:color w:val="000000"/>
              </w:rPr>
              <w:t xml:space="preserve">Total </w:t>
            </w:r>
            <w:r>
              <w:rPr>
                <w:rFonts w:cs="Arial"/>
                <w:b/>
                <w:color w:val="000000"/>
              </w:rPr>
              <w:br/>
              <w:t xml:space="preserve">($ millions) </w:t>
            </w:r>
          </w:p>
        </w:tc>
      </w:tr>
      <w:tr w:rsidR="0002219B" w:rsidTr="0002219B">
        <w:tc>
          <w:tcPr>
            <w:tcW w:w="2878" w:type="dxa"/>
            <w:vAlign w:val="bottom"/>
          </w:tcPr>
          <w:p w:rsidR="0002219B" w:rsidRDefault="0002219B" w:rsidP="0002219B">
            <w:r>
              <w:t>Client Access</w:t>
            </w:r>
          </w:p>
        </w:tc>
        <w:tc>
          <w:tcPr>
            <w:tcW w:w="2581" w:type="dxa"/>
            <w:vAlign w:val="bottom"/>
          </w:tcPr>
          <w:p w:rsidR="0002219B" w:rsidRDefault="0002219B" w:rsidP="006C4164">
            <w:r>
              <w:t>0.6</w:t>
            </w:r>
          </w:p>
        </w:tc>
        <w:tc>
          <w:tcPr>
            <w:tcW w:w="2438" w:type="dxa"/>
            <w:vAlign w:val="bottom"/>
          </w:tcPr>
          <w:p w:rsidR="0002219B" w:rsidRDefault="0002219B" w:rsidP="006C4164">
            <w:r>
              <w:t>0.4</w:t>
            </w:r>
          </w:p>
        </w:tc>
        <w:tc>
          <w:tcPr>
            <w:tcW w:w="2179" w:type="dxa"/>
            <w:vAlign w:val="bottom"/>
          </w:tcPr>
          <w:p w:rsidR="0002219B" w:rsidRDefault="0002219B" w:rsidP="006C4164">
            <w:pPr>
              <w:rPr>
                <w:rFonts w:cs="Arial"/>
                <w:color w:val="000000"/>
                <w:sz w:val="24"/>
              </w:rPr>
            </w:pPr>
            <w:r>
              <w:rPr>
                <w:rFonts w:cs="Arial"/>
                <w:color w:val="000000"/>
              </w:rPr>
              <w:t>1.0</w:t>
            </w:r>
          </w:p>
        </w:tc>
      </w:tr>
      <w:tr w:rsidR="0002219B" w:rsidTr="0002219B">
        <w:tc>
          <w:tcPr>
            <w:tcW w:w="2878" w:type="dxa"/>
            <w:vAlign w:val="bottom"/>
          </w:tcPr>
          <w:p w:rsidR="0002219B" w:rsidRDefault="0002219B" w:rsidP="0002219B">
            <w:r>
              <w:t>Community Legal Education</w:t>
            </w:r>
          </w:p>
        </w:tc>
        <w:tc>
          <w:tcPr>
            <w:tcW w:w="2581" w:type="dxa"/>
            <w:vAlign w:val="bottom"/>
          </w:tcPr>
          <w:p w:rsidR="0002219B" w:rsidRDefault="0002219B" w:rsidP="006C4164">
            <w:r>
              <w:t>0.0</w:t>
            </w:r>
          </w:p>
        </w:tc>
        <w:tc>
          <w:tcPr>
            <w:tcW w:w="2438" w:type="dxa"/>
            <w:vAlign w:val="bottom"/>
          </w:tcPr>
          <w:p w:rsidR="0002219B" w:rsidRDefault="0002219B" w:rsidP="006C4164">
            <w:r>
              <w:t>1.4</w:t>
            </w:r>
          </w:p>
        </w:tc>
        <w:tc>
          <w:tcPr>
            <w:tcW w:w="2179" w:type="dxa"/>
            <w:vAlign w:val="bottom"/>
          </w:tcPr>
          <w:p w:rsidR="0002219B" w:rsidRDefault="0002219B" w:rsidP="006C4164">
            <w:pPr>
              <w:rPr>
                <w:rFonts w:cs="Arial"/>
                <w:color w:val="000000"/>
              </w:rPr>
            </w:pPr>
            <w:r>
              <w:rPr>
                <w:rFonts w:cs="Arial"/>
                <w:color w:val="000000"/>
              </w:rPr>
              <w:t>1.4</w:t>
            </w:r>
          </w:p>
        </w:tc>
      </w:tr>
      <w:tr w:rsidR="0002219B" w:rsidTr="0002219B">
        <w:tc>
          <w:tcPr>
            <w:tcW w:w="2878" w:type="dxa"/>
            <w:vAlign w:val="bottom"/>
          </w:tcPr>
          <w:p w:rsidR="0002219B" w:rsidRDefault="0002219B" w:rsidP="0002219B">
            <w:r>
              <w:t>Legal Help</w:t>
            </w:r>
          </w:p>
        </w:tc>
        <w:tc>
          <w:tcPr>
            <w:tcW w:w="2581" w:type="dxa"/>
            <w:vAlign w:val="bottom"/>
          </w:tcPr>
          <w:p w:rsidR="0002219B" w:rsidRDefault="0002219B" w:rsidP="006C4164">
            <w:r>
              <w:t>0.0</w:t>
            </w:r>
          </w:p>
        </w:tc>
        <w:tc>
          <w:tcPr>
            <w:tcW w:w="2438" w:type="dxa"/>
            <w:vAlign w:val="bottom"/>
          </w:tcPr>
          <w:p w:rsidR="0002219B" w:rsidRDefault="0002219B" w:rsidP="006C4164">
            <w:r>
              <w:t>8.4</w:t>
            </w:r>
          </w:p>
        </w:tc>
        <w:tc>
          <w:tcPr>
            <w:tcW w:w="2179" w:type="dxa"/>
            <w:vAlign w:val="bottom"/>
          </w:tcPr>
          <w:p w:rsidR="0002219B" w:rsidRDefault="0002219B" w:rsidP="006C4164">
            <w:pPr>
              <w:rPr>
                <w:rFonts w:cs="Arial"/>
                <w:color w:val="000000"/>
              </w:rPr>
            </w:pPr>
            <w:r>
              <w:rPr>
                <w:rFonts w:cs="Arial"/>
                <w:color w:val="000000"/>
              </w:rPr>
              <w:t>8.4</w:t>
            </w:r>
          </w:p>
        </w:tc>
      </w:tr>
    </w:tbl>
    <w:p w:rsidR="0002219B" w:rsidRDefault="0002219B" w:rsidP="0002219B">
      <w:pPr>
        <w:spacing w:after="0" w:line="240" w:lineRule="auto"/>
      </w:pPr>
      <w:r>
        <w:t xml:space="preserve">Five per cent of total expenditure. </w:t>
      </w:r>
    </w:p>
    <w:p w:rsidR="0002219B" w:rsidRDefault="0002219B" w:rsidP="0002219B">
      <w:pPr>
        <w:pStyle w:val="Heading4"/>
      </w:pPr>
      <w:r>
        <w:t xml:space="preserve">Family, Youth and Children’s Law </w:t>
      </w:r>
      <w:r w:rsidRPr="009B6B08">
        <w:t>2017–18 budget</w:t>
      </w:r>
    </w:p>
    <w:tbl>
      <w:tblPr>
        <w:tblStyle w:val="TableGrid"/>
        <w:tblW w:w="5000" w:type="pct"/>
        <w:tblLook w:val="04A0" w:firstRow="1" w:lastRow="0" w:firstColumn="1" w:lastColumn="0" w:noHBand="0" w:noVBand="1"/>
      </w:tblPr>
      <w:tblGrid>
        <w:gridCol w:w="2878"/>
        <w:gridCol w:w="2581"/>
        <w:gridCol w:w="2438"/>
        <w:gridCol w:w="2179"/>
      </w:tblGrid>
      <w:tr w:rsidR="0002219B" w:rsidRPr="009B6B08" w:rsidTr="006C4164">
        <w:trPr>
          <w:tblHeader/>
        </w:trPr>
        <w:tc>
          <w:tcPr>
            <w:tcW w:w="2878" w:type="dxa"/>
            <w:shd w:val="clear" w:color="auto" w:fill="D9D9D9" w:themeFill="background1" w:themeFillShade="D9"/>
          </w:tcPr>
          <w:p w:rsidR="0002219B" w:rsidRPr="006D5FA0" w:rsidRDefault="006C4164" w:rsidP="0089729F">
            <w:pPr>
              <w:rPr>
                <w:rFonts w:cs="Arial"/>
                <w:b/>
                <w:szCs w:val="22"/>
              </w:rPr>
            </w:pPr>
            <w:r>
              <w:rPr>
                <w:rFonts w:cs="Arial"/>
                <w:b/>
                <w:szCs w:val="22"/>
              </w:rPr>
              <w:t>Family, Youth and Children’s Law Program</w:t>
            </w:r>
          </w:p>
        </w:tc>
        <w:tc>
          <w:tcPr>
            <w:tcW w:w="2581" w:type="dxa"/>
            <w:shd w:val="clear" w:color="auto" w:fill="D9D9D9" w:themeFill="background1" w:themeFillShade="D9"/>
          </w:tcPr>
          <w:p w:rsidR="0002219B" w:rsidRPr="00B757C2" w:rsidRDefault="0002219B" w:rsidP="0089729F">
            <w:pPr>
              <w:spacing w:after="0" w:line="240" w:lineRule="auto"/>
              <w:rPr>
                <w:rFonts w:cs="Arial"/>
                <w:b/>
                <w:color w:val="000000"/>
                <w:sz w:val="24"/>
              </w:rPr>
            </w:pPr>
            <w:r w:rsidRPr="00B757C2">
              <w:rPr>
                <w:rFonts w:cs="Arial"/>
                <w:b/>
                <w:color w:val="000000"/>
              </w:rPr>
              <w:t>State</w:t>
            </w:r>
            <w:r>
              <w:rPr>
                <w:rFonts w:cs="Arial"/>
                <w:b/>
                <w:color w:val="000000"/>
              </w:rPr>
              <w:t xml:space="preserve"> ($ millions)</w:t>
            </w:r>
          </w:p>
        </w:tc>
        <w:tc>
          <w:tcPr>
            <w:tcW w:w="2438" w:type="dxa"/>
            <w:shd w:val="clear" w:color="auto" w:fill="D9D9D9" w:themeFill="background1" w:themeFillShade="D9"/>
          </w:tcPr>
          <w:p w:rsidR="0002219B" w:rsidRPr="00B757C2" w:rsidRDefault="0002219B" w:rsidP="0089729F">
            <w:pPr>
              <w:spacing w:after="0" w:line="240" w:lineRule="auto"/>
              <w:rPr>
                <w:rFonts w:cs="Arial"/>
                <w:b/>
                <w:color w:val="000000"/>
                <w:sz w:val="24"/>
              </w:rPr>
            </w:pPr>
            <w:r w:rsidRPr="00B757C2">
              <w:rPr>
                <w:rFonts w:cs="Arial"/>
                <w:b/>
                <w:color w:val="000000"/>
              </w:rPr>
              <w:t>Commonwealth</w:t>
            </w:r>
            <w:r>
              <w:rPr>
                <w:rFonts w:cs="Arial"/>
                <w:b/>
                <w:color w:val="000000"/>
              </w:rPr>
              <w:t xml:space="preserve"> </w:t>
            </w:r>
            <w:r>
              <w:rPr>
                <w:rFonts w:cs="Arial"/>
                <w:b/>
                <w:color w:val="000000"/>
              </w:rPr>
              <w:br/>
              <w:t>($ millions)</w:t>
            </w:r>
          </w:p>
        </w:tc>
        <w:tc>
          <w:tcPr>
            <w:tcW w:w="2179" w:type="dxa"/>
            <w:shd w:val="clear" w:color="auto" w:fill="D9D9D9" w:themeFill="background1" w:themeFillShade="D9"/>
          </w:tcPr>
          <w:p w:rsidR="0002219B" w:rsidRPr="009B6B08" w:rsidRDefault="0002219B" w:rsidP="0089729F">
            <w:pPr>
              <w:spacing w:after="0" w:line="240" w:lineRule="auto"/>
              <w:rPr>
                <w:rFonts w:cs="Arial"/>
                <w:b/>
                <w:color w:val="000000"/>
              </w:rPr>
            </w:pPr>
            <w:r>
              <w:rPr>
                <w:rFonts w:cs="Arial"/>
                <w:b/>
                <w:color w:val="000000"/>
              </w:rPr>
              <w:t xml:space="preserve">Total ($ millions) </w:t>
            </w:r>
          </w:p>
        </w:tc>
      </w:tr>
      <w:tr w:rsidR="0002219B" w:rsidTr="0002219B">
        <w:tc>
          <w:tcPr>
            <w:tcW w:w="2878" w:type="dxa"/>
            <w:vAlign w:val="bottom"/>
          </w:tcPr>
          <w:p w:rsidR="0002219B" w:rsidRDefault="0002219B" w:rsidP="0002219B">
            <w:r>
              <w:t>Child support</w:t>
            </w:r>
          </w:p>
        </w:tc>
        <w:tc>
          <w:tcPr>
            <w:tcW w:w="2581" w:type="dxa"/>
            <w:vAlign w:val="bottom"/>
          </w:tcPr>
          <w:p w:rsidR="0002219B" w:rsidRDefault="0002219B" w:rsidP="0089729F">
            <w:r>
              <w:t>0.2</w:t>
            </w:r>
          </w:p>
        </w:tc>
        <w:tc>
          <w:tcPr>
            <w:tcW w:w="2438" w:type="dxa"/>
            <w:vAlign w:val="bottom"/>
          </w:tcPr>
          <w:p w:rsidR="0002219B" w:rsidRDefault="0002219B" w:rsidP="0089729F">
            <w:r>
              <w:t>1.5</w:t>
            </w:r>
          </w:p>
        </w:tc>
        <w:tc>
          <w:tcPr>
            <w:tcW w:w="2179" w:type="dxa"/>
            <w:vAlign w:val="bottom"/>
          </w:tcPr>
          <w:p w:rsidR="0002219B" w:rsidRDefault="0002219B" w:rsidP="0089729F">
            <w:pPr>
              <w:rPr>
                <w:rFonts w:cs="Arial"/>
                <w:color w:val="000000"/>
                <w:sz w:val="24"/>
              </w:rPr>
            </w:pPr>
            <w:r>
              <w:rPr>
                <w:rFonts w:cs="Arial"/>
                <w:color w:val="000000"/>
              </w:rPr>
              <w:t>1.7</w:t>
            </w:r>
          </w:p>
        </w:tc>
      </w:tr>
      <w:tr w:rsidR="0002219B" w:rsidTr="0002219B">
        <w:tc>
          <w:tcPr>
            <w:tcW w:w="2878" w:type="dxa"/>
            <w:vAlign w:val="bottom"/>
          </w:tcPr>
          <w:p w:rsidR="0002219B" w:rsidRDefault="0002219B" w:rsidP="0002219B">
            <w:r>
              <w:t>Family Violence</w:t>
            </w:r>
          </w:p>
        </w:tc>
        <w:tc>
          <w:tcPr>
            <w:tcW w:w="2581" w:type="dxa"/>
            <w:vAlign w:val="bottom"/>
          </w:tcPr>
          <w:p w:rsidR="0002219B" w:rsidRDefault="0002219B" w:rsidP="0089729F">
            <w:r>
              <w:t>4.7</w:t>
            </w:r>
          </w:p>
        </w:tc>
        <w:tc>
          <w:tcPr>
            <w:tcW w:w="2438" w:type="dxa"/>
            <w:vAlign w:val="bottom"/>
          </w:tcPr>
          <w:p w:rsidR="0002219B" w:rsidRDefault="0002219B" w:rsidP="0089729F">
            <w:r>
              <w:t>0.1</w:t>
            </w:r>
          </w:p>
        </w:tc>
        <w:tc>
          <w:tcPr>
            <w:tcW w:w="2179" w:type="dxa"/>
            <w:vAlign w:val="bottom"/>
          </w:tcPr>
          <w:p w:rsidR="0002219B" w:rsidRDefault="0002219B" w:rsidP="0089729F">
            <w:pPr>
              <w:rPr>
                <w:rFonts w:cs="Arial"/>
                <w:color w:val="000000"/>
              </w:rPr>
            </w:pPr>
            <w:r>
              <w:rPr>
                <w:rFonts w:cs="Arial"/>
                <w:color w:val="000000"/>
              </w:rPr>
              <w:t>4.8</w:t>
            </w:r>
          </w:p>
        </w:tc>
      </w:tr>
      <w:tr w:rsidR="0002219B" w:rsidTr="0002219B">
        <w:tc>
          <w:tcPr>
            <w:tcW w:w="2878" w:type="dxa"/>
            <w:vAlign w:val="bottom"/>
          </w:tcPr>
          <w:p w:rsidR="0002219B" w:rsidRDefault="0002219B" w:rsidP="0002219B">
            <w:r>
              <w:t>Independent children's lawyers</w:t>
            </w:r>
          </w:p>
        </w:tc>
        <w:tc>
          <w:tcPr>
            <w:tcW w:w="2581" w:type="dxa"/>
            <w:vAlign w:val="bottom"/>
          </w:tcPr>
          <w:p w:rsidR="0002219B" w:rsidRDefault="0002219B" w:rsidP="0089729F">
            <w:r>
              <w:t>0.0</w:t>
            </w:r>
          </w:p>
        </w:tc>
        <w:tc>
          <w:tcPr>
            <w:tcW w:w="2438" w:type="dxa"/>
            <w:vAlign w:val="bottom"/>
          </w:tcPr>
          <w:p w:rsidR="0002219B" w:rsidRDefault="0002219B" w:rsidP="0089729F">
            <w:r>
              <w:t>10.3</w:t>
            </w:r>
          </w:p>
        </w:tc>
        <w:tc>
          <w:tcPr>
            <w:tcW w:w="2179" w:type="dxa"/>
            <w:vAlign w:val="bottom"/>
          </w:tcPr>
          <w:p w:rsidR="0002219B" w:rsidRDefault="0002219B" w:rsidP="0089729F">
            <w:pPr>
              <w:rPr>
                <w:rFonts w:cs="Arial"/>
                <w:color w:val="000000"/>
              </w:rPr>
            </w:pPr>
            <w:r>
              <w:rPr>
                <w:rFonts w:cs="Arial"/>
                <w:color w:val="000000"/>
              </w:rPr>
              <w:t>10.3</w:t>
            </w:r>
          </w:p>
        </w:tc>
      </w:tr>
      <w:tr w:rsidR="0002219B" w:rsidTr="0002219B">
        <w:tc>
          <w:tcPr>
            <w:tcW w:w="2878" w:type="dxa"/>
            <w:vAlign w:val="bottom"/>
          </w:tcPr>
          <w:p w:rsidR="0002219B" w:rsidRDefault="0002219B" w:rsidP="0002219B">
            <w:r>
              <w:t>Parenting disputes</w:t>
            </w:r>
          </w:p>
        </w:tc>
        <w:tc>
          <w:tcPr>
            <w:tcW w:w="2581" w:type="dxa"/>
            <w:vAlign w:val="bottom"/>
          </w:tcPr>
          <w:p w:rsidR="0002219B" w:rsidRDefault="0002219B" w:rsidP="0089729F">
            <w:r>
              <w:t>0.0</w:t>
            </w:r>
          </w:p>
        </w:tc>
        <w:tc>
          <w:tcPr>
            <w:tcW w:w="2438" w:type="dxa"/>
            <w:vAlign w:val="bottom"/>
          </w:tcPr>
          <w:p w:rsidR="0002219B" w:rsidRDefault="0002219B" w:rsidP="0089729F">
            <w:r>
              <w:t>11.2</w:t>
            </w:r>
          </w:p>
        </w:tc>
        <w:tc>
          <w:tcPr>
            <w:tcW w:w="2179" w:type="dxa"/>
            <w:vAlign w:val="bottom"/>
          </w:tcPr>
          <w:p w:rsidR="0002219B" w:rsidRDefault="0002219B" w:rsidP="0089729F">
            <w:pPr>
              <w:rPr>
                <w:rFonts w:cs="Arial"/>
                <w:color w:val="000000"/>
              </w:rPr>
            </w:pPr>
            <w:r>
              <w:rPr>
                <w:rFonts w:cs="Arial"/>
                <w:color w:val="000000"/>
              </w:rPr>
              <w:t>11.2</w:t>
            </w:r>
          </w:p>
        </w:tc>
      </w:tr>
      <w:tr w:rsidR="0002219B" w:rsidTr="0002219B">
        <w:tc>
          <w:tcPr>
            <w:tcW w:w="2878" w:type="dxa"/>
            <w:vAlign w:val="bottom"/>
          </w:tcPr>
          <w:p w:rsidR="0002219B" w:rsidRDefault="0002219B" w:rsidP="0002219B">
            <w:r>
              <w:t>Family dispute resolution service</w:t>
            </w:r>
          </w:p>
        </w:tc>
        <w:tc>
          <w:tcPr>
            <w:tcW w:w="2581" w:type="dxa"/>
            <w:vAlign w:val="bottom"/>
          </w:tcPr>
          <w:p w:rsidR="0002219B" w:rsidRDefault="0002219B" w:rsidP="0089729F">
            <w:r>
              <w:t>0.0</w:t>
            </w:r>
          </w:p>
        </w:tc>
        <w:tc>
          <w:tcPr>
            <w:tcW w:w="2438" w:type="dxa"/>
            <w:vAlign w:val="bottom"/>
          </w:tcPr>
          <w:p w:rsidR="0002219B" w:rsidRDefault="0002219B" w:rsidP="0089729F">
            <w:r>
              <w:t>11.8</w:t>
            </w:r>
          </w:p>
        </w:tc>
        <w:tc>
          <w:tcPr>
            <w:tcW w:w="2179" w:type="dxa"/>
            <w:vAlign w:val="bottom"/>
          </w:tcPr>
          <w:p w:rsidR="0002219B" w:rsidRDefault="0002219B" w:rsidP="0089729F">
            <w:pPr>
              <w:rPr>
                <w:rFonts w:cs="Arial"/>
                <w:color w:val="000000"/>
              </w:rPr>
            </w:pPr>
            <w:r>
              <w:rPr>
                <w:rFonts w:cs="Arial"/>
                <w:color w:val="000000"/>
              </w:rPr>
              <w:t>11.8</w:t>
            </w:r>
          </w:p>
        </w:tc>
      </w:tr>
      <w:tr w:rsidR="0002219B" w:rsidTr="0002219B">
        <w:tc>
          <w:tcPr>
            <w:tcW w:w="2878" w:type="dxa"/>
            <w:vAlign w:val="bottom"/>
          </w:tcPr>
          <w:p w:rsidR="0002219B" w:rsidRDefault="0002219B" w:rsidP="0002219B">
            <w:r>
              <w:t>Child protection</w:t>
            </w:r>
          </w:p>
        </w:tc>
        <w:tc>
          <w:tcPr>
            <w:tcW w:w="2581" w:type="dxa"/>
            <w:vAlign w:val="bottom"/>
          </w:tcPr>
          <w:p w:rsidR="0002219B" w:rsidRDefault="0002219B" w:rsidP="0089729F">
            <w:r>
              <w:t>26.8</w:t>
            </w:r>
          </w:p>
        </w:tc>
        <w:tc>
          <w:tcPr>
            <w:tcW w:w="2438" w:type="dxa"/>
            <w:vAlign w:val="bottom"/>
          </w:tcPr>
          <w:p w:rsidR="0002219B" w:rsidRDefault="0002219B" w:rsidP="0089729F">
            <w:r>
              <w:t>0.8</w:t>
            </w:r>
          </w:p>
        </w:tc>
        <w:tc>
          <w:tcPr>
            <w:tcW w:w="2179" w:type="dxa"/>
            <w:vAlign w:val="bottom"/>
          </w:tcPr>
          <w:p w:rsidR="0002219B" w:rsidRDefault="0002219B" w:rsidP="0089729F">
            <w:pPr>
              <w:rPr>
                <w:rFonts w:cs="Arial"/>
                <w:color w:val="000000"/>
              </w:rPr>
            </w:pPr>
            <w:r>
              <w:rPr>
                <w:rFonts w:cs="Arial"/>
                <w:color w:val="000000"/>
              </w:rPr>
              <w:t>27.6</w:t>
            </w:r>
          </w:p>
        </w:tc>
      </w:tr>
    </w:tbl>
    <w:p w:rsidR="0002219B" w:rsidRDefault="0002219B" w:rsidP="0002219B">
      <w:pPr>
        <w:spacing w:after="0" w:line="240" w:lineRule="auto"/>
      </w:pPr>
      <w:r>
        <w:t xml:space="preserve">31 per cent of total expenditure. </w:t>
      </w:r>
    </w:p>
    <w:p w:rsidR="0002219B" w:rsidRDefault="0002219B" w:rsidP="0002219B">
      <w:pPr>
        <w:pStyle w:val="Heading4"/>
      </w:pPr>
      <w:r>
        <w:t xml:space="preserve">Civil Justice </w:t>
      </w:r>
      <w:r w:rsidRPr="009B6B08">
        <w:t>2017–18 budget</w:t>
      </w:r>
    </w:p>
    <w:tbl>
      <w:tblPr>
        <w:tblStyle w:val="TableGrid"/>
        <w:tblW w:w="5000" w:type="pct"/>
        <w:tblLook w:val="04A0" w:firstRow="1" w:lastRow="0" w:firstColumn="1" w:lastColumn="0" w:noHBand="0" w:noVBand="1"/>
      </w:tblPr>
      <w:tblGrid>
        <w:gridCol w:w="2878"/>
        <w:gridCol w:w="2581"/>
        <w:gridCol w:w="2438"/>
        <w:gridCol w:w="2179"/>
      </w:tblGrid>
      <w:tr w:rsidR="0002219B" w:rsidRPr="009B6B08" w:rsidTr="006C4164">
        <w:trPr>
          <w:tblHeader/>
        </w:trPr>
        <w:tc>
          <w:tcPr>
            <w:tcW w:w="2878" w:type="dxa"/>
            <w:shd w:val="clear" w:color="auto" w:fill="D9D9D9" w:themeFill="background1" w:themeFillShade="D9"/>
          </w:tcPr>
          <w:p w:rsidR="0002219B" w:rsidRPr="006D5FA0" w:rsidRDefault="006C4164" w:rsidP="0089729F">
            <w:pPr>
              <w:rPr>
                <w:rFonts w:cs="Arial"/>
                <w:b/>
                <w:szCs w:val="22"/>
              </w:rPr>
            </w:pPr>
            <w:r>
              <w:rPr>
                <w:rFonts w:cs="Arial"/>
                <w:b/>
                <w:szCs w:val="22"/>
              </w:rPr>
              <w:t>Civil Justice Program</w:t>
            </w:r>
          </w:p>
        </w:tc>
        <w:tc>
          <w:tcPr>
            <w:tcW w:w="2581" w:type="dxa"/>
            <w:shd w:val="clear" w:color="auto" w:fill="D9D9D9" w:themeFill="background1" w:themeFillShade="D9"/>
          </w:tcPr>
          <w:p w:rsidR="0002219B" w:rsidRPr="00B757C2" w:rsidRDefault="0002219B" w:rsidP="0089729F">
            <w:pPr>
              <w:spacing w:after="0" w:line="240" w:lineRule="auto"/>
              <w:rPr>
                <w:rFonts w:cs="Arial"/>
                <w:b/>
                <w:color w:val="000000"/>
                <w:sz w:val="24"/>
              </w:rPr>
            </w:pPr>
            <w:r w:rsidRPr="00B757C2">
              <w:rPr>
                <w:rFonts w:cs="Arial"/>
                <w:b/>
                <w:color w:val="000000"/>
              </w:rPr>
              <w:t>State</w:t>
            </w:r>
            <w:r>
              <w:rPr>
                <w:rFonts w:cs="Arial"/>
                <w:b/>
                <w:color w:val="000000"/>
              </w:rPr>
              <w:t xml:space="preserve"> ($ millions)</w:t>
            </w:r>
          </w:p>
        </w:tc>
        <w:tc>
          <w:tcPr>
            <w:tcW w:w="2438" w:type="dxa"/>
            <w:shd w:val="clear" w:color="auto" w:fill="D9D9D9" w:themeFill="background1" w:themeFillShade="D9"/>
          </w:tcPr>
          <w:p w:rsidR="0002219B" w:rsidRPr="00B757C2" w:rsidRDefault="0002219B" w:rsidP="0089729F">
            <w:pPr>
              <w:spacing w:after="0" w:line="240" w:lineRule="auto"/>
              <w:rPr>
                <w:rFonts w:cs="Arial"/>
                <w:b/>
                <w:color w:val="000000"/>
                <w:sz w:val="24"/>
              </w:rPr>
            </w:pPr>
            <w:r w:rsidRPr="00B757C2">
              <w:rPr>
                <w:rFonts w:cs="Arial"/>
                <w:b/>
                <w:color w:val="000000"/>
              </w:rPr>
              <w:t>Commonwealth</w:t>
            </w:r>
            <w:r>
              <w:rPr>
                <w:rFonts w:cs="Arial"/>
                <w:b/>
                <w:color w:val="000000"/>
              </w:rPr>
              <w:t xml:space="preserve"> </w:t>
            </w:r>
            <w:r>
              <w:rPr>
                <w:rFonts w:cs="Arial"/>
                <w:b/>
                <w:color w:val="000000"/>
              </w:rPr>
              <w:br/>
              <w:t>($ millions)</w:t>
            </w:r>
          </w:p>
        </w:tc>
        <w:tc>
          <w:tcPr>
            <w:tcW w:w="2179" w:type="dxa"/>
            <w:shd w:val="clear" w:color="auto" w:fill="D9D9D9" w:themeFill="background1" w:themeFillShade="D9"/>
          </w:tcPr>
          <w:p w:rsidR="0002219B" w:rsidRPr="009B6B08" w:rsidRDefault="0002219B" w:rsidP="0089729F">
            <w:pPr>
              <w:spacing w:after="0" w:line="240" w:lineRule="auto"/>
              <w:rPr>
                <w:rFonts w:cs="Arial"/>
                <w:b/>
                <w:color w:val="000000"/>
              </w:rPr>
            </w:pPr>
            <w:r>
              <w:rPr>
                <w:rFonts w:cs="Arial"/>
                <w:b/>
                <w:color w:val="000000"/>
              </w:rPr>
              <w:t xml:space="preserve">Total ($ millions) </w:t>
            </w:r>
          </w:p>
        </w:tc>
      </w:tr>
      <w:tr w:rsidR="0002219B" w:rsidTr="0002219B">
        <w:tc>
          <w:tcPr>
            <w:tcW w:w="2878" w:type="dxa"/>
            <w:vAlign w:val="bottom"/>
          </w:tcPr>
          <w:p w:rsidR="0002219B" w:rsidRDefault="0002219B" w:rsidP="0002219B">
            <w:r>
              <w:t>Equality</w:t>
            </w:r>
          </w:p>
        </w:tc>
        <w:tc>
          <w:tcPr>
            <w:tcW w:w="2581" w:type="dxa"/>
            <w:vAlign w:val="bottom"/>
          </w:tcPr>
          <w:p w:rsidR="0002219B" w:rsidRDefault="0002219B" w:rsidP="0089729F">
            <w:r>
              <w:t>1.0</w:t>
            </w:r>
          </w:p>
        </w:tc>
        <w:tc>
          <w:tcPr>
            <w:tcW w:w="2438" w:type="dxa"/>
            <w:vAlign w:val="bottom"/>
          </w:tcPr>
          <w:p w:rsidR="0002219B" w:rsidRDefault="0002219B" w:rsidP="0089729F">
            <w:r>
              <w:t>1.0</w:t>
            </w:r>
          </w:p>
        </w:tc>
        <w:tc>
          <w:tcPr>
            <w:tcW w:w="2179" w:type="dxa"/>
            <w:vAlign w:val="bottom"/>
          </w:tcPr>
          <w:p w:rsidR="0002219B" w:rsidRDefault="0002219B" w:rsidP="0089729F">
            <w:pPr>
              <w:rPr>
                <w:rFonts w:cs="Arial"/>
                <w:color w:val="000000"/>
                <w:sz w:val="24"/>
              </w:rPr>
            </w:pPr>
            <w:r>
              <w:rPr>
                <w:rFonts w:cs="Arial"/>
                <w:color w:val="000000"/>
              </w:rPr>
              <w:t>2.0</w:t>
            </w:r>
          </w:p>
        </w:tc>
      </w:tr>
      <w:tr w:rsidR="0002219B" w:rsidTr="0002219B">
        <w:tc>
          <w:tcPr>
            <w:tcW w:w="2878" w:type="dxa"/>
            <w:vAlign w:val="bottom"/>
          </w:tcPr>
          <w:p w:rsidR="0002219B" w:rsidRDefault="0002219B" w:rsidP="0002219B">
            <w:r>
              <w:t>IMHA</w:t>
            </w:r>
          </w:p>
        </w:tc>
        <w:tc>
          <w:tcPr>
            <w:tcW w:w="2581" w:type="dxa"/>
            <w:vAlign w:val="bottom"/>
          </w:tcPr>
          <w:p w:rsidR="0002219B" w:rsidRDefault="0002219B" w:rsidP="0089729F">
            <w:r>
              <w:t>2.0</w:t>
            </w:r>
          </w:p>
        </w:tc>
        <w:tc>
          <w:tcPr>
            <w:tcW w:w="2438" w:type="dxa"/>
            <w:vAlign w:val="bottom"/>
          </w:tcPr>
          <w:p w:rsidR="0002219B" w:rsidRDefault="0002219B" w:rsidP="0089729F">
            <w:r>
              <w:t>0.0</w:t>
            </w:r>
          </w:p>
        </w:tc>
        <w:tc>
          <w:tcPr>
            <w:tcW w:w="2179" w:type="dxa"/>
            <w:vAlign w:val="bottom"/>
          </w:tcPr>
          <w:p w:rsidR="0002219B" w:rsidRDefault="0002219B" w:rsidP="0089729F">
            <w:pPr>
              <w:rPr>
                <w:rFonts w:cs="Arial"/>
                <w:color w:val="000000"/>
              </w:rPr>
            </w:pPr>
            <w:r>
              <w:rPr>
                <w:rFonts w:cs="Arial"/>
                <w:color w:val="000000"/>
              </w:rPr>
              <w:t>2.0</w:t>
            </w:r>
          </w:p>
        </w:tc>
      </w:tr>
      <w:tr w:rsidR="0002219B" w:rsidTr="0002219B">
        <w:tc>
          <w:tcPr>
            <w:tcW w:w="2878" w:type="dxa"/>
            <w:vAlign w:val="bottom"/>
          </w:tcPr>
          <w:p w:rsidR="0002219B" w:rsidRDefault="0002219B" w:rsidP="0002219B">
            <w:pPr>
              <w:rPr>
                <w:color w:val="003300"/>
              </w:rPr>
            </w:pPr>
            <w:r>
              <w:rPr>
                <w:color w:val="003300"/>
              </w:rPr>
              <w:t>Migration</w:t>
            </w:r>
          </w:p>
        </w:tc>
        <w:tc>
          <w:tcPr>
            <w:tcW w:w="2581" w:type="dxa"/>
            <w:vAlign w:val="bottom"/>
          </w:tcPr>
          <w:p w:rsidR="0002219B" w:rsidRDefault="0002219B" w:rsidP="0089729F">
            <w:r>
              <w:t>0.0</w:t>
            </w:r>
          </w:p>
        </w:tc>
        <w:tc>
          <w:tcPr>
            <w:tcW w:w="2438" w:type="dxa"/>
            <w:vAlign w:val="bottom"/>
          </w:tcPr>
          <w:p w:rsidR="0002219B" w:rsidRDefault="0002219B" w:rsidP="0089729F">
            <w:r>
              <w:t>2.3</w:t>
            </w:r>
          </w:p>
        </w:tc>
        <w:tc>
          <w:tcPr>
            <w:tcW w:w="2179" w:type="dxa"/>
            <w:vAlign w:val="bottom"/>
          </w:tcPr>
          <w:p w:rsidR="0002219B" w:rsidRDefault="0002219B" w:rsidP="0089729F">
            <w:pPr>
              <w:rPr>
                <w:rFonts w:cs="Arial"/>
                <w:color w:val="000000"/>
              </w:rPr>
            </w:pPr>
            <w:r>
              <w:rPr>
                <w:rFonts w:cs="Arial"/>
                <w:color w:val="000000"/>
              </w:rPr>
              <w:t>2.3</w:t>
            </w:r>
          </w:p>
        </w:tc>
      </w:tr>
      <w:tr w:rsidR="0002219B" w:rsidTr="0002219B">
        <w:tc>
          <w:tcPr>
            <w:tcW w:w="2878" w:type="dxa"/>
            <w:vAlign w:val="bottom"/>
          </w:tcPr>
          <w:p w:rsidR="0002219B" w:rsidRDefault="0002219B" w:rsidP="0002219B">
            <w:r>
              <w:t>Social Inclusion</w:t>
            </w:r>
          </w:p>
        </w:tc>
        <w:tc>
          <w:tcPr>
            <w:tcW w:w="2581" w:type="dxa"/>
            <w:vAlign w:val="bottom"/>
          </w:tcPr>
          <w:p w:rsidR="0002219B" w:rsidRDefault="0002219B" w:rsidP="0089729F">
            <w:r>
              <w:t>3.5</w:t>
            </w:r>
          </w:p>
        </w:tc>
        <w:tc>
          <w:tcPr>
            <w:tcW w:w="2438" w:type="dxa"/>
            <w:vAlign w:val="bottom"/>
          </w:tcPr>
          <w:p w:rsidR="0002219B" w:rsidRDefault="0002219B" w:rsidP="0089729F">
            <w:r>
              <w:t>0.0</w:t>
            </w:r>
          </w:p>
        </w:tc>
        <w:tc>
          <w:tcPr>
            <w:tcW w:w="2179" w:type="dxa"/>
            <w:vAlign w:val="bottom"/>
          </w:tcPr>
          <w:p w:rsidR="0002219B" w:rsidRDefault="0002219B" w:rsidP="0089729F">
            <w:pPr>
              <w:rPr>
                <w:rFonts w:cs="Arial"/>
                <w:color w:val="000000"/>
              </w:rPr>
            </w:pPr>
            <w:r>
              <w:rPr>
                <w:rFonts w:cs="Arial"/>
                <w:color w:val="000000"/>
              </w:rPr>
              <w:t>3.5</w:t>
            </w:r>
          </w:p>
        </w:tc>
      </w:tr>
      <w:tr w:rsidR="0002219B" w:rsidTr="0002219B">
        <w:tc>
          <w:tcPr>
            <w:tcW w:w="2878" w:type="dxa"/>
            <w:vAlign w:val="bottom"/>
          </w:tcPr>
          <w:p w:rsidR="0002219B" w:rsidRDefault="0002219B" w:rsidP="0002219B">
            <w:r>
              <w:t>Commonwealth Entitlements</w:t>
            </w:r>
          </w:p>
        </w:tc>
        <w:tc>
          <w:tcPr>
            <w:tcW w:w="2581" w:type="dxa"/>
            <w:vAlign w:val="bottom"/>
          </w:tcPr>
          <w:p w:rsidR="0002219B" w:rsidRDefault="0002219B" w:rsidP="0089729F">
            <w:r>
              <w:t>0.0</w:t>
            </w:r>
          </w:p>
        </w:tc>
        <w:tc>
          <w:tcPr>
            <w:tcW w:w="2438" w:type="dxa"/>
            <w:vAlign w:val="bottom"/>
          </w:tcPr>
          <w:p w:rsidR="0002219B" w:rsidRDefault="0002219B" w:rsidP="0089729F">
            <w:r>
              <w:t>3.5</w:t>
            </w:r>
          </w:p>
        </w:tc>
        <w:tc>
          <w:tcPr>
            <w:tcW w:w="2179" w:type="dxa"/>
            <w:vAlign w:val="bottom"/>
          </w:tcPr>
          <w:p w:rsidR="0002219B" w:rsidRDefault="0002219B" w:rsidP="0089729F">
            <w:pPr>
              <w:rPr>
                <w:rFonts w:cs="Arial"/>
                <w:color w:val="000000"/>
              </w:rPr>
            </w:pPr>
            <w:r>
              <w:rPr>
                <w:rFonts w:cs="Arial"/>
                <w:color w:val="000000"/>
              </w:rPr>
              <w:t>3.5</w:t>
            </w:r>
          </w:p>
        </w:tc>
      </w:tr>
      <w:tr w:rsidR="0002219B" w:rsidTr="0002219B">
        <w:tc>
          <w:tcPr>
            <w:tcW w:w="2878" w:type="dxa"/>
            <w:vAlign w:val="bottom"/>
          </w:tcPr>
          <w:p w:rsidR="0002219B" w:rsidRDefault="0002219B" w:rsidP="0002219B">
            <w:pPr>
              <w:rPr>
                <w:color w:val="003300"/>
              </w:rPr>
            </w:pPr>
            <w:r>
              <w:rPr>
                <w:color w:val="003300"/>
              </w:rPr>
              <w:t>Mental Health and Disability</w:t>
            </w:r>
          </w:p>
        </w:tc>
        <w:tc>
          <w:tcPr>
            <w:tcW w:w="2581" w:type="dxa"/>
            <w:vAlign w:val="bottom"/>
          </w:tcPr>
          <w:p w:rsidR="0002219B" w:rsidRDefault="0002219B" w:rsidP="0089729F">
            <w:r>
              <w:t>3.4</w:t>
            </w:r>
          </w:p>
        </w:tc>
        <w:tc>
          <w:tcPr>
            <w:tcW w:w="2438" w:type="dxa"/>
            <w:vAlign w:val="bottom"/>
          </w:tcPr>
          <w:p w:rsidR="0002219B" w:rsidRDefault="0002219B" w:rsidP="0089729F">
            <w:r>
              <w:t>0.6</w:t>
            </w:r>
          </w:p>
        </w:tc>
        <w:tc>
          <w:tcPr>
            <w:tcW w:w="2179" w:type="dxa"/>
            <w:vAlign w:val="bottom"/>
          </w:tcPr>
          <w:p w:rsidR="0002219B" w:rsidRDefault="0002219B" w:rsidP="0089729F">
            <w:pPr>
              <w:rPr>
                <w:rFonts w:cs="Arial"/>
                <w:color w:val="000000"/>
              </w:rPr>
            </w:pPr>
            <w:r>
              <w:rPr>
                <w:rFonts w:cs="Arial"/>
                <w:color w:val="000000"/>
              </w:rPr>
              <w:t>3.9</w:t>
            </w:r>
          </w:p>
        </w:tc>
      </w:tr>
    </w:tbl>
    <w:p w:rsidR="0002219B" w:rsidRDefault="0002219B" w:rsidP="0002219B">
      <w:pPr>
        <w:spacing w:after="0" w:line="240" w:lineRule="auto"/>
      </w:pPr>
      <w:r>
        <w:t>Eight per cent of total expenditure.</w:t>
      </w:r>
    </w:p>
    <w:p w:rsidR="0002219B" w:rsidRDefault="0002219B" w:rsidP="0002219B">
      <w:pPr>
        <w:spacing w:after="0" w:line="240" w:lineRule="auto"/>
      </w:pPr>
    </w:p>
    <w:p w:rsidR="0002219B" w:rsidRDefault="0002219B" w:rsidP="0002219B">
      <w:pPr>
        <w:pStyle w:val="Heading4"/>
      </w:pPr>
      <w:r>
        <w:lastRenderedPageBreak/>
        <w:t xml:space="preserve">Criminal Law </w:t>
      </w:r>
      <w:r w:rsidRPr="009B6B08">
        <w:t>2017–18 budget</w:t>
      </w:r>
    </w:p>
    <w:tbl>
      <w:tblPr>
        <w:tblStyle w:val="TableGrid"/>
        <w:tblW w:w="5000" w:type="pct"/>
        <w:tblLook w:val="04A0" w:firstRow="1" w:lastRow="0" w:firstColumn="1" w:lastColumn="0" w:noHBand="0" w:noVBand="1"/>
      </w:tblPr>
      <w:tblGrid>
        <w:gridCol w:w="2022"/>
        <w:gridCol w:w="1913"/>
        <w:gridCol w:w="2148"/>
        <w:gridCol w:w="1868"/>
        <w:gridCol w:w="2125"/>
      </w:tblGrid>
      <w:tr w:rsidR="0002219B" w:rsidRPr="009B6B08" w:rsidTr="0089729F">
        <w:trPr>
          <w:tblHeader/>
        </w:trPr>
        <w:tc>
          <w:tcPr>
            <w:tcW w:w="2238" w:type="dxa"/>
            <w:shd w:val="clear" w:color="auto" w:fill="D9D9D9" w:themeFill="background1" w:themeFillShade="D9"/>
          </w:tcPr>
          <w:p w:rsidR="0002219B" w:rsidRPr="006D5FA0" w:rsidRDefault="006C4164" w:rsidP="006C4164">
            <w:pPr>
              <w:rPr>
                <w:rFonts w:cs="Arial"/>
                <w:b/>
                <w:szCs w:val="22"/>
              </w:rPr>
            </w:pPr>
            <w:r>
              <w:rPr>
                <w:rFonts w:cs="Arial"/>
                <w:b/>
                <w:szCs w:val="22"/>
              </w:rPr>
              <w:t>Criminal Law Program</w:t>
            </w:r>
          </w:p>
        </w:tc>
        <w:tc>
          <w:tcPr>
            <w:tcW w:w="2111" w:type="dxa"/>
            <w:shd w:val="clear" w:color="auto" w:fill="D9D9D9" w:themeFill="background1" w:themeFillShade="D9"/>
          </w:tcPr>
          <w:p w:rsidR="0002219B" w:rsidRPr="00B757C2" w:rsidRDefault="0002219B" w:rsidP="0089729F">
            <w:pPr>
              <w:spacing w:after="0" w:line="240" w:lineRule="auto"/>
              <w:rPr>
                <w:rFonts w:cs="Arial"/>
                <w:b/>
                <w:color w:val="000000"/>
                <w:sz w:val="24"/>
              </w:rPr>
            </w:pPr>
            <w:r w:rsidRPr="00B757C2">
              <w:rPr>
                <w:rFonts w:cs="Arial"/>
                <w:b/>
                <w:color w:val="000000"/>
              </w:rPr>
              <w:t>State</w:t>
            </w:r>
            <w:r>
              <w:rPr>
                <w:rFonts w:cs="Arial"/>
                <w:b/>
                <w:color w:val="000000"/>
              </w:rPr>
              <w:t xml:space="preserve"> </w:t>
            </w:r>
            <w:r>
              <w:rPr>
                <w:rFonts w:cs="Arial"/>
                <w:b/>
                <w:color w:val="000000"/>
              </w:rPr>
              <w:br/>
              <w:t>($ millions)</w:t>
            </w:r>
          </w:p>
        </w:tc>
        <w:tc>
          <w:tcPr>
            <w:tcW w:w="2221" w:type="dxa"/>
            <w:shd w:val="clear" w:color="auto" w:fill="D9D9D9" w:themeFill="background1" w:themeFillShade="D9"/>
          </w:tcPr>
          <w:p w:rsidR="0002219B" w:rsidRPr="00B757C2" w:rsidRDefault="0002219B" w:rsidP="0089729F">
            <w:pPr>
              <w:spacing w:after="0" w:line="240" w:lineRule="auto"/>
              <w:rPr>
                <w:rFonts w:cs="Arial"/>
                <w:b/>
                <w:color w:val="000000"/>
                <w:sz w:val="24"/>
              </w:rPr>
            </w:pPr>
            <w:r w:rsidRPr="00B757C2">
              <w:rPr>
                <w:rFonts w:cs="Arial"/>
                <w:b/>
                <w:color w:val="000000"/>
              </w:rPr>
              <w:t>Commonwealth</w:t>
            </w:r>
            <w:r>
              <w:rPr>
                <w:rFonts w:cs="Arial"/>
                <w:b/>
                <w:color w:val="000000"/>
              </w:rPr>
              <w:t xml:space="preserve"> </w:t>
            </w:r>
            <w:r>
              <w:rPr>
                <w:rFonts w:cs="Arial"/>
                <w:b/>
                <w:color w:val="000000"/>
              </w:rPr>
              <w:br/>
              <w:t>($ millions)</w:t>
            </w:r>
          </w:p>
        </w:tc>
        <w:tc>
          <w:tcPr>
            <w:tcW w:w="2054" w:type="dxa"/>
            <w:shd w:val="clear" w:color="auto" w:fill="D9D9D9" w:themeFill="background1" w:themeFillShade="D9"/>
          </w:tcPr>
          <w:p w:rsidR="0002219B" w:rsidRPr="009B6B08" w:rsidRDefault="0002219B" w:rsidP="0089729F">
            <w:pPr>
              <w:spacing w:after="0" w:line="240" w:lineRule="auto"/>
              <w:rPr>
                <w:rFonts w:cs="Arial"/>
                <w:b/>
                <w:color w:val="000000"/>
              </w:rPr>
            </w:pPr>
            <w:r>
              <w:rPr>
                <w:rFonts w:cs="Arial"/>
                <w:b/>
                <w:color w:val="000000"/>
              </w:rPr>
              <w:t xml:space="preserve">Total </w:t>
            </w:r>
            <w:r>
              <w:rPr>
                <w:rFonts w:cs="Arial"/>
                <w:b/>
                <w:color w:val="000000"/>
              </w:rPr>
              <w:br/>
              <w:t xml:space="preserve">($ millions) </w:t>
            </w:r>
          </w:p>
        </w:tc>
        <w:tc>
          <w:tcPr>
            <w:tcW w:w="1452" w:type="dxa"/>
            <w:shd w:val="clear" w:color="auto" w:fill="D9D9D9" w:themeFill="background1" w:themeFillShade="D9"/>
          </w:tcPr>
          <w:p w:rsidR="0002219B" w:rsidRDefault="0002219B" w:rsidP="0089729F">
            <w:pPr>
              <w:spacing w:after="0" w:line="240" w:lineRule="auto"/>
              <w:rPr>
                <w:rFonts w:cs="Arial"/>
                <w:b/>
                <w:color w:val="000000"/>
              </w:rPr>
            </w:pPr>
            <w:r>
              <w:rPr>
                <w:rFonts w:cs="Arial"/>
                <w:b/>
                <w:color w:val="000000"/>
              </w:rPr>
              <w:t xml:space="preserve">Increase/decrease </w:t>
            </w:r>
            <w:r w:rsidRPr="00B757C2">
              <w:rPr>
                <w:rFonts w:cs="Arial"/>
                <w:b/>
                <w:color w:val="000000"/>
              </w:rPr>
              <w:t xml:space="preserve">from </w:t>
            </w:r>
            <w:r>
              <w:rPr>
                <w:rFonts w:cs="Arial"/>
                <w:b/>
                <w:color w:val="000000"/>
              </w:rPr>
              <w:br/>
            </w:r>
            <w:r w:rsidRPr="00B757C2">
              <w:rPr>
                <w:rFonts w:cs="Arial"/>
                <w:b/>
                <w:color w:val="000000"/>
              </w:rPr>
              <w:t>2016–17</w:t>
            </w:r>
            <w:r>
              <w:rPr>
                <w:rFonts w:cs="Arial"/>
                <w:b/>
                <w:color w:val="000000"/>
              </w:rPr>
              <w:br/>
              <w:t xml:space="preserve">($ millions)  </w:t>
            </w:r>
          </w:p>
        </w:tc>
      </w:tr>
      <w:tr w:rsidR="0002219B" w:rsidTr="0002219B">
        <w:tc>
          <w:tcPr>
            <w:tcW w:w="2238" w:type="dxa"/>
            <w:vAlign w:val="bottom"/>
          </w:tcPr>
          <w:p w:rsidR="0002219B" w:rsidRDefault="0002219B" w:rsidP="0002219B">
            <w:pPr>
              <w:rPr>
                <w:sz w:val="24"/>
              </w:rPr>
            </w:pPr>
            <w:r>
              <w:t>Appellate crime</w:t>
            </w:r>
          </w:p>
        </w:tc>
        <w:tc>
          <w:tcPr>
            <w:tcW w:w="2111" w:type="dxa"/>
            <w:vAlign w:val="bottom"/>
          </w:tcPr>
          <w:p w:rsidR="0002219B" w:rsidRDefault="0002219B" w:rsidP="0089729F">
            <w:r>
              <w:t>4.2</w:t>
            </w:r>
          </w:p>
        </w:tc>
        <w:tc>
          <w:tcPr>
            <w:tcW w:w="2221" w:type="dxa"/>
            <w:vAlign w:val="bottom"/>
          </w:tcPr>
          <w:p w:rsidR="0002219B" w:rsidRDefault="0002219B" w:rsidP="0089729F">
            <w:r>
              <w:t>0.1</w:t>
            </w:r>
          </w:p>
        </w:tc>
        <w:tc>
          <w:tcPr>
            <w:tcW w:w="2054" w:type="dxa"/>
            <w:vAlign w:val="bottom"/>
          </w:tcPr>
          <w:p w:rsidR="0002219B" w:rsidRDefault="0002219B" w:rsidP="0089729F">
            <w:pPr>
              <w:rPr>
                <w:sz w:val="24"/>
              </w:rPr>
            </w:pPr>
            <w:r>
              <w:t>4.3</w:t>
            </w:r>
          </w:p>
        </w:tc>
        <w:tc>
          <w:tcPr>
            <w:tcW w:w="1452" w:type="dxa"/>
          </w:tcPr>
          <w:p w:rsidR="0002219B" w:rsidRDefault="0002219B" w:rsidP="0089729F">
            <w:r>
              <w:t>0.2</w:t>
            </w:r>
          </w:p>
        </w:tc>
      </w:tr>
      <w:tr w:rsidR="0002219B" w:rsidTr="0002219B">
        <w:tc>
          <w:tcPr>
            <w:tcW w:w="2238" w:type="dxa"/>
            <w:vAlign w:val="bottom"/>
          </w:tcPr>
          <w:p w:rsidR="0002219B" w:rsidRDefault="0002219B" w:rsidP="0002219B">
            <w:r>
              <w:t>Youth crime</w:t>
            </w:r>
          </w:p>
        </w:tc>
        <w:tc>
          <w:tcPr>
            <w:tcW w:w="2111" w:type="dxa"/>
            <w:vAlign w:val="bottom"/>
          </w:tcPr>
          <w:p w:rsidR="0002219B" w:rsidRDefault="0002219B" w:rsidP="0089729F">
            <w:r>
              <w:t>15.6</w:t>
            </w:r>
          </w:p>
        </w:tc>
        <w:tc>
          <w:tcPr>
            <w:tcW w:w="2221" w:type="dxa"/>
            <w:vAlign w:val="bottom"/>
          </w:tcPr>
          <w:p w:rsidR="0002219B" w:rsidRDefault="0002219B" w:rsidP="0089729F">
            <w:r>
              <w:t>0.5</w:t>
            </w:r>
          </w:p>
        </w:tc>
        <w:tc>
          <w:tcPr>
            <w:tcW w:w="2054" w:type="dxa"/>
            <w:vAlign w:val="bottom"/>
          </w:tcPr>
          <w:p w:rsidR="0002219B" w:rsidRDefault="0002219B" w:rsidP="0089729F">
            <w:r>
              <w:t>16.1</w:t>
            </w:r>
          </w:p>
        </w:tc>
        <w:tc>
          <w:tcPr>
            <w:tcW w:w="1452" w:type="dxa"/>
          </w:tcPr>
          <w:p w:rsidR="0002219B" w:rsidRDefault="0002219B" w:rsidP="0089729F">
            <w:r>
              <w:t>3.7</w:t>
            </w:r>
          </w:p>
        </w:tc>
      </w:tr>
      <w:tr w:rsidR="0002219B" w:rsidTr="0002219B">
        <w:tc>
          <w:tcPr>
            <w:tcW w:w="2238" w:type="dxa"/>
            <w:vAlign w:val="bottom"/>
          </w:tcPr>
          <w:p w:rsidR="0002219B" w:rsidRDefault="0002219B" w:rsidP="0002219B">
            <w:r>
              <w:t>Indictable crime</w:t>
            </w:r>
          </w:p>
        </w:tc>
        <w:tc>
          <w:tcPr>
            <w:tcW w:w="2111" w:type="dxa"/>
            <w:vAlign w:val="bottom"/>
          </w:tcPr>
          <w:p w:rsidR="0002219B" w:rsidRDefault="0002219B" w:rsidP="0089729F">
            <w:r>
              <w:t>26.3</w:t>
            </w:r>
          </w:p>
        </w:tc>
        <w:tc>
          <w:tcPr>
            <w:tcW w:w="2221" w:type="dxa"/>
            <w:vAlign w:val="bottom"/>
          </w:tcPr>
          <w:p w:rsidR="0002219B" w:rsidRDefault="0002219B" w:rsidP="0089729F">
            <w:r>
              <w:t>1.4</w:t>
            </w:r>
          </w:p>
        </w:tc>
        <w:tc>
          <w:tcPr>
            <w:tcW w:w="2054" w:type="dxa"/>
            <w:vAlign w:val="bottom"/>
          </w:tcPr>
          <w:p w:rsidR="0002219B" w:rsidRDefault="0002219B" w:rsidP="0089729F">
            <w:r>
              <w:t>27.7</w:t>
            </w:r>
          </w:p>
        </w:tc>
        <w:tc>
          <w:tcPr>
            <w:tcW w:w="1452" w:type="dxa"/>
          </w:tcPr>
          <w:p w:rsidR="0002219B" w:rsidRDefault="0002219B" w:rsidP="0089729F">
            <w:r>
              <w:t>0.8</w:t>
            </w:r>
          </w:p>
        </w:tc>
      </w:tr>
      <w:tr w:rsidR="0002219B" w:rsidTr="0002219B">
        <w:tc>
          <w:tcPr>
            <w:tcW w:w="2238" w:type="dxa"/>
            <w:vAlign w:val="bottom"/>
          </w:tcPr>
          <w:p w:rsidR="0002219B" w:rsidRDefault="0002219B" w:rsidP="0002219B">
            <w:r>
              <w:t>Summary crime</w:t>
            </w:r>
          </w:p>
        </w:tc>
        <w:tc>
          <w:tcPr>
            <w:tcW w:w="2111" w:type="dxa"/>
            <w:vAlign w:val="bottom"/>
          </w:tcPr>
          <w:p w:rsidR="0002219B" w:rsidRDefault="0002219B" w:rsidP="0089729F">
            <w:r>
              <w:t>42.0</w:t>
            </w:r>
          </w:p>
        </w:tc>
        <w:tc>
          <w:tcPr>
            <w:tcW w:w="2221" w:type="dxa"/>
            <w:vAlign w:val="bottom"/>
          </w:tcPr>
          <w:p w:rsidR="0002219B" w:rsidRDefault="0002219B" w:rsidP="0089729F">
            <w:r>
              <w:t>1.8</w:t>
            </w:r>
          </w:p>
        </w:tc>
        <w:tc>
          <w:tcPr>
            <w:tcW w:w="2054" w:type="dxa"/>
            <w:vAlign w:val="bottom"/>
          </w:tcPr>
          <w:p w:rsidR="0002219B" w:rsidRDefault="0002219B" w:rsidP="0089729F">
            <w:r>
              <w:t>43.8</w:t>
            </w:r>
          </w:p>
        </w:tc>
        <w:tc>
          <w:tcPr>
            <w:tcW w:w="1452" w:type="dxa"/>
          </w:tcPr>
          <w:p w:rsidR="0002219B" w:rsidRDefault="0002219B" w:rsidP="0089729F">
            <w:r>
              <w:t>3</w:t>
            </w:r>
          </w:p>
        </w:tc>
      </w:tr>
    </w:tbl>
    <w:p w:rsidR="0002219B" w:rsidRDefault="0002219B" w:rsidP="0002219B">
      <w:pPr>
        <w:spacing w:after="0" w:line="240" w:lineRule="auto"/>
      </w:pPr>
      <w:r>
        <w:t>42 per cent of total expenditure.</w:t>
      </w:r>
    </w:p>
    <w:p w:rsidR="0002219B" w:rsidRDefault="0002219B" w:rsidP="0002219B">
      <w:pPr>
        <w:spacing w:after="0" w:line="240" w:lineRule="auto"/>
      </w:pPr>
    </w:p>
    <w:p w:rsidR="0002219B" w:rsidRDefault="0002219B" w:rsidP="0002219B">
      <w:pPr>
        <w:spacing w:after="0" w:line="240" w:lineRule="auto"/>
      </w:pPr>
      <w:r w:rsidRPr="0089729F">
        <w:rPr>
          <w:b/>
        </w:rPr>
        <w:t>Note:</w:t>
      </w:r>
      <w:r>
        <w:t xml:space="preserve"> </w:t>
      </w:r>
      <w:r w:rsidRPr="007D6D86">
        <w:t>The remaining 14 per cent of the total expenditure is related to community legal centres.</w:t>
      </w:r>
    </w:p>
    <w:p w:rsidR="0002219B" w:rsidRDefault="0002219B" w:rsidP="006C4164">
      <w:pPr>
        <w:pStyle w:val="Heading2"/>
      </w:pPr>
      <w:r>
        <w:br w:type="page"/>
      </w:r>
      <w:r>
        <w:lastRenderedPageBreak/>
        <w:t xml:space="preserve">Performance against Victorian Government service targets </w:t>
      </w:r>
    </w:p>
    <w:p w:rsidR="0002219B" w:rsidRPr="00CE68F2" w:rsidRDefault="0002219B" w:rsidP="0002219B">
      <w:r w:rsidRPr="00CE68F2">
        <w:t xml:space="preserve">The Victorian Budget sets a number of output performance measures and targets for departments and their agencies and statutory bodies in </w:t>
      </w:r>
      <w:r w:rsidRPr="00734D8A">
        <w:rPr>
          <w:i/>
        </w:rPr>
        <w:t>Budget Paper 3.</w:t>
      </w:r>
      <w:r w:rsidRPr="00CE68F2">
        <w:t> The follow table depicts our results against targets up to 31 December 2017 for Victoria Legal Aid’s output measures under Budget Paper No. 3.</w:t>
      </w:r>
    </w:p>
    <w:tbl>
      <w:tblPr>
        <w:tblStyle w:val="TableGrid"/>
        <w:tblW w:w="0" w:type="auto"/>
        <w:tblLook w:val="04A0" w:firstRow="1" w:lastRow="0" w:firstColumn="1" w:lastColumn="0" w:noHBand="0" w:noVBand="1"/>
      </w:tblPr>
      <w:tblGrid>
        <w:gridCol w:w="2972"/>
        <w:gridCol w:w="2268"/>
        <w:gridCol w:w="2268"/>
        <w:gridCol w:w="1284"/>
        <w:gridCol w:w="1284"/>
      </w:tblGrid>
      <w:tr w:rsidR="0002219B" w:rsidRPr="002312A1" w:rsidTr="0002219B">
        <w:trPr>
          <w:tblHeader/>
        </w:trPr>
        <w:tc>
          <w:tcPr>
            <w:tcW w:w="2972" w:type="dxa"/>
            <w:shd w:val="clear" w:color="auto" w:fill="D9D9D9" w:themeFill="background1" w:themeFillShade="D9"/>
          </w:tcPr>
          <w:p w:rsidR="0002219B" w:rsidRPr="002312A1" w:rsidRDefault="0002219B" w:rsidP="0002219B">
            <w:pPr>
              <w:rPr>
                <w:b/>
                <w:lang w:eastAsia="en-AU"/>
              </w:rPr>
            </w:pPr>
            <w:r w:rsidRPr="002312A1">
              <w:rPr>
                <w:b/>
              </w:rPr>
              <w:t>Output measure</w:t>
            </w:r>
          </w:p>
        </w:tc>
        <w:tc>
          <w:tcPr>
            <w:tcW w:w="2268" w:type="dxa"/>
            <w:shd w:val="clear" w:color="auto" w:fill="D9D9D9" w:themeFill="background1" w:themeFillShade="D9"/>
          </w:tcPr>
          <w:p w:rsidR="0002219B" w:rsidRPr="007C6992" w:rsidRDefault="0002219B" w:rsidP="0089729F">
            <w:pPr>
              <w:jc w:val="both"/>
              <w:rPr>
                <w:b/>
              </w:rPr>
            </w:pPr>
            <w:r w:rsidRPr="002312A1">
              <w:rPr>
                <w:b/>
              </w:rPr>
              <w:t>Annual Target</w:t>
            </w:r>
          </w:p>
        </w:tc>
        <w:tc>
          <w:tcPr>
            <w:tcW w:w="2268" w:type="dxa"/>
            <w:shd w:val="clear" w:color="auto" w:fill="D9D9D9" w:themeFill="background1" w:themeFillShade="D9"/>
          </w:tcPr>
          <w:p w:rsidR="0002219B" w:rsidRPr="002312A1" w:rsidRDefault="0002219B" w:rsidP="0089729F">
            <w:pPr>
              <w:jc w:val="both"/>
              <w:rPr>
                <w:b/>
                <w:lang w:eastAsia="en-AU"/>
              </w:rPr>
            </w:pPr>
            <w:r w:rsidRPr="002312A1">
              <w:rPr>
                <w:b/>
              </w:rPr>
              <w:t>Target</w:t>
            </w:r>
          </w:p>
        </w:tc>
        <w:tc>
          <w:tcPr>
            <w:tcW w:w="1284" w:type="dxa"/>
            <w:shd w:val="clear" w:color="auto" w:fill="D9D9D9" w:themeFill="background1" w:themeFillShade="D9"/>
          </w:tcPr>
          <w:p w:rsidR="0002219B" w:rsidRPr="002312A1" w:rsidRDefault="0002219B" w:rsidP="0089729F">
            <w:pPr>
              <w:jc w:val="both"/>
              <w:rPr>
                <w:b/>
                <w:lang w:eastAsia="en-AU"/>
              </w:rPr>
            </w:pPr>
            <w:r w:rsidRPr="002312A1">
              <w:rPr>
                <w:b/>
              </w:rPr>
              <w:t>Actual</w:t>
            </w:r>
          </w:p>
        </w:tc>
        <w:tc>
          <w:tcPr>
            <w:tcW w:w="1284" w:type="dxa"/>
            <w:shd w:val="clear" w:color="auto" w:fill="D9D9D9" w:themeFill="background1" w:themeFillShade="D9"/>
          </w:tcPr>
          <w:p w:rsidR="0002219B" w:rsidRPr="002312A1" w:rsidRDefault="0002219B" w:rsidP="0089729F">
            <w:pPr>
              <w:jc w:val="both"/>
              <w:rPr>
                <w:b/>
                <w:lang w:eastAsia="en-AU"/>
              </w:rPr>
            </w:pPr>
            <w:r w:rsidRPr="002312A1">
              <w:rPr>
                <w:b/>
              </w:rPr>
              <w:t>Variance</w:t>
            </w:r>
          </w:p>
        </w:tc>
      </w:tr>
      <w:tr w:rsidR="0002219B" w:rsidTr="0002219B">
        <w:tc>
          <w:tcPr>
            <w:tcW w:w="2972" w:type="dxa"/>
          </w:tcPr>
          <w:p w:rsidR="0002219B" w:rsidRDefault="0002219B" w:rsidP="0002219B">
            <w:pPr>
              <w:rPr>
                <w:lang w:eastAsia="en-AU"/>
              </w:rPr>
            </w:pPr>
            <w:r>
              <w:t>Community legal education and information services – excluding family violence related services</w:t>
            </w:r>
          </w:p>
        </w:tc>
        <w:tc>
          <w:tcPr>
            <w:tcW w:w="2268" w:type="dxa"/>
            <w:vAlign w:val="bottom"/>
          </w:tcPr>
          <w:p w:rsidR="0002219B" w:rsidRPr="00AB66DF" w:rsidRDefault="0002219B" w:rsidP="0089729F">
            <w:pPr>
              <w:jc w:val="both"/>
              <w:rPr>
                <w:lang w:eastAsia="en-AU"/>
              </w:rPr>
            </w:pPr>
            <w:r w:rsidRPr="00AB66DF">
              <w:rPr>
                <w:lang w:eastAsia="en-AU"/>
              </w:rPr>
              <w:t>123,500 – 128,500</w:t>
            </w:r>
          </w:p>
        </w:tc>
        <w:tc>
          <w:tcPr>
            <w:tcW w:w="2268" w:type="dxa"/>
            <w:vAlign w:val="bottom"/>
          </w:tcPr>
          <w:p w:rsidR="0002219B" w:rsidRPr="00AB66DF" w:rsidRDefault="0002219B" w:rsidP="0089729F">
            <w:pPr>
              <w:jc w:val="both"/>
              <w:rPr>
                <w:lang w:eastAsia="en-AU"/>
              </w:rPr>
            </w:pPr>
            <w:r w:rsidRPr="00AB66DF">
              <w:rPr>
                <w:lang w:eastAsia="en-AU"/>
              </w:rPr>
              <w:t>65,200 – 67,600</w:t>
            </w:r>
          </w:p>
        </w:tc>
        <w:tc>
          <w:tcPr>
            <w:tcW w:w="1284" w:type="dxa"/>
            <w:vAlign w:val="bottom"/>
          </w:tcPr>
          <w:p w:rsidR="0002219B" w:rsidRPr="00AB66DF" w:rsidRDefault="0002219B" w:rsidP="0089729F">
            <w:pPr>
              <w:jc w:val="both"/>
              <w:rPr>
                <w:lang w:eastAsia="en-AU"/>
              </w:rPr>
            </w:pPr>
            <w:r w:rsidRPr="00AB66DF">
              <w:rPr>
                <w:lang w:eastAsia="en-AU"/>
              </w:rPr>
              <w:t>51,408</w:t>
            </w:r>
          </w:p>
        </w:tc>
        <w:tc>
          <w:tcPr>
            <w:tcW w:w="1284" w:type="dxa"/>
            <w:vAlign w:val="bottom"/>
          </w:tcPr>
          <w:p w:rsidR="0002219B" w:rsidRPr="00AB66DF" w:rsidRDefault="0002219B" w:rsidP="0089729F">
            <w:pPr>
              <w:jc w:val="both"/>
              <w:rPr>
                <w:lang w:eastAsia="en-AU"/>
              </w:rPr>
            </w:pPr>
            <w:r>
              <w:rPr>
                <w:lang w:eastAsia="en-AU"/>
              </w:rPr>
              <w:t>-21</w:t>
            </w:r>
            <w:r w:rsidRPr="00AB66DF">
              <w:rPr>
                <w:lang w:eastAsia="en-AU"/>
              </w:rPr>
              <w:t>%</w:t>
            </w:r>
          </w:p>
        </w:tc>
      </w:tr>
      <w:tr w:rsidR="0002219B" w:rsidTr="0002219B">
        <w:tc>
          <w:tcPr>
            <w:tcW w:w="2972" w:type="dxa"/>
          </w:tcPr>
          <w:p w:rsidR="0002219B" w:rsidRDefault="0002219B" w:rsidP="0002219B">
            <w:pPr>
              <w:rPr>
                <w:lang w:eastAsia="en-AU"/>
              </w:rPr>
            </w:pPr>
            <w:r>
              <w:t>Community legal education and information services –family violence related services</w:t>
            </w:r>
          </w:p>
        </w:tc>
        <w:tc>
          <w:tcPr>
            <w:tcW w:w="2268" w:type="dxa"/>
            <w:vAlign w:val="bottom"/>
          </w:tcPr>
          <w:p w:rsidR="0002219B" w:rsidRPr="00AB66DF" w:rsidRDefault="0002219B" w:rsidP="0089729F">
            <w:pPr>
              <w:jc w:val="both"/>
              <w:rPr>
                <w:lang w:eastAsia="en-AU"/>
              </w:rPr>
            </w:pPr>
            <w:r w:rsidRPr="00AB66DF">
              <w:rPr>
                <w:lang w:eastAsia="en-AU"/>
              </w:rPr>
              <w:t>11,500</w:t>
            </w:r>
          </w:p>
        </w:tc>
        <w:tc>
          <w:tcPr>
            <w:tcW w:w="2268" w:type="dxa"/>
            <w:vAlign w:val="bottom"/>
          </w:tcPr>
          <w:p w:rsidR="0002219B" w:rsidRPr="00AB66DF" w:rsidRDefault="0002219B" w:rsidP="0089729F">
            <w:pPr>
              <w:jc w:val="both"/>
              <w:rPr>
                <w:lang w:eastAsia="en-AU"/>
              </w:rPr>
            </w:pPr>
            <w:r w:rsidRPr="00AB66DF">
              <w:rPr>
                <w:lang w:eastAsia="en-AU"/>
              </w:rPr>
              <w:t>5,800</w:t>
            </w:r>
          </w:p>
        </w:tc>
        <w:tc>
          <w:tcPr>
            <w:tcW w:w="1284" w:type="dxa"/>
            <w:vAlign w:val="bottom"/>
          </w:tcPr>
          <w:p w:rsidR="0002219B" w:rsidRPr="00AB66DF" w:rsidRDefault="0002219B" w:rsidP="0089729F">
            <w:pPr>
              <w:jc w:val="both"/>
              <w:rPr>
                <w:lang w:eastAsia="en-AU"/>
              </w:rPr>
            </w:pPr>
            <w:r w:rsidRPr="00AB66DF">
              <w:rPr>
                <w:lang w:eastAsia="en-AU"/>
              </w:rPr>
              <w:t>12,683</w:t>
            </w:r>
          </w:p>
        </w:tc>
        <w:tc>
          <w:tcPr>
            <w:tcW w:w="1284" w:type="dxa"/>
            <w:vAlign w:val="bottom"/>
          </w:tcPr>
          <w:p w:rsidR="0002219B" w:rsidRPr="00AB66DF" w:rsidRDefault="0002219B" w:rsidP="0089729F">
            <w:pPr>
              <w:jc w:val="both"/>
              <w:rPr>
                <w:lang w:eastAsia="en-AU"/>
              </w:rPr>
            </w:pPr>
            <w:r>
              <w:rPr>
                <w:lang w:eastAsia="en-AU"/>
              </w:rPr>
              <w:t>119</w:t>
            </w:r>
            <w:r w:rsidRPr="00AB66DF">
              <w:rPr>
                <w:lang w:eastAsia="en-AU"/>
              </w:rPr>
              <w:t>%</w:t>
            </w:r>
          </w:p>
        </w:tc>
      </w:tr>
      <w:tr w:rsidR="0002219B" w:rsidTr="0002219B">
        <w:tc>
          <w:tcPr>
            <w:tcW w:w="2972" w:type="dxa"/>
          </w:tcPr>
          <w:p w:rsidR="0002219B" w:rsidRDefault="0002219B" w:rsidP="0002219B">
            <w:r>
              <w:t>Family violence legal services</w:t>
            </w:r>
          </w:p>
        </w:tc>
        <w:tc>
          <w:tcPr>
            <w:tcW w:w="2268" w:type="dxa"/>
            <w:vAlign w:val="bottom"/>
          </w:tcPr>
          <w:p w:rsidR="0002219B" w:rsidRPr="00AB66DF" w:rsidRDefault="0002219B" w:rsidP="0089729F">
            <w:pPr>
              <w:jc w:val="both"/>
              <w:rPr>
                <w:lang w:eastAsia="en-AU"/>
              </w:rPr>
            </w:pPr>
            <w:r w:rsidRPr="00AB66DF">
              <w:rPr>
                <w:lang w:eastAsia="en-AU"/>
              </w:rPr>
              <w:t>32,000</w:t>
            </w:r>
          </w:p>
        </w:tc>
        <w:tc>
          <w:tcPr>
            <w:tcW w:w="2268" w:type="dxa"/>
            <w:vAlign w:val="bottom"/>
          </w:tcPr>
          <w:p w:rsidR="0002219B" w:rsidRPr="00AB66DF" w:rsidRDefault="0002219B" w:rsidP="0089729F">
            <w:pPr>
              <w:jc w:val="both"/>
              <w:rPr>
                <w:lang w:eastAsia="en-AU"/>
              </w:rPr>
            </w:pPr>
            <w:r w:rsidRPr="00AB66DF">
              <w:rPr>
                <w:lang w:eastAsia="en-AU"/>
              </w:rPr>
              <w:t>13,800</w:t>
            </w:r>
          </w:p>
        </w:tc>
        <w:tc>
          <w:tcPr>
            <w:tcW w:w="1284" w:type="dxa"/>
            <w:vAlign w:val="bottom"/>
          </w:tcPr>
          <w:p w:rsidR="0002219B" w:rsidRPr="00AB66DF" w:rsidRDefault="0002219B" w:rsidP="0089729F">
            <w:pPr>
              <w:jc w:val="both"/>
              <w:rPr>
                <w:lang w:eastAsia="en-AU"/>
              </w:rPr>
            </w:pPr>
            <w:r w:rsidRPr="00AB66DF">
              <w:rPr>
                <w:lang w:eastAsia="en-AU"/>
              </w:rPr>
              <w:t>17,589</w:t>
            </w:r>
          </w:p>
        </w:tc>
        <w:tc>
          <w:tcPr>
            <w:tcW w:w="1284" w:type="dxa"/>
            <w:vAlign w:val="bottom"/>
          </w:tcPr>
          <w:p w:rsidR="0002219B" w:rsidRDefault="0002219B" w:rsidP="0089729F">
            <w:pPr>
              <w:jc w:val="both"/>
              <w:rPr>
                <w:lang w:eastAsia="en-AU"/>
              </w:rPr>
            </w:pPr>
            <w:r w:rsidRPr="00AB66DF">
              <w:rPr>
                <w:lang w:eastAsia="en-AU"/>
              </w:rPr>
              <w:t>27%</w:t>
            </w:r>
          </w:p>
        </w:tc>
      </w:tr>
      <w:tr w:rsidR="0002219B" w:rsidTr="0002219B">
        <w:tc>
          <w:tcPr>
            <w:tcW w:w="2972" w:type="dxa"/>
          </w:tcPr>
          <w:p w:rsidR="0002219B" w:rsidRDefault="0002219B" w:rsidP="0002219B">
            <w:pPr>
              <w:rPr>
                <w:lang w:eastAsia="en-AU"/>
              </w:rPr>
            </w:pPr>
            <w:r>
              <w:t>Duty lawyer services – excluding family violence related services</w:t>
            </w:r>
          </w:p>
        </w:tc>
        <w:tc>
          <w:tcPr>
            <w:tcW w:w="2268" w:type="dxa"/>
            <w:vAlign w:val="bottom"/>
          </w:tcPr>
          <w:p w:rsidR="0002219B" w:rsidRPr="00AB66DF" w:rsidRDefault="0002219B" w:rsidP="0089729F">
            <w:pPr>
              <w:jc w:val="both"/>
              <w:rPr>
                <w:lang w:eastAsia="en-AU"/>
              </w:rPr>
            </w:pPr>
            <w:r w:rsidRPr="00AB66DF">
              <w:rPr>
                <w:lang w:eastAsia="en-AU"/>
              </w:rPr>
              <w:t xml:space="preserve">57,400 – 59,400 </w:t>
            </w:r>
          </w:p>
        </w:tc>
        <w:tc>
          <w:tcPr>
            <w:tcW w:w="2268" w:type="dxa"/>
            <w:vAlign w:val="bottom"/>
          </w:tcPr>
          <w:p w:rsidR="0002219B" w:rsidRPr="00AB66DF" w:rsidRDefault="0002219B" w:rsidP="0089729F">
            <w:pPr>
              <w:jc w:val="both"/>
              <w:rPr>
                <w:lang w:eastAsia="en-AU"/>
              </w:rPr>
            </w:pPr>
            <w:r>
              <w:rPr>
                <w:lang w:eastAsia="en-AU"/>
              </w:rPr>
              <w:t>27,900 – 28,900</w:t>
            </w:r>
          </w:p>
        </w:tc>
        <w:tc>
          <w:tcPr>
            <w:tcW w:w="1284" w:type="dxa"/>
            <w:vAlign w:val="bottom"/>
          </w:tcPr>
          <w:p w:rsidR="0002219B" w:rsidRPr="00AB66DF" w:rsidRDefault="0002219B" w:rsidP="0089729F">
            <w:pPr>
              <w:jc w:val="both"/>
              <w:rPr>
                <w:lang w:eastAsia="en-AU"/>
              </w:rPr>
            </w:pPr>
            <w:r w:rsidRPr="00AB66DF">
              <w:rPr>
                <w:lang w:eastAsia="en-AU"/>
              </w:rPr>
              <w:t>36,715</w:t>
            </w:r>
          </w:p>
        </w:tc>
        <w:tc>
          <w:tcPr>
            <w:tcW w:w="1284" w:type="dxa"/>
            <w:vAlign w:val="bottom"/>
          </w:tcPr>
          <w:p w:rsidR="0002219B" w:rsidRPr="00AB66DF" w:rsidRDefault="0002219B" w:rsidP="0089729F">
            <w:pPr>
              <w:jc w:val="both"/>
              <w:rPr>
                <w:lang w:eastAsia="en-AU"/>
              </w:rPr>
            </w:pPr>
            <w:r w:rsidRPr="00AB66DF">
              <w:rPr>
                <w:lang w:eastAsia="en-AU"/>
              </w:rPr>
              <w:t>27%</w:t>
            </w:r>
          </w:p>
        </w:tc>
      </w:tr>
      <w:tr w:rsidR="0002219B" w:rsidTr="0002219B">
        <w:tc>
          <w:tcPr>
            <w:tcW w:w="2972" w:type="dxa"/>
          </w:tcPr>
          <w:p w:rsidR="0002219B" w:rsidRDefault="0002219B" w:rsidP="0002219B">
            <w:pPr>
              <w:rPr>
                <w:lang w:eastAsia="en-AU"/>
              </w:rPr>
            </w:pPr>
            <w:r>
              <w:t>Grants of legal assistance – excluding family violence related grants of legal assistance</w:t>
            </w:r>
          </w:p>
        </w:tc>
        <w:tc>
          <w:tcPr>
            <w:tcW w:w="2268" w:type="dxa"/>
            <w:vAlign w:val="bottom"/>
          </w:tcPr>
          <w:p w:rsidR="0002219B" w:rsidRPr="00AB66DF" w:rsidRDefault="0002219B" w:rsidP="0089729F">
            <w:pPr>
              <w:jc w:val="both"/>
              <w:rPr>
                <w:lang w:eastAsia="en-AU"/>
              </w:rPr>
            </w:pPr>
            <w:r w:rsidRPr="00AB66DF">
              <w:rPr>
                <w:lang w:eastAsia="en-AU"/>
              </w:rPr>
              <w:t>31,800</w:t>
            </w:r>
          </w:p>
        </w:tc>
        <w:tc>
          <w:tcPr>
            <w:tcW w:w="2268" w:type="dxa"/>
            <w:vAlign w:val="bottom"/>
          </w:tcPr>
          <w:p w:rsidR="0002219B" w:rsidRPr="00AB66DF" w:rsidRDefault="0002219B" w:rsidP="0089729F">
            <w:pPr>
              <w:jc w:val="both"/>
              <w:rPr>
                <w:lang w:eastAsia="en-AU"/>
              </w:rPr>
            </w:pPr>
            <w:r w:rsidRPr="00AB66DF">
              <w:rPr>
                <w:lang w:eastAsia="en-AU"/>
              </w:rPr>
              <w:t>15,400</w:t>
            </w:r>
          </w:p>
        </w:tc>
        <w:tc>
          <w:tcPr>
            <w:tcW w:w="1284" w:type="dxa"/>
            <w:vAlign w:val="bottom"/>
          </w:tcPr>
          <w:p w:rsidR="0002219B" w:rsidRPr="00AB66DF" w:rsidRDefault="0002219B" w:rsidP="0089729F">
            <w:pPr>
              <w:jc w:val="both"/>
              <w:rPr>
                <w:lang w:eastAsia="en-AU"/>
              </w:rPr>
            </w:pPr>
            <w:r w:rsidRPr="00AB66DF">
              <w:rPr>
                <w:lang w:eastAsia="en-AU"/>
              </w:rPr>
              <w:t>15,209</w:t>
            </w:r>
          </w:p>
        </w:tc>
        <w:tc>
          <w:tcPr>
            <w:tcW w:w="1284" w:type="dxa"/>
            <w:vAlign w:val="bottom"/>
          </w:tcPr>
          <w:p w:rsidR="0002219B" w:rsidRPr="00AB66DF" w:rsidRDefault="0002219B" w:rsidP="0089729F">
            <w:pPr>
              <w:jc w:val="both"/>
              <w:rPr>
                <w:lang w:eastAsia="en-AU"/>
              </w:rPr>
            </w:pPr>
            <w:r>
              <w:rPr>
                <w:lang w:eastAsia="en-AU"/>
              </w:rPr>
              <w:t>-1</w:t>
            </w:r>
            <w:r w:rsidRPr="00AB66DF">
              <w:rPr>
                <w:lang w:eastAsia="en-AU"/>
              </w:rPr>
              <w:t>%</w:t>
            </w:r>
          </w:p>
        </w:tc>
      </w:tr>
      <w:tr w:rsidR="0002219B" w:rsidTr="0002219B">
        <w:tc>
          <w:tcPr>
            <w:tcW w:w="2972" w:type="dxa"/>
          </w:tcPr>
          <w:p w:rsidR="0002219B" w:rsidRDefault="0002219B" w:rsidP="0002219B">
            <w:pPr>
              <w:rPr>
                <w:lang w:eastAsia="en-AU"/>
              </w:rPr>
            </w:pPr>
            <w:r>
              <w:t>Legal advice and minor assistance – excluding family violence related services</w:t>
            </w:r>
          </w:p>
        </w:tc>
        <w:tc>
          <w:tcPr>
            <w:tcW w:w="2268" w:type="dxa"/>
            <w:vAlign w:val="bottom"/>
          </w:tcPr>
          <w:p w:rsidR="0002219B" w:rsidRPr="00AB66DF" w:rsidRDefault="0002219B" w:rsidP="0089729F">
            <w:pPr>
              <w:jc w:val="both"/>
              <w:rPr>
                <w:lang w:eastAsia="en-AU"/>
              </w:rPr>
            </w:pPr>
            <w:r w:rsidRPr="00AB66DF">
              <w:rPr>
                <w:lang w:eastAsia="en-AU"/>
              </w:rPr>
              <w:t>38,800</w:t>
            </w:r>
          </w:p>
        </w:tc>
        <w:tc>
          <w:tcPr>
            <w:tcW w:w="2268" w:type="dxa"/>
            <w:vAlign w:val="bottom"/>
          </w:tcPr>
          <w:p w:rsidR="0002219B" w:rsidRPr="00AB66DF" w:rsidRDefault="0002219B" w:rsidP="0089729F">
            <w:pPr>
              <w:jc w:val="both"/>
              <w:rPr>
                <w:lang w:eastAsia="en-AU"/>
              </w:rPr>
            </w:pPr>
            <w:r w:rsidRPr="00AB66DF">
              <w:rPr>
                <w:lang w:eastAsia="en-AU"/>
              </w:rPr>
              <w:t>19,900</w:t>
            </w:r>
          </w:p>
        </w:tc>
        <w:tc>
          <w:tcPr>
            <w:tcW w:w="1284" w:type="dxa"/>
            <w:vAlign w:val="bottom"/>
          </w:tcPr>
          <w:p w:rsidR="0002219B" w:rsidRPr="00AB66DF" w:rsidRDefault="0002219B" w:rsidP="0089729F">
            <w:pPr>
              <w:jc w:val="both"/>
              <w:rPr>
                <w:lang w:eastAsia="en-AU"/>
              </w:rPr>
            </w:pPr>
            <w:r w:rsidRPr="00AB66DF">
              <w:rPr>
                <w:lang w:eastAsia="en-AU"/>
              </w:rPr>
              <w:t>16,704</w:t>
            </w:r>
          </w:p>
        </w:tc>
        <w:tc>
          <w:tcPr>
            <w:tcW w:w="1284" w:type="dxa"/>
            <w:vAlign w:val="bottom"/>
          </w:tcPr>
          <w:p w:rsidR="0002219B" w:rsidRPr="00AB66DF" w:rsidRDefault="0002219B" w:rsidP="0089729F">
            <w:pPr>
              <w:jc w:val="both"/>
              <w:rPr>
                <w:lang w:eastAsia="en-AU"/>
              </w:rPr>
            </w:pPr>
            <w:r>
              <w:rPr>
                <w:lang w:eastAsia="en-AU"/>
              </w:rPr>
              <w:t>-16</w:t>
            </w:r>
            <w:r w:rsidRPr="00AB66DF">
              <w:rPr>
                <w:lang w:eastAsia="en-AU"/>
              </w:rPr>
              <w:t>%</w:t>
            </w:r>
          </w:p>
        </w:tc>
      </w:tr>
      <w:tr w:rsidR="0002219B" w:rsidTr="0002219B">
        <w:tc>
          <w:tcPr>
            <w:tcW w:w="2972" w:type="dxa"/>
          </w:tcPr>
          <w:p w:rsidR="0002219B" w:rsidRDefault="0002219B" w:rsidP="0002219B">
            <w:r>
              <w:t>Number of unique clients who accessed one or more of our legal services</w:t>
            </w:r>
          </w:p>
        </w:tc>
        <w:tc>
          <w:tcPr>
            <w:tcW w:w="2268" w:type="dxa"/>
            <w:vAlign w:val="bottom"/>
          </w:tcPr>
          <w:p w:rsidR="0002219B" w:rsidRPr="00AB66DF" w:rsidRDefault="0002219B" w:rsidP="0089729F">
            <w:pPr>
              <w:jc w:val="both"/>
              <w:rPr>
                <w:lang w:eastAsia="en-AU"/>
              </w:rPr>
            </w:pPr>
            <w:r>
              <w:rPr>
                <w:lang w:eastAsia="en-AU"/>
              </w:rPr>
              <w:t>84,000</w:t>
            </w:r>
          </w:p>
        </w:tc>
        <w:tc>
          <w:tcPr>
            <w:tcW w:w="2268" w:type="dxa"/>
            <w:vAlign w:val="bottom"/>
          </w:tcPr>
          <w:p w:rsidR="0002219B" w:rsidRPr="00AB66DF" w:rsidRDefault="0002219B" w:rsidP="0089729F">
            <w:pPr>
              <w:jc w:val="both"/>
              <w:rPr>
                <w:lang w:eastAsia="en-AU"/>
              </w:rPr>
            </w:pPr>
            <w:r>
              <w:rPr>
                <w:lang w:eastAsia="en-AU"/>
              </w:rPr>
              <w:t>48,000</w:t>
            </w:r>
          </w:p>
        </w:tc>
        <w:tc>
          <w:tcPr>
            <w:tcW w:w="1284" w:type="dxa"/>
            <w:vAlign w:val="bottom"/>
          </w:tcPr>
          <w:p w:rsidR="0002219B" w:rsidRPr="00AB66DF" w:rsidRDefault="0002219B" w:rsidP="0089729F">
            <w:pPr>
              <w:jc w:val="both"/>
              <w:rPr>
                <w:lang w:eastAsia="en-AU"/>
              </w:rPr>
            </w:pPr>
            <w:r>
              <w:rPr>
                <w:lang w:eastAsia="en-AU"/>
              </w:rPr>
              <w:t>53,752</w:t>
            </w:r>
          </w:p>
        </w:tc>
        <w:tc>
          <w:tcPr>
            <w:tcW w:w="1284" w:type="dxa"/>
            <w:vAlign w:val="bottom"/>
          </w:tcPr>
          <w:p w:rsidR="0002219B" w:rsidRPr="00AB66DF" w:rsidRDefault="0002219B" w:rsidP="0089729F">
            <w:pPr>
              <w:jc w:val="both"/>
              <w:rPr>
                <w:lang w:eastAsia="en-AU"/>
              </w:rPr>
            </w:pPr>
            <w:r>
              <w:rPr>
                <w:lang w:eastAsia="en-AU"/>
              </w:rPr>
              <w:t>12%</w:t>
            </w:r>
          </w:p>
        </w:tc>
      </w:tr>
      <w:tr w:rsidR="0002219B" w:rsidTr="0002219B">
        <w:tc>
          <w:tcPr>
            <w:tcW w:w="2972" w:type="dxa"/>
          </w:tcPr>
          <w:p w:rsidR="0002219B" w:rsidRDefault="0002219B" w:rsidP="0002219B">
            <w:r>
              <w:t>Applications for legal aid processed within 15 days (VLA)</w:t>
            </w:r>
          </w:p>
        </w:tc>
        <w:tc>
          <w:tcPr>
            <w:tcW w:w="2268" w:type="dxa"/>
            <w:vAlign w:val="bottom"/>
          </w:tcPr>
          <w:p w:rsidR="0002219B" w:rsidRPr="00AB66DF" w:rsidRDefault="0002219B" w:rsidP="0089729F">
            <w:pPr>
              <w:jc w:val="both"/>
              <w:rPr>
                <w:lang w:eastAsia="en-AU"/>
              </w:rPr>
            </w:pPr>
            <w:r>
              <w:rPr>
                <w:lang w:eastAsia="en-AU"/>
              </w:rPr>
              <w:t>95%</w:t>
            </w:r>
          </w:p>
        </w:tc>
        <w:tc>
          <w:tcPr>
            <w:tcW w:w="2268" w:type="dxa"/>
            <w:vAlign w:val="bottom"/>
          </w:tcPr>
          <w:p w:rsidR="0002219B" w:rsidRPr="00AB66DF" w:rsidRDefault="0002219B" w:rsidP="0089729F">
            <w:pPr>
              <w:jc w:val="both"/>
              <w:rPr>
                <w:lang w:eastAsia="en-AU"/>
              </w:rPr>
            </w:pPr>
            <w:r>
              <w:rPr>
                <w:lang w:eastAsia="en-AU"/>
              </w:rPr>
              <w:t>95%</w:t>
            </w:r>
          </w:p>
        </w:tc>
        <w:tc>
          <w:tcPr>
            <w:tcW w:w="1284" w:type="dxa"/>
            <w:vAlign w:val="bottom"/>
          </w:tcPr>
          <w:p w:rsidR="0002219B" w:rsidRPr="00AB66DF" w:rsidRDefault="0002219B" w:rsidP="0089729F">
            <w:pPr>
              <w:jc w:val="both"/>
              <w:rPr>
                <w:lang w:eastAsia="en-AU"/>
              </w:rPr>
            </w:pPr>
            <w:r>
              <w:rPr>
                <w:lang w:eastAsia="en-AU"/>
              </w:rPr>
              <w:t>93%</w:t>
            </w:r>
          </w:p>
        </w:tc>
        <w:tc>
          <w:tcPr>
            <w:tcW w:w="1284" w:type="dxa"/>
            <w:vAlign w:val="bottom"/>
          </w:tcPr>
          <w:p w:rsidR="0002219B" w:rsidRPr="00AB66DF" w:rsidRDefault="0002219B" w:rsidP="0089729F">
            <w:pPr>
              <w:jc w:val="both"/>
              <w:rPr>
                <w:lang w:eastAsia="en-AU"/>
              </w:rPr>
            </w:pPr>
            <w:r>
              <w:rPr>
                <w:lang w:eastAsia="en-AU"/>
              </w:rPr>
              <w:t>-2%</w:t>
            </w:r>
          </w:p>
        </w:tc>
      </w:tr>
    </w:tbl>
    <w:p w:rsidR="0002219B" w:rsidRPr="00CE68F2" w:rsidRDefault="0002219B" w:rsidP="0002219B">
      <w:r w:rsidRPr="00CE68F2">
        <w:t>We continue to experience significant levels of demand for more intensive services, particularly for duty lawyer services and grants of legal assistance. In response, we have reprioritised service delivery away from less intensive services, such as legal advice and minor assistance, to meet other demand pressures.</w:t>
      </w:r>
    </w:p>
    <w:p w:rsidR="00D75C29" w:rsidRPr="0002219B" w:rsidRDefault="0002219B" w:rsidP="0002219B">
      <w:r w:rsidRPr="00CE68F2">
        <w:t xml:space="preserve">The 119 per cent jump in family violence related community legal education and information services can be attributed to an increased focus on family violence legal services and the rollout of Family Advocacy and Support Services, established by Victoria Legal Aid with funding from the Australian Government, on 1 May </w:t>
      </w:r>
      <w:r>
        <w:t>2017</w:t>
      </w:r>
      <w:r w:rsidRPr="00CE68F2">
        <w:t>. The increase can also be attributed to data w</w:t>
      </w:r>
      <w:r w:rsidR="0089729F">
        <w:t>e have not captured previously.</w:t>
      </w:r>
      <w:bookmarkStart w:id="1" w:name="_GoBack"/>
      <w:bookmarkEnd w:id="1"/>
    </w:p>
    <w:sectPr w:rsidR="00D75C29" w:rsidRPr="0002219B" w:rsidSect="00F77E0F">
      <w:headerReference w:type="even" r:id="rId11"/>
      <w:headerReference w:type="default" r:id="rId12"/>
      <w:footerReference w:type="even" r:id="rId13"/>
      <w:footerReference w:type="default" r:id="rId14"/>
      <w:headerReference w:type="first" r:id="rId15"/>
      <w:footerReference w:type="first" r:id="rId16"/>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9B" w:rsidRDefault="0002219B"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02219B" w:rsidRDefault="0002219B"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9B" w:rsidRDefault="0002219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19B" w:rsidRDefault="0002219B" w:rsidP="008074B3">
    <w:pPr>
      <w:pStyle w:val="Footer"/>
      <w:ind w:right="360" w:firstLine="360"/>
    </w:pPr>
  </w:p>
  <w:p w:rsidR="0002219B" w:rsidRDefault="000221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9B" w:rsidRDefault="0002219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89729F">
      <w:rPr>
        <w:rStyle w:val="PageNumber"/>
        <w:noProof/>
      </w:rPr>
      <w:t>18</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3B83E5C7" wp14:editId="1B51D38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582FEE"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9B" w:rsidRPr="008636E1" w:rsidRDefault="0002219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89729F">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7D785551" wp14:editId="0C6DF83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229BA8"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9B" w:rsidRDefault="0002219B" w:rsidP="00181303">
      <w:pPr>
        <w:pStyle w:val="Header"/>
        <w:framePr w:wrap="around" w:vAnchor="text" w:hAnchor="margin" w:xAlign="right" w:y="1"/>
        <w:rPr>
          <w:rStyle w:val="PageNumber"/>
        </w:rPr>
      </w:pPr>
    </w:p>
  </w:footnote>
  <w:footnote w:type="continuationSeparator" w:id="0">
    <w:p w:rsidR="0002219B" w:rsidRDefault="0002219B" w:rsidP="00181303">
      <w:pPr>
        <w:pStyle w:val="Header"/>
        <w:framePr w:wrap="around" w:vAnchor="text" w:hAnchor="margin" w:xAlign="right" w:y="1"/>
        <w:rPr>
          <w:rStyle w:val="PageNumber"/>
        </w:rPr>
      </w:pPr>
      <w:r w:rsidRPr="009F0AA0">
        <w:pgNum/>
      </w:r>
      <w:r w:rsidRPr="009F0AA0">
        <w:pgNum/>
      </w:r>
      <w:r w:rsidRPr="009F0AA0">
        <w:pgNum/>
      </w:r>
    </w:p>
  </w:footnote>
  <w:footnote w:id="1">
    <w:p w:rsidR="0002219B" w:rsidRPr="00A20861" w:rsidRDefault="0002219B" w:rsidP="0002219B">
      <w:pPr>
        <w:pStyle w:val="FootnoteText"/>
        <w:rPr>
          <w:rStyle w:val="FootnoteReference"/>
          <w:vertAlign w:val="baseline"/>
        </w:rPr>
      </w:pPr>
      <w:r>
        <w:rPr>
          <w:rStyle w:val="FootnoteReference"/>
        </w:rPr>
        <w:footnoteRef/>
      </w:r>
      <w:r>
        <w:t xml:space="preserve"> </w:t>
      </w:r>
      <w:r w:rsidRPr="00A20861">
        <w:rPr>
          <w:rStyle w:val="FootnoteReference"/>
          <w:vertAlign w:val="baseline"/>
        </w:rPr>
        <w:t>A unique client is an individual who accessed one or more of our legal services. This does not include people</w:t>
      </w:r>
    </w:p>
    <w:p w:rsidR="0002219B" w:rsidRPr="00A20861" w:rsidRDefault="0002219B" w:rsidP="0002219B">
      <w:pPr>
        <w:pStyle w:val="FootnoteText"/>
        <w:rPr>
          <w:rStyle w:val="FootnoteReference"/>
          <w:vertAlign w:val="baseline"/>
        </w:rPr>
      </w:pPr>
      <w:r w:rsidRPr="00A20861">
        <w:rPr>
          <w:rStyle w:val="FootnoteReference"/>
          <w:vertAlign w:val="baseline"/>
        </w:rPr>
        <w:t>for whom a client-lawyer relationship was not formed, who received information via the telephone, website or</w:t>
      </w:r>
    </w:p>
    <w:p w:rsidR="0002219B" w:rsidRPr="00A20861" w:rsidRDefault="0002219B" w:rsidP="0002219B">
      <w:pPr>
        <w:pStyle w:val="FootnoteText"/>
        <w:rPr>
          <w:rStyle w:val="FootnoteReference"/>
          <w:vertAlign w:val="baseline"/>
        </w:rPr>
      </w:pPr>
      <w:r w:rsidRPr="00A20861">
        <w:rPr>
          <w:rStyle w:val="FootnoteReference"/>
          <w:vertAlign w:val="baseline"/>
        </w:rPr>
        <w:t>in-person at court or at a public counter, who participated in community legal education sessions, or clients</w:t>
      </w:r>
    </w:p>
    <w:p w:rsidR="0002219B" w:rsidRPr="00A20861" w:rsidRDefault="0002219B" w:rsidP="0002219B">
      <w:pPr>
        <w:pStyle w:val="FootnoteText"/>
        <w:rPr>
          <w:lang w:val="en-US"/>
        </w:rPr>
      </w:pPr>
      <w:r w:rsidRPr="00A20861">
        <w:rPr>
          <w:rStyle w:val="FootnoteReference"/>
          <w:vertAlign w:val="baseline"/>
        </w:rPr>
        <w:t>from community legal centres.</w:t>
      </w:r>
    </w:p>
  </w:footnote>
  <w:footnote w:id="2">
    <w:p w:rsidR="0002219B" w:rsidRDefault="0002219B" w:rsidP="0002219B">
      <w:pPr>
        <w:pStyle w:val="FootnoteText"/>
      </w:pPr>
      <w:r>
        <w:rPr>
          <w:rStyle w:val="FootnoteReference"/>
        </w:rPr>
        <w:footnoteRef/>
      </w:r>
      <w:r>
        <w:t xml:space="preserve"> Three per cent of indictable matters go on to receive a grant of aid for an appeal to the higher courts</w:t>
      </w:r>
    </w:p>
  </w:footnote>
  <w:footnote w:id="3">
    <w:p w:rsidR="0002219B" w:rsidRDefault="0002219B" w:rsidP="0002219B">
      <w:pPr>
        <w:pStyle w:val="FootnoteText"/>
      </w:pPr>
      <w:r>
        <w:rPr>
          <w:rStyle w:val="FootnoteReference"/>
        </w:rPr>
        <w:footnoteRef/>
      </w:r>
      <w:r>
        <w:t xml:space="preserve"> Five per cent of summary and youth crime matters go on to receive a grant of aid for appeal to the County Court</w:t>
      </w:r>
    </w:p>
  </w:footnote>
  <w:footnote w:id="4">
    <w:p w:rsidR="0002219B" w:rsidRPr="00615A37" w:rsidRDefault="0002219B" w:rsidP="0002219B">
      <w:pPr>
        <w:pStyle w:val="FootnoteText"/>
        <w:rPr>
          <w:lang w:val="en-US"/>
        </w:rPr>
      </w:pPr>
      <w:r>
        <w:rPr>
          <w:rStyle w:val="FootnoteReference"/>
        </w:rPr>
        <w:footnoteRef/>
      </w:r>
      <w:r>
        <w:t xml:space="preserve"> A</w:t>
      </w:r>
      <w:r w:rsidRPr="00615A37">
        <w:t xml:space="preserve"> proportion of the summary crime operating expenditure </w:t>
      </w:r>
      <w:r>
        <w:t>is</w:t>
      </w:r>
      <w:r w:rsidRPr="00615A37">
        <w:t xml:space="preserve"> associated with services hav</w:t>
      </w:r>
      <w:r>
        <w:t>ing a family violence component</w:t>
      </w:r>
    </w:p>
  </w:footnote>
  <w:footnote w:id="5">
    <w:p w:rsidR="0002219B" w:rsidRPr="00DF6771" w:rsidRDefault="0002219B" w:rsidP="0002219B">
      <w:pPr>
        <w:pStyle w:val="FootnoteText"/>
        <w:rPr>
          <w:lang w:val="en-US"/>
        </w:rPr>
      </w:pPr>
      <w:r>
        <w:rPr>
          <w:rStyle w:val="FootnoteReference"/>
        </w:rPr>
        <w:footnoteRef/>
      </w:r>
      <w:r>
        <w:t xml:space="preserve"> We estimate that between </w:t>
      </w:r>
      <w:r w:rsidRPr="00DF6771">
        <w:t xml:space="preserve">$3.2 </w:t>
      </w:r>
      <w:r>
        <w:t xml:space="preserve">million </w:t>
      </w:r>
      <w:r w:rsidRPr="00DF6771">
        <w:t>and $3.5</w:t>
      </w:r>
      <w:r>
        <w:t xml:space="preserve"> </w:t>
      </w:r>
      <w:r w:rsidRPr="00DF6771">
        <w:t>m</w:t>
      </w:r>
      <w:r>
        <w:t xml:space="preserve">illion </w:t>
      </w:r>
      <w:r w:rsidRPr="00DF6771">
        <w:t>of the total $21.8</w:t>
      </w:r>
      <w:r>
        <w:t xml:space="preserve"> </w:t>
      </w:r>
      <w:r w:rsidRPr="00DF6771">
        <w:t>m</w:t>
      </w:r>
      <w:r>
        <w:t>illion</w:t>
      </w:r>
      <w:r w:rsidRPr="00DF6771">
        <w:t xml:space="preserve"> in </w:t>
      </w:r>
      <w:r>
        <w:t xml:space="preserve">the </w:t>
      </w:r>
      <w:r w:rsidRPr="00DF6771">
        <w:t xml:space="preserve">summary crime </w:t>
      </w:r>
      <w:r>
        <w:t>operating expenditure occur in the context of family violence.</w:t>
      </w:r>
    </w:p>
  </w:footnote>
  <w:footnote w:id="6">
    <w:p w:rsidR="0002219B" w:rsidRPr="00312168" w:rsidRDefault="0002219B" w:rsidP="0002219B">
      <w:pPr>
        <w:pStyle w:val="FootnoteText"/>
        <w:rPr>
          <w:lang w:val="en-US"/>
        </w:rPr>
      </w:pPr>
      <w:r>
        <w:rPr>
          <w:rStyle w:val="FootnoteReference"/>
        </w:rPr>
        <w:footnoteRef/>
      </w:r>
      <w:r>
        <w:t xml:space="preserve"> A</w:t>
      </w:r>
      <w:r w:rsidRPr="00615A37">
        <w:t xml:space="preserve"> proportion of the summary crime operating expenditure could be associated with services hav</w:t>
      </w:r>
      <w:r>
        <w:t>ing a family violence component</w:t>
      </w:r>
    </w:p>
  </w:footnote>
  <w:footnote w:id="7">
    <w:p w:rsidR="0002219B" w:rsidRPr="00DF6771" w:rsidRDefault="0002219B" w:rsidP="0002219B">
      <w:pPr>
        <w:pStyle w:val="FootnoteText"/>
        <w:rPr>
          <w:lang w:val="en-US"/>
        </w:rPr>
      </w:pPr>
      <w:r>
        <w:rPr>
          <w:rStyle w:val="FootnoteReference"/>
        </w:rPr>
        <w:footnoteRef/>
      </w:r>
      <w:r>
        <w:t xml:space="preserve"> </w:t>
      </w:r>
      <w:r w:rsidRPr="004A4150">
        <w:t>We estimate that between $3.2 million and $3.5 million of the total $21.8 million in the summary crime operating expenditure occur in the context of family violence. Family violence is also a factor in other legal problems such as child protection and tenancy issues, and costs are dispersed in these programs.</w:t>
      </w:r>
    </w:p>
  </w:footnote>
  <w:footnote w:id="8">
    <w:p w:rsidR="0002219B" w:rsidRPr="00DA7345" w:rsidRDefault="0002219B" w:rsidP="0002219B">
      <w:pPr>
        <w:pStyle w:val="FootnoteText"/>
        <w:rPr>
          <w:lang w:val="en-US"/>
        </w:rPr>
      </w:pPr>
      <w:r>
        <w:rPr>
          <w:rStyle w:val="FootnoteReference"/>
        </w:rPr>
        <w:footnoteRef/>
      </w:r>
      <w:r>
        <w:t xml:space="preserve"> </w:t>
      </w:r>
      <w:r>
        <w:rPr>
          <w:lang w:val="en-US"/>
        </w:rPr>
        <w:t xml:space="preserve">The law in general includes issues around commercial law, wills and trusts—we do not fund representation for these matters but receive and respond to requests for information and advice about them. </w:t>
      </w:r>
    </w:p>
  </w:footnote>
  <w:footnote w:id="9">
    <w:p w:rsidR="0002219B" w:rsidRPr="00050918" w:rsidRDefault="0002219B" w:rsidP="0002219B">
      <w:pPr>
        <w:pStyle w:val="FootnoteText"/>
        <w:rPr>
          <w:lang w:val="en-US"/>
        </w:rPr>
      </w:pPr>
      <w:r>
        <w:rPr>
          <w:rStyle w:val="FootnoteReference"/>
        </w:rPr>
        <w:footnoteRef/>
      </w:r>
      <w:r>
        <w:t xml:space="preserve"> </w:t>
      </w:r>
      <w:r w:rsidRPr="00050918">
        <w:t>Assisting people who are the subject of an application for an inpatient treatment order in a psychiatric hospital.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9B" w:rsidRDefault="0002219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19B" w:rsidRDefault="0002219B" w:rsidP="00091AFC">
    <w:pPr>
      <w:pStyle w:val="Header"/>
      <w:ind w:right="360"/>
    </w:pPr>
  </w:p>
  <w:p w:rsidR="0002219B" w:rsidRDefault="000221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9B" w:rsidRPr="006A6FC6" w:rsidRDefault="0002219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rsidR="0002219B" w:rsidRPr="00EF7C5C" w:rsidRDefault="0002219B" w:rsidP="00EF7C5C">
    <w:pPr>
      <w:spacing w:line="240" w:lineRule="auto"/>
      <w:ind w:left="-330"/>
      <w:rPr>
        <w:rFonts w:ascii="Arial Bold" w:hAnsi="Arial Bold" w:cs="Arial"/>
        <w:color w:val="B1005D"/>
      </w:rPr>
    </w:pPr>
    <w:r>
      <w:rPr>
        <w:rFonts w:ascii="Arial Bold" w:hAnsi="Arial Bold" w:cs="Arial"/>
        <w:b/>
        <w:color w:val="B1005D"/>
        <w:sz w:val="18"/>
        <w:szCs w:val="18"/>
      </w:rPr>
      <w:t>Victoria Legal Aid 2017–18 midyear report</w:t>
    </w:r>
    <w:r>
      <w:rPr>
        <w:rFonts w:ascii="Arial Bold" w:hAnsi="Arial Bold" w:cs="Arial"/>
        <w:b/>
        <w:noProof/>
        <w:color w:val="B1005D"/>
        <w:sz w:val="18"/>
        <w:szCs w:val="18"/>
        <w:lang w:eastAsia="en-AU"/>
      </w:rPr>
      <mc:AlternateContent>
        <mc:Choice Requires="wps">
          <w:drawing>
            <wp:anchor distT="0" distB="0" distL="114300" distR="114300" simplePos="0" relativeHeight="251656704" behindDoc="1" locked="1" layoutInCell="1" allowOverlap="1" wp14:anchorId="310469ED" wp14:editId="11606EB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2212" id="Straight Connector 3" o:spid="_x0000_s1026" alt=" "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9B" w:rsidRPr="00833658" w:rsidRDefault="0002219B"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7968" behindDoc="1" locked="0" layoutInCell="1" allowOverlap="1" wp14:anchorId="5731AC36" wp14:editId="5DD80836">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02219B" w:rsidRPr="00D82005" w:rsidRDefault="0002219B" w:rsidP="00D82005">
    <w:pPr>
      <w:pStyle w:val="VLAPublicationdate"/>
      <w:spacing w:before="240" w:after="1200"/>
    </w:pPr>
    <w:r>
      <w:t>February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3E4698E"/>
    <w:multiLevelType w:val="hybridMultilevel"/>
    <w:tmpl w:val="62E20E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AC25500"/>
    <w:multiLevelType w:val="hybridMultilevel"/>
    <w:tmpl w:val="71264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296326"/>
    <w:multiLevelType w:val="hybridMultilevel"/>
    <w:tmpl w:val="0EB0D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246EEA"/>
    <w:multiLevelType w:val="hybridMultilevel"/>
    <w:tmpl w:val="A1E66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C191EA0"/>
    <w:multiLevelType w:val="hybridMultilevel"/>
    <w:tmpl w:val="3F40F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F50A6F"/>
    <w:multiLevelType w:val="hybridMultilevel"/>
    <w:tmpl w:val="DD92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35037D"/>
    <w:multiLevelType w:val="hybridMultilevel"/>
    <w:tmpl w:val="04CA0D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7F221DD"/>
    <w:multiLevelType w:val="hybridMultilevel"/>
    <w:tmpl w:val="32287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555FA4"/>
    <w:multiLevelType w:val="hybridMultilevel"/>
    <w:tmpl w:val="E25A4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327F5A"/>
    <w:multiLevelType w:val="hybridMultilevel"/>
    <w:tmpl w:val="0DBE9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BD6170"/>
    <w:multiLevelType w:val="hybridMultilevel"/>
    <w:tmpl w:val="B2B43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F542E8"/>
    <w:multiLevelType w:val="hybridMultilevel"/>
    <w:tmpl w:val="F22AD124"/>
    <w:lvl w:ilvl="0" w:tplc="F9CA404C">
      <w:start w:val="1"/>
      <w:numFmt w:val="bullet"/>
      <w:pStyle w:val="Bullet1"/>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31775E"/>
    <w:multiLevelType w:val="hybridMultilevel"/>
    <w:tmpl w:val="5170C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6"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83596"/>
    <w:multiLevelType w:val="hybridMultilevel"/>
    <w:tmpl w:val="84CAA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5"/>
  </w:num>
  <w:num w:numId="4">
    <w:abstractNumId w:val="24"/>
  </w:num>
  <w:num w:numId="5">
    <w:abstractNumId w:val="25"/>
  </w:num>
  <w:num w:numId="6">
    <w:abstractNumId w:val="25"/>
  </w:num>
  <w:num w:numId="7">
    <w:abstractNumId w:val="26"/>
  </w:num>
  <w:num w:numId="8">
    <w:abstractNumId w:val="25"/>
  </w:num>
  <w:num w:numId="9">
    <w:abstractNumId w:val="23"/>
  </w:num>
  <w:num w:numId="10">
    <w:abstractNumId w:val="18"/>
  </w:num>
  <w:num w:numId="11">
    <w:abstractNumId w:val="23"/>
  </w:num>
  <w:num w:numId="12">
    <w:abstractNumId w:val="11"/>
  </w:num>
  <w:num w:numId="13">
    <w:abstractNumId w:val="11"/>
  </w:num>
  <w:num w:numId="14">
    <w:abstractNumId w:val="11"/>
  </w:num>
  <w:num w:numId="15">
    <w:abstractNumId w:val="11"/>
  </w:num>
  <w:num w:numId="16">
    <w:abstractNumId w:val="18"/>
  </w:num>
  <w:num w:numId="17">
    <w:abstractNumId w:val="25"/>
  </w:num>
  <w:num w:numId="18">
    <w:abstractNumId w:val="25"/>
  </w:num>
  <w:num w:numId="19">
    <w:abstractNumId w:val="24"/>
  </w:num>
  <w:num w:numId="20">
    <w:abstractNumId w:val="24"/>
  </w:num>
  <w:num w:numId="21">
    <w:abstractNumId w:val="24"/>
  </w:num>
  <w:num w:numId="22">
    <w:abstractNumId w:val="23"/>
  </w:num>
  <w:num w:numId="23">
    <w:abstractNumId w:val="18"/>
  </w:num>
  <w:num w:numId="24">
    <w:abstractNumId w:val="25"/>
  </w:num>
  <w:num w:numId="25">
    <w:abstractNumId w:val="25"/>
  </w:num>
  <w:num w:numId="26">
    <w:abstractNumId w:val="24"/>
  </w:num>
  <w:num w:numId="27">
    <w:abstractNumId w:val="24"/>
  </w:num>
  <w:num w:numId="28">
    <w:abstractNumId w:val="24"/>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9"/>
  </w:num>
  <w:num w:numId="37">
    <w:abstractNumId w:val="14"/>
  </w:num>
  <w:num w:numId="38">
    <w:abstractNumId w:val="12"/>
  </w:num>
  <w:num w:numId="39">
    <w:abstractNumId w:val="21"/>
  </w:num>
  <w:num w:numId="40">
    <w:abstractNumId w:val="20"/>
  </w:num>
  <w:num w:numId="41">
    <w:abstractNumId w:val="17"/>
  </w:num>
  <w:num w:numId="42">
    <w:abstractNumId w:val="10"/>
  </w:num>
  <w:num w:numId="43">
    <w:abstractNumId w:val="13"/>
  </w:num>
  <w:num w:numId="44">
    <w:abstractNumId w:val="15"/>
  </w:num>
  <w:num w:numId="45">
    <w:abstractNumId w:val="22"/>
  </w:num>
  <w:num w:numId="46">
    <w:abstractNumId w:val="7"/>
  </w:num>
  <w:num w:numId="47">
    <w:abstractNumId w:val="27"/>
  </w:num>
  <w:num w:numId="48">
    <w:abstractNumId w:val="16"/>
  </w:num>
  <w:num w:numId="4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6145">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02219B"/>
    <w:rsid w:val="000078CE"/>
    <w:rsid w:val="0002219B"/>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C4164"/>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958CB"/>
    <w:rsid w:val="00896E60"/>
    <w:rsid w:val="0089729F"/>
    <w:rsid w:val="008A1E5F"/>
    <w:rsid w:val="008B2419"/>
    <w:rsid w:val="008C388A"/>
    <w:rsid w:val="008F4DC6"/>
    <w:rsid w:val="00940793"/>
    <w:rsid w:val="0099270D"/>
    <w:rsid w:val="009A74F1"/>
    <w:rsid w:val="009B0D09"/>
    <w:rsid w:val="009B2351"/>
    <w:rsid w:val="009B59BF"/>
    <w:rsid w:val="009D539D"/>
    <w:rsid w:val="009E1AC3"/>
    <w:rsid w:val="009F0AA0"/>
    <w:rsid w:val="00A11120"/>
    <w:rsid w:val="00A4395A"/>
    <w:rsid w:val="00A52F29"/>
    <w:rsid w:val="00A93509"/>
    <w:rsid w:val="00AB5376"/>
    <w:rsid w:val="00AC3D95"/>
    <w:rsid w:val="00AD1534"/>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017165,#96004a,#b1005d"/>
    </o:shapedefaults>
    <o:shapelayout v:ext="edit">
      <o:idmap v:ext="edit" data="1"/>
    </o:shapelayout>
  </w:shapeDefaults>
  <w:decimalSymbol w:val="."/>
  <w:listSeparator w:val=","/>
  <w14:docId w14:val="7A03A87D"/>
  <w15:docId w15:val="{CF2DB825-B85C-49D8-80E5-F60B5F34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2219B"/>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aliases w:val="Footnote,Footnotes refss,4_G,Footnote number,Stinking Styles,Nota a pie,NO,Style 30,Style 20"/>
    <w:uiPriority w:val="99"/>
    <w:qFormat/>
    <w:rsid w:val="00DB07C5"/>
    <w:rPr>
      <w:rFonts w:ascii="Arial" w:hAnsi="Arial"/>
      <w:sz w:val="18"/>
      <w:vertAlign w:val="superscript"/>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
    <w:basedOn w:val="Normal"/>
    <w:link w:val="FootnoteTextChar"/>
    <w:uiPriority w:val="99"/>
    <w:qFormat/>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uiPriority w:val="18"/>
    <w:qFormat/>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FootnoteTextChar">
    <w:name w:val="Footnote Text Char"/>
    <w:aliases w:val="Footnote Text Char Char Char Char Char Char Char,Footnote Text Char Char Char Char Char Char Char Char Char Char Char Char Char Char Char Char Char Char,C Char"/>
    <w:basedOn w:val="DefaultParagraphFont"/>
    <w:link w:val="FootnoteText"/>
    <w:uiPriority w:val="99"/>
    <w:rsid w:val="0002219B"/>
    <w:rPr>
      <w:rFonts w:ascii="Arial" w:eastAsia="Times New Roman" w:hAnsi="Arial"/>
      <w:sz w:val="18"/>
    </w:rPr>
  </w:style>
  <w:style w:type="character" w:styleId="CommentReference">
    <w:name w:val="annotation reference"/>
    <w:basedOn w:val="DefaultParagraphFont"/>
    <w:uiPriority w:val="99"/>
    <w:semiHidden/>
    <w:unhideWhenUsed/>
    <w:rsid w:val="0002219B"/>
    <w:rPr>
      <w:sz w:val="16"/>
      <w:szCs w:val="16"/>
    </w:rPr>
  </w:style>
  <w:style w:type="paragraph" w:styleId="CommentText">
    <w:name w:val="annotation text"/>
    <w:basedOn w:val="Normal"/>
    <w:link w:val="CommentTextChar"/>
    <w:uiPriority w:val="99"/>
    <w:unhideWhenUsed/>
    <w:rsid w:val="0002219B"/>
    <w:pPr>
      <w:spacing w:line="240" w:lineRule="auto"/>
    </w:pPr>
    <w:rPr>
      <w:sz w:val="20"/>
      <w:szCs w:val="20"/>
    </w:rPr>
  </w:style>
  <w:style w:type="character" w:customStyle="1" w:styleId="CommentTextChar">
    <w:name w:val="Comment Text Char"/>
    <w:basedOn w:val="DefaultParagraphFont"/>
    <w:link w:val="CommentText"/>
    <w:uiPriority w:val="99"/>
    <w:rsid w:val="0002219B"/>
    <w:rPr>
      <w:rFonts w:ascii="Arial" w:eastAsia="Times New Roman" w:hAnsi="Arial"/>
    </w:rPr>
  </w:style>
  <w:style w:type="paragraph" w:styleId="CommentSubject">
    <w:name w:val="annotation subject"/>
    <w:basedOn w:val="CommentText"/>
    <w:next w:val="CommentText"/>
    <w:link w:val="CommentSubjectChar"/>
    <w:semiHidden/>
    <w:unhideWhenUsed/>
    <w:rsid w:val="0002219B"/>
    <w:rPr>
      <w:b/>
      <w:bCs/>
    </w:rPr>
  </w:style>
  <w:style w:type="character" w:customStyle="1" w:styleId="CommentSubjectChar">
    <w:name w:val="Comment Subject Char"/>
    <w:basedOn w:val="CommentTextChar"/>
    <w:link w:val="CommentSubject"/>
    <w:semiHidden/>
    <w:rsid w:val="0002219B"/>
    <w:rPr>
      <w:rFonts w:ascii="Arial" w:eastAsia="Times New Roman" w:hAnsi="Arial"/>
      <w:b/>
      <w:bCs/>
    </w:rPr>
  </w:style>
  <w:style w:type="paragraph" w:styleId="BalloonText">
    <w:name w:val="Balloon Text"/>
    <w:basedOn w:val="Normal"/>
    <w:link w:val="BalloonTextChar"/>
    <w:semiHidden/>
    <w:unhideWhenUsed/>
    <w:rsid w:val="00022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2219B"/>
    <w:rPr>
      <w:rFonts w:ascii="Segoe UI" w:eastAsia="Times New Roman" w:hAnsi="Segoe UI" w:cs="Segoe UI"/>
      <w:sz w:val="18"/>
      <w:szCs w:val="18"/>
    </w:rPr>
  </w:style>
  <w:style w:type="character" w:styleId="Emphasis">
    <w:name w:val="Emphasis"/>
    <w:basedOn w:val="DefaultParagraphFont"/>
    <w:qFormat/>
    <w:locked/>
    <w:rsid w:val="0002219B"/>
    <w:rPr>
      <w:i/>
      <w:iCs/>
    </w:rPr>
  </w:style>
  <w:style w:type="paragraph" w:styleId="ListParagraph">
    <w:name w:val="List Paragraph"/>
    <w:basedOn w:val="Normal"/>
    <w:link w:val="ListParagraphChar"/>
    <w:uiPriority w:val="34"/>
    <w:unhideWhenUsed/>
    <w:qFormat/>
    <w:rsid w:val="0002219B"/>
    <w:pPr>
      <w:ind w:left="720"/>
      <w:contextualSpacing/>
    </w:pPr>
  </w:style>
  <w:style w:type="character" w:customStyle="1" w:styleId="ListParagraphChar">
    <w:name w:val="List Paragraph Char"/>
    <w:link w:val="ListParagraph"/>
    <w:uiPriority w:val="34"/>
    <w:locked/>
    <w:rsid w:val="0002219B"/>
    <w:rPr>
      <w:rFonts w:ascii="Arial" w:eastAsia="Times New Roman" w:hAnsi="Arial"/>
      <w:sz w:val="22"/>
      <w:szCs w:val="24"/>
    </w:rPr>
  </w:style>
  <w:style w:type="paragraph" w:customStyle="1" w:styleId="Bullet1">
    <w:name w:val="Bullet 1"/>
    <w:basedOn w:val="Normal"/>
    <w:qFormat/>
    <w:rsid w:val="0002219B"/>
    <w:pPr>
      <w:numPr>
        <w:numId w:val="39"/>
      </w:numPr>
      <w:ind w:left="170" w:hanging="170"/>
    </w:pPr>
  </w:style>
  <w:style w:type="table" w:styleId="PlainTable2">
    <w:name w:val="Plain Table 2"/>
    <w:basedOn w:val="TableNormal"/>
    <w:uiPriority w:val="42"/>
    <w:rsid w:val="0002219B"/>
    <w:rPr>
      <w:rFonts w:ascii="Times New Roman" w:eastAsia="Times New Roman" w:hAnsi="Times New Roman"/>
      <w:lang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2B142D" w:themeColor="text2"/>
      </w:rPr>
      <w:tblPr/>
      <w:trPr>
        <w:cantSplit/>
        <w:tblHeader/>
      </w:trPr>
      <w:tcPr>
        <w:tcBorders>
          <w:top w:val="single" w:sz="4" w:space="0" w:color="2B142D" w:themeColor="text2"/>
          <w:bottom w:val="single" w:sz="4" w:space="0" w:color="2B142D" w:themeColor="text2"/>
        </w:tcBorders>
        <w:shd w:val="clear" w:color="auto" w:fill="C3AFCC"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rmalWeb">
    <w:name w:val="Normal (Web)"/>
    <w:basedOn w:val="Normal"/>
    <w:uiPriority w:val="99"/>
    <w:semiHidden/>
    <w:unhideWhenUsed/>
    <w:rsid w:val="0002219B"/>
    <w:pPr>
      <w:spacing w:after="0" w:line="240" w:lineRule="auto"/>
    </w:pPr>
    <w:rPr>
      <w:rFonts w:ascii="Times New Roman" w:eastAsiaTheme="minorHAnsi" w:hAnsi="Times New Roman"/>
      <w:sz w:val="24"/>
      <w:lang w:eastAsia="en-AU"/>
    </w:rPr>
  </w:style>
  <w:style w:type="paragraph" w:styleId="Revision">
    <w:name w:val="Revision"/>
    <w:hidden/>
    <w:uiPriority w:val="71"/>
    <w:unhideWhenUsed/>
    <w:rsid w:val="0002219B"/>
    <w:rPr>
      <w:rFonts w:ascii="Arial" w:eastAsia="Times New Roman" w:hAnsi="Arial"/>
      <w:sz w:val="22"/>
      <w:szCs w:val="24"/>
    </w:rPr>
  </w:style>
  <w:style w:type="paragraph" w:styleId="EndnoteText">
    <w:name w:val="endnote text"/>
    <w:basedOn w:val="Normal"/>
    <w:link w:val="EndnoteTextChar"/>
    <w:semiHidden/>
    <w:unhideWhenUsed/>
    <w:rsid w:val="0002219B"/>
    <w:pPr>
      <w:spacing w:after="0" w:line="240" w:lineRule="auto"/>
    </w:pPr>
    <w:rPr>
      <w:sz w:val="20"/>
      <w:szCs w:val="20"/>
    </w:rPr>
  </w:style>
  <w:style w:type="character" w:customStyle="1" w:styleId="EndnoteTextChar">
    <w:name w:val="Endnote Text Char"/>
    <w:basedOn w:val="DefaultParagraphFont"/>
    <w:link w:val="EndnoteText"/>
    <w:semiHidden/>
    <w:rsid w:val="0002219B"/>
    <w:rPr>
      <w:rFonts w:ascii="Arial" w:eastAsia="Times New Roman" w:hAnsi="Arial"/>
    </w:rPr>
  </w:style>
  <w:style w:type="character" w:styleId="EndnoteReference">
    <w:name w:val="endnote reference"/>
    <w:basedOn w:val="DefaultParagraphFont"/>
    <w:semiHidden/>
    <w:unhideWhenUsed/>
    <w:rsid w:val="00022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2-20T10:30:21.268"/>
    </inkml:context>
    <inkml:brush xml:id="br0">
      <inkml:brushProperty name="width" value="0.02857" units="cm"/>
      <inkml:brushProperty name="height" value="0.02857" units="cm"/>
    </inkml:brush>
  </inkml:definitions>
  <inkml:trace contextRef="#ctx0" brushRef="#br0">15192 15804 11584,'27'27'-6400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3-06T23:42:40.011"/>
    </inkml:context>
    <inkml:brush xml:id="br0">
      <inkml:brushProperty name="width" value="0.02857" units="cm"/>
      <inkml:brushProperty name="height" value="0.02857" units="cm"/>
    </inkml:brush>
  </inkml:definitions>
  <inkml:trace contextRef="#ctx0" brushRef="#br0">15192 15804 11584,'27'27'-6400</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576F-1BCB-4D6E-822F-61C37168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4757</Words>
  <Characters>27117</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Victoria Legal Aid 2017–18 midyear report</vt:lpstr>
    </vt:vector>
  </TitlesOfParts>
  <Company>Victoria Legal Aid</Company>
  <LinksUpToDate>false</LinksUpToDate>
  <CharactersWithSpaces>31811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2017–18 midyear report</dc:title>
  <dc:subject/>
  <dc:creator>Victoria Legal Aid</dc:creator>
  <cp:keywords/>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