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92B61" w14:textId="5E1D3D3B" w:rsidR="0047677D" w:rsidRPr="00B7374D" w:rsidRDefault="0047677D" w:rsidP="0047677D">
      <w:pPr>
        <w:pStyle w:val="Heading1"/>
      </w:pPr>
      <w:r>
        <w:t xml:space="preserve">Victoria Legal Aid </w:t>
      </w:r>
      <w:r w:rsidR="00063AD1">
        <w:t>2018</w:t>
      </w:r>
      <w:r w:rsidR="001F653E">
        <w:t>–</w:t>
      </w:r>
      <w:r w:rsidR="00063AD1">
        <w:t>19</w:t>
      </w:r>
      <w:r>
        <w:t xml:space="preserve"> midyear report</w:t>
      </w:r>
    </w:p>
    <w:p w14:paraId="1E521303" w14:textId="54AC2194" w:rsidR="0047677D" w:rsidRDefault="0047677D" w:rsidP="0047677D">
      <w:r>
        <w:t>This report provides a snapshot of our first six months of operations in</w:t>
      </w:r>
      <w:r w:rsidR="0012570F">
        <w:t xml:space="preserve"> the</w:t>
      </w:r>
      <w:r>
        <w:t xml:space="preserve"> </w:t>
      </w:r>
      <w:r w:rsidR="00063AD1">
        <w:t>2018</w:t>
      </w:r>
      <w:r w:rsidR="001F653E">
        <w:t>–</w:t>
      </w:r>
      <w:r w:rsidR="00063AD1">
        <w:t>19</w:t>
      </w:r>
      <w:r w:rsidR="00E61A4B">
        <w:t xml:space="preserve"> financial year from </w:t>
      </w:r>
      <w:r w:rsidR="0012570F">
        <w:t>1</w:t>
      </w:r>
      <w:r w:rsidR="001F653E">
        <w:t xml:space="preserve"> </w:t>
      </w:r>
      <w:r w:rsidR="00E61A4B">
        <w:t>July 2018 to 31 December 2018</w:t>
      </w:r>
      <w:r>
        <w:t>.</w:t>
      </w:r>
    </w:p>
    <w:p w14:paraId="4DB02DC9" w14:textId="54DB29C6" w:rsidR="0047677D" w:rsidRDefault="0047677D" w:rsidP="0047677D">
      <w:pPr>
        <w:pStyle w:val="Heading2"/>
      </w:pPr>
      <w:r>
        <w:t>Snapshot of service delivery</w:t>
      </w:r>
    </w:p>
    <w:p w14:paraId="7E82A94F" w14:textId="22A55D22" w:rsidR="00E0229B" w:rsidRPr="001F653E" w:rsidRDefault="00BE550A" w:rsidP="00576631">
      <w:pPr>
        <w:spacing w:before="120"/>
      </w:pPr>
      <w:r>
        <w:t xml:space="preserve">As </w:t>
      </w:r>
      <w:r w:rsidR="00EA72A9">
        <w:t>forecast</w:t>
      </w:r>
      <w:r>
        <w:t>, de</w:t>
      </w:r>
      <w:r w:rsidR="00D82841">
        <w:t>mand for legal services remained strong in the first half of 2018-19</w:t>
      </w:r>
      <w:r w:rsidR="00BD4E98">
        <w:t xml:space="preserve"> with</w:t>
      </w:r>
      <w:r w:rsidR="00B4495D">
        <w:t xml:space="preserve"> Victoria Legal Aid</w:t>
      </w:r>
      <w:r w:rsidR="005A04B6">
        <w:t xml:space="preserve"> assisting more clients</w:t>
      </w:r>
      <w:r w:rsidR="005076E1">
        <w:t xml:space="preserve"> compared to the same period last financial year</w:t>
      </w:r>
      <w:r w:rsidR="00B1152C">
        <w:t xml:space="preserve">. </w:t>
      </w:r>
      <w:proofErr w:type="gramStart"/>
      <w:r w:rsidR="0014464B">
        <w:t xml:space="preserve">In </w:t>
      </w:r>
      <w:r w:rsidR="001F653E">
        <w:t xml:space="preserve">particular, </w:t>
      </w:r>
      <w:r w:rsidR="00AF0DB3">
        <w:t>we</w:t>
      </w:r>
      <w:proofErr w:type="gramEnd"/>
      <w:r w:rsidR="00AF0DB3">
        <w:t xml:space="preserve"> saw </w:t>
      </w:r>
      <w:r w:rsidR="00C3445E">
        <w:t xml:space="preserve">the number of </w:t>
      </w:r>
      <w:r w:rsidR="00E663BB">
        <w:t>calls dealt with by the Legal Help telephone service increas</w:t>
      </w:r>
      <w:r w:rsidR="00AF0DB3">
        <w:t>e</w:t>
      </w:r>
      <w:r w:rsidR="00E663BB">
        <w:t xml:space="preserve"> by 15 per cent </w:t>
      </w:r>
      <w:r w:rsidR="000E18E9">
        <w:t>as a result</w:t>
      </w:r>
      <w:r w:rsidR="00483E7B">
        <w:t xml:space="preserve"> of an extension to the hours of operation of this service as well as a continued focus on</w:t>
      </w:r>
      <w:r w:rsidR="00CB20A1">
        <w:t xml:space="preserve"> service improvements and reforms. </w:t>
      </w:r>
    </w:p>
    <w:tbl>
      <w:tblPr>
        <w:tblStyle w:val="TableGrid"/>
        <w:tblW w:w="5000" w:type="pct"/>
        <w:tblLook w:val="04A0" w:firstRow="1" w:lastRow="0" w:firstColumn="1" w:lastColumn="0" w:noHBand="0" w:noVBand="1"/>
      </w:tblPr>
      <w:tblGrid>
        <w:gridCol w:w="5664"/>
        <w:gridCol w:w="1560"/>
        <w:gridCol w:w="1717"/>
        <w:gridCol w:w="1135"/>
      </w:tblGrid>
      <w:tr w:rsidR="0047677D" w:rsidRPr="0047677D" w14:paraId="13CCA7EB" w14:textId="77777777" w:rsidTr="00D73D9C">
        <w:trPr>
          <w:tblHeader/>
        </w:trPr>
        <w:tc>
          <w:tcPr>
            <w:tcW w:w="2811" w:type="pct"/>
            <w:shd w:val="clear" w:color="auto" w:fill="A7D0E3"/>
          </w:tcPr>
          <w:p w14:paraId="7D881DB4" w14:textId="77777777" w:rsidR="0047677D" w:rsidRPr="0047677D" w:rsidRDefault="0047677D" w:rsidP="0047677D">
            <w:pPr>
              <w:rPr>
                <w:b/>
              </w:rPr>
            </w:pPr>
            <w:r w:rsidRPr="0047677D">
              <w:rPr>
                <w:b/>
              </w:rPr>
              <w:t>Clients</w:t>
            </w:r>
            <w:r w:rsidR="001D0AC3">
              <w:rPr>
                <w:b/>
              </w:rPr>
              <w:t xml:space="preserve"> as at</w:t>
            </w:r>
          </w:p>
        </w:tc>
        <w:tc>
          <w:tcPr>
            <w:tcW w:w="774" w:type="pct"/>
            <w:shd w:val="clear" w:color="auto" w:fill="A7D0E3"/>
          </w:tcPr>
          <w:p w14:paraId="69E87EB2" w14:textId="16780401" w:rsidR="0047677D" w:rsidRPr="0047677D" w:rsidRDefault="0047677D" w:rsidP="0047677D">
            <w:pPr>
              <w:rPr>
                <w:b/>
              </w:rPr>
            </w:pPr>
            <w:r w:rsidRPr="0047677D">
              <w:rPr>
                <w:b/>
              </w:rPr>
              <w:t>31 Dec 201</w:t>
            </w:r>
            <w:r w:rsidR="00F71EDA">
              <w:rPr>
                <w:b/>
              </w:rPr>
              <w:t>7</w:t>
            </w:r>
          </w:p>
        </w:tc>
        <w:tc>
          <w:tcPr>
            <w:tcW w:w="852" w:type="pct"/>
            <w:shd w:val="clear" w:color="auto" w:fill="A7D0E3"/>
          </w:tcPr>
          <w:p w14:paraId="175159B1" w14:textId="153E6020" w:rsidR="0047677D" w:rsidRPr="0047677D" w:rsidRDefault="0047677D" w:rsidP="0047677D">
            <w:pPr>
              <w:rPr>
                <w:b/>
              </w:rPr>
            </w:pPr>
            <w:r w:rsidRPr="0047677D">
              <w:rPr>
                <w:b/>
              </w:rPr>
              <w:t>31 Dec 201</w:t>
            </w:r>
            <w:r w:rsidR="00F71EDA">
              <w:rPr>
                <w:b/>
              </w:rPr>
              <w:t>8</w:t>
            </w:r>
          </w:p>
        </w:tc>
        <w:tc>
          <w:tcPr>
            <w:tcW w:w="563" w:type="pct"/>
            <w:shd w:val="clear" w:color="auto" w:fill="A7D0E3"/>
          </w:tcPr>
          <w:p w14:paraId="26EAABC7" w14:textId="77777777" w:rsidR="0047677D" w:rsidRPr="0047677D" w:rsidRDefault="0047677D" w:rsidP="0047677D">
            <w:pPr>
              <w:rPr>
                <w:b/>
              </w:rPr>
            </w:pPr>
            <w:r w:rsidRPr="0047677D">
              <w:rPr>
                <w:b/>
              </w:rPr>
              <w:t>Variance</w:t>
            </w:r>
          </w:p>
        </w:tc>
      </w:tr>
      <w:tr w:rsidR="0047677D" w14:paraId="5E7E2574" w14:textId="77777777" w:rsidTr="001D0AC3">
        <w:tc>
          <w:tcPr>
            <w:tcW w:w="2811" w:type="pct"/>
          </w:tcPr>
          <w:p w14:paraId="2D52A5CF" w14:textId="77777777" w:rsidR="0047677D" w:rsidRDefault="0047677D" w:rsidP="0047677D">
            <w:r>
              <w:t>Unique clients</w:t>
            </w:r>
          </w:p>
        </w:tc>
        <w:tc>
          <w:tcPr>
            <w:tcW w:w="774" w:type="pct"/>
          </w:tcPr>
          <w:p w14:paraId="56AFBBF5" w14:textId="49CDAE38" w:rsidR="0047677D" w:rsidRDefault="00F71EDA" w:rsidP="00F00EF3">
            <w:pPr>
              <w:jc w:val="center"/>
            </w:pPr>
            <w:r>
              <w:t>53,</w:t>
            </w:r>
            <w:r w:rsidR="001D5993">
              <w:t>752</w:t>
            </w:r>
          </w:p>
        </w:tc>
        <w:tc>
          <w:tcPr>
            <w:tcW w:w="852" w:type="pct"/>
          </w:tcPr>
          <w:p w14:paraId="2ECA83F7" w14:textId="64BD5301" w:rsidR="0047677D" w:rsidRDefault="00F71EDA" w:rsidP="00F00EF3">
            <w:pPr>
              <w:jc w:val="center"/>
            </w:pPr>
            <w:r>
              <w:t>5</w:t>
            </w:r>
            <w:r w:rsidR="008F6F1E">
              <w:t>9</w:t>
            </w:r>
            <w:r>
              <w:t>,7</w:t>
            </w:r>
            <w:r w:rsidR="008F6F1E">
              <w:t>97</w:t>
            </w:r>
          </w:p>
        </w:tc>
        <w:tc>
          <w:tcPr>
            <w:tcW w:w="563" w:type="pct"/>
          </w:tcPr>
          <w:p w14:paraId="2A356C08" w14:textId="14FA633A" w:rsidR="0047677D" w:rsidRDefault="008F6F1E" w:rsidP="00F00EF3">
            <w:pPr>
              <w:jc w:val="center"/>
            </w:pPr>
            <w:r>
              <w:t>11%</w:t>
            </w:r>
          </w:p>
        </w:tc>
      </w:tr>
      <w:tr w:rsidR="0047677D" w14:paraId="525E78E5" w14:textId="77777777" w:rsidTr="001D0AC3">
        <w:tc>
          <w:tcPr>
            <w:tcW w:w="2811" w:type="pct"/>
          </w:tcPr>
          <w:p w14:paraId="286FB5F9" w14:textId="77777777" w:rsidR="0047677D" w:rsidRDefault="0047677D" w:rsidP="0047677D">
            <w:r>
              <w:t>Calls dealt with by our Legal Help telephone service</w:t>
            </w:r>
          </w:p>
        </w:tc>
        <w:tc>
          <w:tcPr>
            <w:tcW w:w="774" w:type="pct"/>
          </w:tcPr>
          <w:p w14:paraId="60A4DB56" w14:textId="72A177ED" w:rsidR="0047677D" w:rsidRDefault="00F71EDA" w:rsidP="00F00EF3">
            <w:pPr>
              <w:jc w:val="center"/>
            </w:pPr>
            <w:r>
              <w:t>62</w:t>
            </w:r>
            <w:r w:rsidR="002F1536">
              <w:t>,151</w:t>
            </w:r>
          </w:p>
        </w:tc>
        <w:tc>
          <w:tcPr>
            <w:tcW w:w="852" w:type="pct"/>
          </w:tcPr>
          <w:p w14:paraId="2F7F4FD4" w14:textId="3782BA48" w:rsidR="0047677D" w:rsidRDefault="002F1536" w:rsidP="00F00EF3">
            <w:pPr>
              <w:jc w:val="center"/>
            </w:pPr>
            <w:r>
              <w:t>71,493</w:t>
            </w:r>
          </w:p>
        </w:tc>
        <w:tc>
          <w:tcPr>
            <w:tcW w:w="563" w:type="pct"/>
          </w:tcPr>
          <w:p w14:paraId="42264CD6" w14:textId="38FF9B80" w:rsidR="0047677D" w:rsidRDefault="00010338" w:rsidP="00F00EF3">
            <w:pPr>
              <w:jc w:val="center"/>
            </w:pPr>
            <w:r>
              <w:t>15%</w:t>
            </w:r>
          </w:p>
        </w:tc>
      </w:tr>
    </w:tbl>
    <w:p w14:paraId="28F8F73E" w14:textId="77777777" w:rsidR="002A7A37" w:rsidRDefault="002A7A37"/>
    <w:tbl>
      <w:tblPr>
        <w:tblStyle w:val="TableGrid"/>
        <w:tblW w:w="5000" w:type="pct"/>
        <w:tblLook w:val="04A0" w:firstRow="1" w:lastRow="0" w:firstColumn="1" w:lastColumn="0" w:noHBand="0" w:noVBand="1"/>
      </w:tblPr>
      <w:tblGrid>
        <w:gridCol w:w="5664"/>
        <w:gridCol w:w="1560"/>
        <w:gridCol w:w="1717"/>
        <w:gridCol w:w="1135"/>
      </w:tblGrid>
      <w:tr w:rsidR="0047677D" w:rsidRPr="0047677D" w14:paraId="186BAC4A" w14:textId="77777777" w:rsidTr="00D73D9C">
        <w:trPr>
          <w:tblHeader/>
        </w:trPr>
        <w:tc>
          <w:tcPr>
            <w:tcW w:w="2811" w:type="pct"/>
            <w:shd w:val="clear" w:color="auto" w:fill="A7D0E3"/>
          </w:tcPr>
          <w:p w14:paraId="0D50CA27" w14:textId="77777777" w:rsidR="0047677D" w:rsidRPr="0047677D" w:rsidRDefault="0047677D" w:rsidP="00A40CEB">
            <w:pPr>
              <w:rPr>
                <w:b/>
              </w:rPr>
            </w:pPr>
            <w:r>
              <w:rPr>
                <w:b/>
              </w:rPr>
              <w:t>Preventative and early intervention services</w:t>
            </w:r>
          </w:p>
        </w:tc>
        <w:tc>
          <w:tcPr>
            <w:tcW w:w="774" w:type="pct"/>
            <w:shd w:val="clear" w:color="auto" w:fill="A7D0E3"/>
          </w:tcPr>
          <w:p w14:paraId="6F67EF4A" w14:textId="4DB2BD8B" w:rsidR="0047677D" w:rsidRPr="0047677D" w:rsidRDefault="0047677D" w:rsidP="00A40CEB">
            <w:pPr>
              <w:rPr>
                <w:b/>
              </w:rPr>
            </w:pPr>
            <w:r w:rsidRPr="0047677D">
              <w:rPr>
                <w:b/>
              </w:rPr>
              <w:t>31 Dec 201</w:t>
            </w:r>
            <w:r w:rsidR="002F1536">
              <w:rPr>
                <w:b/>
              </w:rPr>
              <w:t>7</w:t>
            </w:r>
          </w:p>
        </w:tc>
        <w:tc>
          <w:tcPr>
            <w:tcW w:w="852" w:type="pct"/>
            <w:shd w:val="clear" w:color="auto" w:fill="A7D0E3"/>
          </w:tcPr>
          <w:p w14:paraId="0153E1C6" w14:textId="5D1E6964" w:rsidR="0047677D" w:rsidRPr="0047677D" w:rsidRDefault="0047677D" w:rsidP="00A40CEB">
            <w:pPr>
              <w:rPr>
                <w:b/>
              </w:rPr>
            </w:pPr>
            <w:r w:rsidRPr="0047677D">
              <w:rPr>
                <w:b/>
              </w:rPr>
              <w:t>31 Dec 201</w:t>
            </w:r>
            <w:r w:rsidR="002F1536">
              <w:rPr>
                <w:b/>
              </w:rPr>
              <w:t>8</w:t>
            </w:r>
          </w:p>
        </w:tc>
        <w:tc>
          <w:tcPr>
            <w:tcW w:w="563" w:type="pct"/>
            <w:shd w:val="clear" w:color="auto" w:fill="A7D0E3"/>
          </w:tcPr>
          <w:p w14:paraId="0A090E06" w14:textId="77777777" w:rsidR="0047677D" w:rsidRPr="0047677D" w:rsidRDefault="0047677D" w:rsidP="00A40CEB">
            <w:pPr>
              <w:rPr>
                <w:b/>
              </w:rPr>
            </w:pPr>
            <w:r w:rsidRPr="0047677D">
              <w:rPr>
                <w:b/>
              </w:rPr>
              <w:t>Variance</w:t>
            </w:r>
          </w:p>
        </w:tc>
      </w:tr>
      <w:tr w:rsidR="0047677D" w14:paraId="10DA68B5" w14:textId="77777777" w:rsidTr="001D0AC3">
        <w:tc>
          <w:tcPr>
            <w:tcW w:w="2811" w:type="pct"/>
          </w:tcPr>
          <w:p w14:paraId="75BD4305" w14:textId="77777777" w:rsidR="0047677D" w:rsidRDefault="0047677D" w:rsidP="00A40CEB">
            <w:r>
              <w:t>Calls to our Legal Help telephone service</w:t>
            </w:r>
          </w:p>
        </w:tc>
        <w:tc>
          <w:tcPr>
            <w:tcW w:w="774" w:type="pct"/>
          </w:tcPr>
          <w:p w14:paraId="78C11ED8" w14:textId="191219D7" w:rsidR="0047677D" w:rsidRDefault="002F1536" w:rsidP="00F00EF3">
            <w:pPr>
              <w:jc w:val="center"/>
            </w:pPr>
            <w:r>
              <w:t>93,484</w:t>
            </w:r>
          </w:p>
        </w:tc>
        <w:tc>
          <w:tcPr>
            <w:tcW w:w="852" w:type="pct"/>
          </w:tcPr>
          <w:p w14:paraId="23C94F03" w14:textId="7CAD2284" w:rsidR="0047677D" w:rsidRDefault="002F1536" w:rsidP="00F00EF3">
            <w:pPr>
              <w:jc w:val="center"/>
            </w:pPr>
            <w:r>
              <w:t>94,293</w:t>
            </w:r>
          </w:p>
        </w:tc>
        <w:tc>
          <w:tcPr>
            <w:tcW w:w="563" w:type="pct"/>
          </w:tcPr>
          <w:p w14:paraId="7CE8FA61" w14:textId="40FD55B1" w:rsidR="0047677D" w:rsidRDefault="00010338" w:rsidP="00F00EF3">
            <w:pPr>
              <w:jc w:val="center"/>
            </w:pPr>
            <w:r>
              <w:t>1%</w:t>
            </w:r>
          </w:p>
        </w:tc>
      </w:tr>
      <w:tr w:rsidR="0047677D" w14:paraId="392EBAEE" w14:textId="77777777" w:rsidTr="001D0AC3">
        <w:tc>
          <w:tcPr>
            <w:tcW w:w="2811" w:type="pct"/>
          </w:tcPr>
          <w:p w14:paraId="25EF98D5" w14:textId="77777777" w:rsidR="0047677D" w:rsidRDefault="0047677D" w:rsidP="00A40CEB">
            <w:r>
              <w:t>Information and community legal education services</w:t>
            </w:r>
          </w:p>
        </w:tc>
        <w:tc>
          <w:tcPr>
            <w:tcW w:w="774" w:type="pct"/>
          </w:tcPr>
          <w:p w14:paraId="73C6FC3E" w14:textId="6676188E" w:rsidR="0047677D" w:rsidRDefault="002F1536" w:rsidP="00F00EF3">
            <w:pPr>
              <w:jc w:val="center"/>
            </w:pPr>
            <w:r>
              <w:t>64,240</w:t>
            </w:r>
          </w:p>
        </w:tc>
        <w:tc>
          <w:tcPr>
            <w:tcW w:w="852" w:type="pct"/>
          </w:tcPr>
          <w:p w14:paraId="33C7C0B3" w14:textId="5B98FC6A" w:rsidR="0047677D" w:rsidRDefault="002F1536" w:rsidP="00F00EF3">
            <w:pPr>
              <w:jc w:val="center"/>
            </w:pPr>
            <w:r>
              <w:t>65,841</w:t>
            </w:r>
          </w:p>
        </w:tc>
        <w:tc>
          <w:tcPr>
            <w:tcW w:w="563" w:type="pct"/>
          </w:tcPr>
          <w:p w14:paraId="11385558" w14:textId="17185FE1" w:rsidR="0047677D" w:rsidRDefault="00010338" w:rsidP="00F00EF3">
            <w:pPr>
              <w:jc w:val="center"/>
            </w:pPr>
            <w:r>
              <w:t>2%</w:t>
            </w:r>
          </w:p>
        </w:tc>
      </w:tr>
      <w:tr w:rsidR="0047677D" w14:paraId="32AC596D" w14:textId="77777777" w:rsidTr="001D0AC3">
        <w:tc>
          <w:tcPr>
            <w:tcW w:w="2811" w:type="pct"/>
            <w:tcBorders>
              <w:bottom w:val="single" w:sz="4" w:space="0" w:color="auto"/>
            </w:tcBorders>
          </w:tcPr>
          <w:p w14:paraId="50C60B82" w14:textId="77777777" w:rsidR="0047677D" w:rsidRDefault="0047677D" w:rsidP="00A40CEB">
            <w:r>
              <w:t>Sessions on our website</w:t>
            </w:r>
          </w:p>
        </w:tc>
        <w:tc>
          <w:tcPr>
            <w:tcW w:w="774" w:type="pct"/>
            <w:tcBorders>
              <w:bottom w:val="single" w:sz="4" w:space="0" w:color="auto"/>
            </w:tcBorders>
          </w:tcPr>
          <w:p w14:paraId="58B46C44" w14:textId="1B218D02" w:rsidR="0047677D" w:rsidRDefault="002F1536" w:rsidP="00F00EF3">
            <w:pPr>
              <w:jc w:val="center"/>
            </w:pPr>
            <w:r>
              <w:t>1,089,044</w:t>
            </w:r>
          </w:p>
        </w:tc>
        <w:tc>
          <w:tcPr>
            <w:tcW w:w="852" w:type="pct"/>
            <w:tcBorders>
              <w:bottom w:val="single" w:sz="4" w:space="0" w:color="auto"/>
            </w:tcBorders>
          </w:tcPr>
          <w:p w14:paraId="1CAA5814" w14:textId="5F13F16B" w:rsidR="0047677D" w:rsidRDefault="00BA79D0" w:rsidP="00F00EF3">
            <w:pPr>
              <w:jc w:val="center"/>
            </w:pPr>
            <w:r>
              <w:t>1,188,309</w:t>
            </w:r>
          </w:p>
        </w:tc>
        <w:tc>
          <w:tcPr>
            <w:tcW w:w="563" w:type="pct"/>
            <w:tcBorders>
              <w:bottom w:val="single" w:sz="4" w:space="0" w:color="auto"/>
            </w:tcBorders>
          </w:tcPr>
          <w:p w14:paraId="4E01B5E8" w14:textId="51CD391F" w:rsidR="0047677D" w:rsidRDefault="00BA79D0" w:rsidP="00F00EF3">
            <w:pPr>
              <w:jc w:val="center"/>
            </w:pPr>
            <w:r>
              <w:t>9%</w:t>
            </w:r>
          </w:p>
        </w:tc>
      </w:tr>
    </w:tbl>
    <w:p w14:paraId="7231DF70" w14:textId="77777777" w:rsidR="002A7A37" w:rsidRDefault="002A7A37"/>
    <w:tbl>
      <w:tblPr>
        <w:tblStyle w:val="TableGrid"/>
        <w:tblW w:w="5000" w:type="pct"/>
        <w:tblLook w:val="04A0" w:firstRow="1" w:lastRow="0" w:firstColumn="1" w:lastColumn="0" w:noHBand="0" w:noVBand="1"/>
      </w:tblPr>
      <w:tblGrid>
        <w:gridCol w:w="5664"/>
        <w:gridCol w:w="1560"/>
        <w:gridCol w:w="1717"/>
        <w:gridCol w:w="1135"/>
      </w:tblGrid>
      <w:tr w:rsidR="0047677D" w:rsidRPr="0047677D" w14:paraId="6480EBD0" w14:textId="77777777" w:rsidTr="00D73D9C">
        <w:tc>
          <w:tcPr>
            <w:tcW w:w="2811" w:type="pct"/>
            <w:shd w:val="clear" w:color="auto" w:fill="A7D0E3"/>
          </w:tcPr>
          <w:p w14:paraId="18EF83C4" w14:textId="77777777" w:rsidR="0047677D" w:rsidRPr="0047677D" w:rsidRDefault="0047677D" w:rsidP="0047677D">
            <w:pPr>
              <w:rPr>
                <w:b/>
              </w:rPr>
            </w:pPr>
            <w:r w:rsidRPr="0047677D">
              <w:rPr>
                <w:b/>
              </w:rPr>
              <w:t>Duty lawyer services</w:t>
            </w:r>
          </w:p>
        </w:tc>
        <w:tc>
          <w:tcPr>
            <w:tcW w:w="774" w:type="pct"/>
            <w:shd w:val="clear" w:color="auto" w:fill="A7D0E3"/>
          </w:tcPr>
          <w:p w14:paraId="379EAF86" w14:textId="00954D0D" w:rsidR="0047677D" w:rsidRPr="0047677D" w:rsidRDefault="0047677D" w:rsidP="0047677D">
            <w:pPr>
              <w:rPr>
                <w:b/>
              </w:rPr>
            </w:pPr>
            <w:r w:rsidRPr="0047677D">
              <w:rPr>
                <w:b/>
              </w:rPr>
              <w:t>31 Dec 201</w:t>
            </w:r>
            <w:r w:rsidR="002F1536">
              <w:rPr>
                <w:b/>
              </w:rPr>
              <w:t>7</w:t>
            </w:r>
          </w:p>
        </w:tc>
        <w:tc>
          <w:tcPr>
            <w:tcW w:w="852" w:type="pct"/>
            <w:shd w:val="clear" w:color="auto" w:fill="A7D0E3"/>
          </w:tcPr>
          <w:p w14:paraId="5DC07FCB" w14:textId="72BE10BE" w:rsidR="0047677D" w:rsidRPr="0047677D" w:rsidRDefault="0047677D" w:rsidP="0047677D">
            <w:pPr>
              <w:rPr>
                <w:b/>
              </w:rPr>
            </w:pPr>
            <w:r w:rsidRPr="0047677D">
              <w:rPr>
                <w:b/>
              </w:rPr>
              <w:t>31 Dec 201</w:t>
            </w:r>
            <w:r w:rsidR="002F1536">
              <w:rPr>
                <w:b/>
              </w:rPr>
              <w:t>8</w:t>
            </w:r>
          </w:p>
        </w:tc>
        <w:tc>
          <w:tcPr>
            <w:tcW w:w="563" w:type="pct"/>
            <w:shd w:val="clear" w:color="auto" w:fill="A7D0E3"/>
          </w:tcPr>
          <w:p w14:paraId="3CF37FF7" w14:textId="77777777" w:rsidR="0047677D" w:rsidRPr="0047677D" w:rsidRDefault="0047677D" w:rsidP="0047677D">
            <w:pPr>
              <w:rPr>
                <w:b/>
              </w:rPr>
            </w:pPr>
            <w:r w:rsidRPr="0047677D">
              <w:rPr>
                <w:b/>
              </w:rPr>
              <w:t>Variance</w:t>
            </w:r>
          </w:p>
        </w:tc>
      </w:tr>
      <w:tr w:rsidR="0047677D" w14:paraId="43CD2EF5" w14:textId="77777777" w:rsidTr="001D0AC3">
        <w:tc>
          <w:tcPr>
            <w:tcW w:w="2811" w:type="pct"/>
            <w:tcBorders>
              <w:bottom w:val="single" w:sz="4" w:space="0" w:color="auto"/>
            </w:tcBorders>
          </w:tcPr>
          <w:p w14:paraId="40E37689" w14:textId="77777777" w:rsidR="0047677D" w:rsidRDefault="0047677D" w:rsidP="00A40CEB">
            <w:r>
              <w:t>In-house and private practitioners</w:t>
            </w:r>
          </w:p>
        </w:tc>
        <w:tc>
          <w:tcPr>
            <w:tcW w:w="774" w:type="pct"/>
            <w:tcBorders>
              <w:bottom w:val="single" w:sz="4" w:space="0" w:color="auto"/>
            </w:tcBorders>
          </w:tcPr>
          <w:p w14:paraId="714735CA" w14:textId="26E45C06" w:rsidR="0047677D" w:rsidRDefault="00010338" w:rsidP="00F00EF3">
            <w:pPr>
              <w:jc w:val="center"/>
            </w:pPr>
            <w:r>
              <w:t>46,96</w:t>
            </w:r>
            <w:r w:rsidR="001D5993">
              <w:t>6</w:t>
            </w:r>
          </w:p>
        </w:tc>
        <w:tc>
          <w:tcPr>
            <w:tcW w:w="852" w:type="pct"/>
            <w:tcBorders>
              <w:bottom w:val="single" w:sz="4" w:space="0" w:color="auto"/>
            </w:tcBorders>
          </w:tcPr>
          <w:p w14:paraId="53E78649" w14:textId="21AB1970" w:rsidR="0047677D" w:rsidRDefault="00BA79D0" w:rsidP="00F00EF3">
            <w:pPr>
              <w:jc w:val="center"/>
            </w:pPr>
            <w:r>
              <w:t>47,207</w:t>
            </w:r>
          </w:p>
        </w:tc>
        <w:tc>
          <w:tcPr>
            <w:tcW w:w="563" w:type="pct"/>
            <w:tcBorders>
              <w:bottom w:val="single" w:sz="4" w:space="0" w:color="auto"/>
            </w:tcBorders>
          </w:tcPr>
          <w:p w14:paraId="74177AC1" w14:textId="49154196" w:rsidR="0047677D" w:rsidRDefault="00F12E38" w:rsidP="00F00EF3">
            <w:pPr>
              <w:jc w:val="center"/>
            </w:pPr>
            <w:r>
              <w:t>0.5%</w:t>
            </w:r>
          </w:p>
        </w:tc>
      </w:tr>
    </w:tbl>
    <w:p w14:paraId="7E55AFD3" w14:textId="77777777" w:rsidR="002A7A37" w:rsidRDefault="002A7A37"/>
    <w:tbl>
      <w:tblPr>
        <w:tblStyle w:val="TableGrid"/>
        <w:tblW w:w="5000" w:type="pct"/>
        <w:tblLook w:val="04A0" w:firstRow="1" w:lastRow="0" w:firstColumn="1" w:lastColumn="0" w:noHBand="0" w:noVBand="1"/>
      </w:tblPr>
      <w:tblGrid>
        <w:gridCol w:w="5664"/>
        <w:gridCol w:w="1560"/>
        <w:gridCol w:w="1717"/>
        <w:gridCol w:w="1135"/>
      </w:tblGrid>
      <w:tr w:rsidR="0047677D" w:rsidRPr="0047677D" w14:paraId="5B8E3CE9" w14:textId="77777777" w:rsidTr="00D73D9C">
        <w:tc>
          <w:tcPr>
            <w:tcW w:w="2811" w:type="pct"/>
            <w:shd w:val="clear" w:color="auto" w:fill="A7D0E3"/>
          </w:tcPr>
          <w:p w14:paraId="318F35C3" w14:textId="77777777" w:rsidR="0047677D" w:rsidRPr="0047677D" w:rsidRDefault="0047677D" w:rsidP="0047677D">
            <w:pPr>
              <w:rPr>
                <w:b/>
              </w:rPr>
            </w:pPr>
            <w:r w:rsidRPr="0047677D">
              <w:rPr>
                <w:b/>
              </w:rPr>
              <w:t>Grants of legal assistance</w:t>
            </w:r>
          </w:p>
        </w:tc>
        <w:tc>
          <w:tcPr>
            <w:tcW w:w="774" w:type="pct"/>
            <w:shd w:val="clear" w:color="auto" w:fill="A7D0E3"/>
          </w:tcPr>
          <w:p w14:paraId="5E0E3BA0" w14:textId="3E6DB594" w:rsidR="0047677D" w:rsidRPr="0047677D" w:rsidRDefault="0047677D" w:rsidP="0047677D">
            <w:pPr>
              <w:rPr>
                <w:b/>
              </w:rPr>
            </w:pPr>
            <w:r w:rsidRPr="0047677D">
              <w:rPr>
                <w:b/>
              </w:rPr>
              <w:t>31 Dec 201</w:t>
            </w:r>
            <w:r w:rsidR="002F1536">
              <w:rPr>
                <w:b/>
              </w:rPr>
              <w:t>7</w:t>
            </w:r>
          </w:p>
        </w:tc>
        <w:tc>
          <w:tcPr>
            <w:tcW w:w="852" w:type="pct"/>
            <w:shd w:val="clear" w:color="auto" w:fill="A7D0E3"/>
          </w:tcPr>
          <w:p w14:paraId="63125565" w14:textId="7AB9A14B" w:rsidR="0047677D" w:rsidRPr="0047677D" w:rsidRDefault="0047677D" w:rsidP="0047677D">
            <w:pPr>
              <w:rPr>
                <w:b/>
              </w:rPr>
            </w:pPr>
            <w:r w:rsidRPr="0047677D">
              <w:rPr>
                <w:b/>
              </w:rPr>
              <w:t>31 Dec 201</w:t>
            </w:r>
            <w:r w:rsidR="002F1536">
              <w:rPr>
                <w:b/>
              </w:rPr>
              <w:t>8</w:t>
            </w:r>
          </w:p>
        </w:tc>
        <w:tc>
          <w:tcPr>
            <w:tcW w:w="563" w:type="pct"/>
            <w:shd w:val="clear" w:color="auto" w:fill="A7D0E3"/>
          </w:tcPr>
          <w:p w14:paraId="5162EF96" w14:textId="77777777" w:rsidR="0047677D" w:rsidRPr="0047677D" w:rsidRDefault="0047677D" w:rsidP="0047677D">
            <w:pPr>
              <w:rPr>
                <w:b/>
              </w:rPr>
            </w:pPr>
            <w:r w:rsidRPr="0047677D">
              <w:rPr>
                <w:b/>
              </w:rPr>
              <w:t>Variance</w:t>
            </w:r>
          </w:p>
        </w:tc>
      </w:tr>
      <w:tr w:rsidR="0047677D" w14:paraId="36F079A4" w14:textId="77777777" w:rsidTr="001D0AC3">
        <w:tc>
          <w:tcPr>
            <w:tcW w:w="2811" w:type="pct"/>
          </w:tcPr>
          <w:p w14:paraId="7AC3944D" w14:textId="77777777" w:rsidR="0047677D" w:rsidRDefault="0047677D" w:rsidP="0047677D">
            <w:r>
              <w:t>In-house, private practitioners and community legal centres</w:t>
            </w:r>
          </w:p>
        </w:tc>
        <w:tc>
          <w:tcPr>
            <w:tcW w:w="774" w:type="pct"/>
          </w:tcPr>
          <w:p w14:paraId="3C1D5020" w14:textId="4889FC70" w:rsidR="0047677D" w:rsidRDefault="002F1536" w:rsidP="00F00EF3">
            <w:pPr>
              <w:jc w:val="center"/>
            </w:pPr>
            <w:r>
              <w:t>20,</w:t>
            </w:r>
            <w:r w:rsidR="00E3557E">
              <w:t>910</w:t>
            </w:r>
          </w:p>
        </w:tc>
        <w:tc>
          <w:tcPr>
            <w:tcW w:w="852" w:type="pct"/>
          </w:tcPr>
          <w:p w14:paraId="4B97A2BB" w14:textId="0B1A4D6A" w:rsidR="0047677D" w:rsidRDefault="002F1536" w:rsidP="00F00EF3">
            <w:pPr>
              <w:jc w:val="center"/>
            </w:pPr>
            <w:r>
              <w:t>22,212</w:t>
            </w:r>
          </w:p>
        </w:tc>
        <w:tc>
          <w:tcPr>
            <w:tcW w:w="563" w:type="pct"/>
          </w:tcPr>
          <w:p w14:paraId="134AC83D" w14:textId="3EC00D0B" w:rsidR="0047677D" w:rsidRDefault="00E3557E" w:rsidP="00F00EF3">
            <w:pPr>
              <w:jc w:val="center"/>
            </w:pPr>
            <w:r>
              <w:t>6</w:t>
            </w:r>
            <w:r w:rsidR="00010338">
              <w:t>%</w:t>
            </w:r>
          </w:p>
        </w:tc>
      </w:tr>
    </w:tbl>
    <w:p w14:paraId="42776C3C" w14:textId="097BF114" w:rsidR="0047677D" w:rsidRDefault="00D37B73" w:rsidP="0047677D">
      <w:pPr>
        <w:pStyle w:val="Heading2"/>
      </w:pPr>
      <w:r>
        <w:t xml:space="preserve">Outlook for </w:t>
      </w:r>
      <w:r w:rsidR="00512585">
        <w:t>remainder of 2018</w:t>
      </w:r>
      <w:r w:rsidR="001F653E">
        <w:t>–</w:t>
      </w:r>
      <w:r w:rsidR="00512585">
        <w:t>19</w:t>
      </w:r>
      <w:r w:rsidR="0047677D">
        <w:t xml:space="preserve"> and beyond</w:t>
      </w:r>
    </w:p>
    <w:p w14:paraId="0A9BD77A" w14:textId="2795C89B" w:rsidR="005622E3" w:rsidRDefault="00A8202F" w:rsidP="00765B9E">
      <w:r>
        <w:t>We expect the trend of increasing demand for our services to continue</w:t>
      </w:r>
      <w:r w:rsidR="0087776E">
        <w:t xml:space="preserve"> for the remainder of this financial year and beyond. </w:t>
      </w:r>
      <w:r w:rsidR="0095229D">
        <w:t xml:space="preserve">Whilst we </w:t>
      </w:r>
      <w:r w:rsidR="00F46C28">
        <w:t>are operating</w:t>
      </w:r>
      <w:r w:rsidR="0095229D">
        <w:t xml:space="preserve"> in a tightening economic environment, we</w:t>
      </w:r>
      <w:r w:rsidR="00C65F21">
        <w:t xml:space="preserve"> are committed to</w:t>
      </w:r>
      <w:r w:rsidR="0095229D">
        <w:t xml:space="preserve"> maintain</w:t>
      </w:r>
      <w:r w:rsidR="00C65F21">
        <w:t>ing</w:t>
      </w:r>
      <w:r w:rsidR="0095229D">
        <w:t xml:space="preserve"> our focus on ensuring our services are client centred, designed using evidence and data</w:t>
      </w:r>
      <w:r w:rsidR="00656FC7">
        <w:t xml:space="preserve">, and delivered with a strengthened spirit of trust and collaboration. </w:t>
      </w:r>
      <w:r w:rsidR="00660AE7">
        <w:t xml:space="preserve">While our efforts to attract revenue will not lessen, we </w:t>
      </w:r>
      <w:r w:rsidR="006D5FBD">
        <w:t xml:space="preserve">are </w:t>
      </w:r>
      <w:r w:rsidR="00660AE7">
        <w:t>prepar</w:t>
      </w:r>
      <w:r w:rsidR="006D5FBD">
        <w:t>ing</w:t>
      </w:r>
      <w:r w:rsidR="00660AE7">
        <w:t xml:space="preserve"> for difficult decisions about how to contain expenditure growth</w:t>
      </w:r>
      <w:r w:rsidR="00627E58">
        <w:t>.</w:t>
      </w:r>
      <w:r w:rsidR="001F653E">
        <w:t xml:space="preserve"> </w:t>
      </w:r>
      <w:r w:rsidR="00627E58">
        <w:t xml:space="preserve">We will commence discussions with stakeholders </w:t>
      </w:r>
      <w:r w:rsidR="00627E58" w:rsidRPr="00341F23">
        <w:t xml:space="preserve">in </w:t>
      </w:r>
      <w:r w:rsidR="00B831BD">
        <w:t>coming</w:t>
      </w:r>
      <w:r w:rsidR="00627E58" w:rsidRPr="00341F23">
        <w:t xml:space="preserve"> months</w:t>
      </w:r>
      <w:r w:rsidR="00627E58">
        <w:t xml:space="preserve"> about the ongoing viability of our current service offerings</w:t>
      </w:r>
      <w:r w:rsidR="003A2F62">
        <w:t xml:space="preserve"> and priorities. Developing innovative and client-focused </w:t>
      </w:r>
      <w:r w:rsidR="003A2F62">
        <w:lastRenderedPageBreak/>
        <w:t>technology solutions and data capabilities will remain critical to</w:t>
      </w:r>
      <w:r w:rsidR="00115B2D">
        <w:t xml:space="preserve"> ensuring we use our limited funding in the most efficient and effective way.</w:t>
      </w:r>
    </w:p>
    <w:p w14:paraId="39A3CA41" w14:textId="404D44D8" w:rsidR="0047677D" w:rsidRDefault="0047677D" w:rsidP="00D37B73">
      <w:pPr>
        <w:pStyle w:val="Heading2"/>
      </w:pPr>
      <w:r>
        <w:t xml:space="preserve">Our clients </w:t>
      </w:r>
    </w:p>
    <w:p w14:paraId="5B92EA64" w14:textId="562F54FF" w:rsidR="0047677D" w:rsidRDefault="0047677D" w:rsidP="0047677D">
      <w:r>
        <w:t xml:space="preserve">In the six months prior to 31 December </w:t>
      </w:r>
      <w:r w:rsidR="00512585">
        <w:t>2018</w:t>
      </w:r>
      <w:r>
        <w:t>, Victoria Legal Aid</w:t>
      </w:r>
      <w:r w:rsidR="00D37B73">
        <w:t xml:space="preserve"> assisted </w:t>
      </w:r>
      <w:r w:rsidR="00010338">
        <w:t>5</w:t>
      </w:r>
      <w:r w:rsidR="00D333CC">
        <w:t>9</w:t>
      </w:r>
      <w:r w:rsidR="00010338">
        <w:t>,7</w:t>
      </w:r>
      <w:r w:rsidR="00D333CC">
        <w:t>97</w:t>
      </w:r>
      <w:r w:rsidR="00010338">
        <w:t xml:space="preserve"> </w:t>
      </w:r>
      <w:r w:rsidR="00D37B73">
        <w:t>unique clients</w:t>
      </w:r>
      <w:r>
        <w:t>.</w:t>
      </w:r>
      <w:r w:rsidR="00A20861">
        <w:rPr>
          <w:rStyle w:val="FootnoteReference"/>
        </w:rPr>
        <w:footnoteReference w:id="2"/>
      </w:r>
    </w:p>
    <w:tbl>
      <w:tblPr>
        <w:tblStyle w:val="TableGrid"/>
        <w:tblW w:w="0" w:type="auto"/>
        <w:tblLook w:val="04A0" w:firstRow="1" w:lastRow="0" w:firstColumn="1" w:lastColumn="0" w:noHBand="0" w:noVBand="1"/>
      </w:tblPr>
      <w:tblGrid>
        <w:gridCol w:w="3684"/>
        <w:gridCol w:w="1598"/>
        <w:gridCol w:w="1598"/>
        <w:gridCol w:w="1598"/>
        <w:gridCol w:w="1598"/>
      </w:tblGrid>
      <w:tr w:rsidR="00D37B73" w14:paraId="6DD4C586" w14:textId="77777777" w:rsidTr="00D73D9C">
        <w:trPr>
          <w:trHeight w:val="480"/>
          <w:tblHeader/>
        </w:trPr>
        <w:tc>
          <w:tcPr>
            <w:tcW w:w="3794" w:type="dxa"/>
            <w:shd w:val="clear" w:color="auto" w:fill="A7D0E3"/>
          </w:tcPr>
          <w:p w14:paraId="2E36E2CF" w14:textId="77777777" w:rsidR="00D37B73" w:rsidRPr="00D37B73" w:rsidRDefault="00D37B73" w:rsidP="0047677D">
            <w:pPr>
              <w:rPr>
                <w:b/>
              </w:rPr>
            </w:pPr>
            <w:r w:rsidRPr="00D37B73">
              <w:rPr>
                <w:b/>
              </w:rPr>
              <w:t>Unique clients as at</w:t>
            </w:r>
          </w:p>
        </w:tc>
        <w:tc>
          <w:tcPr>
            <w:tcW w:w="1627" w:type="dxa"/>
            <w:shd w:val="clear" w:color="auto" w:fill="A7D0E3"/>
          </w:tcPr>
          <w:p w14:paraId="0AA7E8EF" w14:textId="7B427724" w:rsidR="00D37B73" w:rsidRPr="00D37B73" w:rsidRDefault="00D37B73" w:rsidP="0047677D">
            <w:pPr>
              <w:rPr>
                <w:b/>
              </w:rPr>
            </w:pPr>
            <w:r w:rsidRPr="00D37B73">
              <w:rPr>
                <w:b/>
              </w:rPr>
              <w:t xml:space="preserve">31 Dec </w:t>
            </w:r>
            <w:r w:rsidR="00512585" w:rsidRPr="00D37B73">
              <w:rPr>
                <w:b/>
              </w:rPr>
              <w:t>201</w:t>
            </w:r>
            <w:r w:rsidR="00512585">
              <w:rPr>
                <w:b/>
              </w:rPr>
              <w:t>5</w:t>
            </w:r>
          </w:p>
        </w:tc>
        <w:tc>
          <w:tcPr>
            <w:tcW w:w="1627" w:type="dxa"/>
            <w:shd w:val="clear" w:color="auto" w:fill="A7D0E3"/>
          </w:tcPr>
          <w:p w14:paraId="669FC21C" w14:textId="3FE18C80" w:rsidR="00D37B73" w:rsidRPr="00D37B73" w:rsidRDefault="00D37B73" w:rsidP="0047677D">
            <w:pPr>
              <w:rPr>
                <w:b/>
              </w:rPr>
            </w:pPr>
            <w:r w:rsidRPr="00D37B73">
              <w:rPr>
                <w:b/>
              </w:rPr>
              <w:t xml:space="preserve">31 Dec </w:t>
            </w:r>
            <w:r w:rsidR="00512585" w:rsidRPr="00D37B73">
              <w:rPr>
                <w:b/>
              </w:rPr>
              <w:t>201</w:t>
            </w:r>
            <w:r w:rsidR="00512585">
              <w:rPr>
                <w:b/>
              </w:rPr>
              <w:t>6</w:t>
            </w:r>
          </w:p>
        </w:tc>
        <w:tc>
          <w:tcPr>
            <w:tcW w:w="1627" w:type="dxa"/>
            <w:shd w:val="clear" w:color="auto" w:fill="A7D0E3"/>
          </w:tcPr>
          <w:p w14:paraId="19E6893C" w14:textId="4AD7DE0B" w:rsidR="00D37B73" w:rsidRPr="00D37B73" w:rsidRDefault="00D37B73" w:rsidP="0047677D">
            <w:pPr>
              <w:rPr>
                <w:b/>
              </w:rPr>
            </w:pPr>
            <w:r w:rsidRPr="00D37B73">
              <w:rPr>
                <w:b/>
              </w:rPr>
              <w:t xml:space="preserve">31 Dec </w:t>
            </w:r>
            <w:r w:rsidR="00512585" w:rsidRPr="00D37B73">
              <w:rPr>
                <w:b/>
              </w:rPr>
              <w:t>201</w:t>
            </w:r>
            <w:r w:rsidR="00512585">
              <w:rPr>
                <w:b/>
              </w:rPr>
              <w:t>7</w:t>
            </w:r>
          </w:p>
        </w:tc>
        <w:tc>
          <w:tcPr>
            <w:tcW w:w="1627" w:type="dxa"/>
            <w:shd w:val="clear" w:color="auto" w:fill="A7D0E3"/>
          </w:tcPr>
          <w:p w14:paraId="3C2B8D34" w14:textId="566E3A24" w:rsidR="00D37B73" w:rsidRPr="00D37B73" w:rsidRDefault="00D37B73" w:rsidP="0047677D">
            <w:pPr>
              <w:rPr>
                <w:b/>
              </w:rPr>
            </w:pPr>
            <w:r w:rsidRPr="00D37B73">
              <w:rPr>
                <w:b/>
              </w:rPr>
              <w:t xml:space="preserve">31 Dec </w:t>
            </w:r>
            <w:r w:rsidR="00512585" w:rsidRPr="00D37B73">
              <w:rPr>
                <w:b/>
              </w:rPr>
              <w:t>201</w:t>
            </w:r>
            <w:r w:rsidR="00512585">
              <w:rPr>
                <w:b/>
              </w:rPr>
              <w:t>8</w:t>
            </w:r>
          </w:p>
        </w:tc>
      </w:tr>
      <w:tr w:rsidR="00D37B73" w14:paraId="4B5E04FC" w14:textId="77777777" w:rsidTr="0086035E">
        <w:trPr>
          <w:trHeight w:val="480"/>
        </w:trPr>
        <w:tc>
          <w:tcPr>
            <w:tcW w:w="3794" w:type="dxa"/>
            <w:tcBorders>
              <w:bottom w:val="single" w:sz="4" w:space="0" w:color="auto"/>
            </w:tcBorders>
          </w:tcPr>
          <w:p w14:paraId="16AAAA61" w14:textId="77777777" w:rsidR="00D37B73" w:rsidRDefault="00D37B73" w:rsidP="0047677D">
            <w:r>
              <w:t>Unique clients</w:t>
            </w:r>
          </w:p>
        </w:tc>
        <w:tc>
          <w:tcPr>
            <w:tcW w:w="1627" w:type="dxa"/>
            <w:tcBorders>
              <w:bottom w:val="single" w:sz="4" w:space="0" w:color="auto"/>
            </w:tcBorders>
          </w:tcPr>
          <w:p w14:paraId="2C571917" w14:textId="53BB6314" w:rsidR="00D37B73" w:rsidRDefault="00010338" w:rsidP="00F00EF3">
            <w:pPr>
              <w:jc w:val="center"/>
            </w:pPr>
            <w:r>
              <w:t>50,390</w:t>
            </w:r>
          </w:p>
        </w:tc>
        <w:tc>
          <w:tcPr>
            <w:tcW w:w="1627" w:type="dxa"/>
            <w:tcBorders>
              <w:bottom w:val="single" w:sz="4" w:space="0" w:color="auto"/>
            </w:tcBorders>
          </w:tcPr>
          <w:p w14:paraId="246A56A2" w14:textId="56D4DFEA" w:rsidR="00D37B73" w:rsidRDefault="00010338" w:rsidP="00F00EF3">
            <w:pPr>
              <w:jc w:val="center"/>
            </w:pPr>
            <w:r>
              <w:t>51,798</w:t>
            </w:r>
          </w:p>
        </w:tc>
        <w:tc>
          <w:tcPr>
            <w:tcW w:w="1627" w:type="dxa"/>
            <w:tcBorders>
              <w:bottom w:val="single" w:sz="4" w:space="0" w:color="auto"/>
            </w:tcBorders>
          </w:tcPr>
          <w:p w14:paraId="1E8A3F13" w14:textId="3F9EF231" w:rsidR="00D37B73" w:rsidRDefault="00010338" w:rsidP="00F00EF3">
            <w:pPr>
              <w:jc w:val="center"/>
            </w:pPr>
            <w:r>
              <w:t>53,752</w:t>
            </w:r>
          </w:p>
        </w:tc>
        <w:tc>
          <w:tcPr>
            <w:tcW w:w="1627" w:type="dxa"/>
            <w:tcBorders>
              <w:bottom w:val="single" w:sz="4" w:space="0" w:color="auto"/>
            </w:tcBorders>
          </w:tcPr>
          <w:p w14:paraId="38A2748D" w14:textId="4FBE2801" w:rsidR="00D37B73" w:rsidRDefault="00010338" w:rsidP="00F00EF3">
            <w:pPr>
              <w:jc w:val="center"/>
            </w:pPr>
            <w:r>
              <w:t>5</w:t>
            </w:r>
            <w:r w:rsidR="00665449">
              <w:t>9</w:t>
            </w:r>
            <w:r>
              <w:t>,7</w:t>
            </w:r>
            <w:r w:rsidR="00665449">
              <w:t>97</w:t>
            </w:r>
          </w:p>
        </w:tc>
      </w:tr>
      <w:tr w:rsidR="00D37B73" w14:paraId="17A82B56" w14:textId="77777777" w:rsidTr="00D73D9C">
        <w:trPr>
          <w:trHeight w:val="480"/>
        </w:trPr>
        <w:tc>
          <w:tcPr>
            <w:tcW w:w="3794" w:type="dxa"/>
            <w:shd w:val="clear" w:color="auto" w:fill="F2F2F2" w:themeFill="background1" w:themeFillShade="F2"/>
          </w:tcPr>
          <w:p w14:paraId="70F2277D" w14:textId="77777777" w:rsidR="00D37B73" w:rsidRPr="00D37B73" w:rsidRDefault="00D37B73" w:rsidP="00D37B73">
            <w:pPr>
              <w:rPr>
                <w:b/>
              </w:rPr>
            </w:pPr>
            <w:r w:rsidRPr="00D37B73">
              <w:rPr>
                <w:b/>
              </w:rPr>
              <w:t>Growth</w:t>
            </w:r>
          </w:p>
        </w:tc>
        <w:tc>
          <w:tcPr>
            <w:tcW w:w="1627" w:type="dxa"/>
            <w:shd w:val="clear" w:color="auto" w:fill="F2F2F2" w:themeFill="background1" w:themeFillShade="F2"/>
          </w:tcPr>
          <w:p w14:paraId="14E1CE7D" w14:textId="77777777" w:rsidR="00D37B73" w:rsidRPr="00D37B73" w:rsidRDefault="0086035E" w:rsidP="00F00EF3">
            <w:pPr>
              <w:jc w:val="center"/>
            </w:pPr>
            <w:r>
              <w:t>-</w:t>
            </w:r>
          </w:p>
        </w:tc>
        <w:tc>
          <w:tcPr>
            <w:tcW w:w="1627" w:type="dxa"/>
            <w:shd w:val="clear" w:color="auto" w:fill="F2F2F2" w:themeFill="background1" w:themeFillShade="F2"/>
          </w:tcPr>
          <w:p w14:paraId="35BB506D" w14:textId="4D117EE9" w:rsidR="00D37B73" w:rsidRDefault="00010338" w:rsidP="00F00EF3">
            <w:pPr>
              <w:jc w:val="center"/>
            </w:pPr>
            <w:r>
              <w:t>3%</w:t>
            </w:r>
          </w:p>
        </w:tc>
        <w:tc>
          <w:tcPr>
            <w:tcW w:w="1627" w:type="dxa"/>
            <w:shd w:val="clear" w:color="auto" w:fill="F2F2F2" w:themeFill="background1" w:themeFillShade="F2"/>
          </w:tcPr>
          <w:p w14:paraId="6E093638" w14:textId="333E949A" w:rsidR="00D37B73" w:rsidRDefault="008F6F1E" w:rsidP="00F00EF3">
            <w:pPr>
              <w:jc w:val="center"/>
            </w:pPr>
            <w:r>
              <w:t>4%</w:t>
            </w:r>
          </w:p>
        </w:tc>
        <w:tc>
          <w:tcPr>
            <w:tcW w:w="1627" w:type="dxa"/>
            <w:shd w:val="clear" w:color="auto" w:fill="F2F2F2" w:themeFill="background1" w:themeFillShade="F2"/>
          </w:tcPr>
          <w:p w14:paraId="7271ED44" w14:textId="02D79744" w:rsidR="00D37B73" w:rsidRDefault="00665449" w:rsidP="00F00EF3">
            <w:pPr>
              <w:jc w:val="center"/>
            </w:pPr>
            <w:r>
              <w:t>11%</w:t>
            </w:r>
          </w:p>
        </w:tc>
      </w:tr>
    </w:tbl>
    <w:p w14:paraId="3652857C" w14:textId="5606BF53" w:rsidR="003C4A06" w:rsidRDefault="003C4A06" w:rsidP="0047677D">
      <w:r>
        <w:t>Over the past 6 months we have seen:</w:t>
      </w:r>
    </w:p>
    <w:p w14:paraId="1DF7C070" w14:textId="7D0FADEA" w:rsidR="00204E85" w:rsidRDefault="003C4A06" w:rsidP="003C4A06">
      <w:pPr>
        <w:pStyle w:val="ListParagraph"/>
        <w:numPr>
          <w:ilvl w:val="0"/>
          <w:numId w:val="38"/>
        </w:numPr>
      </w:pPr>
      <w:r>
        <w:t>Clients who identify as Aboriginal or Torres Strait Islander up by 15%</w:t>
      </w:r>
    </w:p>
    <w:p w14:paraId="5D8FD800" w14:textId="2539C834" w:rsidR="003C4A06" w:rsidRDefault="003C4A06" w:rsidP="003C4A06">
      <w:pPr>
        <w:pStyle w:val="ListParagraph"/>
        <w:numPr>
          <w:ilvl w:val="0"/>
          <w:numId w:val="38"/>
        </w:numPr>
      </w:pPr>
      <w:r>
        <w:t>Clients who identify as being from a Culturally and Linguistically Diverse background up by 16%</w:t>
      </w:r>
    </w:p>
    <w:p w14:paraId="34C2282A" w14:textId="05D729A4" w:rsidR="003C4A06" w:rsidRDefault="003C4A06" w:rsidP="003C4A06">
      <w:pPr>
        <w:pStyle w:val="ListParagraph"/>
        <w:numPr>
          <w:ilvl w:val="0"/>
          <w:numId w:val="38"/>
        </w:numPr>
      </w:pPr>
      <w:r>
        <w:t>Client</w:t>
      </w:r>
      <w:r w:rsidR="001C746E">
        <w:t>s</w:t>
      </w:r>
      <w:r>
        <w:t xml:space="preserve"> who required an interpreter up by 7%</w:t>
      </w:r>
    </w:p>
    <w:p w14:paraId="6AEF20B3" w14:textId="62A9E199" w:rsidR="003C4A06" w:rsidRDefault="003C4A06" w:rsidP="003C4A06">
      <w:r>
        <w:t>Overall:</w:t>
      </w:r>
    </w:p>
    <w:p w14:paraId="24EC8A27" w14:textId="32AB88BB" w:rsidR="003C4A06" w:rsidRDefault="00192554" w:rsidP="003C4A06">
      <w:pPr>
        <w:pStyle w:val="ListParagraph"/>
        <w:numPr>
          <w:ilvl w:val="0"/>
          <w:numId w:val="39"/>
        </w:numPr>
      </w:pPr>
      <w:r>
        <w:t>5% or 3,305 clients identified as Aboriginal or Torres Strait Islander</w:t>
      </w:r>
    </w:p>
    <w:p w14:paraId="79A93AE2" w14:textId="7C979855" w:rsidR="00192554" w:rsidRDefault="00192554" w:rsidP="003C4A06">
      <w:pPr>
        <w:pStyle w:val="ListParagraph"/>
        <w:numPr>
          <w:ilvl w:val="0"/>
          <w:numId w:val="39"/>
        </w:numPr>
      </w:pPr>
      <w:r>
        <w:t>4% or 2,678 clients required an interpreter</w:t>
      </w:r>
    </w:p>
    <w:p w14:paraId="3A1CFBB3" w14:textId="2150E1CF" w:rsidR="00DA3D6D" w:rsidRDefault="00192554" w:rsidP="00D24B28">
      <w:pPr>
        <w:pStyle w:val="ListParagraph"/>
        <w:numPr>
          <w:ilvl w:val="0"/>
          <w:numId w:val="39"/>
        </w:numPr>
      </w:pPr>
      <w:r>
        <w:t>22% or 13,153 clients identified as being from a Culturally and Linguistically Diverse background.</w:t>
      </w:r>
    </w:p>
    <w:p w14:paraId="3D12844B" w14:textId="77777777" w:rsidR="0047677D" w:rsidRDefault="0047677D" w:rsidP="00D37B73">
      <w:pPr>
        <w:pStyle w:val="Heading2"/>
      </w:pPr>
      <w:r>
        <w:t xml:space="preserve">Services we provide </w:t>
      </w:r>
    </w:p>
    <w:p w14:paraId="0A6A0EC3" w14:textId="77777777" w:rsidR="0047677D" w:rsidRDefault="0047677D" w:rsidP="00D37B73">
      <w:pPr>
        <w:pStyle w:val="Heading3"/>
      </w:pPr>
      <w:r>
        <w:t xml:space="preserve">Grants of legal assistance </w:t>
      </w:r>
    </w:p>
    <w:p w14:paraId="47AD3356" w14:textId="73D3201C" w:rsidR="00F41DC6" w:rsidRDefault="00EE7FAD" w:rsidP="00E2734D">
      <w:bookmarkStart w:id="0" w:name="_Hlk3889591"/>
      <w:r w:rsidRPr="1B196FA9">
        <w:rPr>
          <w:lang w:eastAsia="en-AU"/>
        </w:rPr>
        <w:t xml:space="preserve">We provide grants of legal assistance to people who cannot afford a lawyer, are experiencing a significant legal problem that we can assist with and who meet our eligibility criteria. </w:t>
      </w:r>
      <w:r>
        <w:t xml:space="preserve">A grant of legal assistance is an amount of money paid by VLA for a lawyer to represent a client. </w:t>
      </w:r>
      <w:r w:rsidR="00F41DC6">
        <w:t>Clients with a grant of legal assistance can be helped by a Victoria Legal Aid lawyer or a lawyer on one of our panels, including private practitioners and lawyers from community legal centres.</w:t>
      </w:r>
    </w:p>
    <w:bookmarkEnd w:id="0"/>
    <w:p w14:paraId="533C7A75" w14:textId="2D39393C" w:rsidR="007360C0" w:rsidRDefault="00C94282" w:rsidP="0047677D">
      <w:r>
        <w:t>Compared to the same time last year, we have seen a</w:t>
      </w:r>
      <w:r w:rsidR="000A17A2">
        <w:t>n increase of</w:t>
      </w:r>
      <w:r>
        <w:t xml:space="preserve"> </w:t>
      </w:r>
      <w:r w:rsidR="00341F23">
        <w:t xml:space="preserve">over </w:t>
      </w:r>
      <w:r w:rsidR="00E3557E">
        <w:t>6</w:t>
      </w:r>
      <w:r>
        <w:t xml:space="preserve">% in grants of legal assistance, with the main growth </w:t>
      </w:r>
      <w:r w:rsidR="001C746E">
        <w:t xml:space="preserve">being </w:t>
      </w:r>
      <w:r>
        <w:t>in the criminal law and family law areas. Over the previous six months there ha</w:t>
      </w:r>
      <w:r w:rsidR="00341F23">
        <w:t>ve</w:t>
      </w:r>
      <w:r>
        <w:t xml:space="preserve"> been</w:t>
      </w:r>
      <w:r w:rsidR="00A414D0">
        <w:t xml:space="preserve"> 8</w:t>
      </w:r>
      <w:r>
        <w:t xml:space="preserve">,017 family law related grants, an increase of </w:t>
      </w:r>
      <w:r w:rsidR="00341F23">
        <w:t>5</w:t>
      </w:r>
      <w:r>
        <w:t>%</w:t>
      </w:r>
      <w:r w:rsidR="00A414D0">
        <w:t xml:space="preserve">, </w:t>
      </w:r>
      <w:r w:rsidR="005A3565">
        <w:t xml:space="preserve">which can be attributed </w:t>
      </w:r>
      <w:r w:rsidR="0018364B">
        <w:t>to increases</w:t>
      </w:r>
      <w:r w:rsidR="00A414D0">
        <w:t xml:space="preserve"> in grants for child protection matters.</w:t>
      </w:r>
      <w:r w:rsidR="003C708D">
        <w:t xml:space="preserve"> There have been 1</w:t>
      </w:r>
      <w:r w:rsidR="008A3377">
        <w:t>3</w:t>
      </w:r>
      <w:r w:rsidR="003C708D">
        <w:t>,</w:t>
      </w:r>
      <w:r w:rsidR="008A3377">
        <w:t>819</w:t>
      </w:r>
      <w:r w:rsidR="003C708D">
        <w:t xml:space="preserve"> </w:t>
      </w:r>
      <w:r w:rsidR="008A3377">
        <w:t>grants provided in the criminal law area over the previous six month</w:t>
      </w:r>
      <w:r w:rsidR="007360C0">
        <w:t>s</w:t>
      </w:r>
      <w:r w:rsidR="008A3377">
        <w:t xml:space="preserve">, an increase of 14%, mainly due to </w:t>
      </w:r>
      <w:r w:rsidR="007360C0">
        <w:t>an</w:t>
      </w:r>
      <w:r w:rsidR="008A3377">
        <w:t xml:space="preserve"> increase </w:t>
      </w:r>
      <w:r w:rsidR="007360C0">
        <w:t xml:space="preserve">within the </w:t>
      </w:r>
      <w:r w:rsidR="008A3377">
        <w:t xml:space="preserve">Summary Crime area. </w:t>
      </w:r>
    </w:p>
    <w:tbl>
      <w:tblPr>
        <w:tblStyle w:val="TableGrid"/>
        <w:tblW w:w="0" w:type="auto"/>
        <w:tblLook w:val="04A0" w:firstRow="1" w:lastRow="0" w:firstColumn="1" w:lastColumn="0" w:noHBand="0" w:noVBand="1"/>
      </w:tblPr>
      <w:tblGrid>
        <w:gridCol w:w="3692"/>
        <w:gridCol w:w="1596"/>
        <w:gridCol w:w="1596"/>
        <w:gridCol w:w="1596"/>
        <w:gridCol w:w="1596"/>
      </w:tblGrid>
      <w:tr w:rsidR="00D1459E" w:rsidRPr="00E71054" w14:paraId="47FEF1B7" w14:textId="77777777" w:rsidTr="00D73D9C">
        <w:trPr>
          <w:tblHeader/>
        </w:trPr>
        <w:tc>
          <w:tcPr>
            <w:tcW w:w="3794" w:type="dxa"/>
            <w:shd w:val="clear" w:color="auto" w:fill="A7D0E3"/>
          </w:tcPr>
          <w:p w14:paraId="0DE66EBE" w14:textId="77777777" w:rsidR="00D37B73" w:rsidRPr="00911822" w:rsidRDefault="00D37B73" w:rsidP="002A7A37">
            <w:pPr>
              <w:keepNext/>
              <w:jc w:val="both"/>
              <w:rPr>
                <w:b/>
              </w:rPr>
            </w:pPr>
            <w:bookmarkStart w:id="1" w:name="_Hlk536709668"/>
            <w:r w:rsidRPr="00911822">
              <w:rPr>
                <w:b/>
              </w:rPr>
              <w:lastRenderedPageBreak/>
              <w:t>Grants of legal assistance as at</w:t>
            </w:r>
          </w:p>
        </w:tc>
        <w:tc>
          <w:tcPr>
            <w:tcW w:w="1627" w:type="dxa"/>
            <w:shd w:val="clear" w:color="auto" w:fill="A7D0E3"/>
          </w:tcPr>
          <w:p w14:paraId="5C332EC9" w14:textId="238317A8" w:rsidR="00D37B73" w:rsidRPr="00911822" w:rsidRDefault="00D37B73" w:rsidP="002A7A37">
            <w:pPr>
              <w:keepNext/>
              <w:jc w:val="both"/>
              <w:rPr>
                <w:b/>
              </w:rPr>
            </w:pPr>
            <w:r w:rsidRPr="00911822">
              <w:rPr>
                <w:b/>
              </w:rPr>
              <w:t>31 Dec 201</w:t>
            </w:r>
            <w:r w:rsidR="008F6F1E" w:rsidRPr="00911822">
              <w:rPr>
                <w:b/>
              </w:rPr>
              <w:t>5</w:t>
            </w:r>
          </w:p>
        </w:tc>
        <w:tc>
          <w:tcPr>
            <w:tcW w:w="1627" w:type="dxa"/>
            <w:shd w:val="clear" w:color="auto" w:fill="A7D0E3"/>
          </w:tcPr>
          <w:p w14:paraId="3296C4F7" w14:textId="772F4B8A" w:rsidR="00D37B73" w:rsidRPr="00911822" w:rsidRDefault="00D37B73" w:rsidP="002A7A37">
            <w:pPr>
              <w:keepNext/>
              <w:jc w:val="both"/>
              <w:rPr>
                <w:b/>
              </w:rPr>
            </w:pPr>
            <w:r w:rsidRPr="00911822">
              <w:rPr>
                <w:b/>
              </w:rPr>
              <w:t>31 Dec 201</w:t>
            </w:r>
            <w:r w:rsidR="008F6F1E" w:rsidRPr="00911822">
              <w:rPr>
                <w:b/>
              </w:rPr>
              <w:t>6</w:t>
            </w:r>
          </w:p>
        </w:tc>
        <w:tc>
          <w:tcPr>
            <w:tcW w:w="1627" w:type="dxa"/>
            <w:shd w:val="clear" w:color="auto" w:fill="A7D0E3"/>
          </w:tcPr>
          <w:p w14:paraId="5D0EF971" w14:textId="6B3BDF8B" w:rsidR="00D37B73" w:rsidRPr="00911822" w:rsidRDefault="00D37B73" w:rsidP="002A7A37">
            <w:pPr>
              <w:keepNext/>
              <w:jc w:val="both"/>
              <w:rPr>
                <w:b/>
              </w:rPr>
            </w:pPr>
            <w:r w:rsidRPr="00911822">
              <w:rPr>
                <w:b/>
              </w:rPr>
              <w:t>31 Dec 201</w:t>
            </w:r>
            <w:r w:rsidR="008F6F1E" w:rsidRPr="00911822">
              <w:rPr>
                <w:b/>
              </w:rPr>
              <w:t>7</w:t>
            </w:r>
          </w:p>
        </w:tc>
        <w:tc>
          <w:tcPr>
            <w:tcW w:w="1627" w:type="dxa"/>
            <w:shd w:val="clear" w:color="auto" w:fill="A7D0E3"/>
          </w:tcPr>
          <w:p w14:paraId="2284495B" w14:textId="72FBD5E6" w:rsidR="00D37B73" w:rsidRPr="00911822" w:rsidRDefault="00D37B73" w:rsidP="002A7A37">
            <w:pPr>
              <w:keepNext/>
              <w:jc w:val="both"/>
              <w:rPr>
                <w:b/>
              </w:rPr>
            </w:pPr>
            <w:r w:rsidRPr="00911822">
              <w:rPr>
                <w:b/>
              </w:rPr>
              <w:t>31 Dec 201</w:t>
            </w:r>
            <w:r w:rsidR="008F6F1E" w:rsidRPr="00911822">
              <w:rPr>
                <w:b/>
              </w:rPr>
              <w:t>8</w:t>
            </w:r>
          </w:p>
        </w:tc>
      </w:tr>
      <w:tr w:rsidR="00D1459E" w:rsidRPr="00E71054" w14:paraId="5040F658" w14:textId="77777777" w:rsidTr="00D37B73">
        <w:tc>
          <w:tcPr>
            <w:tcW w:w="3794" w:type="dxa"/>
          </w:tcPr>
          <w:p w14:paraId="1A8BC22A" w14:textId="77777777" w:rsidR="00D37B73" w:rsidRPr="00911822" w:rsidRDefault="00D37B73" w:rsidP="002A7A37">
            <w:pPr>
              <w:keepNext/>
            </w:pPr>
            <w:r w:rsidRPr="00911822">
              <w:t>Crime</w:t>
            </w:r>
          </w:p>
        </w:tc>
        <w:tc>
          <w:tcPr>
            <w:tcW w:w="1627" w:type="dxa"/>
          </w:tcPr>
          <w:p w14:paraId="7EA48013" w14:textId="0B34D9A0" w:rsidR="00D37B73" w:rsidRPr="00911822" w:rsidRDefault="00637907" w:rsidP="002A7A37">
            <w:pPr>
              <w:keepNext/>
              <w:jc w:val="center"/>
            </w:pPr>
            <w:r w:rsidRPr="00911822">
              <w:t>9,938</w:t>
            </w:r>
          </w:p>
        </w:tc>
        <w:tc>
          <w:tcPr>
            <w:tcW w:w="1627" w:type="dxa"/>
          </w:tcPr>
          <w:p w14:paraId="07D2494C" w14:textId="55AE404B" w:rsidR="00D37B73" w:rsidRPr="00911822" w:rsidRDefault="00637907" w:rsidP="002A7A37">
            <w:pPr>
              <w:keepNext/>
              <w:jc w:val="center"/>
            </w:pPr>
            <w:r w:rsidRPr="00911822">
              <w:t>10,809</w:t>
            </w:r>
          </w:p>
        </w:tc>
        <w:tc>
          <w:tcPr>
            <w:tcW w:w="1627" w:type="dxa"/>
          </w:tcPr>
          <w:p w14:paraId="2952ADC5" w14:textId="6EA30864" w:rsidR="00D37B73" w:rsidRPr="00911822" w:rsidRDefault="00637907" w:rsidP="002A7A37">
            <w:pPr>
              <w:keepNext/>
              <w:jc w:val="center"/>
            </w:pPr>
            <w:r w:rsidRPr="00911822">
              <w:t>12,149</w:t>
            </w:r>
          </w:p>
        </w:tc>
        <w:tc>
          <w:tcPr>
            <w:tcW w:w="1627" w:type="dxa"/>
          </w:tcPr>
          <w:p w14:paraId="63E12B24" w14:textId="22DEBE5B" w:rsidR="00D37B73" w:rsidRPr="00911822" w:rsidRDefault="00637907" w:rsidP="002A7A37">
            <w:pPr>
              <w:keepNext/>
              <w:jc w:val="center"/>
            </w:pPr>
            <w:r w:rsidRPr="00911822">
              <w:t>13,819</w:t>
            </w:r>
          </w:p>
        </w:tc>
      </w:tr>
      <w:tr w:rsidR="00D1459E" w:rsidRPr="00E71054" w14:paraId="01FB568D" w14:textId="77777777" w:rsidTr="00D37B73">
        <w:tc>
          <w:tcPr>
            <w:tcW w:w="3794" w:type="dxa"/>
          </w:tcPr>
          <w:p w14:paraId="673767E1" w14:textId="77777777" w:rsidR="00D37B73" w:rsidRPr="00911822" w:rsidRDefault="00D37B73" w:rsidP="002A7A37">
            <w:pPr>
              <w:keepNext/>
            </w:pPr>
            <w:r w:rsidRPr="00911822">
              <w:t>Family</w:t>
            </w:r>
            <w:r w:rsidR="00AC0D29" w:rsidRPr="00911822">
              <w:t xml:space="preserve"> and Children</w:t>
            </w:r>
          </w:p>
        </w:tc>
        <w:tc>
          <w:tcPr>
            <w:tcW w:w="1627" w:type="dxa"/>
          </w:tcPr>
          <w:p w14:paraId="539921BE" w14:textId="058D7F88" w:rsidR="00D37B73" w:rsidRPr="00911822" w:rsidRDefault="00637907" w:rsidP="002A7A37">
            <w:pPr>
              <w:keepNext/>
              <w:jc w:val="center"/>
            </w:pPr>
            <w:r w:rsidRPr="00911822">
              <w:t>6,519</w:t>
            </w:r>
          </w:p>
        </w:tc>
        <w:tc>
          <w:tcPr>
            <w:tcW w:w="1627" w:type="dxa"/>
          </w:tcPr>
          <w:p w14:paraId="34B04B4B" w14:textId="18E56660" w:rsidR="00D37B73" w:rsidRPr="00911822" w:rsidRDefault="00637907" w:rsidP="002A7A37">
            <w:pPr>
              <w:keepNext/>
              <w:jc w:val="center"/>
            </w:pPr>
            <w:r w:rsidRPr="00911822">
              <w:t>7,019</w:t>
            </w:r>
          </w:p>
        </w:tc>
        <w:tc>
          <w:tcPr>
            <w:tcW w:w="1627" w:type="dxa"/>
          </w:tcPr>
          <w:p w14:paraId="6A454AD8" w14:textId="551CCF61" w:rsidR="00D37B73" w:rsidRPr="00911822" w:rsidRDefault="00637907" w:rsidP="002A7A37">
            <w:pPr>
              <w:keepNext/>
              <w:jc w:val="center"/>
            </w:pPr>
            <w:r w:rsidRPr="00911822">
              <w:t>7,</w:t>
            </w:r>
            <w:r w:rsidR="000C1376">
              <w:t>63</w:t>
            </w:r>
            <w:r w:rsidRPr="00911822">
              <w:t>8</w:t>
            </w:r>
          </w:p>
        </w:tc>
        <w:tc>
          <w:tcPr>
            <w:tcW w:w="1627" w:type="dxa"/>
          </w:tcPr>
          <w:p w14:paraId="7F552F0F" w14:textId="72AB1969" w:rsidR="00D37B73" w:rsidRPr="00911822" w:rsidRDefault="00637907" w:rsidP="002A7A37">
            <w:pPr>
              <w:keepNext/>
              <w:jc w:val="center"/>
            </w:pPr>
            <w:r w:rsidRPr="00911822">
              <w:t>8,017</w:t>
            </w:r>
          </w:p>
        </w:tc>
      </w:tr>
      <w:bookmarkEnd w:id="1"/>
      <w:tr w:rsidR="00D1459E" w:rsidRPr="00E71054" w14:paraId="526A43BE" w14:textId="77777777" w:rsidTr="0086035E">
        <w:tc>
          <w:tcPr>
            <w:tcW w:w="3794" w:type="dxa"/>
            <w:tcBorders>
              <w:bottom w:val="single" w:sz="4" w:space="0" w:color="auto"/>
            </w:tcBorders>
          </w:tcPr>
          <w:p w14:paraId="22341BB1" w14:textId="77777777" w:rsidR="00D37B73" w:rsidRPr="00911822" w:rsidRDefault="00D37B73" w:rsidP="002A7A37">
            <w:pPr>
              <w:keepNext/>
            </w:pPr>
            <w:r w:rsidRPr="00911822">
              <w:t>Civil</w:t>
            </w:r>
          </w:p>
        </w:tc>
        <w:tc>
          <w:tcPr>
            <w:tcW w:w="1627" w:type="dxa"/>
            <w:tcBorders>
              <w:bottom w:val="single" w:sz="4" w:space="0" w:color="auto"/>
            </w:tcBorders>
          </w:tcPr>
          <w:p w14:paraId="44171F2F" w14:textId="206244EC" w:rsidR="00D37B73" w:rsidRPr="00911822" w:rsidRDefault="00637907" w:rsidP="002A7A37">
            <w:pPr>
              <w:keepNext/>
              <w:jc w:val="center"/>
            </w:pPr>
            <w:r w:rsidRPr="00911822">
              <w:t>697</w:t>
            </w:r>
          </w:p>
        </w:tc>
        <w:tc>
          <w:tcPr>
            <w:tcW w:w="1627" w:type="dxa"/>
            <w:tcBorders>
              <w:bottom w:val="single" w:sz="4" w:space="0" w:color="auto"/>
            </w:tcBorders>
          </w:tcPr>
          <w:p w14:paraId="46141C4D" w14:textId="33951E48" w:rsidR="00D37B73" w:rsidRPr="00911822" w:rsidRDefault="00637907" w:rsidP="002A7A37">
            <w:pPr>
              <w:keepNext/>
              <w:jc w:val="center"/>
            </w:pPr>
            <w:r w:rsidRPr="00911822">
              <w:t>635</w:t>
            </w:r>
          </w:p>
        </w:tc>
        <w:tc>
          <w:tcPr>
            <w:tcW w:w="1627" w:type="dxa"/>
            <w:tcBorders>
              <w:bottom w:val="single" w:sz="4" w:space="0" w:color="auto"/>
            </w:tcBorders>
          </w:tcPr>
          <w:p w14:paraId="0C8E81BB" w14:textId="63EEADEA" w:rsidR="00D37B73" w:rsidRPr="00911822" w:rsidRDefault="00C94282" w:rsidP="002A7A37">
            <w:pPr>
              <w:keepNext/>
              <w:jc w:val="center"/>
            </w:pPr>
            <w:r w:rsidRPr="00911822">
              <w:t>569</w:t>
            </w:r>
          </w:p>
        </w:tc>
        <w:tc>
          <w:tcPr>
            <w:tcW w:w="1627" w:type="dxa"/>
            <w:tcBorders>
              <w:bottom w:val="single" w:sz="4" w:space="0" w:color="auto"/>
            </w:tcBorders>
          </w:tcPr>
          <w:p w14:paraId="5213888C" w14:textId="28FAD146" w:rsidR="00D37B73" w:rsidRPr="00911822" w:rsidRDefault="00637907" w:rsidP="002A7A37">
            <w:pPr>
              <w:keepNext/>
              <w:jc w:val="center"/>
            </w:pPr>
            <w:r w:rsidRPr="00911822">
              <w:t>376</w:t>
            </w:r>
          </w:p>
        </w:tc>
      </w:tr>
      <w:tr w:rsidR="00D1459E" w:rsidRPr="00E71054" w14:paraId="6821F43E" w14:textId="77777777" w:rsidTr="0086035E">
        <w:tc>
          <w:tcPr>
            <w:tcW w:w="3794" w:type="dxa"/>
            <w:shd w:val="clear" w:color="auto" w:fill="F2F2F2" w:themeFill="background1" w:themeFillShade="F2"/>
          </w:tcPr>
          <w:p w14:paraId="51B5A48B" w14:textId="77777777" w:rsidR="00D37B73" w:rsidRPr="00911822" w:rsidRDefault="00D37B73" w:rsidP="002A7A37">
            <w:pPr>
              <w:keepNext/>
              <w:rPr>
                <w:b/>
              </w:rPr>
            </w:pPr>
            <w:r w:rsidRPr="00911822">
              <w:rPr>
                <w:b/>
              </w:rPr>
              <w:t>Totals</w:t>
            </w:r>
          </w:p>
        </w:tc>
        <w:tc>
          <w:tcPr>
            <w:tcW w:w="1627" w:type="dxa"/>
            <w:shd w:val="clear" w:color="auto" w:fill="F2F2F2" w:themeFill="background1" w:themeFillShade="F2"/>
          </w:tcPr>
          <w:p w14:paraId="40763E24" w14:textId="74FAD445" w:rsidR="00D37B73" w:rsidRPr="00911822" w:rsidRDefault="00637907" w:rsidP="002A7A37">
            <w:pPr>
              <w:keepNext/>
              <w:jc w:val="center"/>
            </w:pPr>
            <w:r w:rsidRPr="00911822">
              <w:t>17,154</w:t>
            </w:r>
          </w:p>
        </w:tc>
        <w:tc>
          <w:tcPr>
            <w:tcW w:w="1627" w:type="dxa"/>
            <w:shd w:val="clear" w:color="auto" w:fill="F2F2F2" w:themeFill="background1" w:themeFillShade="F2"/>
          </w:tcPr>
          <w:p w14:paraId="133AB629" w14:textId="7AB78CD7" w:rsidR="00D37B73" w:rsidRPr="00911822" w:rsidRDefault="00637907" w:rsidP="002A7A37">
            <w:pPr>
              <w:keepNext/>
              <w:jc w:val="center"/>
            </w:pPr>
            <w:r w:rsidRPr="00911822">
              <w:t>18,463</w:t>
            </w:r>
          </w:p>
        </w:tc>
        <w:tc>
          <w:tcPr>
            <w:tcW w:w="1627" w:type="dxa"/>
            <w:shd w:val="clear" w:color="auto" w:fill="F2F2F2" w:themeFill="background1" w:themeFillShade="F2"/>
          </w:tcPr>
          <w:p w14:paraId="4E6AF685" w14:textId="11246E72" w:rsidR="00D37B73" w:rsidRPr="00911822" w:rsidRDefault="00637907" w:rsidP="002A7A37">
            <w:pPr>
              <w:keepNext/>
              <w:jc w:val="center"/>
            </w:pPr>
            <w:r w:rsidRPr="00911822">
              <w:t>20,</w:t>
            </w:r>
            <w:r w:rsidR="00E3557E">
              <w:t>356</w:t>
            </w:r>
          </w:p>
        </w:tc>
        <w:tc>
          <w:tcPr>
            <w:tcW w:w="1627" w:type="dxa"/>
            <w:shd w:val="clear" w:color="auto" w:fill="F2F2F2" w:themeFill="background1" w:themeFillShade="F2"/>
          </w:tcPr>
          <w:p w14:paraId="78802BEC" w14:textId="22D1E3B4" w:rsidR="00D37B73" w:rsidRPr="00911822" w:rsidRDefault="00637907" w:rsidP="002A7A37">
            <w:pPr>
              <w:keepNext/>
              <w:jc w:val="center"/>
            </w:pPr>
            <w:r w:rsidRPr="00911822">
              <w:t>22,212</w:t>
            </w:r>
          </w:p>
        </w:tc>
      </w:tr>
      <w:tr w:rsidR="00D1459E" w14:paraId="26EF8D14" w14:textId="77777777" w:rsidTr="0086035E">
        <w:tc>
          <w:tcPr>
            <w:tcW w:w="3794" w:type="dxa"/>
            <w:shd w:val="clear" w:color="auto" w:fill="F2F2F2" w:themeFill="background1" w:themeFillShade="F2"/>
          </w:tcPr>
          <w:p w14:paraId="79A3E3EF" w14:textId="77777777" w:rsidR="00D37B73" w:rsidRPr="00911822" w:rsidRDefault="00D37B73" w:rsidP="002A7A37">
            <w:pPr>
              <w:keepNext/>
              <w:rPr>
                <w:b/>
              </w:rPr>
            </w:pPr>
            <w:r w:rsidRPr="00911822">
              <w:rPr>
                <w:b/>
              </w:rPr>
              <w:t>Growth</w:t>
            </w:r>
          </w:p>
        </w:tc>
        <w:tc>
          <w:tcPr>
            <w:tcW w:w="1627" w:type="dxa"/>
            <w:shd w:val="clear" w:color="auto" w:fill="F2F2F2" w:themeFill="background1" w:themeFillShade="F2"/>
          </w:tcPr>
          <w:p w14:paraId="1F6C39DE" w14:textId="77777777" w:rsidR="00D37B73" w:rsidRPr="00911822" w:rsidRDefault="0086035E" w:rsidP="002A7A37">
            <w:pPr>
              <w:keepNext/>
              <w:jc w:val="center"/>
            </w:pPr>
            <w:r w:rsidRPr="00911822">
              <w:t>-</w:t>
            </w:r>
          </w:p>
        </w:tc>
        <w:tc>
          <w:tcPr>
            <w:tcW w:w="1627" w:type="dxa"/>
            <w:shd w:val="clear" w:color="auto" w:fill="F2F2F2" w:themeFill="background1" w:themeFillShade="F2"/>
          </w:tcPr>
          <w:p w14:paraId="15F4BECF" w14:textId="0A0B018E" w:rsidR="00D37B73" w:rsidRPr="00911822" w:rsidRDefault="00637907" w:rsidP="002A7A37">
            <w:pPr>
              <w:keepNext/>
              <w:jc w:val="center"/>
            </w:pPr>
            <w:r w:rsidRPr="00911822">
              <w:t>8</w:t>
            </w:r>
            <w:r w:rsidR="00D37B73" w:rsidRPr="00911822">
              <w:t>%</w:t>
            </w:r>
          </w:p>
        </w:tc>
        <w:tc>
          <w:tcPr>
            <w:tcW w:w="1627" w:type="dxa"/>
            <w:shd w:val="clear" w:color="auto" w:fill="F2F2F2" w:themeFill="background1" w:themeFillShade="F2"/>
          </w:tcPr>
          <w:p w14:paraId="6948D7C6" w14:textId="63475A15" w:rsidR="00D37B73" w:rsidRPr="00911822" w:rsidRDefault="00637907" w:rsidP="002A7A37">
            <w:pPr>
              <w:keepNext/>
              <w:jc w:val="center"/>
            </w:pPr>
            <w:r w:rsidRPr="00911822">
              <w:t>9</w:t>
            </w:r>
            <w:r w:rsidR="00D37B73" w:rsidRPr="00911822">
              <w:t>%</w:t>
            </w:r>
          </w:p>
        </w:tc>
        <w:tc>
          <w:tcPr>
            <w:tcW w:w="1627" w:type="dxa"/>
            <w:shd w:val="clear" w:color="auto" w:fill="F2F2F2" w:themeFill="background1" w:themeFillShade="F2"/>
          </w:tcPr>
          <w:p w14:paraId="2A8AB932" w14:textId="4357CBFE" w:rsidR="00D37B73" w:rsidRPr="00911822" w:rsidRDefault="00D37B73" w:rsidP="002A7A37">
            <w:pPr>
              <w:keepNext/>
              <w:jc w:val="center"/>
            </w:pPr>
            <w:r w:rsidRPr="00911822">
              <w:t>1</w:t>
            </w:r>
            <w:r w:rsidR="00637907" w:rsidRPr="00911822">
              <w:t>0</w:t>
            </w:r>
            <w:r w:rsidRPr="00911822">
              <w:t>%</w:t>
            </w:r>
          </w:p>
        </w:tc>
      </w:tr>
    </w:tbl>
    <w:p w14:paraId="4F0410E8" w14:textId="77777777" w:rsidR="0047677D" w:rsidRDefault="0047677D" w:rsidP="002A7A37">
      <w:pPr>
        <w:pStyle w:val="Heading3"/>
      </w:pPr>
      <w:r>
        <w:t>Who delivers our grants?</w:t>
      </w:r>
    </w:p>
    <w:p w14:paraId="6A09698C" w14:textId="68D261A5" w:rsidR="0047677D" w:rsidRDefault="006E05D9" w:rsidP="0047677D">
      <w:r>
        <w:t xml:space="preserve">We have seen the number of grants of legal assistance assigned to practitioners on our </w:t>
      </w:r>
      <w:r w:rsidR="00A93649">
        <w:t>p</w:t>
      </w:r>
      <w:r>
        <w:t xml:space="preserve">anels remain steady. </w:t>
      </w:r>
      <w:r w:rsidR="000A17A2">
        <w:t xml:space="preserve">77% of grants between 1 July 2018 and 31 December 2018 </w:t>
      </w:r>
      <w:r w:rsidR="00341F23">
        <w:t xml:space="preserve">were </w:t>
      </w:r>
      <w:r w:rsidR="000A17A2">
        <w:t xml:space="preserve">assigned to practitioners on our </w:t>
      </w:r>
      <w:r w:rsidR="00A93649">
        <w:t>p</w:t>
      </w:r>
      <w:r w:rsidR="000A17A2">
        <w:t xml:space="preserve">anels. For the same period last year, it was 76%. </w:t>
      </w:r>
    </w:p>
    <w:tbl>
      <w:tblPr>
        <w:tblStyle w:val="TableGrid"/>
        <w:tblW w:w="0" w:type="auto"/>
        <w:tblLook w:val="04A0" w:firstRow="1" w:lastRow="0" w:firstColumn="1" w:lastColumn="0" w:noHBand="0" w:noVBand="1"/>
      </w:tblPr>
      <w:tblGrid>
        <w:gridCol w:w="3692"/>
        <w:gridCol w:w="1596"/>
        <w:gridCol w:w="1596"/>
        <w:gridCol w:w="1596"/>
        <w:gridCol w:w="1596"/>
      </w:tblGrid>
      <w:tr w:rsidR="00CA57C8" w:rsidRPr="00E71054" w14:paraId="46612FDA" w14:textId="77777777" w:rsidTr="002A7A37">
        <w:trPr>
          <w:cantSplit/>
          <w:tblHeader/>
        </w:trPr>
        <w:tc>
          <w:tcPr>
            <w:tcW w:w="3794" w:type="dxa"/>
            <w:shd w:val="clear" w:color="auto" w:fill="A7D0E3"/>
          </w:tcPr>
          <w:p w14:paraId="062314D4" w14:textId="77777777" w:rsidR="00D37B73" w:rsidRPr="00911822" w:rsidRDefault="00D37B73" w:rsidP="00A40CEB">
            <w:pPr>
              <w:rPr>
                <w:b/>
              </w:rPr>
            </w:pPr>
            <w:r w:rsidRPr="00911822">
              <w:rPr>
                <w:b/>
              </w:rPr>
              <w:t>Grants of legal assistance</w:t>
            </w:r>
            <w:r w:rsidR="00303F32" w:rsidRPr="00911822">
              <w:rPr>
                <w:b/>
              </w:rPr>
              <w:t xml:space="preserve"> as at</w:t>
            </w:r>
          </w:p>
        </w:tc>
        <w:tc>
          <w:tcPr>
            <w:tcW w:w="1627" w:type="dxa"/>
            <w:shd w:val="clear" w:color="auto" w:fill="A7D0E3"/>
          </w:tcPr>
          <w:p w14:paraId="0AE2AAE3" w14:textId="38C21E23" w:rsidR="00D37B73" w:rsidRPr="00911822" w:rsidRDefault="00D37B73" w:rsidP="00A40CEB">
            <w:pPr>
              <w:rPr>
                <w:b/>
              </w:rPr>
            </w:pPr>
            <w:r w:rsidRPr="00911822">
              <w:rPr>
                <w:b/>
              </w:rPr>
              <w:t>31 Dec 201</w:t>
            </w:r>
            <w:r w:rsidR="00637907" w:rsidRPr="00911822">
              <w:rPr>
                <w:b/>
              </w:rPr>
              <w:t>5</w:t>
            </w:r>
          </w:p>
        </w:tc>
        <w:tc>
          <w:tcPr>
            <w:tcW w:w="1627" w:type="dxa"/>
            <w:shd w:val="clear" w:color="auto" w:fill="A7D0E3"/>
          </w:tcPr>
          <w:p w14:paraId="34C27DD6" w14:textId="0CA533D5" w:rsidR="00D37B73" w:rsidRPr="00911822" w:rsidRDefault="00D37B73" w:rsidP="00A40CEB">
            <w:pPr>
              <w:rPr>
                <w:b/>
              </w:rPr>
            </w:pPr>
            <w:r w:rsidRPr="00911822">
              <w:rPr>
                <w:b/>
              </w:rPr>
              <w:t>31 Dec 201</w:t>
            </w:r>
            <w:r w:rsidR="00637907" w:rsidRPr="00911822">
              <w:rPr>
                <w:b/>
              </w:rPr>
              <w:t>6</w:t>
            </w:r>
          </w:p>
        </w:tc>
        <w:tc>
          <w:tcPr>
            <w:tcW w:w="1627" w:type="dxa"/>
            <w:shd w:val="clear" w:color="auto" w:fill="A7D0E3"/>
          </w:tcPr>
          <w:p w14:paraId="24625D80" w14:textId="2DD62DBB" w:rsidR="00D37B73" w:rsidRPr="00911822" w:rsidRDefault="00D37B73" w:rsidP="00A40CEB">
            <w:pPr>
              <w:rPr>
                <w:b/>
              </w:rPr>
            </w:pPr>
            <w:r w:rsidRPr="00911822">
              <w:rPr>
                <w:b/>
              </w:rPr>
              <w:t>31 Dec 201</w:t>
            </w:r>
            <w:r w:rsidR="00637907" w:rsidRPr="00911822">
              <w:rPr>
                <w:b/>
              </w:rPr>
              <w:t>7</w:t>
            </w:r>
          </w:p>
        </w:tc>
        <w:tc>
          <w:tcPr>
            <w:tcW w:w="1627" w:type="dxa"/>
            <w:shd w:val="clear" w:color="auto" w:fill="A7D0E3"/>
          </w:tcPr>
          <w:p w14:paraId="6CA9BA69" w14:textId="57889558" w:rsidR="00D37B73" w:rsidRPr="00911822" w:rsidRDefault="00D37B73" w:rsidP="00A40CEB">
            <w:pPr>
              <w:rPr>
                <w:b/>
              </w:rPr>
            </w:pPr>
            <w:r w:rsidRPr="00911822">
              <w:rPr>
                <w:b/>
              </w:rPr>
              <w:t>31 Dec 201</w:t>
            </w:r>
            <w:r w:rsidR="00637907" w:rsidRPr="00911822">
              <w:rPr>
                <w:b/>
              </w:rPr>
              <w:t>8</w:t>
            </w:r>
          </w:p>
        </w:tc>
      </w:tr>
      <w:tr w:rsidR="00CA57C8" w:rsidRPr="00E71054" w14:paraId="0D3B8014" w14:textId="77777777" w:rsidTr="002A7A37">
        <w:trPr>
          <w:cantSplit/>
        </w:trPr>
        <w:tc>
          <w:tcPr>
            <w:tcW w:w="3794" w:type="dxa"/>
          </w:tcPr>
          <w:p w14:paraId="197592A4" w14:textId="77777777" w:rsidR="00D37B73" w:rsidRPr="00911822" w:rsidRDefault="00D37B73" w:rsidP="00A40CEB">
            <w:pPr>
              <w:rPr>
                <w:b/>
              </w:rPr>
            </w:pPr>
            <w:r w:rsidRPr="00911822">
              <w:t>In-house</w:t>
            </w:r>
          </w:p>
        </w:tc>
        <w:tc>
          <w:tcPr>
            <w:tcW w:w="1627" w:type="dxa"/>
          </w:tcPr>
          <w:p w14:paraId="4E876C41" w14:textId="49178439" w:rsidR="00D37B73" w:rsidRPr="00911822" w:rsidRDefault="00637907" w:rsidP="00F00EF3">
            <w:pPr>
              <w:jc w:val="center"/>
            </w:pPr>
            <w:r w:rsidRPr="00911822">
              <w:t>5,646</w:t>
            </w:r>
          </w:p>
        </w:tc>
        <w:tc>
          <w:tcPr>
            <w:tcW w:w="1627" w:type="dxa"/>
          </w:tcPr>
          <w:p w14:paraId="3C50C8D0" w14:textId="72586BD9" w:rsidR="00D37B73" w:rsidRPr="00911822" w:rsidRDefault="00637907" w:rsidP="00F00EF3">
            <w:pPr>
              <w:jc w:val="center"/>
            </w:pPr>
            <w:r w:rsidRPr="00911822">
              <w:t>5,498</w:t>
            </w:r>
          </w:p>
        </w:tc>
        <w:tc>
          <w:tcPr>
            <w:tcW w:w="1627" w:type="dxa"/>
          </w:tcPr>
          <w:p w14:paraId="0234AD2E" w14:textId="0A0A5C32" w:rsidR="00D37B73" w:rsidRPr="00911822" w:rsidRDefault="00637907" w:rsidP="00F00EF3">
            <w:pPr>
              <w:jc w:val="center"/>
            </w:pPr>
            <w:r w:rsidRPr="00911822">
              <w:t>5</w:t>
            </w:r>
            <w:r w:rsidR="00341F23">
              <w:t>,</w:t>
            </w:r>
            <w:r w:rsidRPr="00911822">
              <w:t>019</w:t>
            </w:r>
          </w:p>
        </w:tc>
        <w:tc>
          <w:tcPr>
            <w:tcW w:w="1627" w:type="dxa"/>
          </w:tcPr>
          <w:p w14:paraId="39E47A7A" w14:textId="6919285C" w:rsidR="00D37B73" w:rsidRPr="00911822" w:rsidRDefault="00637907" w:rsidP="00F00EF3">
            <w:pPr>
              <w:jc w:val="center"/>
            </w:pPr>
            <w:r w:rsidRPr="00911822">
              <w:t>5,039</w:t>
            </w:r>
          </w:p>
        </w:tc>
      </w:tr>
      <w:tr w:rsidR="00CA57C8" w:rsidRPr="00E71054" w14:paraId="0ED824F6" w14:textId="77777777" w:rsidTr="002A7A37">
        <w:trPr>
          <w:cantSplit/>
        </w:trPr>
        <w:tc>
          <w:tcPr>
            <w:tcW w:w="3794" w:type="dxa"/>
            <w:tcBorders>
              <w:bottom w:val="single" w:sz="4" w:space="0" w:color="auto"/>
            </w:tcBorders>
          </w:tcPr>
          <w:p w14:paraId="3EAD3D02" w14:textId="01E99507" w:rsidR="00D37B73" w:rsidRPr="00911822" w:rsidRDefault="00D37B73" w:rsidP="00A40CEB">
            <w:r w:rsidRPr="00911822">
              <w:t>P</w:t>
            </w:r>
            <w:r w:rsidR="00341F23">
              <w:t>anel</w:t>
            </w:r>
            <w:r w:rsidRPr="00911822">
              <w:t xml:space="preserve"> practitioner</w:t>
            </w:r>
          </w:p>
        </w:tc>
        <w:tc>
          <w:tcPr>
            <w:tcW w:w="1627" w:type="dxa"/>
            <w:tcBorders>
              <w:bottom w:val="single" w:sz="4" w:space="0" w:color="auto"/>
            </w:tcBorders>
          </w:tcPr>
          <w:p w14:paraId="170A42FB" w14:textId="26384943" w:rsidR="00D37B73" w:rsidRPr="00911822" w:rsidRDefault="00CA57C8" w:rsidP="00F00EF3">
            <w:pPr>
              <w:jc w:val="center"/>
            </w:pPr>
            <w:r w:rsidRPr="00911822">
              <w:t>12,817</w:t>
            </w:r>
          </w:p>
        </w:tc>
        <w:tc>
          <w:tcPr>
            <w:tcW w:w="1627" w:type="dxa"/>
            <w:tcBorders>
              <w:bottom w:val="single" w:sz="4" w:space="0" w:color="auto"/>
            </w:tcBorders>
          </w:tcPr>
          <w:p w14:paraId="7FB85512" w14:textId="052E4591" w:rsidR="00D37B73" w:rsidRPr="00911822" w:rsidRDefault="00CA57C8" w:rsidP="00F00EF3">
            <w:pPr>
              <w:jc w:val="center"/>
            </w:pPr>
            <w:r w:rsidRPr="00911822">
              <w:t>14,968</w:t>
            </w:r>
          </w:p>
        </w:tc>
        <w:tc>
          <w:tcPr>
            <w:tcW w:w="1627" w:type="dxa"/>
            <w:tcBorders>
              <w:bottom w:val="single" w:sz="4" w:space="0" w:color="auto"/>
            </w:tcBorders>
          </w:tcPr>
          <w:p w14:paraId="5DA49517" w14:textId="7906DE05" w:rsidR="00D37B73" w:rsidRPr="00911822" w:rsidRDefault="00CA57C8" w:rsidP="00F00EF3">
            <w:pPr>
              <w:jc w:val="center"/>
            </w:pPr>
            <w:r w:rsidRPr="00911822">
              <w:t>16,001</w:t>
            </w:r>
          </w:p>
        </w:tc>
        <w:tc>
          <w:tcPr>
            <w:tcW w:w="1627" w:type="dxa"/>
            <w:tcBorders>
              <w:bottom w:val="single" w:sz="4" w:space="0" w:color="auto"/>
            </w:tcBorders>
          </w:tcPr>
          <w:p w14:paraId="0DF86F72" w14:textId="5B2F6D9E" w:rsidR="00D37B73" w:rsidRPr="00911822" w:rsidRDefault="00CA57C8" w:rsidP="00F00EF3">
            <w:pPr>
              <w:jc w:val="center"/>
            </w:pPr>
            <w:r w:rsidRPr="00911822">
              <w:t>17,173</w:t>
            </w:r>
          </w:p>
        </w:tc>
      </w:tr>
      <w:tr w:rsidR="00CA57C8" w:rsidRPr="00E71054" w14:paraId="7E203E16" w14:textId="77777777" w:rsidTr="002A7A37">
        <w:trPr>
          <w:cantSplit/>
        </w:trPr>
        <w:tc>
          <w:tcPr>
            <w:tcW w:w="3794" w:type="dxa"/>
            <w:tcBorders>
              <w:bottom w:val="single" w:sz="4" w:space="0" w:color="auto"/>
            </w:tcBorders>
            <w:shd w:val="clear" w:color="auto" w:fill="F2F2F2" w:themeFill="background1" w:themeFillShade="F2"/>
          </w:tcPr>
          <w:p w14:paraId="150E9BDB" w14:textId="77777777" w:rsidR="00D37B73" w:rsidRPr="00911822" w:rsidRDefault="00D37B73" w:rsidP="00A40CEB">
            <w:pPr>
              <w:rPr>
                <w:b/>
              </w:rPr>
            </w:pPr>
            <w:r w:rsidRPr="00911822">
              <w:rPr>
                <w:b/>
              </w:rPr>
              <w:t>Totals</w:t>
            </w:r>
          </w:p>
        </w:tc>
        <w:tc>
          <w:tcPr>
            <w:tcW w:w="1627" w:type="dxa"/>
            <w:tcBorders>
              <w:bottom w:val="single" w:sz="4" w:space="0" w:color="auto"/>
            </w:tcBorders>
            <w:shd w:val="clear" w:color="auto" w:fill="F2F2F2" w:themeFill="background1" w:themeFillShade="F2"/>
          </w:tcPr>
          <w:p w14:paraId="6C7DD3A8" w14:textId="585F5EEA" w:rsidR="00D37B73" w:rsidRPr="00911822" w:rsidRDefault="00CA57C8" w:rsidP="00F00EF3">
            <w:pPr>
              <w:jc w:val="center"/>
            </w:pPr>
            <w:r w:rsidRPr="00911822">
              <w:t>18,463</w:t>
            </w:r>
          </w:p>
        </w:tc>
        <w:tc>
          <w:tcPr>
            <w:tcW w:w="1627" w:type="dxa"/>
            <w:tcBorders>
              <w:bottom w:val="single" w:sz="4" w:space="0" w:color="auto"/>
            </w:tcBorders>
            <w:shd w:val="clear" w:color="auto" w:fill="F2F2F2" w:themeFill="background1" w:themeFillShade="F2"/>
          </w:tcPr>
          <w:p w14:paraId="322DCF97" w14:textId="077176DE" w:rsidR="00D37B73" w:rsidRPr="00911822" w:rsidRDefault="00CA57C8" w:rsidP="00F00EF3">
            <w:pPr>
              <w:jc w:val="center"/>
            </w:pPr>
            <w:r w:rsidRPr="00911822">
              <w:t>20,466</w:t>
            </w:r>
          </w:p>
        </w:tc>
        <w:tc>
          <w:tcPr>
            <w:tcW w:w="1627" w:type="dxa"/>
            <w:tcBorders>
              <w:bottom w:val="single" w:sz="4" w:space="0" w:color="auto"/>
            </w:tcBorders>
            <w:shd w:val="clear" w:color="auto" w:fill="F2F2F2" w:themeFill="background1" w:themeFillShade="F2"/>
          </w:tcPr>
          <w:p w14:paraId="22819B90" w14:textId="1E3F5059" w:rsidR="00D37B73" w:rsidRPr="00911822" w:rsidRDefault="00CA57C8" w:rsidP="00F00EF3">
            <w:pPr>
              <w:jc w:val="center"/>
            </w:pPr>
            <w:r w:rsidRPr="00911822">
              <w:t>21,020</w:t>
            </w:r>
          </w:p>
        </w:tc>
        <w:tc>
          <w:tcPr>
            <w:tcW w:w="1627" w:type="dxa"/>
            <w:tcBorders>
              <w:bottom w:val="single" w:sz="4" w:space="0" w:color="auto"/>
            </w:tcBorders>
            <w:shd w:val="clear" w:color="auto" w:fill="F2F2F2" w:themeFill="background1" w:themeFillShade="F2"/>
          </w:tcPr>
          <w:p w14:paraId="6139B6A2" w14:textId="0D1F4C3B" w:rsidR="00D37B73" w:rsidRPr="00911822" w:rsidRDefault="00CA57C8" w:rsidP="00F00EF3">
            <w:pPr>
              <w:jc w:val="center"/>
            </w:pPr>
            <w:r w:rsidRPr="00911822">
              <w:t>22,212</w:t>
            </w:r>
          </w:p>
        </w:tc>
      </w:tr>
      <w:tr w:rsidR="00CA57C8" w14:paraId="5F0678D0" w14:textId="77777777" w:rsidTr="002A7A37">
        <w:trPr>
          <w:cantSplit/>
        </w:trPr>
        <w:tc>
          <w:tcPr>
            <w:tcW w:w="3794" w:type="dxa"/>
            <w:shd w:val="clear" w:color="auto" w:fill="F2F2F2" w:themeFill="background1" w:themeFillShade="F2"/>
          </w:tcPr>
          <w:p w14:paraId="35FADF02" w14:textId="77777777" w:rsidR="00D37B73" w:rsidRPr="00911822" w:rsidRDefault="00D37B73" w:rsidP="00A40CEB">
            <w:pPr>
              <w:rPr>
                <w:b/>
              </w:rPr>
            </w:pPr>
            <w:r w:rsidRPr="00911822">
              <w:rPr>
                <w:b/>
              </w:rPr>
              <w:t>Growth</w:t>
            </w:r>
          </w:p>
        </w:tc>
        <w:tc>
          <w:tcPr>
            <w:tcW w:w="1627" w:type="dxa"/>
            <w:shd w:val="clear" w:color="auto" w:fill="F2F2F2" w:themeFill="background1" w:themeFillShade="F2"/>
          </w:tcPr>
          <w:p w14:paraId="744A23DE" w14:textId="77777777" w:rsidR="00D37B73" w:rsidRPr="00911822" w:rsidRDefault="0086035E" w:rsidP="00F00EF3">
            <w:pPr>
              <w:jc w:val="center"/>
              <w:rPr>
                <w:b/>
              </w:rPr>
            </w:pPr>
            <w:r w:rsidRPr="00911822">
              <w:t>-</w:t>
            </w:r>
          </w:p>
        </w:tc>
        <w:tc>
          <w:tcPr>
            <w:tcW w:w="1627" w:type="dxa"/>
            <w:shd w:val="clear" w:color="auto" w:fill="F2F2F2" w:themeFill="background1" w:themeFillShade="F2"/>
          </w:tcPr>
          <w:p w14:paraId="5B4EFB2D" w14:textId="5DC90D19" w:rsidR="00D37B73" w:rsidRPr="00911822" w:rsidRDefault="00CA57C8" w:rsidP="00F00EF3">
            <w:pPr>
              <w:jc w:val="center"/>
            </w:pPr>
            <w:r w:rsidRPr="00911822">
              <w:t>11</w:t>
            </w:r>
            <w:r w:rsidR="00D37B73" w:rsidRPr="00911822">
              <w:t>%</w:t>
            </w:r>
          </w:p>
        </w:tc>
        <w:tc>
          <w:tcPr>
            <w:tcW w:w="1627" w:type="dxa"/>
            <w:shd w:val="clear" w:color="auto" w:fill="F2F2F2" w:themeFill="background1" w:themeFillShade="F2"/>
          </w:tcPr>
          <w:p w14:paraId="0006CD2F" w14:textId="452E59FE" w:rsidR="00D37B73" w:rsidRPr="00911822" w:rsidRDefault="00CA57C8" w:rsidP="00F00EF3">
            <w:pPr>
              <w:jc w:val="center"/>
            </w:pPr>
            <w:r w:rsidRPr="00911822">
              <w:t>3</w:t>
            </w:r>
            <w:r w:rsidR="00D37B73" w:rsidRPr="00911822">
              <w:t>%</w:t>
            </w:r>
          </w:p>
        </w:tc>
        <w:tc>
          <w:tcPr>
            <w:tcW w:w="1627" w:type="dxa"/>
            <w:shd w:val="clear" w:color="auto" w:fill="F2F2F2" w:themeFill="background1" w:themeFillShade="F2"/>
          </w:tcPr>
          <w:p w14:paraId="1FFA43C4" w14:textId="458D2B1A" w:rsidR="00D37B73" w:rsidRPr="00911822" w:rsidRDefault="00CA57C8" w:rsidP="00F00EF3">
            <w:pPr>
              <w:jc w:val="center"/>
            </w:pPr>
            <w:r w:rsidRPr="00911822">
              <w:t>6</w:t>
            </w:r>
            <w:r w:rsidR="00D37B73" w:rsidRPr="00911822">
              <w:t>%</w:t>
            </w:r>
          </w:p>
        </w:tc>
      </w:tr>
    </w:tbl>
    <w:p w14:paraId="1655BD66" w14:textId="77777777" w:rsidR="0047677D" w:rsidRDefault="0047677D" w:rsidP="00165F28">
      <w:pPr>
        <w:pStyle w:val="Heading3"/>
      </w:pPr>
      <w:r>
        <w:t xml:space="preserve">Duty lawyer services </w:t>
      </w:r>
    </w:p>
    <w:p w14:paraId="724FB2DD" w14:textId="77777777" w:rsidR="0047677D" w:rsidRDefault="0047677D" w:rsidP="0047677D">
      <w:r>
        <w:t xml:space="preserve">Victoria Legal Aid lawyers and some private practitioners are on ‘duty’ at many courts and tribunals across Victoria to help people </w:t>
      </w:r>
      <w:r w:rsidR="00687C56" w:rsidRPr="00687C56">
        <w:t>who are at the court or tribunal for a hearing</w:t>
      </w:r>
      <w:r>
        <w:t>, but do not have their own lawyer.</w:t>
      </w:r>
    </w:p>
    <w:p w14:paraId="6EEC5C74" w14:textId="5380B2F3" w:rsidR="00C42F1F" w:rsidRDefault="0047677D" w:rsidP="0047677D">
      <w:r>
        <w:t xml:space="preserve">Our duty lawyers provide free legal information, advice and representation to clients. Duty lawyers do not represent everyone. </w:t>
      </w:r>
      <w:r w:rsidR="004D3813">
        <w:t>For example, in adult summary criminal matters</w:t>
      </w:r>
      <w:r w:rsidR="008A3377">
        <w:t xml:space="preserve">, </w:t>
      </w:r>
      <w:r w:rsidR="004D3813">
        <w:t>w</w:t>
      </w:r>
      <w:r>
        <w:t>e prioritise serious cases, including people who are in custody</w:t>
      </w:r>
      <w:r w:rsidR="00C97F3C">
        <w:t xml:space="preserve"> </w:t>
      </w:r>
      <w:r>
        <w:t>or at risk of going into custody</w:t>
      </w:r>
      <w:r w:rsidR="00A93649">
        <w:t>,</w:t>
      </w:r>
      <w:r>
        <w:t xml:space="preserve"> and people needing intensive support.</w:t>
      </w:r>
      <w:r w:rsidR="008A3377">
        <w:t xml:space="preserve"> We also provide duty lawyer services relating to Family Violence Intervention Orders, child protection</w:t>
      </w:r>
      <w:r w:rsidR="00A93649">
        <w:t>,</w:t>
      </w:r>
      <w:r w:rsidR="008A3377">
        <w:t xml:space="preserve"> and family law. </w:t>
      </w:r>
    </w:p>
    <w:tbl>
      <w:tblPr>
        <w:tblStyle w:val="TableGrid"/>
        <w:tblW w:w="0" w:type="auto"/>
        <w:tblLook w:val="04A0" w:firstRow="1" w:lastRow="0" w:firstColumn="1" w:lastColumn="0" w:noHBand="0" w:noVBand="1"/>
      </w:tblPr>
      <w:tblGrid>
        <w:gridCol w:w="3687"/>
        <w:gridCol w:w="1598"/>
        <w:gridCol w:w="1597"/>
        <w:gridCol w:w="1597"/>
        <w:gridCol w:w="1597"/>
      </w:tblGrid>
      <w:tr w:rsidR="0086035E" w:rsidRPr="00E71054" w14:paraId="1214CD3F" w14:textId="77777777" w:rsidTr="002A7A37">
        <w:trPr>
          <w:cantSplit/>
          <w:tblHeader/>
        </w:trPr>
        <w:tc>
          <w:tcPr>
            <w:tcW w:w="3794" w:type="dxa"/>
            <w:shd w:val="clear" w:color="auto" w:fill="A7D0E3"/>
          </w:tcPr>
          <w:p w14:paraId="39008D32" w14:textId="77777777" w:rsidR="0086035E" w:rsidRPr="00911822" w:rsidRDefault="0086035E" w:rsidP="00A40CEB">
            <w:pPr>
              <w:rPr>
                <w:b/>
              </w:rPr>
            </w:pPr>
            <w:r w:rsidRPr="00911822">
              <w:rPr>
                <w:b/>
              </w:rPr>
              <w:t>Duty lawyer services as at</w:t>
            </w:r>
          </w:p>
        </w:tc>
        <w:tc>
          <w:tcPr>
            <w:tcW w:w="1627" w:type="dxa"/>
            <w:shd w:val="clear" w:color="auto" w:fill="A7D0E3"/>
          </w:tcPr>
          <w:p w14:paraId="65357B6C" w14:textId="7363338C" w:rsidR="0086035E" w:rsidRPr="00911822" w:rsidRDefault="0086035E" w:rsidP="00A40CEB">
            <w:pPr>
              <w:rPr>
                <w:b/>
              </w:rPr>
            </w:pPr>
            <w:r w:rsidRPr="00911822">
              <w:rPr>
                <w:b/>
              </w:rPr>
              <w:t>31 Dec 201</w:t>
            </w:r>
            <w:r w:rsidR="00F12E38" w:rsidRPr="00911822">
              <w:rPr>
                <w:b/>
              </w:rPr>
              <w:t>5</w:t>
            </w:r>
          </w:p>
        </w:tc>
        <w:tc>
          <w:tcPr>
            <w:tcW w:w="1627" w:type="dxa"/>
            <w:shd w:val="clear" w:color="auto" w:fill="A7D0E3"/>
          </w:tcPr>
          <w:p w14:paraId="4FCCCA48" w14:textId="1731FA7C" w:rsidR="0086035E" w:rsidRPr="00911822" w:rsidRDefault="0086035E" w:rsidP="00A40CEB">
            <w:pPr>
              <w:rPr>
                <w:b/>
              </w:rPr>
            </w:pPr>
            <w:r w:rsidRPr="00911822">
              <w:rPr>
                <w:b/>
              </w:rPr>
              <w:t>31 Dec 201</w:t>
            </w:r>
            <w:r w:rsidR="00F12E38" w:rsidRPr="00911822">
              <w:rPr>
                <w:b/>
              </w:rPr>
              <w:t>6</w:t>
            </w:r>
          </w:p>
        </w:tc>
        <w:tc>
          <w:tcPr>
            <w:tcW w:w="1627" w:type="dxa"/>
            <w:shd w:val="clear" w:color="auto" w:fill="A7D0E3"/>
          </w:tcPr>
          <w:p w14:paraId="7E790325" w14:textId="126DBE80" w:rsidR="0086035E" w:rsidRPr="00911822" w:rsidRDefault="0086035E" w:rsidP="00A40CEB">
            <w:pPr>
              <w:rPr>
                <w:b/>
              </w:rPr>
            </w:pPr>
            <w:r w:rsidRPr="00911822">
              <w:rPr>
                <w:b/>
              </w:rPr>
              <w:t>31 Dec 201</w:t>
            </w:r>
            <w:r w:rsidR="00F12E38" w:rsidRPr="00911822">
              <w:rPr>
                <w:b/>
              </w:rPr>
              <w:t>7</w:t>
            </w:r>
          </w:p>
        </w:tc>
        <w:tc>
          <w:tcPr>
            <w:tcW w:w="1627" w:type="dxa"/>
            <w:shd w:val="clear" w:color="auto" w:fill="A7D0E3"/>
          </w:tcPr>
          <w:p w14:paraId="037A9E3A" w14:textId="3B1AE91D" w:rsidR="0086035E" w:rsidRPr="00911822" w:rsidRDefault="0086035E" w:rsidP="00A40CEB">
            <w:pPr>
              <w:rPr>
                <w:b/>
              </w:rPr>
            </w:pPr>
            <w:r w:rsidRPr="00911822">
              <w:rPr>
                <w:b/>
              </w:rPr>
              <w:t>31 Dec 201</w:t>
            </w:r>
            <w:r w:rsidR="00F12E38" w:rsidRPr="00911822">
              <w:rPr>
                <w:b/>
              </w:rPr>
              <w:t>8</w:t>
            </w:r>
          </w:p>
        </w:tc>
      </w:tr>
      <w:tr w:rsidR="0086035E" w:rsidRPr="00E71054" w14:paraId="6E13957A" w14:textId="77777777" w:rsidTr="002A7A37">
        <w:trPr>
          <w:cantSplit/>
        </w:trPr>
        <w:tc>
          <w:tcPr>
            <w:tcW w:w="3794" w:type="dxa"/>
            <w:tcBorders>
              <w:bottom w:val="single" w:sz="4" w:space="0" w:color="auto"/>
            </w:tcBorders>
          </w:tcPr>
          <w:p w14:paraId="4312A9E0" w14:textId="77777777" w:rsidR="0086035E" w:rsidRPr="00911822" w:rsidRDefault="0086035E" w:rsidP="00A40CEB">
            <w:pPr>
              <w:rPr>
                <w:b/>
              </w:rPr>
            </w:pPr>
            <w:r w:rsidRPr="00911822">
              <w:t>Duty lawyer services</w:t>
            </w:r>
          </w:p>
        </w:tc>
        <w:tc>
          <w:tcPr>
            <w:tcW w:w="1627" w:type="dxa"/>
            <w:tcBorders>
              <w:bottom w:val="single" w:sz="4" w:space="0" w:color="auto"/>
            </w:tcBorders>
          </w:tcPr>
          <w:p w14:paraId="3E0BD4DC" w14:textId="03D3543D" w:rsidR="0086035E" w:rsidRPr="00911822" w:rsidRDefault="00813473" w:rsidP="00F00EF3">
            <w:pPr>
              <w:jc w:val="center"/>
            </w:pPr>
            <w:r w:rsidRPr="00911822">
              <w:t>42,788</w:t>
            </w:r>
          </w:p>
        </w:tc>
        <w:tc>
          <w:tcPr>
            <w:tcW w:w="1627" w:type="dxa"/>
            <w:tcBorders>
              <w:bottom w:val="single" w:sz="4" w:space="0" w:color="auto"/>
            </w:tcBorders>
          </w:tcPr>
          <w:p w14:paraId="66F1D7A2" w14:textId="5D535ABC" w:rsidR="0086035E" w:rsidRPr="00911822" w:rsidRDefault="00813473" w:rsidP="00F00EF3">
            <w:pPr>
              <w:jc w:val="center"/>
            </w:pPr>
            <w:r w:rsidRPr="00911822">
              <w:t>45,633</w:t>
            </w:r>
          </w:p>
        </w:tc>
        <w:tc>
          <w:tcPr>
            <w:tcW w:w="1627" w:type="dxa"/>
            <w:tcBorders>
              <w:bottom w:val="single" w:sz="4" w:space="0" w:color="auto"/>
            </w:tcBorders>
          </w:tcPr>
          <w:p w14:paraId="66EA4847" w14:textId="61CCCF70" w:rsidR="0086035E" w:rsidRPr="00911822" w:rsidRDefault="00813473" w:rsidP="00F00EF3">
            <w:pPr>
              <w:jc w:val="center"/>
            </w:pPr>
            <w:r w:rsidRPr="00911822">
              <w:t>47,123</w:t>
            </w:r>
          </w:p>
        </w:tc>
        <w:tc>
          <w:tcPr>
            <w:tcW w:w="1627" w:type="dxa"/>
            <w:tcBorders>
              <w:bottom w:val="single" w:sz="4" w:space="0" w:color="auto"/>
            </w:tcBorders>
          </w:tcPr>
          <w:p w14:paraId="44E3B13F" w14:textId="093EE02C" w:rsidR="0086035E" w:rsidRPr="00911822" w:rsidRDefault="00CA57C8" w:rsidP="00F00EF3">
            <w:pPr>
              <w:jc w:val="center"/>
            </w:pPr>
            <w:r w:rsidRPr="00911822">
              <w:t>48,270</w:t>
            </w:r>
          </w:p>
        </w:tc>
      </w:tr>
      <w:tr w:rsidR="0086035E" w14:paraId="2B06DFC9" w14:textId="77777777" w:rsidTr="002A7A37">
        <w:trPr>
          <w:cantSplit/>
        </w:trPr>
        <w:tc>
          <w:tcPr>
            <w:tcW w:w="3794" w:type="dxa"/>
            <w:shd w:val="clear" w:color="auto" w:fill="F2F2F2" w:themeFill="background1" w:themeFillShade="F2"/>
          </w:tcPr>
          <w:p w14:paraId="005A5020" w14:textId="77777777" w:rsidR="0086035E" w:rsidRPr="00911822" w:rsidRDefault="0086035E" w:rsidP="0086035E">
            <w:pPr>
              <w:rPr>
                <w:b/>
              </w:rPr>
            </w:pPr>
            <w:r w:rsidRPr="00911822">
              <w:rPr>
                <w:b/>
              </w:rPr>
              <w:t>Growth</w:t>
            </w:r>
          </w:p>
        </w:tc>
        <w:tc>
          <w:tcPr>
            <w:tcW w:w="1627" w:type="dxa"/>
            <w:shd w:val="clear" w:color="auto" w:fill="F2F2F2" w:themeFill="background1" w:themeFillShade="F2"/>
          </w:tcPr>
          <w:p w14:paraId="23C09732" w14:textId="77777777" w:rsidR="0086035E" w:rsidRPr="00911822" w:rsidRDefault="0086035E" w:rsidP="00F00EF3">
            <w:pPr>
              <w:jc w:val="center"/>
            </w:pPr>
            <w:r w:rsidRPr="00911822">
              <w:t>-</w:t>
            </w:r>
          </w:p>
        </w:tc>
        <w:tc>
          <w:tcPr>
            <w:tcW w:w="1627" w:type="dxa"/>
            <w:shd w:val="clear" w:color="auto" w:fill="F2F2F2" w:themeFill="background1" w:themeFillShade="F2"/>
          </w:tcPr>
          <w:p w14:paraId="2E751C27" w14:textId="32F6DA21" w:rsidR="0086035E" w:rsidRPr="00911822" w:rsidRDefault="00813473" w:rsidP="00F00EF3">
            <w:pPr>
              <w:jc w:val="center"/>
            </w:pPr>
            <w:r w:rsidRPr="00911822">
              <w:t>7%</w:t>
            </w:r>
          </w:p>
        </w:tc>
        <w:tc>
          <w:tcPr>
            <w:tcW w:w="1627" w:type="dxa"/>
            <w:shd w:val="clear" w:color="auto" w:fill="F2F2F2" w:themeFill="background1" w:themeFillShade="F2"/>
          </w:tcPr>
          <w:p w14:paraId="5DC5D4DD" w14:textId="431AF4D6" w:rsidR="0086035E" w:rsidRPr="00911822" w:rsidRDefault="00813473" w:rsidP="00F00EF3">
            <w:pPr>
              <w:jc w:val="center"/>
            </w:pPr>
            <w:r w:rsidRPr="00911822">
              <w:t>3%</w:t>
            </w:r>
          </w:p>
        </w:tc>
        <w:tc>
          <w:tcPr>
            <w:tcW w:w="1627" w:type="dxa"/>
            <w:shd w:val="clear" w:color="auto" w:fill="F2F2F2" w:themeFill="background1" w:themeFillShade="F2"/>
          </w:tcPr>
          <w:p w14:paraId="0984142E" w14:textId="7C2F8F34" w:rsidR="0086035E" w:rsidRPr="00911822" w:rsidRDefault="00813473" w:rsidP="00F00EF3">
            <w:pPr>
              <w:jc w:val="center"/>
            </w:pPr>
            <w:r w:rsidRPr="00911822">
              <w:t>2%</w:t>
            </w:r>
          </w:p>
        </w:tc>
      </w:tr>
    </w:tbl>
    <w:p w14:paraId="17F3659F" w14:textId="4C732D86" w:rsidR="000A17A2" w:rsidRDefault="00274DD4" w:rsidP="001F653E">
      <w:r>
        <w:t>Duty Lawyer services have increased slightly in the period of 1 July–31 December 2018</w:t>
      </w:r>
      <w:r w:rsidR="00A84039">
        <w:t xml:space="preserve"> compared to the same time last year</w:t>
      </w:r>
      <w:r>
        <w:t xml:space="preserve">. The main area of growth </w:t>
      </w:r>
      <w:r w:rsidR="00A93649">
        <w:t>is</w:t>
      </w:r>
      <w:r>
        <w:t xml:space="preserve"> family law</w:t>
      </w:r>
      <w:r w:rsidR="00A93649">
        <w:t xml:space="preserve">. </w:t>
      </w:r>
      <w:proofErr w:type="gramStart"/>
      <w:r w:rsidR="00A93649">
        <w:t>I</w:t>
      </w:r>
      <w:r w:rsidR="00A84039">
        <w:t>n particular</w:t>
      </w:r>
      <w:r w:rsidR="00A93649">
        <w:t>,</w:t>
      </w:r>
      <w:r w:rsidR="00A84039">
        <w:t xml:space="preserve"> family</w:t>
      </w:r>
      <w:proofErr w:type="gramEnd"/>
      <w:r w:rsidR="00A84039">
        <w:t xml:space="preserve"> violence related matters </w:t>
      </w:r>
      <w:r w:rsidR="00A93649">
        <w:t xml:space="preserve">are </w:t>
      </w:r>
      <w:r w:rsidR="00A84039">
        <w:t>up 14% to 8,448 services</w:t>
      </w:r>
      <w:r w:rsidR="00A93649">
        <w:t>,</w:t>
      </w:r>
      <w:r w:rsidR="00A84039">
        <w:t xml:space="preserve"> and child protection matters </w:t>
      </w:r>
      <w:r w:rsidR="00A93649">
        <w:t xml:space="preserve">are </w:t>
      </w:r>
      <w:r w:rsidR="00A84039">
        <w:t xml:space="preserve">up 14% to 2,703. </w:t>
      </w:r>
    </w:p>
    <w:p w14:paraId="13CAB951" w14:textId="0276F762" w:rsidR="0047677D" w:rsidRDefault="0047677D" w:rsidP="0086035E">
      <w:pPr>
        <w:pStyle w:val="Heading3"/>
      </w:pPr>
      <w:r>
        <w:t xml:space="preserve">Legal advice and minor assistance </w:t>
      </w:r>
    </w:p>
    <w:p w14:paraId="63341245" w14:textId="275DC6EE" w:rsidR="0047677D" w:rsidRDefault="0047677D" w:rsidP="0047677D">
      <w:r>
        <w:t xml:space="preserve">Victoria Legal Aid lawyers provide legal advice and minor assistance to help people resolve their legal problems as early as possible </w:t>
      </w:r>
      <w:r w:rsidR="00602865">
        <w:t xml:space="preserve">and, in some circumstances, </w:t>
      </w:r>
      <w:r>
        <w:t>avoid the need to go to court.</w:t>
      </w:r>
    </w:p>
    <w:p w14:paraId="5F1349C8" w14:textId="0337E033" w:rsidR="0018364B" w:rsidRDefault="0047677D" w:rsidP="0047677D">
      <w:r>
        <w:lastRenderedPageBreak/>
        <w:t xml:space="preserve">Legal advice is provided over the phone, </w:t>
      </w:r>
      <w:r w:rsidR="00602865">
        <w:t>via</w:t>
      </w:r>
      <w:r w:rsidR="00A84039">
        <w:t xml:space="preserve"> Legal Help</w:t>
      </w:r>
      <w:r w:rsidR="00602865">
        <w:t xml:space="preserve"> live chat, </w:t>
      </w:r>
      <w:r>
        <w:t>face-to-face at our offices</w:t>
      </w:r>
      <w:r w:rsidR="00A93649">
        <w:t>,</w:t>
      </w:r>
      <w:r>
        <w:t xml:space="preserve"> or via outreach services. Minor assistance is provided where there is a need for some ongoing assistance such as providing written advice, making phone calls</w:t>
      </w:r>
      <w:r w:rsidR="00FC0D8E">
        <w:t>,</w:t>
      </w:r>
      <w:r>
        <w:t xml:space="preserve"> and negotiating on a person’s behalf.</w:t>
      </w:r>
    </w:p>
    <w:tbl>
      <w:tblPr>
        <w:tblStyle w:val="TableGrid"/>
        <w:tblW w:w="0" w:type="auto"/>
        <w:tblLook w:val="04A0" w:firstRow="1" w:lastRow="0" w:firstColumn="1" w:lastColumn="0" w:noHBand="0" w:noVBand="1"/>
      </w:tblPr>
      <w:tblGrid>
        <w:gridCol w:w="3692"/>
        <w:gridCol w:w="1596"/>
        <w:gridCol w:w="1596"/>
        <w:gridCol w:w="1596"/>
        <w:gridCol w:w="1596"/>
      </w:tblGrid>
      <w:tr w:rsidR="0086035E" w:rsidRPr="00E71054" w14:paraId="6B95DAD1" w14:textId="77777777" w:rsidTr="002A7A37">
        <w:trPr>
          <w:cantSplit/>
          <w:tblHeader/>
        </w:trPr>
        <w:tc>
          <w:tcPr>
            <w:tcW w:w="3794" w:type="dxa"/>
            <w:shd w:val="clear" w:color="auto" w:fill="A7D0E3"/>
          </w:tcPr>
          <w:p w14:paraId="283598F4" w14:textId="77777777" w:rsidR="0086035E" w:rsidRPr="00911822" w:rsidRDefault="0086035E" w:rsidP="001F653E">
            <w:pPr>
              <w:keepNext/>
              <w:rPr>
                <w:b/>
              </w:rPr>
            </w:pPr>
            <w:r w:rsidRPr="00911822">
              <w:rPr>
                <w:b/>
              </w:rPr>
              <w:t>Legal advice and minor assistance as at</w:t>
            </w:r>
          </w:p>
        </w:tc>
        <w:tc>
          <w:tcPr>
            <w:tcW w:w="1627" w:type="dxa"/>
            <w:shd w:val="clear" w:color="auto" w:fill="A7D0E3"/>
          </w:tcPr>
          <w:p w14:paraId="2B399059" w14:textId="6E2B7053" w:rsidR="0086035E" w:rsidRPr="00911822" w:rsidRDefault="0086035E" w:rsidP="001F653E">
            <w:pPr>
              <w:keepNext/>
              <w:rPr>
                <w:b/>
              </w:rPr>
            </w:pPr>
            <w:r w:rsidRPr="00911822">
              <w:rPr>
                <w:b/>
              </w:rPr>
              <w:t>31 Dec 201</w:t>
            </w:r>
            <w:r w:rsidR="00F12E38" w:rsidRPr="00911822">
              <w:rPr>
                <w:b/>
              </w:rPr>
              <w:t>5</w:t>
            </w:r>
          </w:p>
        </w:tc>
        <w:tc>
          <w:tcPr>
            <w:tcW w:w="1627" w:type="dxa"/>
            <w:shd w:val="clear" w:color="auto" w:fill="A7D0E3"/>
          </w:tcPr>
          <w:p w14:paraId="5A6379A7" w14:textId="0C9C95CC" w:rsidR="0086035E" w:rsidRPr="00911822" w:rsidRDefault="0086035E" w:rsidP="001F653E">
            <w:pPr>
              <w:keepNext/>
              <w:rPr>
                <w:b/>
              </w:rPr>
            </w:pPr>
            <w:r w:rsidRPr="00911822">
              <w:rPr>
                <w:b/>
              </w:rPr>
              <w:t>31 Dec 201</w:t>
            </w:r>
            <w:r w:rsidR="00F12E38" w:rsidRPr="00911822">
              <w:rPr>
                <w:b/>
              </w:rPr>
              <w:t>6</w:t>
            </w:r>
          </w:p>
        </w:tc>
        <w:tc>
          <w:tcPr>
            <w:tcW w:w="1627" w:type="dxa"/>
            <w:shd w:val="clear" w:color="auto" w:fill="A7D0E3"/>
          </w:tcPr>
          <w:p w14:paraId="353ED4E9" w14:textId="656C739F" w:rsidR="0086035E" w:rsidRPr="00911822" w:rsidRDefault="0086035E" w:rsidP="001F653E">
            <w:pPr>
              <w:keepNext/>
              <w:rPr>
                <w:b/>
              </w:rPr>
            </w:pPr>
            <w:r w:rsidRPr="00911822">
              <w:rPr>
                <w:b/>
              </w:rPr>
              <w:t>31 Dec 201</w:t>
            </w:r>
            <w:r w:rsidR="00F12E38" w:rsidRPr="00911822">
              <w:rPr>
                <w:b/>
              </w:rPr>
              <w:t>7</w:t>
            </w:r>
          </w:p>
        </w:tc>
        <w:tc>
          <w:tcPr>
            <w:tcW w:w="1627" w:type="dxa"/>
            <w:shd w:val="clear" w:color="auto" w:fill="A7D0E3"/>
          </w:tcPr>
          <w:p w14:paraId="467AAEEF" w14:textId="087757B5" w:rsidR="0086035E" w:rsidRPr="00911822" w:rsidRDefault="0086035E" w:rsidP="001F653E">
            <w:pPr>
              <w:keepNext/>
              <w:rPr>
                <w:b/>
              </w:rPr>
            </w:pPr>
            <w:r w:rsidRPr="00911822">
              <w:rPr>
                <w:b/>
              </w:rPr>
              <w:t>31 Dec 201</w:t>
            </w:r>
            <w:r w:rsidR="00F12E38" w:rsidRPr="00911822">
              <w:rPr>
                <w:b/>
              </w:rPr>
              <w:t>8</w:t>
            </w:r>
          </w:p>
        </w:tc>
      </w:tr>
      <w:tr w:rsidR="0086035E" w:rsidRPr="00E71054" w14:paraId="274BDD01" w14:textId="77777777" w:rsidTr="001F653E">
        <w:trPr>
          <w:cantSplit/>
        </w:trPr>
        <w:tc>
          <w:tcPr>
            <w:tcW w:w="3794" w:type="dxa"/>
            <w:tcBorders>
              <w:bottom w:val="single" w:sz="4" w:space="0" w:color="auto"/>
            </w:tcBorders>
          </w:tcPr>
          <w:p w14:paraId="6EF87584" w14:textId="77777777" w:rsidR="0086035E" w:rsidRPr="00911822" w:rsidRDefault="0086035E" w:rsidP="001F653E">
            <w:pPr>
              <w:keepNext/>
              <w:rPr>
                <w:b/>
              </w:rPr>
            </w:pPr>
            <w:r w:rsidRPr="00911822">
              <w:t>Legal advice and minor assistance</w:t>
            </w:r>
          </w:p>
        </w:tc>
        <w:tc>
          <w:tcPr>
            <w:tcW w:w="1627" w:type="dxa"/>
            <w:tcBorders>
              <w:bottom w:val="single" w:sz="4" w:space="0" w:color="auto"/>
            </w:tcBorders>
          </w:tcPr>
          <w:p w14:paraId="4CC130E1" w14:textId="4C2A9B5A" w:rsidR="0086035E" w:rsidRPr="00911822" w:rsidRDefault="00FA6C77" w:rsidP="001F653E">
            <w:pPr>
              <w:keepNext/>
              <w:jc w:val="center"/>
            </w:pPr>
            <w:r w:rsidRPr="00911822">
              <w:t>20,710</w:t>
            </w:r>
          </w:p>
        </w:tc>
        <w:tc>
          <w:tcPr>
            <w:tcW w:w="1627" w:type="dxa"/>
            <w:tcBorders>
              <w:bottom w:val="single" w:sz="4" w:space="0" w:color="auto"/>
            </w:tcBorders>
          </w:tcPr>
          <w:p w14:paraId="2A7CFF2E" w14:textId="19969B59" w:rsidR="0086035E" w:rsidRPr="00911822" w:rsidRDefault="00D95F76" w:rsidP="001F653E">
            <w:pPr>
              <w:keepNext/>
              <w:jc w:val="center"/>
            </w:pPr>
            <w:r w:rsidRPr="00911822">
              <w:t>21,266</w:t>
            </w:r>
          </w:p>
        </w:tc>
        <w:tc>
          <w:tcPr>
            <w:tcW w:w="1627" w:type="dxa"/>
            <w:tcBorders>
              <w:bottom w:val="single" w:sz="4" w:space="0" w:color="auto"/>
            </w:tcBorders>
          </w:tcPr>
          <w:p w14:paraId="18566094" w14:textId="41D25C08" w:rsidR="0086035E" w:rsidRPr="00911822" w:rsidRDefault="00D95F76" w:rsidP="001F653E">
            <w:pPr>
              <w:keepNext/>
              <w:jc w:val="center"/>
            </w:pPr>
            <w:r w:rsidRPr="00911822">
              <w:t>18,397</w:t>
            </w:r>
          </w:p>
        </w:tc>
        <w:tc>
          <w:tcPr>
            <w:tcW w:w="1627" w:type="dxa"/>
            <w:tcBorders>
              <w:bottom w:val="single" w:sz="4" w:space="0" w:color="auto"/>
            </w:tcBorders>
          </w:tcPr>
          <w:p w14:paraId="44C3D193" w14:textId="3E21694F" w:rsidR="0086035E" w:rsidRPr="00911822" w:rsidRDefault="00D95F76" w:rsidP="001F653E">
            <w:pPr>
              <w:keepNext/>
              <w:jc w:val="center"/>
            </w:pPr>
            <w:r w:rsidRPr="00911822">
              <w:t>25,138</w:t>
            </w:r>
          </w:p>
        </w:tc>
      </w:tr>
      <w:tr w:rsidR="0086035E" w14:paraId="5EFA6ABA" w14:textId="77777777" w:rsidTr="001F653E">
        <w:trPr>
          <w:cantSplit/>
        </w:trPr>
        <w:tc>
          <w:tcPr>
            <w:tcW w:w="3794" w:type="dxa"/>
            <w:shd w:val="clear" w:color="auto" w:fill="F2F2F2" w:themeFill="background1" w:themeFillShade="F2"/>
          </w:tcPr>
          <w:p w14:paraId="246A38B8" w14:textId="77777777" w:rsidR="0086035E" w:rsidRPr="00911822" w:rsidRDefault="0086035E" w:rsidP="001F653E">
            <w:pPr>
              <w:keepNext/>
              <w:rPr>
                <w:b/>
              </w:rPr>
            </w:pPr>
            <w:r w:rsidRPr="00911822">
              <w:rPr>
                <w:b/>
              </w:rPr>
              <w:t>Growth</w:t>
            </w:r>
          </w:p>
        </w:tc>
        <w:tc>
          <w:tcPr>
            <w:tcW w:w="1627" w:type="dxa"/>
            <w:shd w:val="clear" w:color="auto" w:fill="F2F2F2" w:themeFill="background1" w:themeFillShade="F2"/>
          </w:tcPr>
          <w:p w14:paraId="1A0EBE04" w14:textId="77777777" w:rsidR="0086035E" w:rsidRPr="00911822" w:rsidRDefault="0086035E" w:rsidP="001F653E">
            <w:pPr>
              <w:keepNext/>
              <w:jc w:val="center"/>
            </w:pPr>
            <w:r w:rsidRPr="00911822">
              <w:t>-</w:t>
            </w:r>
          </w:p>
        </w:tc>
        <w:tc>
          <w:tcPr>
            <w:tcW w:w="1627" w:type="dxa"/>
            <w:shd w:val="clear" w:color="auto" w:fill="F2F2F2" w:themeFill="background1" w:themeFillShade="F2"/>
          </w:tcPr>
          <w:p w14:paraId="429C6AC2" w14:textId="2BA52004" w:rsidR="0086035E" w:rsidRPr="00911822" w:rsidRDefault="00FA6C77" w:rsidP="001F653E">
            <w:pPr>
              <w:keepNext/>
              <w:jc w:val="center"/>
            </w:pPr>
            <w:r w:rsidRPr="00911822">
              <w:t>3</w:t>
            </w:r>
            <w:r w:rsidR="0086035E" w:rsidRPr="00911822">
              <w:t>%</w:t>
            </w:r>
          </w:p>
        </w:tc>
        <w:tc>
          <w:tcPr>
            <w:tcW w:w="1627" w:type="dxa"/>
            <w:shd w:val="clear" w:color="auto" w:fill="F2F2F2" w:themeFill="background1" w:themeFillShade="F2"/>
          </w:tcPr>
          <w:p w14:paraId="05B85D03" w14:textId="7B55D5C9" w:rsidR="0086035E" w:rsidRPr="00911822" w:rsidRDefault="0086035E" w:rsidP="001F653E">
            <w:pPr>
              <w:keepNext/>
              <w:jc w:val="center"/>
            </w:pPr>
            <w:r w:rsidRPr="00911822">
              <w:t>-1</w:t>
            </w:r>
            <w:r w:rsidR="00FA6C77" w:rsidRPr="00911822">
              <w:t>3</w:t>
            </w:r>
            <w:r w:rsidRPr="00911822">
              <w:t>%</w:t>
            </w:r>
          </w:p>
        </w:tc>
        <w:tc>
          <w:tcPr>
            <w:tcW w:w="1627" w:type="dxa"/>
            <w:shd w:val="clear" w:color="auto" w:fill="F2F2F2" w:themeFill="background1" w:themeFillShade="F2"/>
          </w:tcPr>
          <w:p w14:paraId="0CD4E8FA" w14:textId="763A8209" w:rsidR="0086035E" w:rsidRPr="00911822" w:rsidRDefault="00FA6C77" w:rsidP="001F653E">
            <w:pPr>
              <w:keepNext/>
              <w:jc w:val="center"/>
            </w:pPr>
            <w:r w:rsidRPr="00911822">
              <w:t>37%</w:t>
            </w:r>
          </w:p>
        </w:tc>
      </w:tr>
    </w:tbl>
    <w:p w14:paraId="7448319B" w14:textId="5D4E09EB" w:rsidR="000A17A2" w:rsidRDefault="009708FE" w:rsidP="001F653E">
      <w:pPr>
        <w:keepNext/>
      </w:pPr>
      <w:r>
        <w:t xml:space="preserve">We have seen an overall increase of 37% when compared to the same time last year. There </w:t>
      </w:r>
      <w:r w:rsidR="00FC0D8E">
        <w:t xml:space="preserve">have </w:t>
      </w:r>
      <w:r>
        <w:t xml:space="preserve">been increases across all areas </w:t>
      </w:r>
      <w:r w:rsidR="00FC0D8E">
        <w:t xml:space="preserve">of </w:t>
      </w:r>
      <w:r>
        <w:t>legal advice</w:t>
      </w:r>
      <w:r w:rsidR="00FC0D8E">
        <w:t>,</w:t>
      </w:r>
      <w:r>
        <w:t xml:space="preserve"> with 7,324 criminal law related legal advice services provided</w:t>
      </w:r>
      <w:r w:rsidR="00FC0D8E">
        <w:t xml:space="preserve"> (</w:t>
      </w:r>
      <w:r>
        <w:t>an increase of 78%</w:t>
      </w:r>
      <w:r w:rsidR="00FC0D8E">
        <w:t>)</w:t>
      </w:r>
      <w:r>
        <w:t xml:space="preserve"> and 9,876 family law related legal advice services provided</w:t>
      </w:r>
      <w:r w:rsidR="00FC0D8E">
        <w:t xml:space="preserve"> (</w:t>
      </w:r>
      <w:r>
        <w:t>an increase of 75%</w:t>
      </w:r>
      <w:r w:rsidR="00FC0D8E">
        <w:t>)</w:t>
      </w:r>
      <w:r>
        <w:t xml:space="preserve">. </w:t>
      </w:r>
      <w:r w:rsidR="00AA5A03">
        <w:t>This is largely due to increases in advice relating to family violence, parenting disputes</w:t>
      </w:r>
      <w:r w:rsidR="00FC0D8E">
        <w:t>,</w:t>
      </w:r>
      <w:r w:rsidR="00AA5A03">
        <w:t xml:space="preserve"> and adult summary crime. </w:t>
      </w:r>
    </w:p>
    <w:p w14:paraId="0FC69F98" w14:textId="77777777" w:rsidR="0047677D" w:rsidRDefault="0047677D" w:rsidP="0086035E">
      <w:pPr>
        <w:pStyle w:val="Heading3"/>
      </w:pPr>
      <w:r>
        <w:t xml:space="preserve">Legal </w:t>
      </w:r>
      <w:r w:rsidR="00375C12">
        <w:t>H</w:t>
      </w:r>
      <w:r>
        <w:t xml:space="preserve">elp telephone service </w:t>
      </w:r>
    </w:p>
    <w:p w14:paraId="51E5329B" w14:textId="18053CBC" w:rsidR="0047677D" w:rsidRDefault="0047677D" w:rsidP="0047677D">
      <w:r>
        <w:t xml:space="preserve">Our free Legal Help telephone service is a major access and triage point for legal aid services. </w:t>
      </w:r>
    </w:p>
    <w:p w14:paraId="1BF7B61E" w14:textId="6F63336D" w:rsidR="004F4AF0" w:rsidRDefault="004F4AF0" w:rsidP="0047677D">
      <w:r>
        <w:t>There has been an increase in Legal Help staffing numbers over the previous six months</w:t>
      </w:r>
      <w:r w:rsidR="00FC0D8E">
        <w:t xml:space="preserve"> that </w:t>
      </w:r>
      <w:r>
        <w:t xml:space="preserve">has enabled </w:t>
      </w:r>
      <w:r w:rsidR="00170969">
        <w:t>a 15% increase in calls answered for the period. Average call duration has also increased over this period due to an increase in legal advice being provided</w:t>
      </w:r>
      <w:r w:rsidR="00FC0D8E">
        <w:t>,</w:t>
      </w:r>
      <w:r w:rsidR="00170969">
        <w:t xml:space="preserve"> and </w:t>
      </w:r>
      <w:r w:rsidR="00FC0D8E">
        <w:t xml:space="preserve">a </w:t>
      </w:r>
      <w:r w:rsidR="00170969">
        <w:t xml:space="preserve">greater number of more intensive </w:t>
      </w:r>
      <w:r w:rsidR="00FC0D8E">
        <w:t xml:space="preserve">matters that require </w:t>
      </w:r>
      <w:r w:rsidR="00170969">
        <w:t>additional time.</w:t>
      </w:r>
      <w:r w:rsidR="00374929">
        <w:t xml:space="preserve"> Compared with the same time last year Legal Help provided 5,728 additional legal advice sessions. </w:t>
      </w:r>
      <w:r w:rsidR="00170969">
        <w:t xml:space="preserve">    </w:t>
      </w:r>
    </w:p>
    <w:tbl>
      <w:tblPr>
        <w:tblStyle w:val="TableGrid"/>
        <w:tblW w:w="0" w:type="auto"/>
        <w:tblLook w:val="04A0" w:firstRow="1" w:lastRow="0" w:firstColumn="1" w:lastColumn="0" w:noHBand="0" w:noVBand="1"/>
      </w:tblPr>
      <w:tblGrid>
        <w:gridCol w:w="3688"/>
        <w:gridCol w:w="1597"/>
        <w:gridCol w:w="1597"/>
        <w:gridCol w:w="1597"/>
        <w:gridCol w:w="1597"/>
      </w:tblGrid>
      <w:tr w:rsidR="0086035E" w:rsidRPr="00E71054" w14:paraId="2AD197C5" w14:textId="77777777" w:rsidTr="002A7A37">
        <w:trPr>
          <w:cantSplit/>
          <w:tblHeader/>
        </w:trPr>
        <w:tc>
          <w:tcPr>
            <w:tcW w:w="3794" w:type="dxa"/>
            <w:shd w:val="clear" w:color="auto" w:fill="A7D0E3"/>
          </w:tcPr>
          <w:p w14:paraId="60D33A79" w14:textId="77777777" w:rsidR="0086035E" w:rsidRPr="00911822" w:rsidRDefault="0086035E" w:rsidP="00A40CEB">
            <w:pPr>
              <w:rPr>
                <w:b/>
              </w:rPr>
            </w:pPr>
            <w:r w:rsidRPr="00911822">
              <w:rPr>
                <w:b/>
              </w:rPr>
              <w:t>Legal Help telephone service as at</w:t>
            </w:r>
          </w:p>
        </w:tc>
        <w:tc>
          <w:tcPr>
            <w:tcW w:w="1627" w:type="dxa"/>
            <w:shd w:val="clear" w:color="auto" w:fill="A7D0E3"/>
          </w:tcPr>
          <w:p w14:paraId="22772FD1" w14:textId="10F9EE7F" w:rsidR="0086035E" w:rsidRPr="00911822" w:rsidRDefault="0086035E" w:rsidP="00A40CEB">
            <w:pPr>
              <w:rPr>
                <w:b/>
              </w:rPr>
            </w:pPr>
            <w:r w:rsidRPr="00911822">
              <w:rPr>
                <w:b/>
              </w:rPr>
              <w:t>31 Dec 201</w:t>
            </w:r>
            <w:r w:rsidR="00F12E38" w:rsidRPr="00911822">
              <w:rPr>
                <w:b/>
              </w:rPr>
              <w:t>5</w:t>
            </w:r>
          </w:p>
        </w:tc>
        <w:tc>
          <w:tcPr>
            <w:tcW w:w="1627" w:type="dxa"/>
            <w:shd w:val="clear" w:color="auto" w:fill="A7D0E3"/>
          </w:tcPr>
          <w:p w14:paraId="51722211" w14:textId="306AEC59" w:rsidR="0086035E" w:rsidRPr="00911822" w:rsidRDefault="0086035E" w:rsidP="00A40CEB">
            <w:pPr>
              <w:rPr>
                <w:b/>
              </w:rPr>
            </w:pPr>
            <w:r w:rsidRPr="00911822">
              <w:rPr>
                <w:b/>
              </w:rPr>
              <w:t>31 Dec 201</w:t>
            </w:r>
            <w:r w:rsidR="00F12E38" w:rsidRPr="00911822">
              <w:rPr>
                <w:b/>
              </w:rPr>
              <w:t>6</w:t>
            </w:r>
          </w:p>
        </w:tc>
        <w:tc>
          <w:tcPr>
            <w:tcW w:w="1627" w:type="dxa"/>
            <w:shd w:val="clear" w:color="auto" w:fill="A7D0E3"/>
          </w:tcPr>
          <w:p w14:paraId="2291C869" w14:textId="4E33B31B" w:rsidR="0086035E" w:rsidRPr="00911822" w:rsidRDefault="0086035E" w:rsidP="00A40CEB">
            <w:pPr>
              <w:rPr>
                <w:b/>
              </w:rPr>
            </w:pPr>
            <w:r w:rsidRPr="00911822">
              <w:rPr>
                <w:b/>
              </w:rPr>
              <w:t>31 Dec 201</w:t>
            </w:r>
            <w:r w:rsidR="00F12E38" w:rsidRPr="00911822">
              <w:rPr>
                <w:b/>
              </w:rPr>
              <w:t>7</w:t>
            </w:r>
          </w:p>
        </w:tc>
        <w:tc>
          <w:tcPr>
            <w:tcW w:w="1627" w:type="dxa"/>
            <w:shd w:val="clear" w:color="auto" w:fill="A7D0E3"/>
          </w:tcPr>
          <w:p w14:paraId="4DC21CA4" w14:textId="6AB57418" w:rsidR="0086035E" w:rsidRPr="00911822" w:rsidRDefault="0086035E" w:rsidP="00A40CEB">
            <w:pPr>
              <w:rPr>
                <w:b/>
              </w:rPr>
            </w:pPr>
            <w:r w:rsidRPr="00911822">
              <w:rPr>
                <w:b/>
              </w:rPr>
              <w:t>31 Dec 201</w:t>
            </w:r>
            <w:r w:rsidR="00F12E38" w:rsidRPr="00911822">
              <w:rPr>
                <w:b/>
              </w:rPr>
              <w:t>8</w:t>
            </w:r>
          </w:p>
        </w:tc>
      </w:tr>
      <w:tr w:rsidR="0086035E" w:rsidRPr="00E71054" w14:paraId="0BC0704D" w14:textId="77777777" w:rsidTr="002A7A37">
        <w:trPr>
          <w:cantSplit/>
        </w:trPr>
        <w:tc>
          <w:tcPr>
            <w:tcW w:w="3794" w:type="dxa"/>
            <w:tcBorders>
              <w:bottom w:val="single" w:sz="4" w:space="0" w:color="auto"/>
            </w:tcBorders>
          </w:tcPr>
          <w:p w14:paraId="45B83263" w14:textId="77777777" w:rsidR="0086035E" w:rsidRPr="00911822" w:rsidRDefault="0086035E" w:rsidP="00A40CEB">
            <w:pPr>
              <w:rPr>
                <w:b/>
              </w:rPr>
            </w:pPr>
            <w:r w:rsidRPr="00911822">
              <w:t>Calls to the service</w:t>
            </w:r>
          </w:p>
        </w:tc>
        <w:tc>
          <w:tcPr>
            <w:tcW w:w="1627" w:type="dxa"/>
            <w:tcBorders>
              <w:bottom w:val="single" w:sz="4" w:space="0" w:color="auto"/>
            </w:tcBorders>
          </w:tcPr>
          <w:p w14:paraId="4671E74A" w14:textId="610D63D0" w:rsidR="0086035E" w:rsidRPr="00911822" w:rsidRDefault="000C49D4" w:rsidP="00F00EF3">
            <w:pPr>
              <w:jc w:val="center"/>
            </w:pPr>
            <w:r w:rsidRPr="00911822">
              <w:t>89,797</w:t>
            </w:r>
          </w:p>
        </w:tc>
        <w:tc>
          <w:tcPr>
            <w:tcW w:w="1627" w:type="dxa"/>
            <w:tcBorders>
              <w:bottom w:val="single" w:sz="4" w:space="0" w:color="auto"/>
            </w:tcBorders>
          </w:tcPr>
          <w:p w14:paraId="1AC2EE3B" w14:textId="6B849671" w:rsidR="0086035E" w:rsidRPr="00911822" w:rsidRDefault="000C49D4" w:rsidP="00F00EF3">
            <w:pPr>
              <w:jc w:val="center"/>
            </w:pPr>
            <w:r w:rsidRPr="00911822">
              <w:t>89,592</w:t>
            </w:r>
          </w:p>
        </w:tc>
        <w:tc>
          <w:tcPr>
            <w:tcW w:w="1627" w:type="dxa"/>
            <w:tcBorders>
              <w:bottom w:val="single" w:sz="4" w:space="0" w:color="auto"/>
            </w:tcBorders>
          </w:tcPr>
          <w:p w14:paraId="433A19EF" w14:textId="4F8203D6" w:rsidR="0086035E" w:rsidRPr="00911822" w:rsidRDefault="000C49D4" w:rsidP="00F00EF3">
            <w:pPr>
              <w:jc w:val="center"/>
            </w:pPr>
            <w:r w:rsidRPr="00911822">
              <w:t>93,484</w:t>
            </w:r>
          </w:p>
        </w:tc>
        <w:tc>
          <w:tcPr>
            <w:tcW w:w="1627" w:type="dxa"/>
            <w:tcBorders>
              <w:bottom w:val="single" w:sz="4" w:space="0" w:color="auto"/>
            </w:tcBorders>
          </w:tcPr>
          <w:p w14:paraId="2701D120" w14:textId="49DA1B9B" w:rsidR="0086035E" w:rsidRPr="00911822" w:rsidRDefault="003304DB" w:rsidP="00F00EF3">
            <w:pPr>
              <w:jc w:val="center"/>
            </w:pPr>
            <w:r w:rsidRPr="00911822">
              <w:t>94,293</w:t>
            </w:r>
          </w:p>
        </w:tc>
      </w:tr>
      <w:tr w:rsidR="0086035E" w:rsidRPr="00E71054" w14:paraId="7ACB0FA2" w14:textId="77777777" w:rsidTr="002A7A37">
        <w:trPr>
          <w:cantSplit/>
        </w:trPr>
        <w:tc>
          <w:tcPr>
            <w:tcW w:w="3794" w:type="dxa"/>
            <w:shd w:val="clear" w:color="auto" w:fill="F2F2F2" w:themeFill="background1" w:themeFillShade="F2"/>
          </w:tcPr>
          <w:p w14:paraId="70A0EBDF" w14:textId="77777777" w:rsidR="0086035E" w:rsidRPr="00911822" w:rsidRDefault="0086035E" w:rsidP="00A40CEB">
            <w:pPr>
              <w:rPr>
                <w:b/>
              </w:rPr>
            </w:pPr>
            <w:r w:rsidRPr="00911822">
              <w:rPr>
                <w:b/>
              </w:rPr>
              <w:t>Growth</w:t>
            </w:r>
          </w:p>
        </w:tc>
        <w:tc>
          <w:tcPr>
            <w:tcW w:w="1627" w:type="dxa"/>
            <w:shd w:val="clear" w:color="auto" w:fill="F2F2F2" w:themeFill="background1" w:themeFillShade="F2"/>
          </w:tcPr>
          <w:p w14:paraId="6885C92A" w14:textId="77777777" w:rsidR="0086035E" w:rsidRPr="00911822" w:rsidRDefault="0086035E" w:rsidP="00F00EF3">
            <w:pPr>
              <w:jc w:val="center"/>
            </w:pPr>
            <w:r w:rsidRPr="00911822">
              <w:t>-</w:t>
            </w:r>
          </w:p>
        </w:tc>
        <w:tc>
          <w:tcPr>
            <w:tcW w:w="1627" w:type="dxa"/>
            <w:shd w:val="clear" w:color="auto" w:fill="F2F2F2" w:themeFill="background1" w:themeFillShade="F2"/>
          </w:tcPr>
          <w:p w14:paraId="6F833389" w14:textId="6374F959" w:rsidR="0086035E" w:rsidRPr="00911822" w:rsidRDefault="0018364B" w:rsidP="00F00EF3">
            <w:pPr>
              <w:jc w:val="center"/>
            </w:pPr>
            <w:r>
              <w:t>-0.2</w:t>
            </w:r>
            <w:r w:rsidR="00FC0D8E">
              <w:t>%</w:t>
            </w:r>
          </w:p>
        </w:tc>
        <w:tc>
          <w:tcPr>
            <w:tcW w:w="1627" w:type="dxa"/>
            <w:shd w:val="clear" w:color="auto" w:fill="F2F2F2" w:themeFill="background1" w:themeFillShade="F2"/>
          </w:tcPr>
          <w:p w14:paraId="175D0276" w14:textId="501CCECE" w:rsidR="0086035E" w:rsidRPr="00911822" w:rsidRDefault="0018364B" w:rsidP="00F00EF3">
            <w:pPr>
              <w:jc w:val="center"/>
            </w:pPr>
            <w:r>
              <w:t>4%</w:t>
            </w:r>
          </w:p>
        </w:tc>
        <w:tc>
          <w:tcPr>
            <w:tcW w:w="1627" w:type="dxa"/>
            <w:shd w:val="clear" w:color="auto" w:fill="F2F2F2" w:themeFill="background1" w:themeFillShade="F2"/>
          </w:tcPr>
          <w:p w14:paraId="66342DB9" w14:textId="24AF11EF" w:rsidR="0086035E" w:rsidRPr="00911822" w:rsidRDefault="0086035E" w:rsidP="00F00EF3">
            <w:pPr>
              <w:jc w:val="center"/>
            </w:pPr>
            <w:r w:rsidRPr="00911822">
              <w:t>0</w:t>
            </w:r>
            <w:r w:rsidR="00B3567F" w:rsidRPr="00911822">
              <w:t>.8</w:t>
            </w:r>
            <w:r w:rsidRPr="00911822">
              <w:t>%</w:t>
            </w:r>
          </w:p>
        </w:tc>
      </w:tr>
      <w:tr w:rsidR="0086035E" w:rsidRPr="00E71054" w14:paraId="21CB419F" w14:textId="77777777" w:rsidTr="002A7A37">
        <w:trPr>
          <w:cantSplit/>
        </w:trPr>
        <w:tc>
          <w:tcPr>
            <w:tcW w:w="3794" w:type="dxa"/>
            <w:tcBorders>
              <w:bottom w:val="single" w:sz="4" w:space="0" w:color="auto"/>
            </w:tcBorders>
          </w:tcPr>
          <w:p w14:paraId="5B23BC9A" w14:textId="77777777" w:rsidR="0086035E" w:rsidRPr="00911822" w:rsidRDefault="0086035E" w:rsidP="00A40CEB">
            <w:pPr>
              <w:rPr>
                <w:b/>
              </w:rPr>
            </w:pPr>
            <w:r w:rsidRPr="00911822">
              <w:t>Calls answered</w:t>
            </w:r>
          </w:p>
        </w:tc>
        <w:tc>
          <w:tcPr>
            <w:tcW w:w="1627" w:type="dxa"/>
            <w:tcBorders>
              <w:bottom w:val="single" w:sz="4" w:space="0" w:color="auto"/>
            </w:tcBorders>
          </w:tcPr>
          <w:p w14:paraId="05073871" w14:textId="59BB1BB8" w:rsidR="0086035E" w:rsidRPr="00911822" w:rsidRDefault="000C49D4" w:rsidP="00F00EF3">
            <w:pPr>
              <w:jc w:val="center"/>
            </w:pPr>
            <w:r w:rsidRPr="00911822">
              <w:t>56,911</w:t>
            </w:r>
          </w:p>
        </w:tc>
        <w:tc>
          <w:tcPr>
            <w:tcW w:w="1627" w:type="dxa"/>
            <w:tcBorders>
              <w:bottom w:val="single" w:sz="4" w:space="0" w:color="auto"/>
            </w:tcBorders>
          </w:tcPr>
          <w:p w14:paraId="010CE806" w14:textId="4F61F49B" w:rsidR="0086035E" w:rsidRPr="00911822" w:rsidRDefault="000C49D4" w:rsidP="00F00EF3">
            <w:pPr>
              <w:jc w:val="center"/>
            </w:pPr>
            <w:r w:rsidRPr="00911822">
              <w:t>59,655</w:t>
            </w:r>
          </w:p>
        </w:tc>
        <w:tc>
          <w:tcPr>
            <w:tcW w:w="1627" w:type="dxa"/>
            <w:tcBorders>
              <w:bottom w:val="single" w:sz="4" w:space="0" w:color="auto"/>
            </w:tcBorders>
          </w:tcPr>
          <w:p w14:paraId="672DDEA8" w14:textId="02628E3F" w:rsidR="0086035E" w:rsidRPr="00911822" w:rsidRDefault="000C49D4" w:rsidP="00F00EF3">
            <w:pPr>
              <w:jc w:val="center"/>
            </w:pPr>
            <w:r w:rsidRPr="00911822">
              <w:t>62,151</w:t>
            </w:r>
          </w:p>
        </w:tc>
        <w:tc>
          <w:tcPr>
            <w:tcW w:w="1627" w:type="dxa"/>
            <w:tcBorders>
              <w:bottom w:val="single" w:sz="4" w:space="0" w:color="auto"/>
            </w:tcBorders>
          </w:tcPr>
          <w:p w14:paraId="65C3C0E0" w14:textId="19F7BD10" w:rsidR="0086035E" w:rsidRPr="00911822" w:rsidRDefault="00FA6C77" w:rsidP="00F00EF3">
            <w:pPr>
              <w:jc w:val="center"/>
            </w:pPr>
            <w:r w:rsidRPr="00911822">
              <w:t>71,493</w:t>
            </w:r>
          </w:p>
        </w:tc>
      </w:tr>
      <w:tr w:rsidR="0086035E" w:rsidRPr="00E71054" w14:paraId="02DCC8B2" w14:textId="77777777" w:rsidTr="002A7A37">
        <w:trPr>
          <w:cantSplit/>
        </w:trPr>
        <w:tc>
          <w:tcPr>
            <w:tcW w:w="3794" w:type="dxa"/>
            <w:shd w:val="clear" w:color="auto" w:fill="F2F2F2" w:themeFill="background1" w:themeFillShade="F2"/>
          </w:tcPr>
          <w:p w14:paraId="0DA127FD" w14:textId="77777777" w:rsidR="0086035E" w:rsidRPr="00911822" w:rsidRDefault="0086035E" w:rsidP="00A40CEB">
            <w:pPr>
              <w:rPr>
                <w:b/>
              </w:rPr>
            </w:pPr>
            <w:r w:rsidRPr="00911822">
              <w:rPr>
                <w:b/>
              </w:rPr>
              <w:t>Growth</w:t>
            </w:r>
          </w:p>
        </w:tc>
        <w:tc>
          <w:tcPr>
            <w:tcW w:w="1627" w:type="dxa"/>
            <w:shd w:val="clear" w:color="auto" w:fill="F2F2F2" w:themeFill="background1" w:themeFillShade="F2"/>
          </w:tcPr>
          <w:p w14:paraId="7A87C35D" w14:textId="77777777" w:rsidR="0086035E" w:rsidRPr="00911822" w:rsidRDefault="0086035E" w:rsidP="00F00EF3">
            <w:pPr>
              <w:jc w:val="center"/>
            </w:pPr>
            <w:r w:rsidRPr="00911822">
              <w:t>-</w:t>
            </w:r>
          </w:p>
        </w:tc>
        <w:tc>
          <w:tcPr>
            <w:tcW w:w="1627" w:type="dxa"/>
            <w:shd w:val="clear" w:color="auto" w:fill="F2F2F2" w:themeFill="background1" w:themeFillShade="F2"/>
          </w:tcPr>
          <w:p w14:paraId="455EB84D" w14:textId="0CE02ED1" w:rsidR="0086035E" w:rsidRPr="00911822" w:rsidRDefault="0018364B" w:rsidP="00F00EF3">
            <w:pPr>
              <w:jc w:val="center"/>
            </w:pPr>
            <w:r>
              <w:t>5%</w:t>
            </w:r>
          </w:p>
        </w:tc>
        <w:tc>
          <w:tcPr>
            <w:tcW w:w="1627" w:type="dxa"/>
            <w:shd w:val="clear" w:color="auto" w:fill="F2F2F2" w:themeFill="background1" w:themeFillShade="F2"/>
          </w:tcPr>
          <w:p w14:paraId="5DD14301" w14:textId="79B72710" w:rsidR="0086035E" w:rsidRPr="00911822" w:rsidRDefault="0018364B" w:rsidP="00F00EF3">
            <w:pPr>
              <w:jc w:val="center"/>
            </w:pPr>
            <w:r>
              <w:t>4%</w:t>
            </w:r>
          </w:p>
        </w:tc>
        <w:tc>
          <w:tcPr>
            <w:tcW w:w="1627" w:type="dxa"/>
            <w:shd w:val="clear" w:color="auto" w:fill="F2F2F2" w:themeFill="background1" w:themeFillShade="F2"/>
          </w:tcPr>
          <w:p w14:paraId="40045FD2" w14:textId="2F6CBDB9" w:rsidR="0086035E" w:rsidRPr="00911822" w:rsidRDefault="0018364B" w:rsidP="00F00EF3">
            <w:pPr>
              <w:jc w:val="center"/>
            </w:pPr>
            <w:r>
              <w:t>15%</w:t>
            </w:r>
          </w:p>
        </w:tc>
      </w:tr>
      <w:tr w:rsidR="0086035E" w:rsidRPr="00E71054" w14:paraId="0BC33D15" w14:textId="77777777" w:rsidTr="002A7A37">
        <w:trPr>
          <w:cantSplit/>
        </w:trPr>
        <w:tc>
          <w:tcPr>
            <w:tcW w:w="3794" w:type="dxa"/>
          </w:tcPr>
          <w:p w14:paraId="6B0BFA20" w14:textId="77777777" w:rsidR="0086035E" w:rsidRPr="00911822" w:rsidRDefault="0086035E" w:rsidP="00A40CEB">
            <w:pPr>
              <w:rPr>
                <w:b/>
              </w:rPr>
            </w:pPr>
            <w:r w:rsidRPr="00911822">
              <w:t>Answer rate</w:t>
            </w:r>
          </w:p>
        </w:tc>
        <w:tc>
          <w:tcPr>
            <w:tcW w:w="1627" w:type="dxa"/>
          </w:tcPr>
          <w:p w14:paraId="458796F0" w14:textId="7A235707" w:rsidR="0086035E" w:rsidRPr="00911822" w:rsidRDefault="000C49D4" w:rsidP="00F00EF3">
            <w:pPr>
              <w:jc w:val="center"/>
            </w:pPr>
            <w:r w:rsidRPr="00911822">
              <w:t>62%</w:t>
            </w:r>
          </w:p>
        </w:tc>
        <w:tc>
          <w:tcPr>
            <w:tcW w:w="1627" w:type="dxa"/>
          </w:tcPr>
          <w:p w14:paraId="7DB64296" w14:textId="0F70AFDE" w:rsidR="0086035E" w:rsidRPr="00911822" w:rsidRDefault="000C49D4" w:rsidP="00F00EF3">
            <w:pPr>
              <w:jc w:val="center"/>
            </w:pPr>
            <w:r w:rsidRPr="00911822">
              <w:t>67%</w:t>
            </w:r>
          </w:p>
        </w:tc>
        <w:tc>
          <w:tcPr>
            <w:tcW w:w="1627" w:type="dxa"/>
          </w:tcPr>
          <w:p w14:paraId="542566AF" w14:textId="62650FD5" w:rsidR="0086035E" w:rsidRPr="00911822" w:rsidRDefault="000C49D4" w:rsidP="00F00EF3">
            <w:pPr>
              <w:jc w:val="center"/>
            </w:pPr>
            <w:r w:rsidRPr="00911822">
              <w:t>66%</w:t>
            </w:r>
          </w:p>
        </w:tc>
        <w:tc>
          <w:tcPr>
            <w:tcW w:w="1627" w:type="dxa"/>
          </w:tcPr>
          <w:p w14:paraId="39E11A85" w14:textId="5A1D41A8" w:rsidR="0086035E" w:rsidRPr="00911822" w:rsidRDefault="00FA6C77" w:rsidP="00F00EF3">
            <w:pPr>
              <w:jc w:val="center"/>
            </w:pPr>
            <w:r w:rsidRPr="00911822">
              <w:t>76%</w:t>
            </w:r>
          </w:p>
        </w:tc>
      </w:tr>
      <w:tr w:rsidR="0086035E" w14:paraId="48157C2D" w14:textId="77777777" w:rsidTr="002A7A37">
        <w:trPr>
          <w:cantSplit/>
        </w:trPr>
        <w:tc>
          <w:tcPr>
            <w:tcW w:w="3794" w:type="dxa"/>
          </w:tcPr>
          <w:p w14:paraId="5C0AFD28" w14:textId="77777777" w:rsidR="0086035E" w:rsidRPr="00911822" w:rsidRDefault="0086035E" w:rsidP="00A40CEB">
            <w:pPr>
              <w:rPr>
                <w:b/>
              </w:rPr>
            </w:pPr>
            <w:r w:rsidRPr="00911822">
              <w:t>Average call duration</w:t>
            </w:r>
          </w:p>
        </w:tc>
        <w:tc>
          <w:tcPr>
            <w:tcW w:w="1627" w:type="dxa"/>
          </w:tcPr>
          <w:p w14:paraId="2C9EE004" w14:textId="38CEAB0B" w:rsidR="0086035E" w:rsidRPr="00911822" w:rsidRDefault="000C49D4" w:rsidP="00F00EF3">
            <w:pPr>
              <w:jc w:val="center"/>
            </w:pPr>
            <w:r w:rsidRPr="00911822">
              <w:t>6m 49s</w:t>
            </w:r>
          </w:p>
        </w:tc>
        <w:tc>
          <w:tcPr>
            <w:tcW w:w="1627" w:type="dxa"/>
          </w:tcPr>
          <w:p w14:paraId="6604D64A" w14:textId="71178401" w:rsidR="0086035E" w:rsidRPr="00911822" w:rsidRDefault="000C49D4" w:rsidP="00F00EF3">
            <w:pPr>
              <w:jc w:val="center"/>
            </w:pPr>
            <w:r w:rsidRPr="00911822">
              <w:t>9m 15s</w:t>
            </w:r>
          </w:p>
        </w:tc>
        <w:tc>
          <w:tcPr>
            <w:tcW w:w="1627" w:type="dxa"/>
          </w:tcPr>
          <w:p w14:paraId="629DB0BE" w14:textId="1A556FBA" w:rsidR="0086035E" w:rsidRPr="00911822" w:rsidRDefault="000C49D4" w:rsidP="00F00EF3">
            <w:pPr>
              <w:jc w:val="center"/>
            </w:pPr>
            <w:r w:rsidRPr="00911822">
              <w:t>10m 6s</w:t>
            </w:r>
          </w:p>
        </w:tc>
        <w:tc>
          <w:tcPr>
            <w:tcW w:w="1627" w:type="dxa"/>
          </w:tcPr>
          <w:p w14:paraId="56925D63" w14:textId="4BB8E052" w:rsidR="0086035E" w:rsidRPr="00911822" w:rsidRDefault="00E2734D" w:rsidP="00F00EF3">
            <w:pPr>
              <w:jc w:val="center"/>
            </w:pPr>
            <w:r w:rsidRPr="00911822">
              <w:t>18m 31s</w:t>
            </w:r>
          </w:p>
        </w:tc>
      </w:tr>
    </w:tbl>
    <w:p w14:paraId="18826C3A" w14:textId="57502402" w:rsidR="002D0843" w:rsidRDefault="002D0843" w:rsidP="001F653E">
      <w:pPr>
        <w:pStyle w:val="Heading2"/>
      </w:pPr>
      <w:r>
        <w:t>Other Victoria Legal Aid headlines for 201</w:t>
      </w:r>
      <w:r w:rsidR="00E2734D">
        <w:t>8</w:t>
      </w:r>
    </w:p>
    <w:p w14:paraId="015D6F83" w14:textId="4DD040EA" w:rsidR="00192554" w:rsidRPr="00192554" w:rsidRDefault="00192554" w:rsidP="002D0843">
      <w:pPr>
        <w:pStyle w:val="ListBullet"/>
      </w:pPr>
      <w:r>
        <w:rPr>
          <w:b/>
        </w:rPr>
        <w:t xml:space="preserve">September </w:t>
      </w:r>
      <w:r w:rsidRPr="008A7A28">
        <w:t>–</w:t>
      </w:r>
      <w:r>
        <w:rPr>
          <w:b/>
        </w:rPr>
        <w:t xml:space="preserve"> </w:t>
      </w:r>
      <w:r w:rsidRPr="00272435">
        <w:t>Victoria Legal Aid</w:t>
      </w:r>
      <w:r>
        <w:t xml:space="preserve"> released the findings of an evaluation into</w:t>
      </w:r>
      <w:r w:rsidR="00F80149">
        <w:t xml:space="preserve"> our first Reconciliation </w:t>
      </w:r>
      <w:r w:rsidR="00FC0D8E">
        <w:t xml:space="preserve">Action </w:t>
      </w:r>
      <w:r w:rsidR="00F80149">
        <w:t>Plan (RAP). The evaluation shows that the RAP has had a positive impact on Victoria Legal Aid</w:t>
      </w:r>
      <w:r w:rsidR="00FC0D8E">
        <w:t>,</w:t>
      </w:r>
      <w:r w:rsidR="00F80149">
        <w:t xml:space="preserve"> with </w:t>
      </w:r>
      <w:r w:rsidR="00FC0D8E">
        <w:t xml:space="preserve">our </w:t>
      </w:r>
      <w:r w:rsidR="00F80149">
        <w:t xml:space="preserve">corporate priorities now including a commitment to improving access to our legal services for Aboriginal and Torres Strait Islander </w:t>
      </w:r>
      <w:r w:rsidR="00FC0D8E">
        <w:t>p</w:t>
      </w:r>
      <w:r w:rsidR="00F80149">
        <w:t xml:space="preserve">eople.   </w:t>
      </w:r>
      <w:r>
        <w:t xml:space="preserve"> </w:t>
      </w:r>
    </w:p>
    <w:p w14:paraId="5E7EAA49" w14:textId="41E3736F" w:rsidR="002D0843" w:rsidRDefault="00D24B28" w:rsidP="002D0843">
      <w:pPr>
        <w:pStyle w:val="ListBullet"/>
      </w:pPr>
      <w:r w:rsidRPr="00192554">
        <w:rPr>
          <w:b/>
        </w:rPr>
        <w:t xml:space="preserve">October </w:t>
      </w:r>
      <w:r>
        <w:t>–</w:t>
      </w:r>
      <w:r w:rsidR="00B303CD">
        <w:t xml:space="preserve"> Victoria Legal Aid’s new Chief Executive Officer </w:t>
      </w:r>
      <w:r w:rsidR="00BF6DBF">
        <w:t xml:space="preserve">Louise Glanville </w:t>
      </w:r>
      <w:r w:rsidR="00B303CD">
        <w:t>started after Bevan Warner</w:t>
      </w:r>
      <w:r w:rsidR="00BF6DBF">
        <w:t xml:space="preserve"> completed </w:t>
      </w:r>
      <w:r w:rsidR="00FC0D8E">
        <w:t xml:space="preserve">a </w:t>
      </w:r>
      <w:r w:rsidR="00167FB1">
        <w:t>ten-year</w:t>
      </w:r>
      <w:r w:rsidR="00BF6DBF">
        <w:t xml:space="preserve"> term in August 2018. </w:t>
      </w:r>
      <w:r w:rsidR="002D0843">
        <w:t xml:space="preserve"> </w:t>
      </w:r>
    </w:p>
    <w:p w14:paraId="3C579BB8" w14:textId="2A7D8435" w:rsidR="002D0843" w:rsidRDefault="002D0843" w:rsidP="00687C56">
      <w:pPr>
        <w:pStyle w:val="ListBullet"/>
      </w:pPr>
      <w:r w:rsidRPr="0047677D">
        <w:rPr>
          <w:b/>
        </w:rPr>
        <w:t>October</w:t>
      </w:r>
      <w:r>
        <w:t xml:space="preserve"> – </w:t>
      </w:r>
      <w:r w:rsidR="009576EA">
        <w:t xml:space="preserve">Changes to Victoria Legal Aid’s means test were introduced following the means test review. 13 recommendations were introduced to ensure our services are properly targeted to those in need. </w:t>
      </w:r>
    </w:p>
    <w:p w14:paraId="07FDBC96" w14:textId="415CCE45" w:rsidR="002D0843" w:rsidRDefault="002D0843" w:rsidP="002D0843">
      <w:pPr>
        <w:pStyle w:val="ListBullet"/>
      </w:pPr>
      <w:r w:rsidRPr="0047677D">
        <w:rPr>
          <w:b/>
        </w:rPr>
        <w:lastRenderedPageBreak/>
        <w:t>November</w:t>
      </w:r>
      <w:r>
        <w:t xml:space="preserve"> – </w:t>
      </w:r>
      <w:r w:rsidR="009576EA">
        <w:t>Victoria Le</w:t>
      </w:r>
      <w:r w:rsidR="00FC0D8E">
        <w:t>g</w:t>
      </w:r>
      <w:r w:rsidR="009576EA">
        <w:t>al Aid’s</w:t>
      </w:r>
      <w:r w:rsidR="005A3565">
        <w:t xml:space="preserve"> </w:t>
      </w:r>
      <w:r w:rsidR="00167FB1">
        <w:t>Legal Help Live Chat</w:t>
      </w:r>
      <w:r w:rsidR="005A3565">
        <w:t xml:space="preserve"> pilot</w:t>
      </w:r>
      <w:r w:rsidR="00167FB1">
        <w:t xml:space="preserve"> marked it</w:t>
      </w:r>
      <w:r w:rsidR="005A3565">
        <w:t>s</w:t>
      </w:r>
      <w:r w:rsidR="00167FB1">
        <w:t xml:space="preserve"> half way point with 675 chat session</w:t>
      </w:r>
      <w:r w:rsidR="00FC0D8E">
        <w:t>s</w:t>
      </w:r>
      <w:r w:rsidR="00167FB1">
        <w:t xml:space="preserve"> having been completed since the opening of the service </w:t>
      </w:r>
      <w:r w:rsidR="005A3565">
        <w:t>in</w:t>
      </w:r>
      <w:r w:rsidR="00105FFE">
        <w:t xml:space="preserve"> early October.</w:t>
      </w:r>
      <w:r w:rsidR="005A3565">
        <w:t xml:space="preserve"> </w:t>
      </w:r>
    </w:p>
    <w:p w14:paraId="5A78A1F0" w14:textId="79FCC6FF" w:rsidR="00374316" w:rsidRDefault="00374316" w:rsidP="002D0843">
      <w:pPr>
        <w:pStyle w:val="ListBullet"/>
      </w:pPr>
      <w:r>
        <w:rPr>
          <w:b/>
        </w:rPr>
        <w:t xml:space="preserve">December </w:t>
      </w:r>
      <w:r>
        <w:t xml:space="preserve">– Victoria Legal Aid’s Legal Help service extended its hours to increase </w:t>
      </w:r>
      <w:r w:rsidR="00FC0D8E">
        <w:t xml:space="preserve">the </w:t>
      </w:r>
      <w:r>
        <w:t xml:space="preserve">accessibility and availability of legal assistance to Victorians. </w:t>
      </w:r>
      <w:r w:rsidR="0018364B">
        <w:t>The service now operates for an additional 90 minutes per day</w:t>
      </w:r>
      <w:r w:rsidR="00FC0D8E">
        <w:t>.</w:t>
      </w:r>
    </w:p>
    <w:p w14:paraId="0D7B12F8" w14:textId="1891AA7A" w:rsidR="0047677D" w:rsidRDefault="0047677D" w:rsidP="0086035E">
      <w:pPr>
        <w:pStyle w:val="Heading2"/>
      </w:pPr>
      <w:r>
        <w:t>Financial summary</w:t>
      </w:r>
    </w:p>
    <w:p w14:paraId="761F86C5" w14:textId="01DA19B0" w:rsidR="00080BEC" w:rsidRPr="00F47CDE" w:rsidRDefault="00761295" w:rsidP="0047677D">
      <w:r w:rsidRPr="00F47CDE">
        <w:t xml:space="preserve">Demand for our services </w:t>
      </w:r>
      <w:r w:rsidR="0088184E" w:rsidRPr="00F47CDE">
        <w:t xml:space="preserve">has continued to increase </w:t>
      </w:r>
      <w:r w:rsidR="002735AB" w:rsidRPr="00F47CDE">
        <w:t>which is reflected in a 12.6% expenditure increase compared to the same period last year. O</w:t>
      </w:r>
      <w:r w:rsidR="00A745F8" w:rsidRPr="00F47CDE">
        <w:t>ur operating result for the period of 1 July to 31 December 2018 was</w:t>
      </w:r>
      <w:r w:rsidR="00FA79B7" w:rsidRPr="00F47CDE">
        <w:t xml:space="preserve"> </w:t>
      </w:r>
      <w:r w:rsidR="002735AB" w:rsidRPr="00F47CDE">
        <w:t>a</w:t>
      </w:r>
      <w:r w:rsidR="00FA79B7" w:rsidRPr="00F47CDE">
        <w:t xml:space="preserve"> </w:t>
      </w:r>
      <w:r w:rsidR="00A745F8" w:rsidRPr="00F47CDE">
        <w:t>$0.8</w:t>
      </w:r>
      <w:r w:rsidR="00FA79B7" w:rsidRPr="00F47CDE">
        <w:t xml:space="preserve"> million </w:t>
      </w:r>
      <w:r w:rsidR="0088184E" w:rsidRPr="00F47CDE">
        <w:t xml:space="preserve">in </w:t>
      </w:r>
      <w:r w:rsidR="00FA79B7" w:rsidRPr="00F47CDE">
        <w:t xml:space="preserve">deficit. </w:t>
      </w:r>
      <w:r w:rsidR="002735AB" w:rsidRPr="00F47CDE">
        <w:t xml:space="preserve">The trend of increased service demand means our </w:t>
      </w:r>
      <w:r w:rsidR="00213E14" w:rsidRPr="00F47CDE">
        <w:t xml:space="preserve">deficit is forecast to grow over the remaining </w:t>
      </w:r>
      <w:r w:rsidR="0066758C" w:rsidRPr="00F47CDE">
        <w:t xml:space="preserve">six </w:t>
      </w:r>
      <w:r w:rsidR="00213E14" w:rsidRPr="00F47CDE">
        <w:t>months</w:t>
      </w:r>
      <w:r w:rsidR="002735AB" w:rsidRPr="00F47CDE">
        <w:t xml:space="preserve">. This is due to a growth in expenditure </w:t>
      </w:r>
      <w:r w:rsidR="0066758C" w:rsidRPr="00F47CDE">
        <w:t>in the areas of indictable</w:t>
      </w:r>
      <w:r w:rsidR="002735AB" w:rsidRPr="00F47CDE">
        <w:t xml:space="preserve"> crime, </w:t>
      </w:r>
      <w:r w:rsidR="0066758C" w:rsidRPr="00F47CDE">
        <w:t>summary crime and child protection. We</w:t>
      </w:r>
      <w:r w:rsidR="00213E14" w:rsidRPr="00F47CDE">
        <w:t xml:space="preserve"> will be enacting </w:t>
      </w:r>
      <w:r w:rsidR="0066758C" w:rsidRPr="00F47CDE">
        <w:t xml:space="preserve">several internal savings </w:t>
      </w:r>
      <w:r w:rsidR="00213E14" w:rsidRPr="00F47CDE">
        <w:t xml:space="preserve">measures this financial year </w:t>
      </w:r>
      <w:r w:rsidR="002735AB" w:rsidRPr="00F47CDE">
        <w:t>to</w:t>
      </w:r>
      <w:r w:rsidR="00213E14" w:rsidRPr="00F47CDE">
        <w:t xml:space="preserve"> contain our deficit to around $3 million. </w:t>
      </w:r>
    </w:p>
    <w:p w14:paraId="7DD45CE4" w14:textId="77777777" w:rsidR="0047677D" w:rsidRDefault="00F97BE6" w:rsidP="00F97BE6">
      <w:pPr>
        <w:pStyle w:val="Heading3"/>
      </w:pPr>
      <w:r>
        <w:t>Revenue</w:t>
      </w:r>
    </w:p>
    <w:tbl>
      <w:tblPr>
        <w:tblStyle w:val="TableGrid"/>
        <w:tblW w:w="0" w:type="auto"/>
        <w:tblLook w:val="04A0" w:firstRow="1" w:lastRow="0" w:firstColumn="1" w:lastColumn="0" w:noHBand="0" w:noVBand="1"/>
      </w:tblPr>
      <w:tblGrid>
        <w:gridCol w:w="3964"/>
        <w:gridCol w:w="2037"/>
        <w:gridCol w:w="2037"/>
        <w:gridCol w:w="2038"/>
      </w:tblGrid>
      <w:tr w:rsidR="002312A1" w:rsidRPr="00E71054" w14:paraId="5F78DEE4" w14:textId="77777777" w:rsidTr="002A7A37">
        <w:trPr>
          <w:cantSplit/>
          <w:tblHeader/>
        </w:trPr>
        <w:tc>
          <w:tcPr>
            <w:tcW w:w="3964" w:type="dxa"/>
            <w:shd w:val="clear" w:color="auto" w:fill="A7D0E3"/>
          </w:tcPr>
          <w:p w14:paraId="56FC8E30" w14:textId="1E0F1DF3" w:rsidR="002312A1" w:rsidRPr="009708FE" w:rsidRDefault="001F653E" w:rsidP="002312A1">
            <w:pPr>
              <w:rPr>
                <w:b/>
                <w:lang w:eastAsia="en-AU"/>
              </w:rPr>
            </w:pPr>
            <w:r>
              <w:rPr>
                <w:b/>
              </w:rPr>
              <w:t>Revenue y</w:t>
            </w:r>
            <w:r w:rsidR="002312A1" w:rsidRPr="009708FE">
              <w:rPr>
                <w:b/>
              </w:rPr>
              <w:t>ear to date</w:t>
            </w:r>
          </w:p>
        </w:tc>
        <w:tc>
          <w:tcPr>
            <w:tcW w:w="2037" w:type="dxa"/>
            <w:shd w:val="clear" w:color="auto" w:fill="A7D0E3"/>
          </w:tcPr>
          <w:p w14:paraId="31E7AEEA" w14:textId="4A0BD69D" w:rsidR="002312A1" w:rsidRPr="009708FE" w:rsidRDefault="002312A1" w:rsidP="002312A1">
            <w:pPr>
              <w:rPr>
                <w:b/>
                <w:lang w:eastAsia="en-AU"/>
              </w:rPr>
            </w:pPr>
            <w:r w:rsidRPr="009708FE">
              <w:rPr>
                <w:b/>
                <w:lang w:eastAsia="en-AU"/>
              </w:rPr>
              <w:t>As at 31 Dec 201</w:t>
            </w:r>
            <w:r w:rsidR="00F12E38" w:rsidRPr="009708FE">
              <w:rPr>
                <w:b/>
                <w:lang w:eastAsia="en-AU"/>
              </w:rPr>
              <w:t>7</w:t>
            </w:r>
            <w:r w:rsidRPr="009708FE">
              <w:rPr>
                <w:b/>
                <w:lang w:eastAsia="en-AU"/>
              </w:rPr>
              <w:t xml:space="preserve"> ($’</w:t>
            </w:r>
            <w:r w:rsidR="0018364B">
              <w:rPr>
                <w:b/>
                <w:lang w:eastAsia="en-AU"/>
              </w:rPr>
              <w:t>000</w:t>
            </w:r>
            <w:r w:rsidRPr="009708FE">
              <w:rPr>
                <w:b/>
                <w:lang w:eastAsia="en-AU"/>
              </w:rPr>
              <w:t>)</w:t>
            </w:r>
          </w:p>
        </w:tc>
        <w:tc>
          <w:tcPr>
            <w:tcW w:w="2037" w:type="dxa"/>
            <w:shd w:val="clear" w:color="auto" w:fill="A7D0E3"/>
          </w:tcPr>
          <w:p w14:paraId="202E1AEE" w14:textId="43350EC4" w:rsidR="002312A1" w:rsidRPr="009708FE" w:rsidRDefault="00920686" w:rsidP="002312A1">
            <w:pPr>
              <w:rPr>
                <w:b/>
                <w:lang w:eastAsia="en-AU"/>
              </w:rPr>
            </w:pPr>
            <w:r w:rsidRPr="009708FE">
              <w:rPr>
                <w:b/>
                <w:noProof/>
                <w:lang w:eastAsia="en-AU"/>
              </w:rPr>
              <mc:AlternateContent>
                <mc:Choice Requires="wpi">
                  <w:drawing>
                    <wp:anchor distT="0" distB="0" distL="114300" distR="114300" simplePos="0" relativeHeight="251658240" behindDoc="0" locked="0" layoutInCell="1" allowOverlap="1" wp14:anchorId="3ADE42BE" wp14:editId="7BB34DAF">
                      <wp:simplePos x="0" y="0"/>
                      <wp:positionH relativeFrom="column">
                        <wp:posOffset>510031</wp:posOffset>
                      </wp:positionH>
                      <wp:positionV relativeFrom="paragraph">
                        <wp:posOffset>356009</wp:posOffset>
                      </wp:positionV>
                      <wp:extent cx="5394" cy="5394"/>
                      <wp:effectExtent l="19050" t="19050" r="52070" b="5207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5394" cy="5394"/>
                            </w14:xfrm>
                          </w14:contentPart>
                        </a:graphicData>
                      </a:graphic>
                    </wp:anchor>
                  </w:drawing>
                </mc:Choice>
                <mc:Fallback>
                  <w:pict>
                    <v:shapetype w14:anchorId="1B07B5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9.95pt;margin-top:27.85pt;width:.85pt;height:.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WlBuBAQAAKAMAAA4AAABkcnMvZTJvRG9jLnhtbJxSQU7DMBC8I/EH&#10;a+80SSmFRk05UCFxAHqABxjHbixib7R2m/J7NmlLCwgh9RKtPfHszM5ObzeuFmtNwaIvIBukILRX&#10;WFq/LOD15f7iBkSI0peyRq8L+NABbmfnZ9O2yfUQK6xLTYJJfMjbpoAqxiZPkqAq7WQYYKM9gwbJ&#10;ychHWiYlyZbZXZ0M03SctEhlQ6h0CHw734Iw6/mN0So+GxN0FHUBw/HkGkTcF1TAZZplIN52RTKb&#10;ynxJsqms2kmSJyhy0noW8EU1l1GKFdlfVM4qwoAmDhS6BI2xSvd+2FmW/nD24N87V9lIrShX6KP2&#10;cSEp7mfXA6e0cDVPoH3EktORq4iwY+Tx/B/GVvQc1cqxnm0ipGsZeR1CZZsAgnJbFkAPZXbQ79d3&#10;BwcLOvh6Wi9IdP+PQHjpWBL7FiPgaPbWn76/ZSTZQX+xbgy5Lg8WKzYF8Ip+dN8+br2JQvHl1eWE&#10;WyoG+uqIdft63+No8tz4W8bH507U0YLPPg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Lo4Hh/eAAAABwEAAA8AAABkcnMvZG93bnJldi54bWxMjsFOwzAQRO9I/IO1SFyq1mlF&#10;mzbEqQAJDhSB2nLg6MZLEhGvI9tNwt+znOA4mtGbl29H24oefWgcKZjPEhBIpTMNVQrej4/TNYgQ&#10;NRndOkIF3xhgW1xe5DozbqA99odYCYZQyLSCOsYukzKUNVodZq5D4u7TeasjR19J4/XAcNvKRZKs&#10;pNUN8UOtO3yosfw6nK2C192wSJonub9/efZvdvyYoO0nSl1fjXe3ICKO8W8Mv/qsDgU7ndyZTBCt&#10;gnSz4aWC5TIFwf16vgJx4pzegCxy+d+/+AEAAP//AwBQSwMEFAAGAAgAAAAhAJ53f6fPAQAAeAQA&#10;ABAAAABkcnMvaW5rL2luazEueG1stJNBb5swFMfvk/odLO+wywDbIYGikp4aadImTWsndUcKbrCK&#10;TWRMSL79HsZxqJqql01CYJ79/n7v579vbg+yQXuuO9GqHNOQYMRV2VZCbXP8+2ETpBh1plBV0bSK&#10;5/jIO3y7vvp0I9SLbDJ4I1BQ3TiSTY5rY3ZZFA3DEA6LsNXbiBGyiL6plx/f8dplVfxZKGFgy+4U&#10;Kltl+MGMYpmoclyaA/HrQfu+7XXJ/fQY0eV5hdFFyTetloXxinWhFG+QKiTU/YiROe5gIGCfLdcY&#10;SQENByykcRKnd9cQKA45nv33UGIHlUgcXdb88x80N281x7IWLFklGLmSKr4fa4os8+z93n/qdse1&#10;EfyMeYLiJo6onP4tnwmU5l3b9OPZYLQvmh6QUULAFm5vGl0A8lYP2PxTPeDyrt68uNdoXHtzDg6a&#10;t9TpaI2QHIwud95jpgPhMXxvtL0OjNAkICxg5IGSbEEyRkO2SmdH4Vx80nzSfVd7vSd99qud8dSm&#10;zgZRmdpDJyFh6fJ85nPql7JrLra1+SDdNW/zvX8u3EZrKeS6+cWfc/zZXkhkM6eAbYcu6TVDdJmS&#10;GFH4xF+/sGR8glVMyCuH+v0A/fovAAAA//8DAFBLAQItABQABgAIAAAAIQCbMyc3DAEAAC0CAAAT&#10;AAAAAAAAAAAAAAAAAAAAAABbQ29udGVudF9UeXBlc10ueG1sUEsBAi0AFAAGAAgAAAAhADj9If/W&#10;AAAAlAEAAAsAAAAAAAAAAAAAAAAAPQEAAF9yZWxzLy5yZWxzUEsBAi0AFAAGAAgAAAAhAEqWlBuB&#10;AQAAKAMAAA4AAAAAAAAAAAAAAAAAPAIAAGRycy9lMm9Eb2MueG1sUEsBAi0AFAAGAAgAAAAhAHkY&#10;vJ2/AAAAIQEAABkAAAAAAAAAAAAAAAAA6QMAAGRycy9fcmVscy9lMm9Eb2MueG1sLnJlbHNQSwEC&#10;LQAUAAYACAAAACEAujgeH94AAAAHAQAADwAAAAAAAAAAAAAAAADfBAAAZHJzL2Rvd25yZXYueG1s&#10;UEsBAi0AFAAGAAgAAAAhAJ53f6fPAQAAeAQAABAAAAAAAAAAAAAAAAAA6gUAAGRycy9pbmsvaW5r&#10;MS54bWxQSwUGAAAAAAYABgB4AQAA5wcAAAAA&#10;">
                      <v:imagedata r:id="rId15" o:title=""/>
                    </v:shape>
                  </w:pict>
                </mc:Fallback>
              </mc:AlternateContent>
            </w:r>
            <w:r w:rsidR="002312A1" w:rsidRPr="009708FE">
              <w:rPr>
                <w:b/>
              </w:rPr>
              <w:t>As at 31 Dec 201</w:t>
            </w:r>
            <w:r w:rsidR="00F12E38" w:rsidRPr="009708FE">
              <w:rPr>
                <w:b/>
              </w:rPr>
              <w:t>8</w:t>
            </w:r>
            <w:r w:rsidR="002312A1" w:rsidRPr="009708FE">
              <w:rPr>
                <w:b/>
              </w:rPr>
              <w:t xml:space="preserve"> </w:t>
            </w:r>
            <w:r w:rsidR="002312A1" w:rsidRPr="009708FE">
              <w:rPr>
                <w:b/>
                <w:lang w:eastAsia="en-AU"/>
              </w:rPr>
              <w:t>($’</w:t>
            </w:r>
            <w:r w:rsidR="0018364B">
              <w:rPr>
                <w:b/>
                <w:lang w:eastAsia="en-AU"/>
              </w:rPr>
              <w:t>000</w:t>
            </w:r>
            <w:r w:rsidR="002312A1" w:rsidRPr="009708FE">
              <w:rPr>
                <w:b/>
                <w:lang w:eastAsia="en-AU"/>
              </w:rPr>
              <w:t>)</w:t>
            </w:r>
          </w:p>
        </w:tc>
        <w:tc>
          <w:tcPr>
            <w:tcW w:w="2038" w:type="dxa"/>
            <w:shd w:val="clear" w:color="auto" w:fill="A7D0E3"/>
          </w:tcPr>
          <w:p w14:paraId="23CBE0B9" w14:textId="77777777" w:rsidR="002312A1" w:rsidRPr="009708FE" w:rsidRDefault="002312A1" w:rsidP="002312A1">
            <w:pPr>
              <w:rPr>
                <w:b/>
                <w:lang w:eastAsia="en-AU"/>
              </w:rPr>
            </w:pPr>
            <w:r w:rsidRPr="009708FE">
              <w:rPr>
                <w:b/>
                <w:lang w:eastAsia="en-AU"/>
              </w:rPr>
              <w:t>Variance</w:t>
            </w:r>
          </w:p>
        </w:tc>
      </w:tr>
      <w:tr w:rsidR="002312A1" w:rsidRPr="00E71054" w14:paraId="3D857948" w14:textId="77777777" w:rsidTr="002A7A37">
        <w:trPr>
          <w:cantSplit/>
        </w:trPr>
        <w:tc>
          <w:tcPr>
            <w:tcW w:w="3964" w:type="dxa"/>
          </w:tcPr>
          <w:p w14:paraId="3B0BA7D2" w14:textId="77777777" w:rsidR="002312A1" w:rsidRPr="009708FE" w:rsidRDefault="002312A1" w:rsidP="002312A1">
            <w:pPr>
              <w:rPr>
                <w:lang w:eastAsia="en-AU"/>
              </w:rPr>
            </w:pPr>
            <w:r w:rsidRPr="009708FE">
              <w:t>Commonwealth – grants</w:t>
            </w:r>
          </w:p>
        </w:tc>
        <w:tc>
          <w:tcPr>
            <w:tcW w:w="2037" w:type="dxa"/>
          </w:tcPr>
          <w:p w14:paraId="4931F8B5" w14:textId="688AEF11" w:rsidR="002312A1" w:rsidRPr="009708FE" w:rsidRDefault="00E2734D" w:rsidP="00F00EF3">
            <w:pPr>
              <w:jc w:val="center"/>
              <w:rPr>
                <w:lang w:eastAsia="en-AU"/>
              </w:rPr>
            </w:pPr>
            <w:r w:rsidRPr="009708FE">
              <w:rPr>
                <w:lang w:eastAsia="en-AU"/>
              </w:rPr>
              <w:t>32,275</w:t>
            </w:r>
          </w:p>
        </w:tc>
        <w:tc>
          <w:tcPr>
            <w:tcW w:w="2037" w:type="dxa"/>
          </w:tcPr>
          <w:p w14:paraId="1D1F144B" w14:textId="5453F8A2" w:rsidR="002312A1" w:rsidRPr="009708FE" w:rsidRDefault="003304DB" w:rsidP="00F00EF3">
            <w:pPr>
              <w:jc w:val="center"/>
              <w:rPr>
                <w:lang w:eastAsia="en-AU"/>
              </w:rPr>
            </w:pPr>
            <w:r w:rsidRPr="009708FE">
              <w:rPr>
                <w:lang w:eastAsia="en-AU"/>
              </w:rPr>
              <w:t>35,588</w:t>
            </w:r>
          </w:p>
        </w:tc>
        <w:tc>
          <w:tcPr>
            <w:tcW w:w="2038" w:type="dxa"/>
          </w:tcPr>
          <w:p w14:paraId="4C5A413C" w14:textId="41EC87A5" w:rsidR="002312A1" w:rsidRPr="009708FE" w:rsidRDefault="00E2734D" w:rsidP="00F00EF3">
            <w:pPr>
              <w:jc w:val="center"/>
              <w:rPr>
                <w:lang w:eastAsia="en-AU"/>
              </w:rPr>
            </w:pPr>
            <w:r w:rsidRPr="009708FE">
              <w:rPr>
                <w:lang w:eastAsia="en-AU"/>
              </w:rPr>
              <w:t>10.3%</w:t>
            </w:r>
          </w:p>
        </w:tc>
      </w:tr>
      <w:tr w:rsidR="002312A1" w:rsidRPr="00E71054" w14:paraId="061ED81C" w14:textId="77777777" w:rsidTr="002A7A37">
        <w:trPr>
          <w:cantSplit/>
        </w:trPr>
        <w:tc>
          <w:tcPr>
            <w:tcW w:w="3964" w:type="dxa"/>
          </w:tcPr>
          <w:p w14:paraId="448A9ADE" w14:textId="77777777" w:rsidR="002312A1" w:rsidRPr="009708FE" w:rsidRDefault="002312A1" w:rsidP="002312A1">
            <w:pPr>
              <w:rPr>
                <w:lang w:eastAsia="en-AU"/>
              </w:rPr>
            </w:pPr>
            <w:r w:rsidRPr="009708FE">
              <w:t>State – grants</w:t>
            </w:r>
          </w:p>
        </w:tc>
        <w:tc>
          <w:tcPr>
            <w:tcW w:w="2037" w:type="dxa"/>
          </w:tcPr>
          <w:p w14:paraId="14641D14" w14:textId="72BEA76F" w:rsidR="002312A1" w:rsidRPr="009708FE" w:rsidRDefault="00E2734D" w:rsidP="00F00EF3">
            <w:pPr>
              <w:jc w:val="center"/>
              <w:rPr>
                <w:lang w:eastAsia="en-AU"/>
              </w:rPr>
            </w:pPr>
            <w:r w:rsidRPr="009708FE">
              <w:rPr>
                <w:lang w:eastAsia="en-AU"/>
              </w:rPr>
              <w:t>56,309</w:t>
            </w:r>
          </w:p>
        </w:tc>
        <w:tc>
          <w:tcPr>
            <w:tcW w:w="2037" w:type="dxa"/>
          </w:tcPr>
          <w:p w14:paraId="5FBC475B" w14:textId="3A423109" w:rsidR="002312A1" w:rsidRPr="009708FE" w:rsidRDefault="00E2734D" w:rsidP="00F00EF3">
            <w:pPr>
              <w:jc w:val="center"/>
              <w:rPr>
                <w:lang w:eastAsia="en-AU"/>
              </w:rPr>
            </w:pPr>
            <w:r w:rsidRPr="009708FE">
              <w:rPr>
                <w:lang w:eastAsia="en-AU"/>
              </w:rPr>
              <w:t>64,824</w:t>
            </w:r>
          </w:p>
        </w:tc>
        <w:tc>
          <w:tcPr>
            <w:tcW w:w="2038" w:type="dxa"/>
          </w:tcPr>
          <w:p w14:paraId="550A45A6" w14:textId="5C926837" w:rsidR="002312A1" w:rsidRPr="009708FE" w:rsidRDefault="00E2734D" w:rsidP="00F00EF3">
            <w:pPr>
              <w:jc w:val="center"/>
              <w:rPr>
                <w:lang w:eastAsia="en-AU"/>
              </w:rPr>
            </w:pPr>
            <w:r w:rsidRPr="009708FE">
              <w:rPr>
                <w:lang w:eastAsia="en-AU"/>
              </w:rPr>
              <w:t>15.1</w:t>
            </w:r>
            <w:r w:rsidR="0018364B">
              <w:rPr>
                <w:lang w:eastAsia="en-AU"/>
              </w:rPr>
              <w:t>%</w:t>
            </w:r>
          </w:p>
        </w:tc>
      </w:tr>
      <w:tr w:rsidR="002312A1" w:rsidRPr="00E71054" w14:paraId="0A4E6914" w14:textId="77777777" w:rsidTr="002A7A37">
        <w:trPr>
          <w:cantSplit/>
        </w:trPr>
        <w:tc>
          <w:tcPr>
            <w:tcW w:w="3964" w:type="dxa"/>
          </w:tcPr>
          <w:p w14:paraId="685565BD" w14:textId="77777777" w:rsidR="002312A1" w:rsidRPr="009708FE" w:rsidRDefault="002312A1" w:rsidP="002312A1">
            <w:pPr>
              <w:rPr>
                <w:lang w:eastAsia="en-AU"/>
              </w:rPr>
            </w:pPr>
            <w:r w:rsidRPr="009708FE">
              <w:t>Public Purpose Fund</w:t>
            </w:r>
          </w:p>
        </w:tc>
        <w:tc>
          <w:tcPr>
            <w:tcW w:w="2037" w:type="dxa"/>
          </w:tcPr>
          <w:p w14:paraId="2F2CED03" w14:textId="5FABCE9A" w:rsidR="002312A1" w:rsidRPr="009708FE" w:rsidRDefault="00E2734D" w:rsidP="00F00EF3">
            <w:pPr>
              <w:jc w:val="center"/>
              <w:rPr>
                <w:lang w:eastAsia="en-AU"/>
              </w:rPr>
            </w:pPr>
            <w:r w:rsidRPr="009708FE">
              <w:rPr>
                <w:lang w:eastAsia="en-AU"/>
              </w:rPr>
              <w:t>15,018</w:t>
            </w:r>
          </w:p>
        </w:tc>
        <w:tc>
          <w:tcPr>
            <w:tcW w:w="2037" w:type="dxa"/>
          </w:tcPr>
          <w:p w14:paraId="698D4E66" w14:textId="5D4277F9" w:rsidR="002312A1" w:rsidRPr="009708FE" w:rsidRDefault="00E2734D" w:rsidP="00F00EF3">
            <w:pPr>
              <w:jc w:val="center"/>
              <w:rPr>
                <w:lang w:eastAsia="en-AU"/>
              </w:rPr>
            </w:pPr>
            <w:r w:rsidRPr="009708FE">
              <w:rPr>
                <w:lang w:eastAsia="en-AU"/>
              </w:rPr>
              <w:t>16,069</w:t>
            </w:r>
          </w:p>
        </w:tc>
        <w:tc>
          <w:tcPr>
            <w:tcW w:w="2038" w:type="dxa"/>
          </w:tcPr>
          <w:p w14:paraId="6D0595BD" w14:textId="77B4F9E4" w:rsidR="002312A1" w:rsidRPr="009708FE" w:rsidRDefault="00B303CD" w:rsidP="00F00EF3">
            <w:pPr>
              <w:jc w:val="center"/>
              <w:rPr>
                <w:lang w:eastAsia="en-AU"/>
              </w:rPr>
            </w:pPr>
            <w:r w:rsidRPr="009708FE">
              <w:rPr>
                <w:lang w:eastAsia="en-AU"/>
              </w:rPr>
              <w:t>7</w:t>
            </w:r>
            <w:r w:rsidR="0018364B">
              <w:rPr>
                <w:lang w:eastAsia="en-AU"/>
              </w:rPr>
              <w:t>%</w:t>
            </w:r>
          </w:p>
        </w:tc>
      </w:tr>
      <w:tr w:rsidR="002312A1" w:rsidRPr="00E71054" w14:paraId="0BF18D3B" w14:textId="77777777" w:rsidTr="002A7A37">
        <w:trPr>
          <w:cantSplit/>
        </w:trPr>
        <w:tc>
          <w:tcPr>
            <w:tcW w:w="3964" w:type="dxa"/>
          </w:tcPr>
          <w:p w14:paraId="7D21C9A7" w14:textId="77777777" w:rsidR="002312A1" w:rsidRPr="009708FE" w:rsidRDefault="00303F32" w:rsidP="002312A1">
            <w:pPr>
              <w:rPr>
                <w:lang w:eastAsia="en-AU"/>
              </w:rPr>
            </w:pPr>
            <w:r w:rsidRPr="009708FE">
              <w:t xml:space="preserve">Case </w:t>
            </w:r>
            <w:r w:rsidR="002312A1" w:rsidRPr="009708FE">
              <w:t>revenue</w:t>
            </w:r>
          </w:p>
        </w:tc>
        <w:tc>
          <w:tcPr>
            <w:tcW w:w="2037" w:type="dxa"/>
          </w:tcPr>
          <w:p w14:paraId="1441FE03" w14:textId="1147533B" w:rsidR="002312A1" w:rsidRPr="009708FE" w:rsidRDefault="00B303CD" w:rsidP="00F00EF3">
            <w:pPr>
              <w:jc w:val="center"/>
              <w:rPr>
                <w:lang w:eastAsia="en-AU"/>
              </w:rPr>
            </w:pPr>
            <w:r w:rsidRPr="009708FE">
              <w:rPr>
                <w:lang w:eastAsia="en-AU"/>
              </w:rPr>
              <w:t>1,965</w:t>
            </w:r>
          </w:p>
        </w:tc>
        <w:tc>
          <w:tcPr>
            <w:tcW w:w="2037" w:type="dxa"/>
          </w:tcPr>
          <w:p w14:paraId="42BA73C2" w14:textId="667E2878" w:rsidR="002312A1" w:rsidRPr="009708FE" w:rsidRDefault="00B303CD" w:rsidP="00F00EF3">
            <w:pPr>
              <w:jc w:val="center"/>
              <w:rPr>
                <w:lang w:eastAsia="en-AU"/>
              </w:rPr>
            </w:pPr>
            <w:r w:rsidRPr="009708FE">
              <w:rPr>
                <w:lang w:eastAsia="en-AU"/>
              </w:rPr>
              <w:t>2,650</w:t>
            </w:r>
          </w:p>
        </w:tc>
        <w:tc>
          <w:tcPr>
            <w:tcW w:w="2038" w:type="dxa"/>
          </w:tcPr>
          <w:p w14:paraId="05F7BBF0" w14:textId="74E39FF4" w:rsidR="002312A1" w:rsidRPr="009708FE" w:rsidRDefault="00B303CD" w:rsidP="00F00EF3">
            <w:pPr>
              <w:jc w:val="center"/>
              <w:rPr>
                <w:lang w:eastAsia="en-AU"/>
              </w:rPr>
            </w:pPr>
            <w:r w:rsidRPr="009708FE">
              <w:rPr>
                <w:lang w:eastAsia="en-AU"/>
              </w:rPr>
              <w:t>34.9</w:t>
            </w:r>
            <w:r w:rsidR="0018364B">
              <w:rPr>
                <w:lang w:eastAsia="en-AU"/>
              </w:rPr>
              <w:t>%</w:t>
            </w:r>
          </w:p>
        </w:tc>
      </w:tr>
      <w:tr w:rsidR="002312A1" w:rsidRPr="00E71054" w14:paraId="021CACEC" w14:textId="77777777" w:rsidTr="002A7A37">
        <w:trPr>
          <w:cantSplit/>
        </w:trPr>
        <w:tc>
          <w:tcPr>
            <w:tcW w:w="3964" w:type="dxa"/>
            <w:tcBorders>
              <w:bottom w:val="single" w:sz="4" w:space="0" w:color="auto"/>
            </w:tcBorders>
          </w:tcPr>
          <w:p w14:paraId="4CC3B5E6" w14:textId="77777777" w:rsidR="002312A1" w:rsidRPr="009708FE" w:rsidRDefault="002312A1" w:rsidP="002312A1">
            <w:pPr>
              <w:rPr>
                <w:lang w:eastAsia="en-AU"/>
              </w:rPr>
            </w:pPr>
            <w:r w:rsidRPr="009708FE">
              <w:t>Other income</w:t>
            </w:r>
          </w:p>
        </w:tc>
        <w:tc>
          <w:tcPr>
            <w:tcW w:w="2037" w:type="dxa"/>
            <w:tcBorders>
              <w:bottom w:val="single" w:sz="4" w:space="0" w:color="auto"/>
            </w:tcBorders>
          </w:tcPr>
          <w:p w14:paraId="0B260B81" w14:textId="77D49994" w:rsidR="002312A1" w:rsidRPr="009708FE" w:rsidRDefault="00B303CD" w:rsidP="00F00EF3">
            <w:pPr>
              <w:jc w:val="center"/>
              <w:rPr>
                <w:lang w:eastAsia="en-AU"/>
              </w:rPr>
            </w:pPr>
            <w:r w:rsidRPr="009708FE">
              <w:rPr>
                <w:lang w:eastAsia="en-AU"/>
              </w:rPr>
              <w:t>510</w:t>
            </w:r>
          </w:p>
        </w:tc>
        <w:tc>
          <w:tcPr>
            <w:tcW w:w="2037" w:type="dxa"/>
            <w:tcBorders>
              <w:bottom w:val="single" w:sz="4" w:space="0" w:color="auto"/>
            </w:tcBorders>
          </w:tcPr>
          <w:p w14:paraId="4D940A43" w14:textId="15AEECEC" w:rsidR="002312A1" w:rsidRPr="009708FE" w:rsidRDefault="00B303CD" w:rsidP="00F00EF3">
            <w:pPr>
              <w:jc w:val="center"/>
              <w:rPr>
                <w:lang w:eastAsia="en-AU"/>
              </w:rPr>
            </w:pPr>
            <w:r w:rsidRPr="009708FE">
              <w:rPr>
                <w:lang w:eastAsia="en-AU"/>
              </w:rPr>
              <w:t>540</w:t>
            </w:r>
          </w:p>
        </w:tc>
        <w:tc>
          <w:tcPr>
            <w:tcW w:w="2038" w:type="dxa"/>
            <w:tcBorders>
              <w:bottom w:val="single" w:sz="4" w:space="0" w:color="auto"/>
            </w:tcBorders>
          </w:tcPr>
          <w:p w14:paraId="435A813C" w14:textId="5B7C44DB" w:rsidR="002312A1" w:rsidRPr="009708FE" w:rsidRDefault="00B303CD" w:rsidP="00F00EF3">
            <w:pPr>
              <w:jc w:val="center"/>
              <w:rPr>
                <w:lang w:eastAsia="en-AU"/>
              </w:rPr>
            </w:pPr>
            <w:r w:rsidRPr="009708FE">
              <w:rPr>
                <w:lang w:eastAsia="en-AU"/>
              </w:rPr>
              <w:t>6</w:t>
            </w:r>
            <w:r w:rsidR="0018364B">
              <w:rPr>
                <w:lang w:eastAsia="en-AU"/>
              </w:rPr>
              <w:t>%</w:t>
            </w:r>
          </w:p>
        </w:tc>
      </w:tr>
      <w:tr w:rsidR="002312A1" w14:paraId="2DACF4FB" w14:textId="77777777" w:rsidTr="002A7A37">
        <w:trPr>
          <w:cantSplit/>
        </w:trPr>
        <w:tc>
          <w:tcPr>
            <w:tcW w:w="3964" w:type="dxa"/>
            <w:shd w:val="clear" w:color="auto" w:fill="F2F2F2" w:themeFill="background1" w:themeFillShade="F2"/>
          </w:tcPr>
          <w:p w14:paraId="21229036" w14:textId="77777777" w:rsidR="002312A1" w:rsidRPr="009708FE" w:rsidRDefault="002312A1" w:rsidP="002312A1">
            <w:pPr>
              <w:rPr>
                <w:b/>
                <w:lang w:eastAsia="en-AU"/>
              </w:rPr>
            </w:pPr>
            <w:r w:rsidRPr="009708FE">
              <w:rPr>
                <w:b/>
              </w:rPr>
              <w:t>Total revenue</w:t>
            </w:r>
          </w:p>
        </w:tc>
        <w:tc>
          <w:tcPr>
            <w:tcW w:w="2037" w:type="dxa"/>
            <w:shd w:val="clear" w:color="auto" w:fill="F2F2F2" w:themeFill="background1" w:themeFillShade="F2"/>
          </w:tcPr>
          <w:p w14:paraId="46031D1E" w14:textId="557A1C22" w:rsidR="002312A1" w:rsidRPr="009708FE" w:rsidRDefault="00D333CC" w:rsidP="00F00EF3">
            <w:pPr>
              <w:jc w:val="center"/>
              <w:rPr>
                <w:lang w:eastAsia="en-AU"/>
              </w:rPr>
            </w:pPr>
            <w:r w:rsidRPr="009708FE">
              <w:rPr>
                <w:lang w:eastAsia="en-AU"/>
              </w:rPr>
              <w:t>106,078</w:t>
            </w:r>
          </w:p>
        </w:tc>
        <w:tc>
          <w:tcPr>
            <w:tcW w:w="2037" w:type="dxa"/>
            <w:shd w:val="clear" w:color="auto" w:fill="F2F2F2" w:themeFill="background1" w:themeFillShade="F2"/>
          </w:tcPr>
          <w:p w14:paraId="0080ECE8" w14:textId="7FC4B89C" w:rsidR="002312A1" w:rsidRPr="009708FE" w:rsidRDefault="00D333CC" w:rsidP="00F00EF3">
            <w:pPr>
              <w:jc w:val="center"/>
              <w:rPr>
                <w:lang w:eastAsia="en-AU"/>
              </w:rPr>
            </w:pPr>
            <w:r w:rsidRPr="009708FE">
              <w:rPr>
                <w:lang w:eastAsia="en-AU"/>
              </w:rPr>
              <w:t>119,672</w:t>
            </w:r>
          </w:p>
        </w:tc>
        <w:tc>
          <w:tcPr>
            <w:tcW w:w="2038" w:type="dxa"/>
            <w:shd w:val="clear" w:color="auto" w:fill="F2F2F2" w:themeFill="background1" w:themeFillShade="F2"/>
          </w:tcPr>
          <w:p w14:paraId="6D0D2E0F" w14:textId="496A7115" w:rsidR="002312A1" w:rsidRPr="009708FE" w:rsidRDefault="00D333CC" w:rsidP="00F00EF3">
            <w:pPr>
              <w:jc w:val="center"/>
            </w:pPr>
            <w:r w:rsidRPr="009708FE">
              <w:t>12.8</w:t>
            </w:r>
            <w:r w:rsidR="0018364B">
              <w:t>%</w:t>
            </w:r>
          </w:p>
        </w:tc>
      </w:tr>
    </w:tbl>
    <w:p w14:paraId="5F3F060B" w14:textId="77777777" w:rsidR="002312A1" w:rsidRDefault="002312A1" w:rsidP="002312A1">
      <w:pPr>
        <w:pStyle w:val="Heading3"/>
      </w:pPr>
      <w:r>
        <w:t>Expenditure</w:t>
      </w:r>
    </w:p>
    <w:tbl>
      <w:tblPr>
        <w:tblStyle w:val="TableGrid"/>
        <w:tblW w:w="0" w:type="auto"/>
        <w:tblLook w:val="04A0" w:firstRow="1" w:lastRow="0" w:firstColumn="1" w:lastColumn="0" w:noHBand="0" w:noVBand="1"/>
      </w:tblPr>
      <w:tblGrid>
        <w:gridCol w:w="3964"/>
        <w:gridCol w:w="2037"/>
        <w:gridCol w:w="2037"/>
        <w:gridCol w:w="2038"/>
      </w:tblGrid>
      <w:tr w:rsidR="002312A1" w:rsidRPr="00E71054" w14:paraId="16DB33D5" w14:textId="77777777" w:rsidTr="002A7A37">
        <w:trPr>
          <w:cantSplit/>
          <w:tblHeader/>
        </w:trPr>
        <w:tc>
          <w:tcPr>
            <w:tcW w:w="3964" w:type="dxa"/>
            <w:shd w:val="clear" w:color="auto" w:fill="A7D0E3"/>
          </w:tcPr>
          <w:p w14:paraId="0FD7AB11" w14:textId="5E275B81" w:rsidR="002312A1" w:rsidRPr="009708FE" w:rsidRDefault="001F653E" w:rsidP="00A40CEB">
            <w:pPr>
              <w:rPr>
                <w:b/>
                <w:lang w:eastAsia="en-AU"/>
              </w:rPr>
            </w:pPr>
            <w:r>
              <w:rPr>
                <w:b/>
              </w:rPr>
              <w:t xml:space="preserve">Expenditure </w:t>
            </w:r>
            <w:r w:rsidR="002A7A37">
              <w:rPr>
                <w:b/>
              </w:rPr>
              <w:t>y</w:t>
            </w:r>
            <w:r w:rsidR="002312A1" w:rsidRPr="009708FE">
              <w:rPr>
                <w:b/>
              </w:rPr>
              <w:t>ear to date</w:t>
            </w:r>
          </w:p>
        </w:tc>
        <w:tc>
          <w:tcPr>
            <w:tcW w:w="2037" w:type="dxa"/>
            <w:shd w:val="clear" w:color="auto" w:fill="A7D0E3"/>
          </w:tcPr>
          <w:p w14:paraId="5FCA6133" w14:textId="658444DA" w:rsidR="002312A1" w:rsidRPr="009708FE" w:rsidRDefault="002312A1" w:rsidP="00A40CEB">
            <w:pPr>
              <w:rPr>
                <w:b/>
                <w:lang w:eastAsia="en-AU"/>
              </w:rPr>
            </w:pPr>
            <w:r w:rsidRPr="009708FE">
              <w:rPr>
                <w:b/>
                <w:lang w:eastAsia="en-AU"/>
              </w:rPr>
              <w:t>As at 31 Dec 201</w:t>
            </w:r>
            <w:r w:rsidR="00F12E38" w:rsidRPr="009708FE">
              <w:rPr>
                <w:b/>
                <w:lang w:eastAsia="en-AU"/>
              </w:rPr>
              <w:t>7</w:t>
            </w:r>
            <w:r w:rsidRPr="009708FE">
              <w:rPr>
                <w:b/>
                <w:lang w:eastAsia="en-AU"/>
              </w:rPr>
              <w:t xml:space="preserve"> ($’</w:t>
            </w:r>
            <w:r w:rsidR="0018364B">
              <w:rPr>
                <w:b/>
                <w:lang w:eastAsia="en-AU"/>
              </w:rPr>
              <w:t>000</w:t>
            </w:r>
            <w:r w:rsidRPr="009708FE">
              <w:rPr>
                <w:b/>
                <w:lang w:eastAsia="en-AU"/>
              </w:rPr>
              <w:t>)</w:t>
            </w:r>
          </w:p>
        </w:tc>
        <w:tc>
          <w:tcPr>
            <w:tcW w:w="2037" w:type="dxa"/>
            <w:shd w:val="clear" w:color="auto" w:fill="A7D0E3"/>
          </w:tcPr>
          <w:p w14:paraId="71FFB9F1" w14:textId="1E523C42" w:rsidR="002312A1" w:rsidRPr="009708FE" w:rsidRDefault="002312A1" w:rsidP="00A40CEB">
            <w:pPr>
              <w:rPr>
                <w:b/>
                <w:lang w:eastAsia="en-AU"/>
              </w:rPr>
            </w:pPr>
            <w:r w:rsidRPr="009708FE">
              <w:rPr>
                <w:b/>
              </w:rPr>
              <w:t>As at 31 Dec 201</w:t>
            </w:r>
            <w:r w:rsidR="00F12E38" w:rsidRPr="009708FE">
              <w:rPr>
                <w:b/>
              </w:rPr>
              <w:t>8</w:t>
            </w:r>
            <w:r w:rsidRPr="009708FE">
              <w:rPr>
                <w:b/>
              </w:rPr>
              <w:t xml:space="preserve"> </w:t>
            </w:r>
            <w:r w:rsidRPr="009708FE">
              <w:rPr>
                <w:b/>
                <w:lang w:eastAsia="en-AU"/>
              </w:rPr>
              <w:t>($’</w:t>
            </w:r>
            <w:r w:rsidR="0018364B">
              <w:rPr>
                <w:b/>
                <w:lang w:eastAsia="en-AU"/>
              </w:rPr>
              <w:t>000</w:t>
            </w:r>
            <w:r w:rsidRPr="009708FE">
              <w:rPr>
                <w:b/>
                <w:lang w:eastAsia="en-AU"/>
              </w:rPr>
              <w:t>)</w:t>
            </w:r>
          </w:p>
        </w:tc>
        <w:tc>
          <w:tcPr>
            <w:tcW w:w="2038" w:type="dxa"/>
            <w:shd w:val="clear" w:color="auto" w:fill="A7D0E3"/>
          </w:tcPr>
          <w:p w14:paraId="7A8D3946" w14:textId="77777777" w:rsidR="002312A1" w:rsidRPr="009708FE" w:rsidRDefault="002312A1" w:rsidP="00A40CEB">
            <w:pPr>
              <w:rPr>
                <w:b/>
                <w:lang w:eastAsia="en-AU"/>
              </w:rPr>
            </w:pPr>
            <w:r w:rsidRPr="009708FE">
              <w:rPr>
                <w:b/>
                <w:lang w:eastAsia="en-AU"/>
              </w:rPr>
              <w:t>Variance</w:t>
            </w:r>
          </w:p>
        </w:tc>
      </w:tr>
      <w:tr w:rsidR="002312A1" w:rsidRPr="00E71054" w14:paraId="75298694" w14:textId="77777777" w:rsidTr="002A7A37">
        <w:trPr>
          <w:cantSplit/>
        </w:trPr>
        <w:tc>
          <w:tcPr>
            <w:tcW w:w="3964" w:type="dxa"/>
          </w:tcPr>
          <w:p w14:paraId="72604087" w14:textId="77777777" w:rsidR="002312A1" w:rsidRPr="009708FE" w:rsidRDefault="002312A1" w:rsidP="00A40CEB">
            <w:pPr>
              <w:rPr>
                <w:lang w:eastAsia="en-AU"/>
              </w:rPr>
            </w:pPr>
            <w:r w:rsidRPr="009708FE">
              <w:t>Case expenditure</w:t>
            </w:r>
          </w:p>
        </w:tc>
        <w:tc>
          <w:tcPr>
            <w:tcW w:w="2037" w:type="dxa"/>
          </w:tcPr>
          <w:p w14:paraId="71986630" w14:textId="63A66885" w:rsidR="002312A1" w:rsidRPr="009708FE" w:rsidRDefault="00B303CD" w:rsidP="00F00EF3">
            <w:pPr>
              <w:jc w:val="center"/>
              <w:rPr>
                <w:lang w:eastAsia="en-AU"/>
              </w:rPr>
            </w:pPr>
            <w:r w:rsidRPr="009708FE">
              <w:rPr>
                <w:lang w:eastAsia="en-AU"/>
              </w:rPr>
              <w:t>46,385</w:t>
            </w:r>
          </w:p>
        </w:tc>
        <w:tc>
          <w:tcPr>
            <w:tcW w:w="2037" w:type="dxa"/>
          </w:tcPr>
          <w:p w14:paraId="7E95360C" w14:textId="27E4A346" w:rsidR="002312A1" w:rsidRPr="009708FE" w:rsidRDefault="00B303CD" w:rsidP="00F00EF3">
            <w:pPr>
              <w:jc w:val="center"/>
              <w:rPr>
                <w:lang w:eastAsia="en-AU"/>
              </w:rPr>
            </w:pPr>
            <w:r w:rsidRPr="009708FE">
              <w:rPr>
                <w:lang w:eastAsia="en-AU"/>
              </w:rPr>
              <w:t>53,825</w:t>
            </w:r>
          </w:p>
        </w:tc>
        <w:tc>
          <w:tcPr>
            <w:tcW w:w="2038" w:type="dxa"/>
          </w:tcPr>
          <w:p w14:paraId="3D4758E1" w14:textId="1ACCAB9E" w:rsidR="002312A1" w:rsidRPr="009708FE" w:rsidRDefault="00B303CD" w:rsidP="00F00EF3">
            <w:pPr>
              <w:jc w:val="center"/>
              <w:rPr>
                <w:lang w:eastAsia="en-AU"/>
              </w:rPr>
            </w:pPr>
            <w:r w:rsidRPr="009708FE">
              <w:rPr>
                <w:lang w:eastAsia="en-AU"/>
              </w:rPr>
              <w:t>16</w:t>
            </w:r>
            <w:r w:rsidR="0018364B">
              <w:rPr>
                <w:lang w:eastAsia="en-AU"/>
              </w:rPr>
              <w:t>%</w:t>
            </w:r>
          </w:p>
        </w:tc>
      </w:tr>
      <w:tr w:rsidR="002312A1" w:rsidRPr="00E71054" w14:paraId="230F2F2C" w14:textId="77777777" w:rsidTr="002A7A37">
        <w:trPr>
          <w:cantSplit/>
        </w:trPr>
        <w:tc>
          <w:tcPr>
            <w:tcW w:w="3964" w:type="dxa"/>
          </w:tcPr>
          <w:p w14:paraId="551CC99C" w14:textId="77777777" w:rsidR="002312A1" w:rsidRPr="009708FE" w:rsidRDefault="002312A1" w:rsidP="00A40CEB">
            <w:pPr>
              <w:rPr>
                <w:lang w:eastAsia="en-AU"/>
              </w:rPr>
            </w:pPr>
            <w:r w:rsidRPr="009708FE">
              <w:t>Community legal centre payments</w:t>
            </w:r>
          </w:p>
        </w:tc>
        <w:tc>
          <w:tcPr>
            <w:tcW w:w="2037" w:type="dxa"/>
          </w:tcPr>
          <w:p w14:paraId="4C6F4A9A" w14:textId="4EBF2A6B" w:rsidR="002312A1" w:rsidRPr="009708FE" w:rsidRDefault="00B303CD" w:rsidP="00F00EF3">
            <w:pPr>
              <w:jc w:val="center"/>
              <w:rPr>
                <w:lang w:eastAsia="en-AU"/>
              </w:rPr>
            </w:pPr>
            <w:r w:rsidRPr="009708FE">
              <w:rPr>
                <w:lang w:eastAsia="en-AU"/>
              </w:rPr>
              <w:t>14,297</w:t>
            </w:r>
          </w:p>
        </w:tc>
        <w:tc>
          <w:tcPr>
            <w:tcW w:w="2037" w:type="dxa"/>
          </w:tcPr>
          <w:p w14:paraId="648DC31F" w14:textId="0D4CEA27" w:rsidR="002312A1" w:rsidRPr="009708FE" w:rsidRDefault="00B303CD" w:rsidP="00F00EF3">
            <w:pPr>
              <w:jc w:val="center"/>
              <w:rPr>
                <w:lang w:eastAsia="en-AU"/>
              </w:rPr>
            </w:pPr>
            <w:r w:rsidRPr="009708FE">
              <w:rPr>
                <w:lang w:eastAsia="en-AU"/>
              </w:rPr>
              <w:t>15,574</w:t>
            </w:r>
          </w:p>
        </w:tc>
        <w:tc>
          <w:tcPr>
            <w:tcW w:w="2038" w:type="dxa"/>
          </w:tcPr>
          <w:p w14:paraId="2D83598D" w14:textId="1B5F3A77" w:rsidR="002312A1" w:rsidRPr="009708FE" w:rsidRDefault="00B303CD" w:rsidP="00F00EF3">
            <w:pPr>
              <w:jc w:val="center"/>
            </w:pPr>
            <w:r w:rsidRPr="009708FE">
              <w:t>8.9</w:t>
            </w:r>
            <w:r w:rsidR="0018364B">
              <w:t>%</w:t>
            </w:r>
          </w:p>
        </w:tc>
      </w:tr>
      <w:tr w:rsidR="002312A1" w:rsidRPr="00E71054" w14:paraId="64D817E3" w14:textId="77777777" w:rsidTr="002A7A37">
        <w:trPr>
          <w:cantSplit/>
        </w:trPr>
        <w:tc>
          <w:tcPr>
            <w:tcW w:w="3964" w:type="dxa"/>
          </w:tcPr>
          <w:p w14:paraId="18916043" w14:textId="77777777" w:rsidR="002312A1" w:rsidRPr="009708FE" w:rsidRDefault="002312A1" w:rsidP="00A40CEB">
            <w:pPr>
              <w:rPr>
                <w:lang w:eastAsia="en-AU"/>
              </w:rPr>
            </w:pPr>
            <w:r w:rsidRPr="009708FE">
              <w:t>Staff costs</w:t>
            </w:r>
          </w:p>
        </w:tc>
        <w:tc>
          <w:tcPr>
            <w:tcW w:w="2037" w:type="dxa"/>
          </w:tcPr>
          <w:p w14:paraId="1C26A370" w14:textId="3C04B3AF" w:rsidR="002312A1" w:rsidRPr="009708FE" w:rsidRDefault="00B303CD" w:rsidP="00F00EF3">
            <w:pPr>
              <w:jc w:val="center"/>
              <w:rPr>
                <w:lang w:eastAsia="en-AU"/>
              </w:rPr>
            </w:pPr>
            <w:r w:rsidRPr="009708FE">
              <w:rPr>
                <w:lang w:eastAsia="en-AU"/>
              </w:rPr>
              <w:t>35,277</w:t>
            </w:r>
          </w:p>
        </w:tc>
        <w:tc>
          <w:tcPr>
            <w:tcW w:w="2037" w:type="dxa"/>
          </w:tcPr>
          <w:p w14:paraId="1158C2E7" w14:textId="46D5562C" w:rsidR="002312A1" w:rsidRPr="009708FE" w:rsidRDefault="00B303CD" w:rsidP="00F00EF3">
            <w:pPr>
              <w:jc w:val="center"/>
              <w:rPr>
                <w:lang w:eastAsia="en-AU"/>
              </w:rPr>
            </w:pPr>
            <w:r w:rsidRPr="009708FE">
              <w:rPr>
                <w:lang w:eastAsia="en-AU"/>
              </w:rPr>
              <w:t>40,126</w:t>
            </w:r>
          </w:p>
        </w:tc>
        <w:tc>
          <w:tcPr>
            <w:tcW w:w="2038" w:type="dxa"/>
          </w:tcPr>
          <w:p w14:paraId="1539C8C6" w14:textId="6B736E04" w:rsidR="002312A1" w:rsidRPr="009708FE" w:rsidRDefault="00B303CD" w:rsidP="00F00EF3">
            <w:pPr>
              <w:jc w:val="center"/>
              <w:rPr>
                <w:lang w:eastAsia="en-AU"/>
              </w:rPr>
            </w:pPr>
            <w:r w:rsidRPr="009708FE">
              <w:rPr>
                <w:lang w:eastAsia="en-AU"/>
              </w:rPr>
              <w:t>13.7</w:t>
            </w:r>
            <w:r w:rsidR="0018364B">
              <w:rPr>
                <w:lang w:eastAsia="en-AU"/>
              </w:rPr>
              <w:t>%</w:t>
            </w:r>
          </w:p>
        </w:tc>
      </w:tr>
      <w:tr w:rsidR="002312A1" w:rsidRPr="00E71054" w14:paraId="075CAFB5" w14:textId="77777777" w:rsidTr="002A7A37">
        <w:trPr>
          <w:cantSplit/>
        </w:trPr>
        <w:tc>
          <w:tcPr>
            <w:tcW w:w="3964" w:type="dxa"/>
          </w:tcPr>
          <w:p w14:paraId="51195600" w14:textId="77777777" w:rsidR="002312A1" w:rsidRPr="009708FE" w:rsidRDefault="002312A1" w:rsidP="00A40CEB">
            <w:pPr>
              <w:rPr>
                <w:lang w:eastAsia="en-AU"/>
              </w:rPr>
            </w:pPr>
            <w:r w:rsidRPr="009708FE">
              <w:t>Administration</w:t>
            </w:r>
          </w:p>
        </w:tc>
        <w:tc>
          <w:tcPr>
            <w:tcW w:w="2037" w:type="dxa"/>
          </w:tcPr>
          <w:p w14:paraId="5405257A" w14:textId="500D6582" w:rsidR="002312A1" w:rsidRPr="009708FE" w:rsidRDefault="00B303CD" w:rsidP="00F00EF3">
            <w:pPr>
              <w:jc w:val="center"/>
              <w:rPr>
                <w:lang w:eastAsia="en-AU"/>
              </w:rPr>
            </w:pPr>
            <w:r w:rsidRPr="009708FE">
              <w:rPr>
                <w:lang w:eastAsia="en-AU"/>
              </w:rPr>
              <w:t>9,944</w:t>
            </w:r>
          </w:p>
        </w:tc>
        <w:tc>
          <w:tcPr>
            <w:tcW w:w="2037" w:type="dxa"/>
          </w:tcPr>
          <w:p w14:paraId="647B8D3D" w14:textId="4C1847CF" w:rsidR="002312A1" w:rsidRPr="009708FE" w:rsidRDefault="00B303CD" w:rsidP="00F00EF3">
            <w:pPr>
              <w:jc w:val="center"/>
              <w:rPr>
                <w:lang w:eastAsia="en-AU"/>
              </w:rPr>
            </w:pPr>
            <w:r w:rsidRPr="009708FE">
              <w:rPr>
                <w:lang w:eastAsia="en-AU"/>
              </w:rPr>
              <w:t>9,980</w:t>
            </w:r>
          </w:p>
        </w:tc>
        <w:tc>
          <w:tcPr>
            <w:tcW w:w="2038" w:type="dxa"/>
          </w:tcPr>
          <w:p w14:paraId="72E647C8" w14:textId="172EC533" w:rsidR="002312A1" w:rsidRPr="009708FE" w:rsidRDefault="00B303CD" w:rsidP="00F00EF3">
            <w:pPr>
              <w:jc w:val="center"/>
              <w:rPr>
                <w:lang w:eastAsia="en-AU"/>
              </w:rPr>
            </w:pPr>
            <w:r w:rsidRPr="009708FE">
              <w:rPr>
                <w:lang w:eastAsia="en-AU"/>
              </w:rPr>
              <w:t>0.4</w:t>
            </w:r>
            <w:r w:rsidR="0018364B">
              <w:rPr>
                <w:lang w:eastAsia="en-AU"/>
              </w:rPr>
              <w:t>%</w:t>
            </w:r>
          </w:p>
        </w:tc>
      </w:tr>
      <w:tr w:rsidR="00B303CD" w:rsidRPr="00E71054" w14:paraId="106F057B" w14:textId="77777777" w:rsidTr="002A7A37">
        <w:trPr>
          <w:cantSplit/>
        </w:trPr>
        <w:tc>
          <w:tcPr>
            <w:tcW w:w="3964" w:type="dxa"/>
          </w:tcPr>
          <w:p w14:paraId="47C0A4C4" w14:textId="0F17E2A1" w:rsidR="00B303CD" w:rsidRPr="009708FE" w:rsidRDefault="00B303CD" w:rsidP="00A40CEB">
            <w:r w:rsidRPr="009708FE">
              <w:t>Projects</w:t>
            </w:r>
          </w:p>
        </w:tc>
        <w:tc>
          <w:tcPr>
            <w:tcW w:w="2037" w:type="dxa"/>
          </w:tcPr>
          <w:p w14:paraId="447DDF06" w14:textId="4ABE3C22" w:rsidR="00B303CD" w:rsidRPr="009708FE" w:rsidRDefault="00B303CD" w:rsidP="00F00EF3">
            <w:pPr>
              <w:jc w:val="center"/>
              <w:rPr>
                <w:lang w:eastAsia="en-AU"/>
              </w:rPr>
            </w:pPr>
            <w:r w:rsidRPr="009708FE">
              <w:rPr>
                <w:lang w:eastAsia="en-AU"/>
              </w:rPr>
              <w:t>989</w:t>
            </w:r>
          </w:p>
        </w:tc>
        <w:tc>
          <w:tcPr>
            <w:tcW w:w="2037" w:type="dxa"/>
          </w:tcPr>
          <w:p w14:paraId="2BE1D1A2" w14:textId="0A9602AE" w:rsidR="00B303CD" w:rsidRPr="009708FE" w:rsidRDefault="00B303CD" w:rsidP="00F00EF3">
            <w:pPr>
              <w:jc w:val="center"/>
              <w:rPr>
                <w:lang w:eastAsia="en-AU"/>
              </w:rPr>
            </w:pPr>
            <w:r w:rsidRPr="009708FE">
              <w:rPr>
                <w:lang w:eastAsia="en-AU"/>
              </w:rPr>
              <w:t>853</w:t>
            </w:r>
          </w:p>
        </w:tc>
        <w:tc>
          <w:tcPr>
            <w:tcW w:w="2038" w:type="dxa"/>
          </w:tcPr>
          <w:p w14:paraId="1133EF46" w14:textId="50290233" w:rsidR="00B303CD" w:rsidRPr="009708FE" w:rsidRDefault="00B32F64" w:rsidP="00F00EF3">
            <w:pPr>
              <w:jc w:val="center"/>
              <w:rPr>
                <w:lang w:eastAsia="en-AU"/>
              </w:rPr>
            </w:pPr>
            <w:r>
              <w:rPr>
                <w:lang w:eastAsia="en-AU"/>
              </w:rPr>
              <w:t>(</w:t>
            </w:r>
            <w:r w:rsidR="00B303CD" w:rsidRPr="009708FE">
              <w:rPr>
                <w:lang w:eastAsia="en-AU"/>
              </w:rPr>
              <w:t>13.8</w:t>
            </w:r>
            <w:r w:rsidR="0018364B">
              <w:rPr>
                <w:lang w:eastAsia="en-AU"/>
              </w:rPr>
              <w:t>%</w:t>
            </w:r>
            <w:r>
              <w:rPr>
                <w:lang w:eastAsia="en-AU"/>
              </w:rPr>
              <w:t>)</w:t>
            </w:r>
          </w:p>
        </w:tc>
      </w:tr>
      <w:tr w:rsidR="002312A1" w:rsidRPr="00E71054" w14:paraId="43683895" w14:textId="77777777" w:rsidTr="002A7A37">
        <w:trPr>
          <w:cantSplit/>
        </w:trPr>
        <w:tc>
          <w:tcPr>
            <w:tcW w:w="3964" w:type="dxa"/>
            <w:tcBorders>
              <w:bottom w:val="single" w:sz="4" w:space="0" w:color="auto"/>
            </w:tcBorders>
            <w:shd w:val="clear" w:color="auto" w:fill="F2F2F2" w:themeFill="background1" w:themeFillShade="F2"/>
          </w:tcPr>
          <w:p w14:paraId="09CD6389" w14:textId="77777777" w:rsidR="002312A1" w:rsidRPr="009708FE" w:rsidRDefault="002312A1" w:rsidP="002312A1">
            <w:pPr>
              <w:rPr>
                <w:b/>
                <w:lang w:eastAsia="en-AU"/>
              </w:rPr>
            </w:pPr>
            <w:r w:rsidRPr="009708FE">
              <w:rPr>
                <w:b/>
              </w:rPr>
              <w:t>Total expenditure</w:t>
            </w:r>
          </w:p>
        </w:tc>
        <w:tc>
          <w:tcPr>
            <w:tcW w:w="2037" w:type="dxa"/>
            <w:tcBorders>
              <w:bottom w:val="single" w:sz="4" w:space="0" w:color="auto"/>
            </w:tcBorders>
            <w:shd w:val="clear" w:color="auto" w:fill="F2F2F2" w:themeFill="background1" w:themeFillShade="F2"/>
          </w:tcPr>
          <w:p w14:paraId="27703BC3" w14:textId="5F286A94" w:rsidR="002312A1" w:rsidRPr="009708FE" w:rsidRDefault="00B303CD" w:rsidP="00F00EF3">
            <w:pPr>
              <w:jc w:val="center"/>
              <w:rPr>
                <w:lang w:eastAsia="en-AU"/>
              </w:rPr>
            </w:pPr>
            <w:r w:rsidRPr="009708FE">
              <w:rPr>
                <w:lang w:eastAsia="en-AU"/>
              </w:rPr>
              <w:t>106,892</w:t>
            </w:r>
          </w:p>
        </w:tc>
        <w:tc>
          <w:tcPr>
            <w:tcW w:w="2037" w:type="dxa"/>
            <w:tcBorders>
              <w:bottom w:val="single" w:sz="4" w:space="0" w:color="auto"/>
            </w:tcBorders>
            <w:shd w:val="clear" w:color="auto" w:fill="F2F2F2" w:themeFill="background1" w:themeFillShade="F2"/>
          </w:tcPr>
          <w:p w14:paraId="17B17C23" w14:textId="2C82F769" w:rsidR="002312A1" w:rsidRPr="009708FE" w:rsidRDefault="00B303CD" w:rsidP="00F00EF3">
            <w:pPr>
              <w:jc w:val="center"/>
              <w:rPr>
                <w:lang w:eastAsia="en-AU"/>
              </w:rPr>
            </w:pPr>
            <w:r w:rsidRPr="009708FE">
              <w:rPr>
                <w:lang w:eastAsia="en-AU"/>
              </w:rPr>
              <w:t>120,358</w:t>
            </w:r>
          </w:p>
        </w:tc>
        <w:tc>
          <w:tcPr>
            <w:tcW w:w="2038" w:type="dxa"/>
            <w:tcBorders>
              <w:bottom w:val="single" w:sz="4" w:space="0" w:color="auto"/>
            </w:tcBorders>
            <w:shd w:val="clear" w:color="auto" w:fill="F2F2F2" w:themeFill="background1" w:themeFillShade="F2"/>
          </w:tcPr>
          <w:p w14:paraId="0EF40B75" w14:textId="3A10D1D8" w:rsidR="002312A1" w:rsidRPr="009708FE" w:rsidRDefault="00B303CD" w:rsidP="00F00EF3">
            <w:pPr>
              <w:jc w:val="center"/>
            </w:pPr>
            <w:r w:rsidRPr="009708FE">
              <w:t>12.6</w:t>
            </w:r>
            <w:r w:rsidR="0018364B">
              <w:t>%</w:t>
            </w:r>
          </w:p>
        </w:tc>
      </w:tr>
      <w:tr w:rsidR="002312A1" w:rsidRPr="00E71054" w14:paraId="14FC865F" w14:textId="77777777" w:rsidTr="002A7A37">
        <w:trPr>
          <w:cantSplit/>
        </w:trPr>
        <w:tc>
          <w:tcPr>
            <w:tcW w:w="3964" w:type="dxa"/>
            <w:shd w:val="clear" w:color="auto" w:fill="auto"/>
          </w:tcPr>
          <w:p w14:paraId="104F84FF" w14:textId="77777777" w:rsidR="002312A1" w:rsidRPr="009708FE" w:rsidRDefault="002312A1" w:rsidP="00A40CEB">
            <w:pPr>
              <w:rPr>
                <w:b/>
              </w:rPr>
            </w:pPr>
            <w:r w:rsidRPr="009708FE">
              <w:t>Other economic flows</w:t>
            </w:r>
          </w:p>
        </w:tc>
        <w:tc>
          <w:tcPr>
            <w:tcW w:w="2037" w:type="dxa"/>
            <w:shd w:val="clear" w:color="auto" w:fill="auto"/>
          </w:tcPr>
          <w:p w14:paraId="55ADEE72" w14:textId="0E98DA63" w:rsidR="002312A1" w:rsidRPr="009708FE" w:rsidRDefault="00B303CD" w:rsidP="00F00EF3">
            <w:pPr>
              <w:jc w:val="center"/>
            </w:pPr>
            <w:r w:rsidRPr="009708FE">
              <w:t>(39)</w:t>
            </w:r>
          </w:p>
        </w:tc>
        <w:tc>
          <w:tcPr>
            <w:tcW w:w="2037" w:type="dxa"/>
            <w:shd w:val="clear" w:color="auto" w:fill="auto"/>
          </w:tcPr>
          <w:p w14:paraId="0CA17404" w14:textId="727AD506" w:rsidR="002312A1" w:rsidRPr="009708FE" w:rsidRDefault="00B303CD" w:rsidP="00F00EF3">
            <w:pPr>
              <w:jc w:val="center"/>
            </w:pPr>
            <w:r w:rsidRPr="009708FE">
              <w:t>(108)</w:t>
            </w:r>
          </w:p>
        </w:tc>
        <w:tc>
          <w:tcPr>
            <w:tcW w:w="2038" w:type="dxa"/>
            <w:shd w:val="clear" w:color="auto" w:fill="auto"/>
          </w:tcPr>
          <w:p w14:paraId="28EC86CF" w14:textId="14EE15B0" w:rsidR="002312A1" w:rsidRPr="009708FE" w:rsidRDefault="00B303CD" w:rsidP="00F00EF3">
            <w:pPr>
              <w:jc w:val="center"/>
            </w:pPr>
            <w:r w:rsidRPr="009708FE">
              <w:t>180.1</w:t>
            </w:r>
            <w:r w:rsidR="0018364B">
              <w:t>%</w:t>
            </w:r>
          </w:p>
        </w:tc>
      </w:tr>
      <w:tr w:rsidR="002312A1" w14:paraId="7DFC9C96" w14:textId="77777777" w:rsidTr="002A7A37">
        <w:trPr>
          <w:cantSplit/>
        </w:trPr>
        <w:tc>
          <w:tcPr>
            <w:tcW w:w="3964" w:type="dxa"/>
            <w:shd w:val="clear" w:color="auto" w:fill="auto"/>
          </w:tcPr>
          <w:p w14:paraId="36BBB5D1" w14:textId="77777777" w:rsidR="002312A1" w:rsidRPr="009708FE" w:rsidRDefault="002312A1" w:rsidP="00A40CEB">
            <w:pPr>
              <w:rPr>
                <w:b/>
              </w:rPr>
            </w:pPr>
            <w:r w:rsidRPr="009708FE">
              <w:t>Operating surplus/(deficit)</w:t>
            </w:r>
          </w:p>
        </w:tc>
        <w:tc>
          <w:tcPr>
            <w:tcW w:w="2037" w:type="dxa"/>
            <w:shd w:val="clear" w:color="auto" w:fill="auto"/>
          </w:tcPr>
          <w:p w14:paraId="5A3ADB75" w14:textId="50462E66" w:rsidR="002312A1" w:rsidRPr="009708FE" w:rsidRDefault="00B32F64" w:rsidP="00F00EF3">
            <w:pPr>
              <w:jc w:val="center"/>
            </w:pPr>
            <w:r>
              <w:t>(</w:t>
            </w:r>
            <w:r w:rsidR="00B303CD" w:rsidRPr="009708FE">
              <w:t>852)</w:t>
            </w:r>
          </w:p>
        </w:tc>
        <w:tc>
          <w:tcPr>
            <w:tcW w:w="2037" w:type="dxa"/>
            <w:shd w:val="clear" w:color="auto" w:fill="auto"/>
          </w:tcPr>
          <w:p w14:paraId="1F01EAC0" w14:textId="7D10CA80" w:rsidR="002312A1" w:rsidRPr="009708FE" w:rsidRDefault="00B303CD" w:rsidP="00F00EF3">
            <w:pPr>
              <w:jc w:val="center"/>
            </w:pPr>
            <w:r w:rsidRPr="009708FE">
              <w:t>(795)</w:t>
            </w:r>
          </w:p>
        </w:tc>
        <w:tc>
          <w:tcPr>
            <w:tcW w:w="2038" w:type="dxa"/>
            <w:shd w:val="clear" w:color="auto" w:fill="auto"/>
          </w:tcPr>
          <w:p w14:paraId="27979A06" w14:textId="46394C2A" w:rsidR="002312A1" w:rsidRPr="009708FE" w:rsidRDefault="00B303CD" w:rsidP="00F00EF3">
            <w:pPr>
              <w:jc w:val="center"/>
            </w:pPr>
            <w:r w:rsidRPr="009708FE">
              <w:t>6.8</w:t>
            </w:r>
            <w:r w:rsidR="0018364B">
              <w:t>%</w:t>
            </w:r>
          </w:p>
        </w:tc>
      </w:tr>
    </w:tbl>
    <w:p w14:paraId="5F102079" w14:textId="1CB49CD3" w:rsidR="0047677D" w:rsidRDefault="0047677D" w:rsidP="002312A1">
      <w:pPr>
        <w:pStyle w:val="Heading2"/>
      </w:pPr>
      <w:r>
        <w:lastRenderedPageBreak/>
        <w:t xml:space="preserve">Performance against Victorian Government service targets </w:t>
      </w:r>
    </w:p>
    <w:p w14:paraId="248C4C74" w14:textId="38824B5A" w:rsidR="00997711" w:rsidRPr="00997711" w:rsidRDefault="0047677D" w:rsidP="001F653E">
      <w:pPr>
        <w:pStyle w:val="Heading3"/>
      </w:pPr>
      <w:r>
        <w:t>Our results against targets up</w:t>
      </w:r>
      <w:bookmarkStart w:id="2" w:name="_GoBack"/>
      <w:bookmarkEnd w:id="2"/>
      <w:r>
        <w:t xml:space="preserve"> to 31 December 201</w:t>
      </w:r>
      <w:r w:rsidR="00D1459E">
        <w:t>8</w:t>
      </w:r>
      <w:r>
        <w:t xml:space="preserve"> for </w:t>
      </w:r>
      <w:r w:rsidR="001D0AC3">
        <w:t xml:space="preserve">Victoria Legal Aid’s </w:t>
      </w:r>
      <w:r>
        <w:t>output mea</w:t>
      </w:r>
      <w:r w:rsidR="002312A1">
        <w:t>sures under Budget Paper No. 3</w:t>
      </w:r>
    </w:p>
    <w:tbl>
      <w:tblPr>
        <w:tblStyle w:val="TableGrid"/>
        <w:tblW w:w="0" w:type="auto"/>
        <w:tblLook w:val="04A0" w:firstRow="1" w:lastRow="0" w:firstColumn="1" w:lastColumn="0" w:noHBand="0" w:noVBand="1"/>
      </w:tblPr>
      <w:tblGrid>
        <w:gridCol w:w="2596"/>
        <w:gridCol w:w="2637"/>
        <w:gridCol w:w="2498"/>
        <w:gridCol w:w="2345"/>
      </w:tblGrid>
      <w:tr w:rsidR="00D237AE" w:rsidRPr="00E71054" w14:paraId="18B4D15B" w14:textId="52ED100B" w:rsidTr="001F653E">
        <w:trPr>
          <w:cantSplit/>
          <w:tblHeader/>
        </w:trPr>
        <w:tc>
          <w:tcPr>
            <w:tcW w:w="2596" w:type="dxa"/>
            <w:shd w:val="clear" w:color="auto" w:fill="A7D0E3"/>
          </w:tcPr>
          <w:p w14:paraId="7E0E03B4" w14:textId="77777777" w:rsidR="00D237AE" w:rsidRPr="009708FE" w:rsidRDefault="00D237AE" w:rsidP="002312A1">
            <w:pPr>
              <w:rPr>
                <w:b/>
                <w:lang w:eastAsia="en-AU"/>
              </w:rPr>
            </w:pPr>
            <w:r w:rsidRPr="009708FE">
              <w:rPr>
                <w:b/>
              </w:rPr>
              <w:t>Output measure</w:t>
            </w:r>
          </w:p>
        </w:tc>
        <w:tc>
          <w:tcPr>
            <w:tcW w:w="2637" w:type="dxa"/>
            <w:shd w:val="clear" w:color="auto" w:fill="A7D0E3"/>
          </w:tcPr>
          <w:p w14:paraId="7AB10C3E" w14:textId="77777777" w:rsidR="00D237AE" w:rsidRPr="009708FE" w:rsidRDefault="00D237AE" w:rsidP="002312A1">
            <w:pPr>
              <w:rPr>
                <w:b/>
                <w:lang w:eastAsia="en-AU"/>
              </w:rPr>
            </w:pPr>
            <w:r w:rsidRPr="009708FE">
              <w:rPr>
                <w:b/>
              </w:rPr>
              <w:t>Annual Target</w:t>
            </w:r>
          </w:p>
        </w:tc>
        <w:tc>
          <w:tcPr>
            <w:tcW w:w="2498" w:type="dxa"/>
            <w:shd w:val="clear" w:color="auto" w:fill="A7D0E3"/>
          </w:tcPr>
          <w:p w14:paraId="4191AE81" w14:textId="3A1E8EA6" w:rsidR="00D237AE" w:rsidRPr="009708FE" w:rsidRDefault="00D237AE" w:rsidP="002312A1">
            <w:pPr>
              <w:rPr>
                <w:b/>
                <w:lang w:eastAsia="en-AU"/>
              </w:rPr>
            </w:pPr>
            <w:r>
              <w:rPr>
                <w:b/>
              </w:rPr>
              <w:t>YTD Target</w:t>
            </w:r>
          </w:p>
        </w:tc>
        <w:tc>
          <w:tcPr>
            <w:tcW w:w="2345" w:type="dxa"/>
            <w:shd w:val="clear" w:color="auto" w:fill="A7D0E3"/>
          </w:tcPr>
          <w:p w14:paraId="6B8D5FF1" w14:textId="6673E65D" w:rsidR="00D237AE" w:rsidRPr="009708FE" w:rsidRDefault="00D237AE" w:rsidP="002312A1">
            <w:pPr>
              <w:rPr>
                <w:b/>
              </w:rPr>
            </w:pPr>
            <w:r>
              <w:rPr>
                <w:b/>
              </w:rPr>
              <w:t xml:space="preserve">YTD Actual </w:t>
            </w:r>
          </w:p>
        </w:tc>
      </w:tr>
      <w:tr w:rsidR="00D237AE" w:rsidRPr="00E71054" w14:paraId="7087F62A" w14:textId="29A69A9C" w:rsidTr="001F653E">
        <w:trPr>
          <w:cantSplit/>
        </w:trPr>
        <w:tc>
          <w:tcPr>
            <w:tcW w:w="2596" w:type="dxa"/>
          </w:tcPr>
          <w:p w14:paraId="6BD05A9C" w14:textId="2D6C4357" w:rsidR="00D237AE" w:rsidRPr="009708FE" w:rsidRDefault="00D237AE" w:rsidP="002312A1">
            <w:pPr>
              <w:rPr>
                <w:lang w:eastAsia="en-AU"/>
              </w:rPr>
            </w:pPr>
            <w:r w:rsidRPr="009708FE">
              <w:t>Community legal education and information services</w:t>
            </w:r>
            <w:r>
              <w:t xml:space="preserve"> (excluding family violence related services)</w:t>
            </w:r>
          </w:p>
        </w:tc>
        <w:tc>
          <w:tcPr>
            <w:tcW w:w="2637" w:type="dxa"/>
          </w:tcPr>
          <w:p w14:paraId="3331089C" w14:textId="5C30C014" w:rsidR="00D237AE" w:rsidRPr="009708FE" w:rsidRDefault="00D237AE" w:rsidP="00F00EF3">
            <w:pPr>
              <w:jc w:val="center"/>
              <w:rPr>
                <w:lang w:eastAsia="en-AU"/>
              </w:rPr>
            </w:pPr>
            <w:r w:rsidRPr="009708FE">
              <w:t>123,500 – 128,500</w:t>
            </w:r>
          </w:p>
        </w:tc>
        <w:tc>
          <w:tcPr>
            <w:tcW w:w="2498" w:type="dxa"/>
          </w:tcPr>
          <w:p w14:paraId="33C2D378" w14:textId="511A7F59" w:rsidR="00D237AE" w:rsidRPr="009708FE" w:rsidRDefault="00D237AE" w:rsidP="00F00EF3">
            <w:pPr>
              <w:jc w:val="center"/>
              <w:rPr>
                <w:lang w:eastAsia="en-AU"/>
              </w:rPr>
            </w:pPr>
            <w:r>
              <w:t>64,444 – 66,944</w:t>
            </w:r>
          </w:p>
        </w:tc>
        <w:tc>
          <w:tcPr>
            <w:tcW w:w="2345" w:type="dxa"/>
          </w:tcPr>
          <w:p w14:paraId="77862876" w14:textId="662CAE17" w:rsidR="00D237AE" w:rsidRPr="009708FE" w:rsidRDefault="00D237AE" w:rsidP="00F00EF3">
            <w:pPr>
              <w:jc w:val="center"/>
            </w:pPr>
            <w:r>
              <w:t>53,884</w:t>
            </w:r>
          </w:p>
        </w:tc>
      </w:tr>
      <w:tr w:rsidR="00D237AE" w:rsidRPr="00E71054" w14:paraId="30B9FA21" w14:textId="77777777" w:rsidTr="001F653E">
        <w:trPr>
          <w:cantSplit/>
        </w:trPr>
        <w:tc>
          <w:tcPr>
            <w:tcW w:w="2596" w:type="dxa"/>
          </w:tcPr>
          <w:p w14:paraId="58F4A3D1" w14:textId="3ECA8D9C" w:rsidR="00D237AE" w:rsidRPr="009708FE" w:rsidRDefault="00D237AE" w:rsidP="002312A1">
            <w:r>
              <w:t>Community legal education and information services (family violence related services)</w:t>
            </w:r>
          </w:p>
        </w:tc>
        <w:tc>
          <w:tcPr>
            <w:tcW w:w="2637" w:type="dxa"/>
          </w:tcPr>
          <w:p w14:paraId="3C3D8096" w14:textId="52CA5D19" w:rsidR="00D237AE" w:rsidRPr="009708FE" w:rsidRDefault="00224EFE" w:rsidP="00F00EF3">
            <w:pPr>
              <w:jc w:val="center"/>
            </w:pPr>
            <w:r>
              <w:t>11,700</w:t>
            </w:r>
          </w:p>
        </w:tc>
        <w:tc>
          <w:tcPr>
            <w:tcW w:w="2498" w:type="dxa"/>
          </w:tcPr>
          <w:p w14:paraId="1E7AD768" w14:textId="386269CA" w:rsidR="00D237AE" w:rsidRPr="009708FE" w:rsidRDefault="00FB3104" w:rsidP="00F00EF3">
            <w:pPr>
              <w:jc w:val="center"/>
            </w:pPr>
            <w:r>
              <w:t>5,933</w:t>
            </w:r>
          </w:p>
        </w:tc>
        <w:tc>
          <w:tcPr>
            <w:tcW w:w="2345" w:type="dxa"/>
          </w:tcPr>
          <w:p w14:paraId="69A66D3F" w14:textId="044DD404" w:rsidR="00D237AE" w:rsidRPr="009708FE" w:rsidRDefault="00D237AE" w:rsidP="00F00EF3">
            <w:pPr>
              <w:jc w:val="center"/>
            </w:pPr>
            <w:r>
              <w:t>11,957</w:t>
            </w:r>
          </w:p>
        </w:tc>
      </w:tr>
      <w:tr w:rsidR="00D237AE" w:rsidRPr="00E71054" w14:paraId="2FABD10A" w14:textId="70CB363E" w:rsidTr="001F653E">
        <w:trPr>
          <w:cantSplit/>
        </w:trPr>
        <w:tc>
          <w:tcPr>
            <w:tcW w:w="2596" w:type="dxa"/>
          </w:tcPr>
          <w:p w14:paraId="2AFBA2B8" w14:textId="6F0A6104" w:rsidR="00D237AE" w:rsidRPr="009708FE" w:rsidRDefault="00D237AE" w:rsidP="002312A1">
            <w:pPr>
              <w:rPr>
                <w:lang w:eastAsia="en-AU"/>
              </w:rPr>
            </w:pPr>
            <w:r w:rsidRPr="009708FE">
              <w:t>Duty lawyer services</w:t>
            </w:r>
            <w:r w:rsidR="00D64376">
              <w:t xml:space="preserve"> (excluding family violence related services) </w:t>
            </w:r>
          </w:p>
        </w:tc>
        <w:tc>
          <w:tcPr>
            <w:tcW w:w="2637" w:type="dxa"/>
          </w:tcPr>
          <w:p w14:paraId="129E3142" w14:textId="46B8C814" w:rsidR="00D237AE" w:rsidRPr="009708FE" w:rsidRDefault="00D64376" w:rsidP="00F00EF3">
            <w:pPr>
              <w:jc w:val="center"/>
              <w:rPr>
                <w:lang w:eastAsia="en-AU"/>
              </w:rPr>
            </w:pPr>
            <w:r>
              <w:t>78,000</w:t>
            </w:r>
          </w:p>
        </w:tc>
        <w:tc>
          <w:tcPr>
            <w:tcW w:w="2498" w:type="dxa"/>
          </w:tcPr>
          <w:p w14:paraId="432FF28C" w14:textId="363A2958" w:rsidR="00D237AE" w:rsidRPr="009708FE" w:rsidRDefault="00D64376" w:rsidP="00F00EF3">
            <w:pPr>
              <w:jc w:val="center"/>
              <w:rPr>
                <w:lang w:eastAsia="en-AU"/>
              </w:rPr>
            </w:pPr>
            <w:r>
              <w:t xml:space="preserve">29,582 </w:t>
            </w:r>
            <w:r w:rsidR="00FC0D8E" w:rsidRPr="00FC0D8E">
              <w:t xml:space="preserve">– </w:t>
            </w:r>
            <w:r>
              <w:t>30,632</w:t>
            </w:r>
          </w:p>
        </w:tc>
        <w:tc>
          <w:tcPr>
            <w:tcW w:w="2345" w:type="dxa"/>
          </w:tcPr>
          <w:p w14:paraId="3EECE0A2" w14:textId="4BFE3146" w:rsidR="00D237AE" w:rsidRPr="009708FE" w:rsidRDefault="00D64376" w:rsidP="00F00EF3">
            <w:pPr>
              <w:jc w:val="center"/>
            </w:pPr>
            <w:r>
              <w:t>34,744</w:t>
            </w:r>
          </w:p>
        </w:tc>
      </w:tr>
      <w:tr w:rsidR="00D237AE" w:rsidRPr="00E71054" w14:paraId="057D4610" w14:textId="20728749" w:rsidTr="001F653E">
        <w:trPr>
          <w:cantSplit/>
        </w:trPr>
        <w:tc>
          <w:tcPr>
            <w:tcW w:w="2596" w:type="dxa"/>
          </w:tcPr>
          <w:p w14:paraId="6D7F29C6" w14:textId="04D28087" w:rsidR="00D237AE" w:rsidRPr="009708FE" w:rsidRDefault="00D237AE" w:rsidP="002312A1">
            <w:pPr>
              <w:rPr>
                <w:lang w:eastAsia="en-AU"/>
              </w:rPr>
            </w:pPr>
            <w:r w:rsidRPr="009708FE">
              <w:t>Grants of legal assistance</w:t>
            </w:r>
            <w:r w:rsidR="00D64376">
              <w:t xml:space="preserve"> (excluding family violence related services) </w:t>
            </w:r>
          </w:p>
        </w:tc>
        <w:tc>
          <w:tcPr>
            <w:tcW w:w="2637" w:type="dxa"/>
          </w:tcPr>
          <w:p w14:paraId="42727329" w14:textId="0901C457" w:rsidR="00D237AE" w:rsidRPr="009708FE" w:rsidRDefault="00D237AE" w:rsidP="00F00EF3">
            <w:pPr>
              <w:jc w:val="center"/>
              <w:rPr>
                <w:lang w:eastAsia="en-AU"/>
              </w:rPr>
            </w:pPr>
            <w:r w:rsidRPr="009708FE">
              <w:t>32,900</w:t>
            </w:r>
          </w:p>
        </w:tc>
        <w:tc>
          <w:tcPr>
            <w:tcW w:w="2498" w:type="dxa"/>
          </w:tcPr>
          <w:p w14:paraId="3B4A062D" w14:textId="72FF8EE9" w:rsidR="00D237AE" w:rsidRPr="009708FE" w:rsidRDefault="00D64376" w:rsidP="00F00EF3">
            <w:pPr>
              <w:jc w:val="center"/>
              <w:rPr>
                <w:lang w:eastAsia="en-AU"/>
              </w:rPr>
            </w:pPr>
            <w:r>
              <w:t>15,971</w:t>
            </w:r>
          </w:p>
        </w:tc>
        <w:tc>
          <w:tcPr>
            <w:tcW w:w="2345" w:type="dxa"/>
          </w:tcPr>
          <w:p w14:paraId="64BCCC97" w14:textId="1E62FD81" w:rsidR="00D237AE" w:rsidRPr="009708FE" w:rsidRDefault="00D64376" w:rsidP="00F00EF3">
            <w:pPr>
              <w:jc w:val="center"/>
            </w:pPr>
            <w:r>
              <w:t>16,109</w:t>
            </w:r>
          </w:p>
        </w:tc>
      </w:tr>
      <w:tr w:rsidR="00D237AE" w:rsidRPr="00E71054" w14:paraId="3B34D1CD" w14:textId="3A01AB3A" w:rsidTr="001F653E">
        <w:trPr>
          <w:cantSplit/>
        </w:trPr>
        <w:tc>
          <w:tcPr>
            <w:tcW w:w="2596" w:type="dxa"/>
          </w:tcPr>
          <w:p w14:paraId="31F59646" w14:textId="1ECCA906" w:rsidR="00D237AE" w:rsidRPr="009708FE" w:rsidRDefault="00D237AE" w:rsidP="002312A1">
            <w:pPr>
              <w:rPr>
                <w:lang w:eastAsia="en-AU"/>
              </w:rPr>
            </w:pPr>
            <w:r w:rsidRPr="009708FE">
              <w:t>Legal advice and minor assistance</w:t>
            </w:r>
            <w:r w:rsidR="00D64376">
              <w:t xml:space="preserve"> (excluding family violence related services)</w:t>
            </w:r>
          </w:p>
        </w:tc>
        <w:tc>
          <w:tcPr>
            <w:tcW w:w="2637" w:type="dxa"/>
          </w:tcPr>
          <w:p w14:paraId="3592D9B1" w14:textId="7EEA9923" w:rsidR="00D237AE" w:rsidRPr="009708FE" w:rsidRDefault="00D237AE" w:rsidP="00F00EF3">
            <w:pPr>
              <w:jc w:val="center"/>
              <w:rPr>
                <w:lang w:eastAsia="en-AU"/>
              </w:rPr>
            </w:pPr>
            <w:r w:rsidRPr="009708FE">
              <w:t>34,800</w:t>
            </w:r>
          </w:p>
        </w:tc>
        <w:tc>
          <w:tcPr>
            <w:tcW w:w="2498" w:type="dxa"/>
          </w:tcPr>
          <w:p w14:paraId="2F47589A" w14:textId="0094592B" w:rsidR="00D237AE" w:rsidRPr="009708FE" w:rsidRDefault="00D64376" w:rsidP="00F00EF3">
            <w:pPr>
              <w:jc w:val="center"/>
              <w:rPr>
                <w:lang w:eastAsia="en-AU"/>
              </w:rPr>
            </w:pPr>
            <w:r>
              <w:t>17,550</w:t>
            </w:r>
          </w:p>
        </w:tc>
        <w:tc>
          <w:tcPr>
            <w:tcW w:w="2345" w:type="dxa"/>
          </w:tcPr>
          <w:p w14:paraId="6D1298E6" w14:textId="2291DF2F" w:rsidR="00D237AE" w:rsidRPr="009708FE" w:rsidRDefault="00D64376" w:rsidP="00F00EF3">
            <w:pPr>
              <w:jc w:val="center"/>
            </w:pPr>
            <w:r>
              <w:t>20,875</w:t>
            </w:r>
          </w:p>
        </w:tc>
      </w:tr>
      <w:tr w:rsidR="00D64376" w:rsidRPr="00E71054" w14:paraId="472D39E2" w14:textId="77777777" w:rsidTr="001F653E">
        <w:trPr>
          <w:cantSplit/>
        </w:trPr>
        <w:tc>
          <w:tcPr>
            <w:tcW w:w="2596" w:type="dxa"/>
          </w:tcPr>
          <w:p w14:paraId="46E12EB6" w14:textId="46D00C63" w:rsidR="00D64376" w:rsidRPr="009708FE" w:rsidRDefault="00D64376" w:rsidP="002312A1">
            <w:r>
              <w:t>Family violence legal services</w:t>
            </w:r>
          </w:p>
        </w:tc>
        <w:tc>
          <w:tcPr>
            <w:tcW w:w="2637" w:type="dxa"/>
          </w:tcPr>
          <w:p w14:paraId="47C9D32F" w14:textId="491A1026" w:rsidR="00D64376" w:rsidRPr="009708FE" w:rsidRDefault="00D64376" w:rsidP="00F00EF3">
            <w:pPr>
              <w:jc w:val="center"/>
            </w:pPr>
            <w:r>
              <w:t>36,300</w:t>
            </w:r>
          </w:p>
        </w:tc>
        <w:tc>
          <w:tcPr>
            <w:tcW w:w="2498" w:type="dxa"/>
          </w:tcPr>
          <w:p w14:paraId="24B78E76" w14:textId="29B34121" w:rsidR="00D64376" w:rsidRPr="009708FE" w:rsidRDefault="00D64376" w:rsidP="00F00EF3">
            <w:pPr>
              <w:jc w:val="center"/>
            </w:pPr>
            <w:r>
              <w:t>17,747</w:t>
            </w:r>
          </w:p>
        </w:tc>
        <w:tc>
          <w:tcPr>
            <w:tcW w:w="2345" w:type="dxa"/>
          </w:tcPr>
          <w:p w14:paraId="30E11D49" w14:textId="52FEA307" w:rsidR="00D64376" w:rsidRPr="009708FE" w:rsidRDefault="00D64376" w:rsidP="00F00EF3">
            <w:pPr>
              <w:jc w:val="center"/>
            </w:pPr>
            <w:r>
              <w:t>22,476</w:t>
            </w:r>
          </w:p>
        </w:tc>
      </w:tr>
      <w:tr w:rsidR="00D237AE" w:rsidRPr="00E71054" w14:paraId="331AC680" w14:textId="7D809EAB" w:rsidTr="001F653E">
        <w:trPr>
          <w:cantSplit/>
        </w:trPr>
        <w:tc>
          <w:tcPr>
            <w:tcW w:w="2596" w:type="dxa"/>
          </w:tcPr>
          <w:p w14:paraId="74617D5C" w14:textId="77DC2606" w:rsidR="00D237AE" w:rsidRPr="009708FE" w:rsidRDefault="00D237AE" w:rsidP="002312A1">
            <w:pPr>
              <w:rPr>
                <w:lang w:eastAsia="en-AU"/>
              </w:rPr>
            </w:pPr>
            <w:r w:rsidRPr="009708FE">
              <w:t>Number of unique clients</w:t>
            </w:r>
          </w:p>
        </w:tc>
        <w:tc>
          <w:tcPr>
            <w:tcW w:w="2637" w:type="dxa"/>
          </w:tcPr>
          <w:p w14:paraId="5B133518" w14:textId="52782581" w:rsidR="00D237AE" w:rsidRPr="009708FE" w:rsidRDefault="00D237AE" w:rsidP="00F00EF3">
            <w:pPr>
              <w:jc w:val="center"/>
              <w:rPr>
                <w:lang w:eastAsia="en-AU"/>
              </w:rPr>
            </w:pPr>
            <w:r w:rsidRPr="009708FE">
              <w:t>96,300</w:t>
            </w:r>
          </w:p>
        </w:tc>
        <w:tc>
          <w:tcPr>
            <w:tcW w:w="2498" w:type="dxa"/>
          </w:tcPr>
          <w:p w14:paraId="20BB12E5" w14:textId="562D864F" w:rsidR="00D237AE" w:rsidRPr="009708FE" w:rsidRDefault="00D64376" w:rsidP="00F00EF3">
            <w:pPr>
              <w:jc w:val="center"/>
              <w:rPr>
                <w:lang w:eastAsia="en-AU"/>
              </w:rPr>
            </w:pPr>
            <w:r>
              <w:t>54,787</w:t>
            </w:r>
          </w:p>
        </w:tc>
        <w:tc>
          <w:tcPr>
            <w:tcW w:w="2345" w:type="dxa"/>
          </w:tcPr>
          <w:p w14:paraId="4A5414B6" w14:textId="4CC7D544" w:rsidR="00D237AE" w:rsidRPr="009708FE" w:rsidRDefault="00D64376" w:rsidP="00F00EF3">
            <w:pPr>
              <w:jc w:val="center"/>
            </w:pPr>
            <w:r>
              <w:t>59,797</w:t>
            </w:r>
          </w:p>
        </w:tc>
      </w:tr>
      <w:tr w:rsidR="00D64376" w:rsidRPr="00E71054" w14:paraId="6F6C645C" w14:textId="77777777" w:rsidTr="001F653E">
        <w:trPr>
          <w:cantSplit/>
        </w:trPr>
        <w:tc>
          <w:tcPr>
            <w:tcW w:w="2596" w:type="dxa"/>
          </w:tcPr>
          <w:p w14:paraId="7663FFB4" w14:textId="67B9B7E5" w:rsidR="00D64376" w:rsidRPr="009708FE" w:rsidRDefault="00D64376" w:rsidP="002312A1">
            <w:r>
              <w:t>Average call wait time to the Legal Help phone line</w:t>
            </w:r>
          </w:p>
        </w:tc>
        <w:tc>
          <w:tcPr>
            <w:tcW w:w="2637" w:type="dxa"/>
          </w:tcPr>
          <w:p w14:paraId="755598EB" w14:textId="299255B4" w:rsidR="00D64376" w:rsidRPr="009708FE" w:rsidRDefault="00D64376" w:rsidP="00F00EF3">
            <w:pPr>
              <w:jc w:val="center"/>
            </w:pPr>
            <w:r>
              <w:t>&lt;10</w:t>
            </w:r>
          </w:p>
        </w:tc>
        <w:tc>
          <w:tcPr>
            <w:tcW w:w="2498" w:type="dxa"/>
          </w:tcPr>
          <w:p w14:paraId="6FD86B60" w14:textId="4940F7E1" w:rsidR="00D64376" w:rsidRPr="009708FE" w:rsidDel="00D64376" w:rsidRDefault="00D64376" w:rsidP="00F00EF3">
            <w:pPr>
              <w:jc w:val="center"/>
            </w:pPr>
            <w:r>
              <w:t>&lt;10</w:t>
            </w:r>
          </w:p>
        </w:tc>
        <w:tc>
          <w:tcPr>
            <w:tcW w:w="2345" w:type="dxa"/>
          </w:tcPr>
          <w:p w14:paraId="5C9C3364" w14:textId="07323DCF" w:rsidR="00D64376" w:rsidRDefault="00D64376" w:rsidP="00F00EF3">
            <w:pPr>
              <w:jc w:val="center"/>
            </w:pPr>
            <w:r>
              <w:t>7.5</w:t>
            </w:r>
          </w:p>
        </w:tc>
      </w:tr>
    </w:tbl>
    <w:p w14:paraId="7D868B01" w14:textId="7AE2AA55" w:rsidR="00D07DA2" w:rsidRPr="0047677D" w:rsidRDefault="00D07DA2" w:rsidP="00C42F1F">
      <w:pPr>
        <w:pStyle w:val="ListParagraph"/>
      </w:pPr>
    </w:p>
    <w:sectPr w:rsidR="00D07DA2" w:rsidRPr="0047677D" w:rsidSect="001D0AC3">
      <w:headerReference w:type="even" r:id="rId16"/>
      <w:headerReference w:type="default" r:id="rId17"/>
      <w:footerReference w:type="even" r:id="rId18"/>
      <w:footerReference w:type="default" r:id="rId19"/>
      <w:headerReference w:type="first" r:id="rId20"/>
      <w:footerReference w:type="first" r:id="rId21"/>
      <w:pgSz w:w="11900" w:h="16840" w:code="9"/>
      <w:pgMar w:top="1276"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81764" w14:textId="77777777" w:rsidR="00203AAF" w:rsidRDefault="00203AA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B14B709" w14:textId="77777777" w:rsidR="00203AAF" w:rsidRDefault="00203AAF"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20B76A87" w14:textId="77777777" w:rsidR="00203AAF" w:rsidRDefault="00203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UI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3F3E" w14:textId="77777777" w:rsidR="002E1B89" w:rsidRDefault="002E1B89"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A0352" w14:textId="77777777" w:rsidR="002E1B89" w:rsidRDefault="002E1B89" w:rsidP="008074B3">
    <w:pPr>
      <w:pStyle w:val="Footer"/>
      <w:ind w:right="360" w:firstLine="360"/>
    </w:pPr>
  </w:p>
  <w:p w14:paraId="1D1E1371" w14:textId="77777777" w:rsidR="002E1B89" w:rsidRDefault="002E1B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1D78" w14:textId="77777777" w:rsidR="002E1B89" w:rsidRDefault="002E1B89"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noProof/>
        <w:lang w:eastAsia="en-AU"/>
      </w:rPr>
      <mc:AlternateContent>
        <mc:Choice Requires="wps">
          <w:drawing>
            <wp:anchor distT="0" distB="0" distL="114300" distR="114300" simplePos="0" relativeHeight="251658241" behindDoc="0" locked="1" layoutInCell="1" allowOverlap="1" wp14:anchorId="05845CC9" wp14:editId="41E833DB">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21BA8E"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64D4" w14:textId="77777777" w:rsidR="002E1B89" w:rsidRPr="008636E1" w:rsidRDefault="002E1B89"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8242" behindDoc="0" locked="1" layoutInCell="1" allowOverlap="1" wp14:anchorId="32E22F4A" wp14:editId="2A3CF723">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60DA0"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2E9F" w14:textId="77777777" w:rsidR="00203AAF" w:rsidRPr="001F653E" w:rsidRDefault="00203AAF" w:rsidP="001F653E">
      <w:pPr>
        <w:pStyle w:val="Footer"/>
        <w:rPr>
          <w:rStyle w:val="PageNumber"/>
          <w:sz w:val="22"/>
        </w:rPr>
      </w:pPr>
      <w:r>
        <w:separator/>
      </w:r>
    </w:p>
  </w:footnote>
  <w:footnote w:type="continuationSeparator" w:id="0">
    <w:p w14:paraId="69B51279" w14:textId="77777777" w:rsidR="00203AAF" w:rsidRPr="001F653E" w:rsidRDefault="00203AAF" w:rsidP="001F653E">
      <w:pPr>
        <w:pStyle w:val="Footer"/>
        <w:rPr>
          <w:rStyle w:val="PageNumber"/>
          <w:sz w:val="22"/>
        </w:rPr>
      </w:pPr>
      <w:r>
        <w:continuationSeparator/>
      </w:r>
    </w:p>
  </w:footnote>
  <w:footnote w:type="continuationNotice" w:id="1">
    <w:p w14:paraId="2AF58B58" w14:textId="77777777" w:rsidR="00203AAF" w:rsidRDefault="00203AAF">
      <w:pPr>
        <w:spacing w:after="0" w:line="240" w:lineRule="auto"/>
      </w:pPr>
    </w:p>
  </w:footnote>
  <w:footnote w:id="2">
    <w:p w14:paraId="7FE1B79A" w14:textId="77777777" w:rsidR="002E1B89" w:rsidRPr="00A20861" w:rsidRDefault="002E1B89" w:rsidP="00A20861">
      <w:pPr>
        <w:pStyle w:val="FootnoteText"/>
        <w:rPr>
          <w:rStyle w:val="FootnoteReference"/>
          <w:vertAlign w:val="baseline"/>
        </w:rPr>
      </w:pPr>
      <w:r>
        <w:rPr>
          <w:rStyle w:val="FootnoteReference"/>
        </w:rPr>
        <w:footnoteRef/>
      </w:r>
      <w:r>
        <w:t xml:space="preserve"> </w:t>
      </w:r>
      <w:r w:rsidRPr="00A20861">
        <w:rPr>
          <w:rStyle w:val="FootnoteReference"/>
          <w:vertAlign w:val="baseline"/>
        </w:rPr>
        <w:t>A unique client is an individual who accessed one or more of our legal services. This does not include people</w:t>
      </w:r>
    </w:p>
    <w:p w14:paraId="114D9080" w14:textId="77777777" w:rsidR="002E1B89" w:rsidRPr="00A20861" w:rsidRDefault="002E1B89" w:rsidP="00A20861">
      <w:pPr>
        <w:pStyle w:val="FootnoteText"/>
        <w:rPr>
          <w:rStyle w:val="FootnoteReference"/>
          <w:vertAlign w:val="baseline"/>
        </w:rPr>
      </w:pPr>
      <w:r w:rsidRPr="00A20861">
        <w:rPr>
          <w:rStyle w:val="FootnoteReference"/>
          <w:vertAlign w:val="baseline"/>
        </w:rPr>
        <w:t>for whom a client-lawyer relationship was not formed, who received information via the telephone, website or</w:t>
      </w:r>
    </w:p>
    <w:p w14:paraId="67AD3439" w14:textId="77777777" w:rsidR="002E1B89" w:rsidRPr="00A20861" w:rsidRDefault="002E1B89" w:rsidP="00A20861">
      <w:pPr>
        <w:pStyle w:val="FootnoteText"/>
        <w:rPr>
          <w:rStyle w:val="FootnoteReference"/>
          <w:vertAlign w:val="baseline"/>
        </w:rPr>
      </w:pPr>
      <w:r w:rsidRPr="00A20861">
        <w:rPr>
          <w:rStyle w:val="FootnoteReference"/>
          <w:vertAlign w:val="baseline"/>
        </w:rPr>
        <w:t>in-person at court or at a public counter, who participated in community legal education sessions, or clients</w:t>
      </w:r>
    </w:p>
    <w:p w14:paraId="327CC4E2" w14:textId="10952F2E" w:rsidR="002E1B89" w:rsidRPr="001F653E" w:rsidRDefault="002E1B89" w:rsidP="001F653E">
      <w:pPr>
        <w:pStyle w:val="FootnoteText"/>
      </w:pPr>
      <w:r w:rsidRPr="00A20861">
        <w:rPr>
          <w:rStyle w:val="FootnoteReference"/>
          <w:vertAlign w:val="baseline"/>
        </w:rPr>
        <w:t>from community legal centres.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9143" w14:textId="77777777" w:rsidR="002E1B89" w:rsidRDefault="002E1B89"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F6738" w14:textId="77777777" w:rsidR="002E1B89" w:rsidRDefault="002E1B89" w:rsidP="00091AFC">
    <w:pPr>
      <w:pStyle w:val="Header"/>
      <w:ind w:right="360"/>
    </w:pPr>
  </w:p>
  <w:p w14:paraId="60F7ABCE" w14:textId="77777777" w:rsidR="002E1B89" w:rsidRDefault="002E1B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8FF4" w14:textId="77777777" w:rsidR="002E1B89" w:rsidRPr="006A6FC6" w:rsidRDefault="002E1B89"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505C389D" w14:textId="62C7E205" w:rsidR="002E1B89" w:rsidRPr="00EF7C5C" w:rsidRDefault="002E1B89" w:rsidP="00EF7C5C">
    <w:pPr>
      <w:spacing w:line="240" w:lineRule="auto"/>
      <w:ind w:left="-330"/>
      <w:rPr>
        <w:rFonts w:ascii="Arial Bold" w:hAnsi="Arial Bold" w:cs="Arial"/>
        <w:color w:val="B1005D"/>
      </w:rPr>
    </w:pPr>
    <w:r>
      <w:rPr>
        <w:rFonts w:ascii="Arial Bold" w:hAnsi="Arial Bold" w:cs="Arial"/>
        <w:b/>
        <w:color w:val="B1005D"/>
        <w:sz w:val="18"/>
        <w:szCs w:val="18"/>
      </w:rPr>
      <w:t>Victoria Legal Aid 2018-19 midyear report</w:t>
    </w:r>
    <w:r>
      <w:rPr>
        <w:rFonts w:ascii="Arial Bold" w:hAnsi="Arial Bold" w:cs="Arial"/>
        <w:b/>
        <w:noProof/>
        <w:color w:val="B1005D"/>
        <w:sz w:val="18"/>
        <w:szCs w:val="18"/>
        <w:lang w:eastAsia="en-AU"/>
      </w:rPr>
      <w:t xml:space="preserve"> </w:t>
    </w:r>
    <w:r>
      <w:rPr>
        <w:rFonts w:ascii="Arial Bold" w:hAnsi="Arial Bold" w:cs="Arial"/>
        <w:b/>
        <w:noProof/>
        <w:color w:val="B1005D"/>
        <w:sz w:val="18"/>
        <w:szCs w:val="18"/>
        <w:lang w:eastAsia="en-AU"/>
      </w:rPr>
      <mc:AlternateContent>
        <mc:Choice Requires="wps">
          <w:drawing>
            <wp:anchor distT="0" distB="0" distL="114300" distR="114300" simplePos="0" relativeHeight="251658240" behindDoc="1" locked="1" layoutInCell="1" allowOverlap="1" wp14:anchorId="506153A9" wp14:editId="40D34ED7">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8F949" id="Straight Connector 3" o:spid="_x0000_s1026" alt=" "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F528" w14:textId="77777777" w:rsidR="002E1B89" w:rsidRPr="00833658" w:rsidRDefault="002E1B89"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243" behindDoc="1" locked="0" layoutInCell="1" allowOverlap="1" wp14:anchorId="041A322D" wp14:editId="7C03A51C">
          <wp:simplePos x="0" y="0"/>
          <wp:positionH relativeFrom="column">
            <wp:posOffset>-389890</wp:posOffset>
          </wp:positionH>
          <wp:positionV relativeFrom="paragraph">
            <wp:posOffset>423</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6E9C7FC" w14:textId="081D2884" w:rsidR="002E1B89" w:rsidRPr="00D82005" w:rsidRDefault="002E1B89" w:rsidP="00D82005">
    <w:pPr>
      <w:pStyle w:val="VLAPublicationdate"/>
      <w:spacing w:before="240" w:after="1200"/>
    </w:pPr>
    <w:r>
      <w:t>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6D76D95"/>
    <w:multiLevelType w:val="hybridMultilevel"/>
    <w:tmpl w:val="528E85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9E10617"/>
    <w:multiLevelType w:val="hybridMultilevel"/>
    <w:tmpl w:val="AD58AF7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0" w15:restartNumberingAfterBreak="0">
    <w:nsid w:val="217C47C4"/>
    <w:multiLevelType w:val="hybridMultilevel"/>
    <w:tmpl w:val="DFF2F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2B4CFE"/>
    <w:multiLevelType w:val="hybridMultilevel"/>
    <w:tmpl w:val="013CA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5"/>
  </w:num>
  <w:num w:numId="4">
    <w:abstractNumId w:val="14"/>
  </w:num>
  <w:num w:numId="5">
    <w:abstractNumId w:val="15"/>
  </w:num>
  <w:num w:numId="6">
    <w:abstractNumId w:val="15"/>
  </w:num>
  <w:num w:numId="7">
    <w:abstractNumId w:val="16"/>
  </w:num>
  <w:num w:numId="8">
    <w:abstractNumId w:val="15"/>
  </w:num>
  <w:num w:numId="9">
    <w:abstractNumId w:val="13"/>
  </w:num>
  <w:num w:numId="10">
    <w:abstractNumId w:val="11"/>
  </w:num>
  <w:num w:numId="11">
    <w:abstractNumId w:val="13"/>
  </w:num>
  <w:num w:numId="12">
    <w:abstractNumId w:val="8"/>
  </w:num>
  <w:num w:numId="13">
    <w:abstractNumId w:val="8"/>
  </w:num>
  <w:num w:numId="14">
    <w:abstractNumId w:val="8"/>
  </w:num>
  <w:num w:numId="15">
    <w:abstractNumId w:val="8"/>
  </w:num>
  <w:num w:numId="16">
    <w:abstractNumId w:val="11"/>
  </w:num>
  <w:num w:numId="17">
    <w:abstractNumId w:val="15"/>
  </w:num>
  <w:num w:numId="18">
    <w:abstractNumId w:val="15"/>
  </w:num>
  <w:num w:numId="19">
    <w:abstractNumId w:val="14"/>
  </w:num>
  <w:num w:numId="20">
    <w:abstractNumId w:val="14"/>
  </w:num>
  <w:num w:numId="21">
    <w:abstractNumId w:val="14"/>
  </w:num>
  <w:num w:numId="22">
    <w:abstractNumId w:val="13"/>
  </w:num>
  <w:num w:numId="23">
    <w:abstractNumId w:val="11"/>
  </w:num>
  <w:num w:numId="24">
    <w:abstractNumId w:val="15"/>
  </w:num>
  <w:num w:numId="25">
    <w:abstractNumId w:val="15"/>
  </w:num>
  <w:num w:numId="26">
    <w:abstractNumId w:val="14"/>
  </w:num>
  <w:num w:numId="27">
    <w:abstractNumId w:val="14"/>
  </w:num>
  <w:num w:numId="28">
    <w:abstractNumId w:val="14"/>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9"/>
  </w:num>
  <w:num w:numId="37">
    <w:abstractNumId w:val="17"/>
  </w:num>
  <w:num w:numId="38">
    <w:abstractNumId w:val="7"/>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47677D"/>
    <w:rsid w:val="00000A72"/>
    <w:rsid w:val="000030B1"/>
    <w:rsid w:val="000078CE"/>
    <w:rsid w:val="00010338"/>
    <w:rsid w:val="00012650"/>
    <w:rsid w:val="0001575D"/>
    <w:rsid w:val="000220F7"/>
    <w:rsid w:val="00027CA5"/>
    <w:rsid w:val="000360EC"/>
    <w:rsid w:val="00040F0B"/>
    <w:rsid w:val="000471CA"/>
    <w:rsid w:val="00047A00"/>
    <w:rsid w:val="00057FDC"/>
    <w:rsid w:val="00063AD1"/>
    <w:rsid w:val="00064E2D"/>
    <w:rsid w:val="00071E3E"/>
    <w:rsid w:val="0007366C"/>
    <w:rsid w:val="00074349"/>
    <w:rsid w:val="00074C4F"/>
    <w:rsid w:val="000759A6"/>
    <w:rsid w:val="000773D0"/>
    <w:rsid w:val="00080BEC"/>
    <w:rsid w:val="00091432"/>
    <w:rsid w:val="00091AFC"/>
    <w:rsid w:val="00094FE1"/>
    <w:rsid w:val="000A17A2"/>
    <w:rsid w:val="000A1C94"/>
    <w:rsid w:val="000B2A45"/>
    <w:rsid w:val="000B6186"/>
    <w:rsid w:val="000C0565"/>
    <w:rsid w:val="000C1376"/>
    <w:rsid w:val="000C49D4"/>
    <w:rsid w:val="000C6955"/>
    <w:rsid w:val="000D2D32"/>
    <w:rsid w:val="000E12C5"/>
    <w:rsid w:val="000E18E9"/>
    <w:rsid w:val="000E1BEB"/>
    <w:rsid w:val="000F000F"/>
    <w:rsid w:val="001018E7"/>
    <w:rsid w:val="00105FFE"/>
    <w:rsid w:val="00113FF5"/>
    <w:rsid w:val="00115B2D"/>
    <w:rsid w:val="00121362"/>
    <w:rsid w:val="0012570F"/>
    <w:rsid w:val="00126813"/>
    <w:rsid w:val="001345EB"/>
    <w:rsid w:val="00136ED3"/>
    <w:rsid w:val="001429B9"/>
    <w:rsid w:val="0014464B"/>
    <w:rsid w:val="00151B7E"/>
    <w:rsid w:val="0015359B"/>
    <w:rsid w:val="00157A2D"/>
    <w:rsid w:val="00160C7E"/>
    <w:rsid w:val="00165F28"/>
    <w:rsid w:val="00167FB1"/>
    <w:rsid w:val="00170969"/>
    <w:rsid w:val="00181303"/>
    <w:rsid w:val="0018364B"/>
    <w:rsid w:val="00190CAC"/>
    <w:rsid w:val="00192554"/>
    <w:rsid w:val="00194B22"/>
    <w:rsid w:val="001A0DF1"/>
    <w:rsid w:val="001A2999"/>
    <w:rsid w:val="001B0559"/>
    <w:rsid w:val="001B44F5"/>
    <w:rsid w:val="001C041D"/>
    <w:rsid w:val="001C746E"/>
    <w:rsid w:val="001D0AC3"/>
    <w:rsid w:val="001D131A"/>
    <w:rsid w:val="001D4062"/>
    <w:rsid w:val="001D5993"/>
    <w:rsid w:val="001E3313"/>
    <w:rsid w:val="001F653E"/>
    <w:rsid w:val="00203AAF"/>
    <w:rsid w:val="00204E85"/>
    <w:rsid w:val="00212B55"/>
    <w:rsid w:val="00213E14"/>
    <w:rsid w:val="0021722B"/>
    <w:rsid w:val="00224188"/>
    <w:rsid w:val="00224EFE"/>
    <w:rsid w:val="002312A1"/>
    <w:rsid w:val="00240A51"/>
    <w:rsid w:val="00256223"/>
    <w:rsid w:val="00272435"/>
    <w:rsid w:val="002735AB"/>
    <w:rsid w:val="00274DD4"/>
    <w:rsid w:val="00297FE4"/>
    <w:rsid w:val="002A4C39"/>
    <w:rsid w:val="002A7A37"/>
    <w:rsid w:val="002B5017"/>
    <w:rsid w:val="002B7215"/>
    <w:rsid w:val="002B73A4"/>
    <w:rsid w:val="002C335C"/>
    <w:rsid w:val="002D0843"/>
    <w:rsid w:val="002D39B2"/>
    <w:rsid w:val="002E1B89"/>
    <w:rsid w:val="002F1536"/>
    <w:rsid w:val="002F7860"/>
    <w:rsid w:val="00303F32"/>
    <w:rsid w:val="00306C10"/>
    <w:rsid w:val="00310DD1"/>
    <w:rsid w:val="00315C03"/>
    <w:rsid w:val="00320866"/>
    <w:rsid w:val="003224F8"/>
    <w:rsid w:val="003270C5"/>
    <w:rsid w:val="003304DB"/>
    <w:rsid w:val="003315F4"/>
    <w:rsid w:val="00332DB5"/>
    <w:rsid w:val="00341F23"/>
    <w:rsid w:val="00343733"/>
    <w:rsid w:val="003568DA"/>
    <w:rsid w:val="00360994"/>
    <w:rsid w:val="003655D7"/>
    <w:rsid w:val="003657CF"/>
    <w:rsid w:val="0037081E"/>
    <w:rsid w:val="00371A38"/>
    <w:rsid w:val="00374316"/>
    <w:rsid w:val="00374929"/>
    <w:rsid w:val="00375C12"/>
    <w:rsid w:val="00377DD7"/>
    <w:rsid w:val="00397119"/>
    <w:rsid w:val="003A2F62"/>
    <w:rsid w:val="003A6F61"/>
    <w:rsid w:val="003B1CA2"/>
    <w:rsid w:val="003B7EF2"/>
    <w:rsid w:val="003C46C6"/>
    <w:rsid w:val="003C4A06"/>
    <w:rsid w:val="003C708D"/>
    <w:rsid w:val="003D1BE3"/>
    <w:rsid w:val="003E2FB8"/>
    <w:rsid w:val="004007A6"/>
    <w:rsid w:val="00402557"/>
    <w:rsid w:val="0040604F"/>
    <w:rsid w:val="004158B6"/>
    <w:rsid w:val="00427C16"/>
    <w:rsid w:val="004421BD"/>
    <w:rsid w:val="00443649"/>
    <w:rsid w:val="004707EF"/>
    <w:rsid w:val="0047677D"/>
    <w:rsid w:val="004771B5"/>
    <w:rsid w:val="004830F2"/>
    <w:rsid w:val="00483E7B"/>
    <w:rsid w:val="00493A11"/>
    <w:rsid w:val="004A0601"/>
    <w:rsid w:val="004B5672"/>
    <w:rsid w:val="004C6AC4"/>
    <w:rsid w:val="004C75B1"/>
    <w:rsid w:val="004D05EB"/>
    <w:rsid w:val="004D17FC"/>
    <w:rsid w:val="004D3813"/>
    <w:rsid w:val="004D3EA9"/>
    <w:rsid w:val="004D7100"/>
    <w:rsid w:val="004F4AF0"/>
    <w:rsid w:val="004F5A30"/>
    <w:rsid w:val="005016FF"/>
    <w:rsid w:val="00504F13"/>
    <w:rsid w:val="005076E1"/>
    <w:rsid w:val="0051128A"/>
    <w:rsid w:val="00512585"/>
    <w:rsid w:val="005236FF"/>
    <w:rsid w:val="005317C2"/>
    <w:rsid w:val="00546C0D"/>
    <w:rsid w:val="005622E3"/>
    <w:rsid w:val="00570884"/>
    <w:rsid w:val="00576631"/>
    <w:rsid w:val="0059176B"/>
    <w:rsid w:val="005A04B6"/>
    <w:rsid w:val="005A3565"/>
    <w:rsid w:val="005B0012"/>
    <w:rsid w:val="005B1640"/>
    <w:rsid w:val="005B3D02"/>
    <w:rsid w:val="005C1DFD"/>
    <w:rsid w:val="005C56AF"/>
    <w:rsid w:val="005D19C7"/>
    <w:rsid w:val="005D4A19"/>
    <w:rsid w:val="005D4B0B"/>
    <w:rsid w:val="005D5C9C"/>
    <w:rsid w:val="005D6152"/>
    <w:rsid w:val="005E04BF"/>
    <w:rsid w:val="005F1A75"/>
    <w:rsid w:val="005F7333"/>
    <w:rsid w:val="006008BB"/>
    <w:rsid w:val="00602865"/>
    <w:rsid w:val="006213C1"/>
    <w:rsid w:val="00622473"/>
    <w:rsid w:val="00627E58"/>
    <w:rsid w:val="006305B3"/>
    <w:rsid w:val="00637907"/>
    <w:rsid w:val="00644D3A"/>
    <w:rsid w:val="0064580D"/>
    <w:rsid w:val="00656FC7"/>
    <w:rsid w:val="0066019E"/>
    <w:rsid w:val="00660AE7"/>
    <w:rsid w:val="00662048"/>
    <w:rsid w:val="00662886"/>
    <w:rsid w:val="00663965"/>
    <w:rsid w:val="00665449"/>
    <w:rsid w:val="0066758C"/>
    <w:rsid w:val="006735AD"/>
    <w:rsid w:val="00674388"/>
    <w:rsid w:val="006764E3"/>
    <w:rsid w:val="00680746"/>
    <w:rsid w:val="00687C56"/>
    <w:rsid w:val="006A00A7"/>
    <w:rsid w:val="006A2D79"/>
    <w:rsid w:val="006A5F17"/>
    <w:rsid w:val="006A6FC6"/>
    <w:rsid w:val="006B35B8"/>
    <w:rsid w:val="006B3F5E"/>
    <w:rsid w:val="006B612D"/>
    <w:rsid w:val="006B6E7E"/>
    <w:rsid w:val="006C328A"/>
    <w:rsid w:val="006D234F"/>
    <w:rsid w:val="006D5FBD"/>
    <w:rsid w:val="006E05D9"/>
    <w:rsid w:val="006F181A"/>
    <w:rsid w:val="006F1B12"/>
    <w:rsid w:val="006F2D6F"/>
    <w:rsid w:val="006F527A"/>
    <w:rsid w:val="00714549"/>
    <w:rsid w:val="00720C7B"/>
    <w:rsid w:val="00724661"/>
    <w:rsid w:val="00731C99"/>
    <w:rsid w:val="007360C0"/>
    <w:rsid w:val="00751FFE"/>
    <w:rsid w:val="00761295"/>
    <w:rsid w:val="00762876"/>
    <w:rsid w:val="00765B9E"/>
    <w:rsid w:val="00777CAA"/>
    <w:rsid w:val="00781FFA"/>
    <w:rsid w:val="00784D14"/>
    <w:rsid w:val="0078712B"/>
    <w:rsid w:val="0078739B"/>
    <w:rsid w:val="007A0122"/>
    <w:rsid w:val="007A2026"/>
    <w:rsid w:val="007A5D8D"/>
    <w:rsid w:val="007B0612"/>
    <w:rsid w:val="007B75D0"/>
    <w:rsid w:val="007D5BA7"/>
    <w:rsid w:val="007E1BA5"/>
    <w:rsid w:val="007E1EA2"/>
    <w:rsid w:val="007E41DB"/>
    <w:rsid w:val="007F5336"/>
    <w:rsid w:val="0080354B"/>
    <w:rsid w:val="008074B3"/>
    <w:rsid w:val="00813473"/>
    <w:rsid w:val="008225C1"/>
    <w:rsid w:val="0082595B"/>
    <w:rsid w:val="00833658"/>
    <w:rsid w:val="00846473"/>
    <w:rsid w:val="00847377"/>
    <w:rsid w:val="00851C40"/>
    <w:rsid w:val="00854F88"/>
    <w:rsid w:val="00856DA8"/>
    <w:rsid w:val="0086035E"/>
    <w:rsid w:val="008636E1"/>
    <w:rsid w:val="00872C1A"/>
    <w:rsid w:val="00875E86"/>
    <w:rsid w:val="00876A7D"/>
    <w:rsid w:val="0087776E"/>
    <w:rsid w:val="0088184E"/>
    <w:rsid w:val="00890B46"/>
    <w:rsid w:val="008958CB"/>
    <w:rsid w:val="00896E60"/>
    <w:rsid w:val="008A1E46"/>
    <w:rsid w:val="008A1E5F"/>
    <w:rsid w:val="008A3377"/>
    <w:rsid w:val="008A4542"/>
    <w:rsid w:val="008A46ED"/>
    <w:rsid w:val="008A7A28"/>
    <w:rsid w:val="008B2419"/>
    <w:rsid w:val="008C388A"/>
    <w:rsid w:val="008D4979"/>
    <w:rsid w:val="008D4CFF"/>
    <w:rsid w:val="008E4B21"/>
    <w:rsid w:val="008F4DC6"/>
    <w:rsid w:val="008F60E3"/>
    <w:rsid w:val="008F6F1E"/>
    <w:rsid w:val="009049DA"/>
    <w:rsid w:val="00911822"/>
    <w:rsid w:val="00920686"/>
    <w:rsid w:val="00921F0F"/>
    <w:rsid w:val="0092285B"/>
    <w:rsid w:val="00924283"/>
    <w:rsid w:val="00926A7F"/>
    <w:rsid w:val="00940793"/>
    <w:rsid w:val="0095229D"/>
    <w:rsid w:val="00953614"/>
    <w:rsid w:val="009576EA"/>
    <w:rsid w:val="0096141C"/>
    <w:rsid w:val="00961BFD"/>
    <w:rsid w:val="009708FE"/>
    <w:rsid w:val="00983CC6"/>
    <w:rsid w:val="009868F5"/>
    <w:rsid w:val="00986BE6"/>
    <w:rsid w:val="0099270D"/>
    <w:rsid w:val="00997711"/>
    <w:rsid w:val="009A74F1"/>
    <w:rsid w:val="009B0D09"/>
    <w:rsid w:val="009B59BF"/>
    <w:rsid w:val="009B7C9E"/>
    <w:rsid w:val="009D539D"/>
    <w:rsid w:val="009E1AC3"/>
    <w:rsid w:val="009F0AA0"/>
    <w:rsid w:val="009F62DB"/>
    <w:rsid w:val="00A11120"/>
    <w:rsid w:val="00A20861"/>
    <w:rsid w:val="00A23BA0"/>
    <w:rsid w:val="00A24769"/>
    <w:rsid w:val="00A25631"/>
    <w:rsid w:val="00A341AD"/>
    <w:rsid w:val="00A40CEB"/>
    <w:rsid w:val="00A40D24"/>
    <w:rsid w:val="00A414D0"/>
    <w:rsid w:val="00A4395A"/>
    <w:rsid w:val="00A43DB0"/>
    <w:rsid w:val="00A52F29"/>
    <w:rsid w:val="00A745F8"/>
    <w:rsid w:val="00A8202F"/>
    <w:rsid w:val="00A84039"/>
    <w:rsid w:val="00A8603B"/>
    <w:rsid w:val="00A86650"/>
    <w:rsid w:val="00A93509"/>
    <w:rsid w:val="00A93649"/>
    <w:rsid w:val="00AA5A03"/>
    <w:rsid w:val="00AB5376"/>
    <w:rsid w:val="00AC0D29"/>
    <w:rsid w:val="00AC2651"/>
    <w:rsid w:val="00AC3D95"/>
    <w:rsid w:val="00AF0DB3"/>
    <w:rsid w:val="00B044A6"/>
    <w:rsid w:val="00B05050"/>
    <w:rsid w:val="00B06138"/>
    <w:rsid w:val="00B1152C"/>
    <w:rsid w:val="00B156BF"/>
    <w:rsid w:val="00B303CD"/>
    <w:rsid w:val="00B32F64"/>
    <w:rsid w:val="00B3567F"/>
    <w:rsid w:val="00B43159"/>
    <w:rsid w:val="00B4495D"/>
    <w:rsid w:val="00B5721D"/>
    <w:rsid w:val="00B6049A"/>
    <w:rsid w:val="00B72B3B"/>
    <w:rsid w:val="00B831BD"/>
    <w:rsid w:val="00B85795"/>
    <w:rsid w:val="00B874F2"/>
    <w:rsid w:val="00B94279"/>
    <w:rsid w:val="00BA79D0"/>
    <w:rsid w:val="00BB122F"/>
    <w:rsid w:val="00BC3D2F"/>
    <w:rsid w:val="00BC66A8"/>
    <w:rsid w:val="00BC7CB2"/>
    <w:rsid w:val="00BD1E45"/>
    <w:rsid w:val="00BD3873"/>
    <w:rsid w:val="00BD4E98"/>
    <w:rsid w:val="00BE36EB"/>
    <w:rsid w:val="00BE550A"/>
    <w:rsid w:val="00BE6D3A"/>
    <w:rsid w:val="00BF6DBF"/>
    <w:rsid w:val="00C03551"/>
    <w:rsid w:val="00C16B80"/>
    <w:rsid w:val="00C23872"/>
    <w:rsid w:val="00C242C7"/>
    <w:rsid w:val="00C333C6"/>
    <w:rsid w:val="00C33AEF"/>
    <w:rsid w:val="00C3445E"/>
    <w:rsid w:val="00C34E42"/>
    <w:rsid w:val="00C415B1"/>
    <w:rsid w:val="00C42A11"/>
    <w:rsid w:val="00C42F1F"/>
    <w:rsid w:val="00C56F59"/>
    <w:rsid w:val="00C61448"/>
    <w:rsid w:val="00C61CB5"/>
    <w:rsid w:val="00C64A61"/>
    <w:rsid w:val="00C65F21"/>
    <w:rsid w:val="00C81372"/>
    <w:rsid w:val="00C84D28"/>
    <w:rsid w:val="00C93836"/>
    <w:rsid w:val="00C94282"/>
    <w:rsid w:val="00C97F3C"/>
    <w:rsid w:val="00CA0CEE"/>
    <w:rsid w:val="00CA4FDF"/>
    <w:rsid w:val="00CA57C8"/>
    <w:rsid w:val="00CB20A1"/>
    <w:rsid w:val="00CB48F9"/>
    <w:rsid w:val="00CC0626"/>
    <w:rsid w:val="00CC216F"/>
    <w:rsid w:val="00CD15A9"/>
    <w:rsid w:val="00CD6D43"/>
    <w:rsid w:val="00CE0BAC"/>
    <w:rsid w:val="00CF2D05"/>
    <w:rsid w:val="00D07DA2"/>
    <w:rsid w:val="00D1459E"/>
    <w:rsid w:val="00D237AE"/>
    <w:rsid w:val="00D24B28"/>
    <w:rsid w:val="00D2558F"/>
    <w:rsid w:val="00D30B8E"/>
    <w:rsid w:val="00D322D7"/>
    <w:rsid w:val="00D333CC"/>
    <w:rsid w:val="00D37B73"/>
    <w:rsid w:val="00D46466"/>
    <w:rsid w:val="00D50229"/>
    <w:rsid w:val="00D538CE"/>
    <w:rsid w:val="00D64376"/>
    <w:rsid w:val="00D6445A"/>
    <w:rsid w:val="00D67E5C"/>
    <w:rsid w:val="00D739F1"/>
    <w:rsid w:val="00D73D9C"/>
    <w:rsid w:val="00D75C29"/>
    <w:rsid w:val="00D82005"/>
    <w:rsid w:val="00D82841"/>
    <w:rsid w:val="00D9006F"/>
    <w:rsid w:val="00D93B08"/>
    <w:rsid w:val="00D95F76"/>
    <w:rsid w:val="00DA3D6D"/>
    <w:rsid w:val="00DB07C5"/>
    <w:rsid w:val="00DB1192"/>
    <w:rsid w:val="00DC01DC"/>
    <w:rsid w:val="00DC6202"/>
    <w:rsid w:val="00DD23EF"/>
    <w:rsid w:val="00DD5EE1"/>
    <w:rsid w:val="00DE037E"/>
    <w:rsid w:val="00DE3C33"/>
    <w:rsid w:val="00DE6581"/>
    <w:rsid w:val="00DF6B6C"/>
    <w:rsid w:val="00E0229B"/>
    <w:rsid w:val="00E03ADB"/>
    <w:rsid w:val="00E075F0"/>
    <w:rsid w:val="00E245AF"/>
    <w:rsid w:val="00E2734D"/>
    <w:rsid w:val="00E27B90"/>
    <w:rsid w:val="00E33B3F"/>
    <w:rsid w:val="00E3557E"/>
    <w:rsid w:val="00E42D84"/>
    <w:rsid w:val="00E61A4B"/>
    <w:rsid w:val="00E663BB"/>
    <w:rsid w:val="00E671D6"/>
    <w:rsid w:val="00E71054"/>
    <w:rsid w:val="00E865F8"/>
    <w:rsid w:val="00E87027"/>
    <w:rsid w:val="00E904F6"/>
    <w:rsid w:val="00E92D5D"/>
    <w:rsid w:val="00EA72A9"/>
    <w:rsid w:val="00EB0560"/>
    <w:rsid w:val="00EB7D9F"/>
    <w:rsid w:val="00EC45C3"/>
    <w:rsid w:val="00EE7FAD"/>
    <w:rsid w:val="00EF33D4"/>
    <w:rsid w:val="00EF4FC5"/>
    <w:rsid w:val="00EF5D01"/>
    <w:rsid w:val="00EF7C5C"/>
    <w:rsid w:val="00F0005B"/>
    <w:rsid w:val="00F00EF3"/>
    <w:rsid w:val="00F12E38"/>
    <w:rsid w:val="00F14EC8"/>
    <w:rsid w:val="00F17641"/>
    <w:rsid w:val="00F26BB8"/>
    <w:rsid w:val="00F30C90"/>
    <w:rsid w:val="00F41DC6"/>
    <w:rsid w:val="00F46C28"/>
    <w:rsid w:val="00F47CDE"/>
    <w:rsid w:val="00F63972"/>
    <w:rsid w:val="00F71EDA"/>
    <w:rsid w:val="00F752A3"/>
    <w:rsid w:val="00F77E0F"/>
    <w:rsid w:val="00F80149"/>
    <w:rsid w:val="00F825B6"/>
    <w:rsid w:val="00F86357"/>
    <w:rsid w:val="00F97BE6"/>
    <w:rsid w:val="00FA6C77"/>
    <w:rsid w:val="00FA79B7"/>
    <w:rsid w:val="00FB28B5"/>
    <w:rsid w:val="00FB3104"/>
    <w:rsid w:val="00FB3760"/>
    <w:rsid w:val="00FC06C1"/>
    <w:rsid w:val="00FC0D8E"/>
    <w:rsid w:val="00FC7D92"/>
    <w:rsid w:val="00FD3278"/>
    <w:rsid w:val="00FE2E82"/>
    <w:rsid w:val="1EA83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659512AF"/>
  <w15:docId w15:val="{A5DB2DDD-5153-49D0-9924-C5805D86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47677D"/>
    <w:pPr>
      <w:numPr>
        <w:numId w:val="10"/>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aliases w:val="Footnote,Footnotes refss,4_G,Footnote number,Stinking Styles,Nota a pie,NO"/>
    <w:qFormat/>
    <w:rsid w:val="00DB07C5"/>
    <w:rPr>
      <w:rFonts w:ascii="Arial" w:hAnsi="Arial"/>
      <w:sz w:val="18"/>
      <w:vertAlign w:val="superscript"/>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
    <w:basedOn w:val="Normal"/>
    <w:link w:val="FootnoteTextChar"/>
    <w:qFormat/>
    <w:rsid w:val="00A20861"/>
    <w:pPr>
      <w:ind w:left="284" w:hanging="284"/>
      <w:contextualSpacing/>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FootnoteTextChar">
    <w:name w:val="Footnote Text Char"/>
    <w:aliases w:val="Footnote Text Char Char Char Char Char Char Char,Footnote Text Char Char Char Char Char Char Char Char Char Char Char Char Char Char Char Char Char Char,C Char"/>
    <w:basedOn w:val="DefaultParagraphFont"/>
    <w:link w:val="FootnoteText"/>
    <w:rsid w:val="00A20861"/>
    <w:rPr>
      <w:rFonts w:ascii="Arial" w:eastAsia="Times New Roman" w:hAnsi="Arial"/>
      <w:sz w:val="18"/>
    </w:rPr>
  </w:style>
  <w:style w:type="character" w:styleId="CommentReference">
    <w:name w:val="annotation reference"/>
    <w:basedOn w:val="DefaultParagraphFont"/>
    <w:semiHidden/>
    <w:unhideWhenUsed/>
    <w:rsid w:val="00A40CEB"/>
    <w:rPr>
      <w:sz w:val="16"/>
      <w:szCs w:val="16"/>
    </w:rPr>
  </w:style>
  <w:style w:type="paragraph" w:styleId="CommentText">
    <w:name w:val="annotation text"/>
    <w:basedOn w:val="Normal"/>
    <w:link w:val="CommentTextChar"/>
    <w:semiHidden/>
    <w:unhideWhenUsed/>
    <w:rsid w:val="00A40CEB"/>
    <w:pPr>
      <w:spacing w:line="240" w:lineRule="auto"/>
    </w:pPr>
    <w:rPr>
      <w:sz w:val="20"/>
      <w:szCs w:val="20"/>
    </w:rPr>
  </w:style>
  <w:style w:type="character" w:customStyle="1" w:styleId="CommentTextChar">
    <w:name w:val="Comment Text Char"/>
    <w:basedOn w:val="DefaultParagraphFont"/>
    <w:link w:val="CommentText"/>
    <w:semiHidden/>
    <w:rsid w:val="00A40CEB"/>
    <w:rPr>
      <w:rFonts w:ascii="Arial" w:eastAsia="Times New Roman" w:hAnsi="Arial"/>
    </w:rPr>
  </w:style>
  <w:style w:type="paragraph" w:styleId="CommentSubject">
    <w:name w:val="annotation subject"/>
    <w:basedOn w:val="CommentText"/>
    <w:next w:val="CommentText"/>
    <w:link w:val="CommentSubjectChar"/>
    <w:semiHidden/>
    <w:unhideWhenUsed/>
    <w:rsid w:val="00A40CEB"/>
    <w:rPr>
      <w:b/>
      <w:bCs/>
    </w:rPr>
  </w:style>
  <w:style w:type="character" w:customStyle="1" w:styleId="CommentSubjectChar">
    <w:name w:val="Comment Subject Char"/>
    <w:basedOn w:val="CommentTextChar"/>
    <w:link w:val="CommentSubject"/>
    <w:semiHidden/>
    <w:rsid w:val="00A40CEB"/>
    <w:rPr>
      <w:rFonts w:ascii="Arial" w:eastAsia="Times New Roman" w:hAnsi="Arial"/>
      <w:b/>
      <w:bCs/>
    </w:rPr>
  </w:style>
  <w:style w:type="paragraph" w:styleId="BalloonText">
    <w:name w:val="Balloon Text"/>
    <w:basedOn w:val="Normal"/>
    <w:link w:val="BalloonTextChar"/>
    <w:semiHidden/>
    <w:unhideWhenUsed/>
    <w:rsid w:val="00A40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40CEB"/>
    <w:rPr>
      <w:rFonts w:ascii="Segoe UI" w:eastAsia="Times New Roman" w:hAnsi="Segoe UI" w:cs="Segoe UI"/>
      <w:sz w:val="18"/>
      <w:szCs w:val="18"/>
    </w:rPr>
  </w:style>
  <w:style w:type="character" w:styleId="Emphasis">
    <w:name w:val="Emphasis"/>
    <w:basedOn w:val="DefaultParagraphFont"/>
    <w:qFormat/>
    <w:locked/>
    <w:rsid w:val="00FC06C1"/>
    <w:rPr>
      <w:i/>
      <w:iCs/>
    </w:rPr>
  </w:style>
  <w:style w:type="paragraph" w:styleId="ListParagraph">
    <w:name w:val="List Paragraph"/>
    <w:basedOn w:val="Normal"/>
    <w:uiPriority w:val="72"/>
    <w:unhideWhenUsed/>
    <w:rsid w:val="004D3EA9"/>
    <w:pPr>
      <w:ind w:left="720"/>
      <w:contextualSpacing/>
    </w:pPr>
  </w:style>
  <w:style w:type="paragraph" w:styleId="Revision">
    <w:name w:val="Revision"/>
    <w:hidden/>
    <w:uiPriority w:val="71"/>
    <w:unhideWhenUsed/>
    <w:rsid w:val="00E2734D"/>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2-20T10:30:21.268"/>
    </inkml:context>
    <inkml:brush xml:id="br0">
      <inkml:brushProperty name="width" value="0.02857" units="cm"/>
      <inkml:brushProperty name="height" value="0.02857" units="cm"/>
    </inkml:brush>
  </inkml:definitions>
  <inkml:trace contextRef="#ctx0" brushRef="#br0">15192 15804 11584,'27'27'-6400</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A5226193E354DBF38DBF2089CC78E" ma:contentTypeVersion="9" ma:contentTypeDescription="Create a new document." ma:contentTypeScope="" ma:versionID="dd9c51d8052637e61639bf03c06a24ce">
  <xsd:schema xmlns:xsd="http://www.w3.org/2001/XMLSchema" xmlns:xs="http://www.w3.org/2001/XMLSchema" xmlns:p="http://schemas.microsoft.com/office/2006/metadata/properties" xmlns:ns2="c50d3504-5d74-4e07-ba5c-057956969fb8" xmlns:ns3="f93ada87-8dbd-4c64-9fe9-5607492debaa" targetNamespace="http://schemas.microsoft.com/office/2006/metadata/properties" ma:root="true" ma:fieldsID="8815cd8592db2991a905c787fe5c2e52" ns2:_="" ns3:_="">
    <xsd:import namespace="c50d3504-5d74-4e07-ba5c-057956969fb8"/>
    <xsd:import namespace="f93ada87-8dbd-4c64-9fe9-5607492de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d3504-5d74-4e07-ba5c-057956969f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ada87-8dbd-4c64-9fe9-5607492deb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A9AFE-1570-4F03-BBA2-9644D011D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d3504-5d74-4e07-ba5c-057956969fb8"/>
    <ds:schemaRef ds:uri="f93ada87-8dbd-4c64-9fe9-5607492de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05DE8-E309-420D-9ECC-DB45B4D4E1BA}">
  <ds:schemaRefs>
    <ds:schemaRef ds:uri="http://schemas.microsoft.com/sharepoint/v3/contenttype/forms"/>
  </ds:schemaRefs>
</ds:datastoreItem>
</file>

<file path=customXml/itemProps3.xml><?xml version="1.0" encoding="utf-8"?>
<ds:datastoreItem xmlns:ds="http://schemas.openxmlformats.org/officeDocument/2006/customXml" ds:itemID="{A132CFFB-DEEF-4BBD-9F17-BEBDD9B5A5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0FA00-FEA1-4527-8C85-C99ED9C3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Victoria Legal Aid 2016–17 midyear report</vt:lpstr>
    </vt:vector>
  </TitlesOfParts>
  <Company>Victoria Legal Aid</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2016–17 midyear report</dc:title>
  <dc:subject/>
  <dc:creator>Victoria Legal Aid</dc:creator>
  <cp:keywords/>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0x010100551A5226193E354DBF38DBF2089CC78E</vt:lpwstr>
  </op:property>
  <op:property fmtid="{D5CDD505-2E9C-101B-9397-08002B2CF9AE}" pid="4" name="_MarkAsFinal">
    <vt:bool>true</vt:bool>
  </op:property>
</op:Properties>
</file>