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5B58F0" w:rsidP="00B378A2">
      <w:pPr>
        <w:pStyle w:val="VLAtitle"/>
      </w:pPr>
      <w:r>
        <w:t>Aboriginal and Torres Strait Islander Employment Strategy 2016–18</w:t>
      </w:r>
    </w:p>
    <w:p w:rsidR="00B378A2" w:rsidRDefault="005B58F0" w:rsidP="00B378A2">
      <w:pPr>
        <w:pStyle w:val="VLAdate"/>
      </w:pPr>
      <w:r>
        <w:t>December 2016</w:t>
      </w:r>
    </w:p>
    <w:p w:rsidR="00CC0C03" w:rsidRDefault="00CC0C03" w:rsidP="00CC0C03"/>
    <w:p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5A20B2">
        <w:rPr>
          <w:noProof/>
          <w:color w:val="971A4B"/>
        </w:rPr>
        <w:t>2016</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Corporate Affairs</w:t>
      </w:r>
      <w:r w:rsidR="006E2882" w:rsidRPr="006E2882">
        <w:rPr>
          <w:bCs w:val="0"/>
        </w:rPr>
        <w:t>, 350 Queen Street, Melbourne Vic</w:t>
      </w:r>
      <w:r w:rsidR="006E2882">
        <w:rPr>
          <w:bCs w:val="0"/>
        </w:rPr>
        <w:t> </w:t>
      </w:r>
      <w:r w:rsidR="006E2882" w:rsidRPr="006E2882">
        <w:rPr>
          <w:bCs w:val="0"/>
        </w:rPr>
        <w:t>3000.</w:t>
      </w:r>
    </w:p>
    <w:p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0"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End w:id="0"/>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rsidR="002B4970" w:rsidRPr="00B673FA" w:rsidRDefault="002B4970" w:rsidP="00B378A2">
      <w:pPr>
        <w:pStyle w:val="Contents"/>
      </w:pPr>
      <w:r>
        <w:lastRenderedPageBreak/>
        <w:t>Contents</w:t>
      </w:r>
    </w:p>
    <w:p w:rsidR="00430591" w:rsidRDefault="004E0688">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469407388" w:history="1">
        <w:r w:rsidR="00430591" w:rsidRPr="00F34F6F">
          <w:rPr>
            <w:rStyle w:val="Hyperlink"/>
            <w:noProof/>
          </w:rPr>
          <w:t>Foreword</w:t>
        </w:r>
        <w:r w:rsidR="00430591">
          <w:rPr>
            <w:noProof/>
            <w:webHidden/>
          </w:rPr>
          <w:tab/>
        </w:r>
        <w:r w:rsidR="00430591">
          <w:rPr>
            <w:noProof/>
            <w:webHidden/>
          </w:rPr>
          <w:fldChar w:fldCharType="begin"/>
        </w:r>
        <w:r w:rsidR="00430591">
          <w:rPr>
            <w:noProof/>
            <w:webHidden/>
          </w:rPr>
          <w:instrText xml:space="preserve"> PAGEREF _Toc469407388 \h </w:instrText>
        </w:r>
        <w:r w:rsidR="00430591">
          <w:rPr>
            <w:noProof/>
            <w:webHidden/>
          </w:rPr>
        </w:r>
        <w:r w:rsidR="00430591">
          <w:rPr>
            <w:noProof/>
            <w:webHidden/>
          </w:rPr>
          <w:fldChar w:fldCharType="separate"/>
        </w:r>
        <w:r w:rsidR="00904573">
          <w:rPr>
            <w:noProof/>
            <w:webHidden/>
          </w:rPr>
          <w:t>1</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89" w:history="1">
        <w:r w:rsidR="00430591" w:rsidRPr="00F34F6F">
          <w:rPr>
            <w:rStyle w:val="Hyperlink"/>
            <w:noProof/>
          </w:rPr>
          <w:t>Background</w:t>
        </w:r>
        <w:r w:rsidR="00430591">
          <w:rPr>
            <w:noProof/>
            <w:webHidden/>
          </w:rPr>
          <w:tab/>
        </w:r>
        <w:r w:rsidR="00430591">
          <w:rPr>
            <w:noProof/>
            <w:webHidden/>
          </w:rPr>
          <w:fldChar w:fldCharType="begin"/>
        </w:r>
        <w:r w:rsidR="00430591">
          <w:rPr>
            <w:noProof/>
            <w:webHidden/>
          </w:rPr>
          <w:instrText xml:space="preserve"> PAGEREF _Toc469407389 \h </w:instrText>
        </w:r>
        <w:r w:rsidR="00430591">
          <w:rPr>
            <w:noProof/>
            <w:webHidden/>
          </w:rPr>
        </w:r>
        <w:r w:rsidR="00430591">
          <w:rPr>
            <w:noProof/>
            <w:webHidden/>
          </w:rPr>
          <w:fldChar w:fldCharType="separate"/>
        </w:r>
        <w:r w:rsidR="00904573">
          <w:rPr>
            <w:noProof/>
            <w:webHidden/>
          </w:rPr>
          <w:t>2</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0" w:history="1">
        <w:r w:rsidR="00430591" w:rsidRPr="00F34F6F">
          <w:rPr>
            <w:rStyle w:val="Hyperlink"/>
            <w:noProof/>
          </w:rPr>
          <w:t>Aims</w:t>
        </w:r>
        <w:r w:rsidR="00430591" w:rsidRPr="00430591">
          <w:rPr>
            <w:noProof/>
            <w:webHidden/>
          </w:rPr>
          <w:tab/>
        </w:r>
        <w:r w:rsidR="00430591" w:rsidRPr="00430591">
          <w:rPr>
            <w:noProof/>
            <w:webHidden/>
          </w:rPr>
          <w:tab/>
        </w:r>
        <w:r w:rsidR="00430591">
          <w:rPr>
            <w:noProof/>
            <w:webHidden/>
          </w:rPr>
          <w:fldChar w:fldCharType="begin"/>
        </w:r>
        <w:r w:rsidR="00430591">
          <w:rPr>
            <w:noProof/>
            <w:webHidden/>
          </w:rPr>
          <w:instrText xml:space="preserve"> PAGEREF _Toc469407390 \h </w:instrText>
        </w:r>
        <w:r w:rsidR="00430591">
          <w:rPr>
            <w:noProof/>
            <w:webHidden/>
          </w:rPr>
        </w:r>
        <w:r w:rsidR="00430591">
          <w:rPr>
            <w:noProof/>
            <w:webHidden/>
          </w:rPr>
          <w:fldChar w:fldCharType="separate"/>
        </w:r>
        <w:r w:rsidR="00904573">
          <w:rPr>
            <w:noProof/>
            <w:webHidden/>
          </w:rPr>
          <w:t>2</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1" w:history="1">
        <w:r w:rsidR="00430591" w:rsidRPr="00F34F6F">
          <w:rPr>
            <w:rStyle w:val="Hyperlink"/>
            <w:noProof/>
          </w:rPr>
          <w:t>Objectives</w:t>
        </w:r>
        <w:r w:rsidR="00430591">
          <w:rPr>
            <w:noProof/>
            <w:webHidden/>
          </w:rPr>
          <w:tab/>
        </w:r>
        <w:r w:rsidR="00430591">
          <w:rPr>
            <w:noProof/>
            <w:webHidden/>
          </w:rPr>
          <w:fldChar w:fldCharType="begin"/>
        </w:r>
        <w:r w:rsidR="00430591">
          <w:rPr>
            <w:noProof/>
            <w:webHidden/>
          </w:rPr>
          <w:instrText xml:space="preserve"> PAGEREF _Toc469407391 \h </w:instrText>
        </w:r>
        <w:r w:rsidR="00430591">
          <w:rPr>
            <w:noProof/>
            <w:webHidden/>
          </w:rPr>
        </w:r>
        <w:r w:rsidR="00430591">
          <w:rPr>
            <w:noProof/>
            <w:webHidden/>
          </w:rPr>
          <w:fldChar w:fldCharType="separate"/>
        </w:r>
        <w:r w:rsidR="00904573">
          <w:rPr>
            <w:noProof/>
            <w:webHidden/>
          </w:rPr>
          <w:t>3</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2" w:history="1">
        <w:r w:rsidR="00430591" w:rsidRPr="00F34F6F">
          <w:rPr>
            <w:rStyle w:val="Hyperlink"/>
            <w:noProof/>
          </w:rPr>
          <w:t>Where we are at</w:t>
        </w:r>
        <w:r w:rsidR="00430591">
          <w:rPr>
            <w:noProof/>
            <w:webHidden/>
          </w:rPr>
          <w:tab/>
        </w:r>
        <w:r w:rsidR="00430591">
          <w:rPr>
            <w:noProof/>
            <w:webHidden/>
          </w:rPr>
          <w:fldChar w:fldCharType="begin"/>
        </w:r>
        <w:r w:rsidR="00430591">
          <w:rPr>
            <w:noProof/>
            <w:webHidden/>
          </w:rPr>
          <w:instrText xml:space="preserve"> PAGEREF _Toc469407392 \h </w:instrText>
        </w:r>
        <w:r w:rsidR="00430591">
          <w:rPr>
            <w:noProof/>
            <w:webHidden/>
          </w:rPr>
        </w:r>
        <w:r w:rsidR="00430591">
          <w:rPr>
            <w:noProof/>
            <w:webHidden/>
          </w:rPr>
          <w:fldChar w:fldCharType="separate"/>
        </w:r>
        <w:r w:rsidR="00904573">
          <w:rPr>
            <w:noProof/>
            <w:webHidden/>
          </w:rPr>
          <w:t>3</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3" w:history="1">
        <w:r w:rsidR="00430591" w:rsidRPr="00F34F6F">
          <w:rPr>
            <w:rStyle w:val="Hyperlink"/>
            <w:noProof/>
          </w:rPr>
          <w:t>Our current Aboriginal and Torres Strait Islander workforce profile</w:t>
        </w:r>
        <w:r w:rsidR="00430591">
          <w:rPr>
            <w:noProof/>
            <w:webHidden/>
          </w:rPr>
          <w:tab/>
        </w:r>
        <w:r w:rsidR="00430591">
          <w:rPr>
            <w:noProof/>
            <w:webHidden/>
          </w:rPr>
          <w:fldChar w:fldCharType="begin"/>
        </w:r>
        <w:r w:rsidR="00430591">
          <w:rPr>
            <w:noProof/>
            <w:webHidden/>
          </w:rPr>
          <w:instrText xml:space="preserve"> PAGEREF _Toc469407393 \h </w:instrText>
        </w:r>
        <w:r w:rsidR="00430591">
          <w:rPr>
            <w:noProof/>
            <w:webHidden/>
          </w:rPr>
        </w:r>
        <w:r w:rsidR="00430591">
          <w:rPr>
            <w:noProof/>
            <w:webHidden/>
          </w:rPr>
          <w:fldChar w:fldCharType="separate"/>
        </w:r>
        <w:r w:rsidR="00904573">
          <w:rPr>
            <w:noProof/>
            <w:webHidden/>
          </w:rPr>
          <w:t>4</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4" w:history="1">
        <w:r w:rsidR="00430591" w:rsidRPr="00F34F6F">
          <w:rPr>
            <w:rStyle w:val="Hyperlink"/>
            <w:noProof/>
          </w:rPr>
          <w:t>Aboriginal and Torres Strait Islander Employment Strategy</w:t>
        </w:r>
        <w:r w:rsidR="00430591">
          <w:rPr>
            <w:noProof/>
            <w:webHidden/>
          </w:rPr>
          <w:tab/>
        </w:r>
        <w:r w:rsidR="00430591">
          <w:rPr>
            <w:noProof/>
            <w:webHidden/>
          </w:rPr>
          <w:fldChar w:fldCharType="begin"/>
        </w:r>
        <w:r w:rsidR="00430591">
          <w:rPr>
            <w:noProof/>
            <w:webHidden/>
          </w:rPr>
          <w:instrText xml:space="preserve"> PAGEREF _Toc469407394 \h </w:instrText>
        </w:r>
        <w:r w:rsidR="00430591">
          <w:rPr>
            <w:noProof/>
            <w:webHidden/>
          </w:rPr>
        </w:r>
        <w:r w:rsidR="00430591">
          <w:rPr>
            <w:noProof/>
            <w:webHidden/>
          </w:rPr>
          <w:fldChar w:fldCharType="separate"/>
        </w:r>
        <w:r w:rsidR="00904573">
          <w:rPr>
            <w:noProof/>
            <w:webHidden/>
          </w:rPr>
          <w:t>5</w:t>
        </w:r>
        <w:r w:rsidR="00430591">
          <w:rPr>
            <w:noProof/>
            <w:webHidden/>
          </w:rPr>
          <w:fldChar w:fldCharType="end"/>
        </w:r>
      </w:hyperlink>
    </w:p>
    <w:p w:rsidR="00430591" w:rsidRDefault="00BC7CE8">
      <w:pPr>
        <w:pStyle w:val="TOC1"/>
        <w:rPr>
          <w:rFonts w:asciiTheme="minorHAnsi" w:eastAsiaTheme="minorEastAsia" w:hAnsiTheme="minorHAnsi" w:cstheme="minorBidi"/>
          <w:b w:val="0"/>
          <w:noProof/>
          <w:sz w:val="22"/>
          <w:szCs w:val="22"/>
          <w:lang w:eastAsia="en-AU"/>
        </w:rPr>
      </w:pPr>
      <w:hyperlink w:anchor="_Toc469407395" w:history="1">
        <w:r w:rsidR="00904573">
          <w:rPr>
            <w:rStyle w:val="Hyperlink"/>
            <w:noProof/>
          </w:rPr>
          <w:t>Fu</w:t>
        </w:r>
        <w:r w:rsidR="00430591" w:rsidRPr="00F34F6F">
          <w:rPr>
            <w:rStyle w:val="Hyperlink"/>
            <w:noProof/>
          </w:rPr>
          <w:t>rther information</w:t>
        </w:r>
        <w:r w:rsidR="00430591">
          <w:rPr>
            <w:noProof/>
            <w:webHidden/>
          </w:rPr>
          <w:tab/>
        </w:r>
        <w:r w:rsidR="00430591">
          <w:rPr>
            <w:noProof/>
            <w:webHidden/>
          </w:rPr>
          <w:fldChar w:fldCharType="begin"/>
        </w:r>
        <w:r w:rsidR="00430591">
          <w:rPr>
            <w:noProof/>
            <w:webHidden/>
          </w:rPr>
          <w:instrText xml:space="preserve"> PAGEREF _Toc469407395 \h </w:instrText>
        </w:r>
        <w:r w:rsidR="00430591">
          <w:rPr>
            <w:noProof/>
            <w:webHidden/>
          </w:rPr>
        </w:r>
        <w:r w:rsidR="00430591">
          <w:rPr>
            <w:noProof/>
            <w:webHidden/>
          </w:rPr>
          <w:fldChar w:fldCharType="separate"/>
        </w:r>
        <w:r w:rsidR="00904573">
          <w:rPr>
            <w:noProof/>
            <w:webHidden/>
          </w:rPr>
          <w:t>8</w:t>
        </w:r>
        <w:r w:rsidR="00430591">
          <w:rPr>
            <w:noProof/>
            <w:webHidden/>
          </w:rPr>
          <w:fldChar w:fldCharType="end"/>
        </w:r>
      </w:hyperlink>
    </w:p>
    <w:p w:rsidR="00F92EA5" w:rsidRDefault="004E0688" w:rsidP="00333F26">
      <w:pPr>
        <w:pStyle w:val="TOC1"/>
      </w:pPr>
      <w:r w:rsidRPr="00037357">
        <w:fldChar w:fldCharType="end"/>
      </w:r>
    </w:p>
    <w:p w:rsidR="002B4970" w:rsidRDefault="002B4970" w:rsidP="00AA2CCE">
      <w:pPr>
        <w:rPr>
          <w:lang w:eastAsia="en-AU"/>
        </w:rPr>
      </w:pPr>
    </w:p>
    <w:p w:rsidR="00430591" w:rsidRPr="00430591" w:rsidRDefault="00430591" w:rsidP="006355B3">
      <w:pPr>
        <w:pStyle w:val="EndnoteText"/>
        <w:spacing w:before="9120"/>
        <w:sectPr w:rsidR="00430591" w:rsidRPr="00430591"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r w:rsidRPr="00430591">
        <w:t>Victoria Legal Aid delivers legal assistance services to people across Victoria. In doing so, we pay our respect to the Traditional Owners of the lands on which our offices sit, our services are delivered, and our staff work. We recognise the strength and determination of Aboriginal people today in continuing their connection to country and culture.</w:t>
      </w:r>
    </w:p>
    <w:p w:rsidR="00730644" w:rsidRPr="007550FB" w:rsidRDefault="00730644" w:rsidP="00730644">
      <w:pPr>
        <w:pStyle w:val="Heading1"/>
      </w:pPr>
      <w:bookmarkStart w:id="1" w:name="_Toc469407388"/>
      <w:r>
        <w:lastRenderedPageBreak/>
        <w:t>Foreword</w:t>
      </w:r>
      <w:bookmarkEnd w:id="1"/>
    </w:p>
    <w:p w:rsidR="00730644" w:rsidRDefault="00730644" w:rsidP="00730644">
      <w:r>
        <w:t>Victoria Legal Aid</w:t>
      </w:r>
      <w:r w:rsidR="00E12788">
        <w:t xml:space="preserve"> (VLA)</w:t>
      </w:r>
      <w:r>
        <w:t xml:space="preserve"> is pleased to present the Aboriginal and Torres Strait Islander Employment Strategy 2016</w:t>
      </w:r>
      <w:r w:rsidR="00E12788">
        <w:t>–</w:t>
      </w:r>
      <w:r>
        <w:t>18. This represents our continu</w:t>
      </w:r>
      <w:r w:rsidR="007D7C3B">
        <w:t>ed commitment, initiated in our</w:t>
      </w:r>
      <w:r>
        <w:t xml:space="preserve"> Reconciliation Action Plan 2015</w:t>
      </w:r>
      <w:r w:rsidR="00E12788">
        <w:t>–</w:t>
      </w:r>
      <w:r>
        <w:t xml:space="preserve">18, to strengthening employment opportunities and workplace support for Aboriginal and Torres Strait Islander staff in this Aboriginal and Torres Strait Islander Employment Strategy. </w:t>
      </w:r>
    </w:p>
    <w:p w:rsidR="00730644" w:rsidRDefault="00730644" w:rsidP="00730644">
      <w:r>
        <w:t>The aim of this Employment Strategy is to provide some key, measurable actions that will work towards not only making V</w:t>
      </w:r>
      <w:r w:rsidR="007D7C3B">
        <w:t xml:space="preserve">ictoria </w:t>
      </w:r>
      <w:r>
        <w:t>L</w:t>
      </w:r>
      <w:r w:rsidR="007D7C3B">
        <w:t xml:space="preserve">egal </w:t>
      </w:r>
      <w:r>
        <w:t>A</w:t>
      </w:r>
      <w:r w:rsidR="007D7C3B">
        <w:t>id</w:t>
      </w:r>
      <w:r>
        <w:t xml:space="preserve"> an organisation Aboriginal and Torres Strait Islander </w:t>
      </w:r>
      <w:r w:rsidR="00717F8F">
        <w:t xml:space="preserve">people </w:t>
      </w:r>
      <w:r>
        <w:t>want to work at, but to improve our workplace in terms of reconciliation and diversity</w:t>
      </w:r>
      <w:r w:rsidR="007D7C3B">
        <w:t xml:space="preserve"> and</w:t>
      </w:r>
      <w:r>
        <w:t xml:space="preserve"> also improve on our service delivery to Aboriginal and Torres Strait Islander people. </w:t>
      </w:r>
    </w:p>
    <w:p w:rsidR="00730644" w:rsidRDefault="00730644" w:rsidP="00730644">
      <w:r>
        <w:t>A key partner to employment is learning, and it is essential we approach the objectives in the spirit of continual improvement. V</w:t>
      </w:r>
      <w:r w:rsidR="007D7C3B">
        <w:t xml:space="preserve">ictoria </w:t>
      </w:r>
      <w:r>
        <w:t>L</w:t>
      </w:r>
      <w:r w:rsidR="007D7C3B">
        <w:t xml:space="preserve">egal </w:t>
      </w:r>
      <w:r>
        <w:t>A</w:t>
      </w:r>
      <w:r w:rsidR="007D7C3B">
        <w:t>id</w:t>
      </w:r>
      <w:r>
        <w:t xml:space="preserve"> becoming an inclusive workplace that supports people of all backgrounds and experiences, not only Aboriginal and Torres Strait Islander people, is the responsibility of all members of VLA, no matter what your role. </w:t>
      </w:r>
    </w:p>
    <w:p w:rsidR="00730644" w:rsidRDefault="00730644" w:rsidP="00730644">
      <w:r>
        <w:t>To this end, it is important that everyone in this Employment Strategy can see themselves in its actions. What will you be able to do to contribute to achieving the objects of safety, support and attraction? We hope the Aboriginal and Torres Strait Islander Employment Strategy will not only guide your team, office or programs actions, but inspire you to think more boldly about how we continue to support our current workforce of Aboriginal and Torres Strait Islander staff, and build an inclusive workplace for all staff.</w:t>
      </w:r>
    </w:p>
    <w:p w:rsidR="00730644" w:rsidRDefault="00730644" w:rsidP="00730644">
      <w:pPr>
        <w:spacing w:before="720"/>
      </w:pPr>
      <w:r w:rsidRPr="00730644">
        <w:rPr>
          <w:b/>
        </w:rPr>
        <w:t>Bevan Warner</w:t>
      </w:r>
      <w:r w:rsidRPr="00730644">
        <w:rPr>
          <w:b/>
        </w:rPr>
        <w:br/>
      </w:r>
      <w:r>
        <w:t>Managing Director</w:t>
      </w:r>
      <w:r>
        <w:br/>
        <w:t>Victoria Legal Aid</w:t>
      </w:r>
    </w:p>
    <w:p w:rsidR="00730644" w:rsidRDefault="00730644" w:rsidP="00730644">
      <w:pPr>
        <w:spacing w:before="600"/>
      </w:pPr>
      <w:r w:rsidRPr="00730644">
        <w:rPr>
          <w:b/>
        </w:rPr>
        <w:t>Meena Singh</w:t>
      </w:r>
      <w:r w:rsidRPr="00730644">
        <w:rPr>
          <w:b/>
        </w:rPr>
        <w:br/>
      </w:r>
      <w:r>
        <w:t>Associate Director, Aboriginal Services</w:t>
      </w:r>
      <w:r>
        <w:br/>
        <w:t xml:space="preserve">Victoria Legal Aid </w:t>
      </w:r>
    </w:p>
    <w:p w:rsidR="00730644" w:rsidRDefault="00730644" w:rsidP="00730644">
      <w:pPr>
        <w:pStyle w:val="Heading1"/>
      </w:pPr>
      <w:r>
        <w:br w:type="column"/>
      </w:r>
      <w:bookmarkStart w:id="2" w:name="_Toc469407389"/>
      <w:r>
        <w:lastRenderedPageBreak/>
        <w:t>Background</w:t>
      </w:r>
      <w:bookmarkEnd w:id="2"/>
    </w:p>
    <w:p w:rsidR="00730644" w:rsidRDefault="00730644" w:rsidP="00730644">
      <w:r w:rsidRPr="00A12CFF">
        <w:t>Victoria Legal Aid</w:t>
      </w:r>
      <w:r>
        <w:t>’s</w:t>
      </w:r>
      <w:r w:rsidRPr="00A12CFF">
        <w:t xml:space="preserve"> </w:t>
      </w:r>
      <w:r w:rsidRPr="00BC7CE8">
        <w:rPr>
          <w:i/>
        </w:rPr>
        <w:t>Aboriginal and Torres Strait Is</w:t>
      </w:r>
      <w:r w:rsidR="003321FB" w:rsidRPr="00BC7CE8">
        <w:rPr>
          <w:i/>
        </w:rPr>
        <w:t>lander Employment Strategy 2016</w:t>
      </w:r>
      <w:r w:rsidRPr="00BC7CE8">
        <w:rPr>
          <w:i/>
        </w:rPr>
        <w:t>–18</w:t>
      </w:r>
      <w:r>
        <w:t xml:space="preserve"> (Employment Strategy) has been developed to support the delivery of our first </w:t>
      </w:r>
      <w:r w:rsidRPr="00BC7CE8">
        <w:rPr>
          <w:i/>
        </w:rPr>
        <w:t>Re</w:t>
      </w:r>
      <w:r w:rsidR="00BC7CE8" w:rsidRPr="00BC7CE8">
        <w:rPr>
          <w:i/>
        </w:rPr>
        <w:t>conciliation Action Plan 2015–</w:t>
      </w:r>
      <w:r w:rsidRPr="00BC7CE8">
        <w:rPr>
          <w:i/>
        </w:rPr>
        <w:t>18</w:t>
      </w:r>
      <w:r>
        <w:t xml:space="preserve">. </w:t>
      </w:r>
    </w:p>
    <w:p w:rsidR="00730644" w:rsidRDefault="00730644" w:rsidP="00730644">
      <w:pPr>
        <w:rPr>
          <w:lang w:val="en"/>
        </w:rPr>
      </w:pPr>
      <w:r>
        <w:t>The Reconciliation Action Plan renews</w:t>
      </w:r>
      <w:r w:rsidRPr="00F56EEF">
        <w:rPr>
          <w:lang w:val="en"/>
        </w:rPr>
        <w:t xml:space="preserve"> </w:t>
      </w:r>
      <w:r>
        <w:rPr>
          <w:lang w:val="en"/>
        </w:rPr>
        <w:t xml:space="preserve">our </w:t>
      </w:r>
      <w:r w:rsidRPr="00654389">
        <w:rPr>
          <w:lang w:val="en"/>
        </w:rPr>
        <w:t xml:space="preserve">commitment to working collaboratively with Aboriginal and Torres Strait Islander Legal Services </w:t>
      </w:r>
      <w:r>
        <w:rPr>
          <w:lang w:val="en"/>
        </w:rPr>
        <w:t>who</w:t>
      </w:r>
      <w:r w:rsidRPr="00654389">
        <w:rPr>
          <w:lang w:val="en"/>
        </w:rPr>
        <w:t xml:space="preserve"> provide legal services, community legal education and </w:t>
      </w:r>
      <w:r>
        <w:rPr>
          <w:lang w:val="en"/>
        </w:rPr>
        <w:t xml:space="preserve">advocate for systemic changes that will benefit Aboriginal and Torres Strait Islander people. </w:t>
      </w:r>
    </w:p>
    <w:p w:rsidR="00730644" w:rsidRDefault="00730644" w:rsidP="00730644">
      <w:r>
        <w:t>In addition, t</w:t>
      </w:r>
      <w:r w:rsidRPr="007D5928">
        <w:t xml:space="preserve">he measures </w:t>
      </w:r>
      <w:r>
        <w:t xml:space="preserve">outlined </w:t>
      </w:r>
      <w:r w:rsidRPr="007D5928">
        <w:t>in this</w:t>
      </w:r>
      <w:r>
        <w:t xml:space="preserve"> Employment Strategy aim</w:t>
      </w:r>
      <w:r w:rsidRPr="007D5928">
        <w:t xml:space="preserve"> to address the inequality experienced by Aboriginal and Torres Strait Islander people in the workforce</w:t>
      </w:r>
      <w:r>
        <w:t xml:space="preserve"> while also offering all our staff the opportunity to gain a greater cultural understanding.</w:t>
      </w:r>
    </w:p>
    <w:p w:rsidR="00730644" w:rsidRPr="00DB0C66" w:rsidRDefault="00730644" w:rsidP="00730644">
      <w:r>
        <w:t>The Reconciliation Action Plan pursues</w:t>
      </w:r>
      <w:r w:rsidR="00E12788">
        <w:t xml:space="preserve"> the following four key areas:</w:t>
      </w:r>
    </w:p>
    <w:p w:rsidR="00730644" w:rsidRPr="00B16B0F" w:rsidRDefault="00730644" w:rsidP="00730644">
      <w:pPr>
        <w:pStyle w:val="ListNumber"/>
        <w:rPr>
          <w:lang w:eastAsia="en-AU"/>
        </w:rPr>
      </w:pPr>
      <w:r>
        <w:rPr>
          <w:lang w:eastAsia="en-AU"/>
        </w:rPr>
        <w:t>I</w:t>
      </w:r>
      <w:r w:rsidRPr="00B16B0F">
        <w:rPr>
          <w:lang w:eastAsia="en-AU"/>
        </w:rPr>
        <w:t>mproving access to Victoria Legal Aid services (particularly civil and family law services) by Aboriginal and Torres Strait Islander people</w:t>
      </w:r>
    </w:p>
    <w:p w:rsidR="00730644" w:rsidRPr="00B16B0F" w:rsidRDefault="00730644" w:rsidP="00730644">
      <w:pPr>
        <w:pStyle w:val="ListNumber"/>
        <w:rPr>
          <w:lang w:eastAsia="en-AU"/>
        </w:rPr>
      </w:pPr>
      <w:r>
        <w:rPr>
          <w:lang w:eastAsia="en-AU"/>
        </w:rPr>
        <w:t>B</w:t>
      </w:r>
      <w:r w:rsidRPr="00B16B0F">
        <w:rPr>
          <w:lang w:eastAsia="en-AU"/>
        </w:rPr>
        <w:t>uilding cultural awareness and competency of Victoria Legal Aid staff</w:t>
      </w:r>
    </w:p>
    <w:p w:rsidR="00730644" w:rsidRPr="00B16B0F" w:rsidRDefault="00730644" w:rsidP="00730644">
      <w:pPr>
        <w:pStyle w:val="ListNumber"/>
        <w:rPr>
          <w:lang w:eastAsia="en-AU"/>
        </w:rPr>
      </w:pPr>
      <w:r>
        <w:rPr>
          <w:lang w:eastAsia="en-AU"/>
        </w:rPr>
        <w:t>I</w:t>
      </w:r>
      <w:r w:rsidRPr="00B16B0F">
        <w:rPr>
          <w:lang w:eastAsia="en-AU"/>
        </w:rPr>
        <w:t xml:space="preserve">mproving pathways for Aboriginal and Torres Strait Islander employment at Victoria Legal Aid </w:t>
      </w:r>
    </w:p>
    <w:p w:rsidR="00730644" w:rsidRPr="00B16B0F" w:rsidRDefault="00730644" w:rsidP="00730644">
      <w:pPr>
        <w:pStyle w:val="ListNumber"/>
        <w:rPr>
          <w:lang w:eastAsia="en-AU"/>
        </w:rPr>
      </w:pPr>
      <w:r>
        <w:rPr>
          <w:lang w:eastAsia="en-AU"/>
        </w:rPr>
        <w:t>Strategic advocacy/</w:t>
      </w:r>
      <w:r w:rsidRPr="00B16B0F">
        <w:rPr>
          <w:lang w:eastAsia="en-AU"/>
        </w:rPr>
        <w:t>casework on legal issues affecting Aboriginal and Torres Strait Islander people.</w:t>
      </w:r>
    </w:p>
    <w:p w:rsidR="00730644" w:rsidRDefault="00730644" w:rsidP="00730644">
      <w:r>
        <w:t>This Employment Strategy will focus on key areas two and three</w:t>
      </w:r>
      <w:r w:rsidR="006166BA">
        <w:t xml:space="preserve"> above</w:t>
      </w:r>
      <w:r>
        <w:t>.</w:t>
      </w:r>
    </w:p>
    <w:p w:rsidR="00730644" w:rsidRPr="00430591" w:rsidRDefault="00730644" w:rsidP="00430591">
      <w:pPr>
        <w:pStyle w:val="Heading1"/>
      </w:pPr>
      <w:bookmarkStart w:id="3" w:name="_Toc469407368"/>
      <w:bookmarkStart w:id="4" w:name="_Toc469407390"/>
      <w:r w:rsidRPr="00430591">
        <w:t>Aims</w:t>
      </w:r>
      <w:bookmarkEnd w:id="3"/>
      <w:bookmarkEnd w:id="4"/>
    </w:p>
    <w:p w:rsidR="00730644" w:rsidRPr="00730644" w:rsidRDefault="00730644" w:rsidP="00730644">
      <w:r w:rsidRPr="00730644">
        <w:t>Aboriginal and Torres Strai</w:t>
      </w:r>
      <w:r w:rsidR="003321FB">
        <w:t>t Islander people represent 0.7 per cent</w:t>
      </w:r>
      <w:r w:rsidRPr="00730644">
        <w:t xml:space="preserve"> of the Victorian population</w:t>
      </w:r>
      <w:r w:rsidRPr="00730644">
        <w:rPr>
          <w:rStyle w:val="FootnoteReference"/>
        </w:rPr>
        <w:footnoteReference w:id="1"/>
      </w:r>
      <w:r w:rsidRPr="00730644">
        <w:t>. Through this Employment Strategy we aim to exceed this and grow our Aboriginal and Torres Strait Islander staff representation to a</w:t>
      </w:r>
      <w:r w:rsidR="003321FB">
        <w:t xml:space="preserve"> minimum of 2.5 per cent</w:t>
      </w:r>
      <w:r w:rsidRPr="00730644">
        <w:t xml:space="preserve"> of our total workforce. </w:t>
      </w:r>
    </w:p>
    <w:p w:rsidR="00730644" w:rsidRPr="00730644" w:rsidRDefault="00730644" w:rsidP="00730644">
      <w:r w:rsidRPr="00730644">
        <w:t>The Employment Strategy aims to contribute to ‘closing the gap’</w:t>
      </w:r>
      <w:r w:rsidRPr="00730644">
        <w:rPr>
          <w:rStyle w:val="FootnoteReference"/>
        </w:rPr>
        <w:footnoteReference w:id="2"/>
      </w:r>
      <w:r w:rsidRPr="00730644">
        <w:t xml:space="preserve"> and achieving a more culturally divers</w:t>
      </w:r>
      <w:r w:rsidR="00E12788">
        <w:t>e and responsive workforce by:</w:t>
      </w:r>
    </w:p>
    <w:p w:rsidR="00730644" w:rsidRPr="00B0124F" w:rsidRDefault="00730644" w:rsidP="00730644">
      <w:pPr>
        <w:pStyle w:val="ListBullet"/>
        <w:rPr>
          <w:lang w:eastAsia="en-AU"/>
        </w:rPr>
      </w:pPr>
      <w:r w:rsidRPr="00B0124F">
        <w:rPr>
          <w:lang w:eastAsia="en-AU"/>
        </w:rPr>
        <w:t>Providing a safe and supportive workplace where Aboriginal and Torres Strait Islander people feel they can achieve their potential and demonstrate their ta</w:t>
      </w:r>
      <w:r>
        <w:rPr>
          <w:lang w:eastAsia="en-AU"/>
        </w:rPr>
        <w:t>lent in their chosen work role.</w:t>
      </w:r>
    </w:p>
    <w:p w:rsidR="00730644" w:rsidRPr="00730644" w:rsidRDefault="00730644" w:rsidP="00730644">
      <w:pPr>
        <w:pStyle w:val="ListBullet"/>
        <w:rPr>
          <w:lang w:eastAsia="en-AU"/>
        </w:rPr>
      </w:pPr>
      <w:r w:rsidRPr="00B0124F">
        <w:rPr>
          <w:lang w:eastAsia="en-AU"/>
        </w:rPr>
        <w:t>Engendering a greater cultural awareness and empathy amongst our non-Aboriginal and Torres Strait Islander workforce, through working alongside Aboriginal and Torres Strait Islander staff members, not only viewing them as recipients of our services.</w:t>
      </w:r>
    </w:p>
    <w:p w:rsidR="00730644" w:rsidRDefault="00730644" w:rsidP="00730644">
      <w:pPr>
        <w:pStyle w:val="ListBullet"/>
        <w:rPr>
          <w:lang w:eastAsia="en-AU"/>
        </w:rPr>
      </w:pPr>
      <w:r w:rsidRPr="00B0124F">
        <w:rPr>
          <w:lang w:eastAsia="en-AU"/>
        </w:rPr>
        <w:t>Providing service delivery that better reflects the demographics of those people int</w:t>
      </w:r>
      <w:r>
        <w:rPr>
          <w:lang w:eastAsia="en-AU"/>
        </w:rPr>
        <w:t>eracting with the legal system.</w:t>
      </w:r>
    </w:p>
    <w:p w:rsidR="00730644" w:rsidRPr="00B0124F" w:rsidRDefault="00730644" w:rsidP="00730644">
      <w:pPr>
        <w:pStyle w:val="ListBullet"/>
        <w:rPr>
          <w:lang w:eastAsia="en-AU"/>
        </w:rPr>
      </w:pPr>
      <w:r w:rsidRPr="00B0124F">
        <w:rPr>
          <w:lang w:eastAsia="en-AU"/>
        </w:rPr>
        <w:t>Supporting the economic self-determination of Aboriginal and Torres Strait Islander people through employment.</w:t>
      </w:r>
    </w:p>
    <w:p w:rsidR="00730644" w:rsidRDefault="00730644" w:rsidP="00430591">
      <w:r w:rsidRPr="00730644">
        <w:lastRenderedPageBreak/>
        <w:t xml:space="preserve">As we grow our Aboriginal and Torres Strait Islander staff representation, future employment strategies and initiatives will focus on retention and opportunities for professional and career development. </w:t>
      </w:r>
    </w:p>
    <w:p w:rsidR="00730644" w:rsidRPr="00B16B0F" w:rsidRDefault="00730644" w:rsidP="00730644">
      <w:pPr>
        <w:pStyle w:val="Heading1"/>
      </w:pPr>
      <w:bookmarkStart w:id="5" w:name="_Toc468977100"/>
      <w:bookmarkStart w:id="6" w:name="_Toc469407391"/>
      <w:r w:rsidRPr="004E3A06">
        <w:t>Objectives</w:t>
      </w:r>
      <w:bookmarkEnd w:id="5"/>
      <w:bookmarkEnd w:id="6"/>
    </w:p>
    <w:p w:rsidR="00730644" w:rsidRPr="00730644" w:rsidRDefault="00730644" w:rsidP="00730644">
      <w:r w:rsidRPr="00730644">
        <w:t>These aims will be achieved by the delivery of the following objectives:</w:t>
      </w:r>
    </w:p>
    <w:p w:rsidR="00730644" w:rsidRPr="00B0124F" w:rsidRDefault="00730644" w:rsidP="00730644">
      <w:pPr>
        <w:pStyle w:val="ListNumber"/>
        <w:numPr>
          <w:ilvl w:val="0"/>
          <w:numId w:val="35"/>
        </w:numPr>
        <w:tabs>
          <w:tab w:val="clear" w:pos="360"/>
        </w:tabs>
        <w:ind w:left="709" w:hanging="425"/>
      </w:pPr>
      <w:r>
        <w:rPr>
          <w:b/>
        </w:rPr>
        <w:t>Safety</w:t>
      </w:r>
      <w:r>
        <w:t xml:space="preserve"> – p</w:t>
      </w:r>
      <w:r w:rsidRPr="00B0124F">
        <w:t xml:space="preserve">rovide a safe and culturally respectful workplace by improving staff education and understanding around Aboriginal and Torres Strait Islander peoples, their culture and heritage, through fostering a welcoming and culturally safe employment environment. </w:t>
      </w:r>
    </w:p>
    <w:p w:rsidR="00730644" w:rsidRPr="00B0124F" w:rsidRDefault="00730644" w:rsidP="00730644">
      <w:pPr>
        <w:pStyle w:val="ListNumber"/>
      </w:pPr>
      <w:r>
        <w:rPr>
          <w:b/>
        </w:rPr>
        <w:t>Support</w:t>
      </w:r>
      <w:r>
        <w:t xml:space="preserve"> –</w:t>
      </w:r>
      <w:r w:rsidRPr="00B0124F">
        <w:t xml:space="preserve"> </w:t>
      </w:r>
      <w:r>
        <w:t>d</w:t>
      </w:r>
      <w:r w:rsidRPr="00B0124F">
        <w:t>evelop and implement strong, supportive policies, procedures and practices which support and enable Aboriginal and Torres Strait Islander staff to fulfil t</w:t>
      </w:r>
      <w:r>
        <w:t>heir role at Victoria Legal Aid</w:t>
      </w:r>
      <w:r w:rsidR="00BC7CE8">
        <w:t>.</w:t>
      </w:r>
    </w:p>
    <w:p w:rsidR="00730644" w:rsidRDefault="00730644" w:rsidP="00730644">
      <w:pPr>
        <w:pStyle w:val="ListNumber"/>
        <w:rPr>
          <w:lang w:val="en-US"/>
        </w:rPr>
      </w:pPr>
      <w:r>
        <w:rPr>
          <w:b/>
        </w:rPr>
        <w:t>Attraction</w:t>
      </w:r>
      <w:r>
        <w:t xml:space="preserve"> –</w:t>
      </w:r>
      <w:r w:rsidRPr="00B0124F">
        <w:t xml:space="preserve"> </w:t>
      </w:r>
      <w:r>
        <w:t>i</w:t>
      </w:r>
      <w:r w:rsidRPr="00B0124F">
        <w:t xml:space="preserve">mprove Aboriginal and Torres Strait Islander employment opportunities by </w:t>
      </w:r>
      <w:r w:rsidRPr="00B0124F">
        <w:rPr>
          <w:lang w:val="en-US"/>
        </w:rPr>
        <w:t xml:space="preserve">providing leadership on recruitment initiatives and practices to attract Aboriginal and Torres Strait Islander people </w:t>
      </w:r>
      <w:r>
        <w:rPr>
          <w:lang w:val="en-US"/>
        </w:rPr>
        <w:t>to roles at Victoria Legal Aid.</w:t>
      </w:r>
    </w:p>
    <w:p w:rsidR="00730644" w:rsidRPr="006611F5" w:rsidRDefault="00730644" w:rsidP="00730644">
      <w:pPr>
        <w:pStyle w:val="Heading1"/>
        <w:rPr>
          <w:b w:val="0"/>
        </w:rPr>
      </w:pPr>
      <w:bookmarkStart w:id="7" w:name="_Toc468977101"/>
      <w:bookmarkStart w:id="8" w:name="_Toc469407392"/>
      <w:r w:rsidRPr="006611F5">
        <w:t>Where we are at</w:t>
      </w:r>
      <w:bookmarkEnd w:id="7"/>
      <w:bookmarkEnd w:id="8"/>
    </w:p>
    <w:p w:rsidR="00730644" w:rsidRPr="00730644" w:rsidRDefault="00730644" w:rsidP="00730644">
      <w:r w:rsidRPr="00730644">
        <w:t xml:space="preserve">Following the launch of the Reconciliation Action Plan, we have already taken steps to drive our commitment to Aboriginal and Torres Strait Islander employment. With the creation and recruitment of the role of Associate Director, Aboriginal Services, we have a senior leadership team member who will provide internal expertise and cross organisation collaboration, as well as support the strengthening of our external relationships. </w:t>
      </w:r>
    </w:p>
    <w:p w:rsidR="00730644" w:rsidRPr="00730644" w:rsidRDefault="00730644" w:rsidP="00730644">
      <w:r w:rsidRPr="00730644">
        <w:t xml:space="preserve">We are currently recruiting three Aboriginal Community Engagement Officers (referred to as Aboriginal Field Officers in the Reconciliation Action Plan) which will be placed across three locations including Melbourne Civil Law Program, Morwell/Bairnsdale and Mildura. This two-year pilot program will support the delivery of legal assistance services in family and civil law to the Aboriginal community. </w:t>
      </w:r>
    </w:p>
    <w:p w:rsidR="00730644" w:rsidRPr="00730644" w:rsidRDefault="00730644" w:rsidP="00730644">
      <w:r w:rsidRPr="00730644">
        <w:t xml:space="preserve">The four roles demonstrate the expertise and leadership Aboriginal and Torres Strait Islander people bring to service delivery, and also helps us strengthen our knowledge and understanding of attracting and safely supporting Aboriginal and Torres Strait Islander staff. </w:t>
      </w:r>
    </w:p>
    <w:p w:rsidR="00730644" w:rsidRPr="004E738E" w:rsidRDefault="00730644" w:rsidP="00730644">
      <w:pPr>
        <w:pStyle w:val="Heading1"/>
        <w:rPr>
          <w:b w:val="0"/>
        </w:rPr>
      </w:pPr>
      <w:bookmarkStart w:id="9" w:name="_Toc468977102"/>
      <w:r>
        <w:br w:type="column"/>
      </w:r>
      <w:bookmarkStart w:id="10" w:name="_Toc469407393"/>
      <w:r>
        <w:lastRenderedPageBreak/>
        <w:t>Our c</w:t>
      </w:r>
      <w:r w:rsidRPr="004E738E">
        <w:t xml:space="preserve">urrent Aboriginal </w:t>
      </w:r>
      <w:r>
        <w:t>and Torres Strait Islander w</w:t>
      </w:r>
      <w:r w:rsidRPr="004E738E">
        <w:t xml:space="preserve">orkforce </w:t>
      </w:r>
      <w:r>
        <w:t>p</w:t>
      </w:r>
      <w:r w:rsidRPr="004E738E">
        <w:t>rofile</w:t>
      </w:r>
      <w:bookmarkEnd w:id="9"/>
      <w:bookmarkEnd w:id="10"/>
    </w:p>
    <w:p w:rsidR="00730644" w:rsidRDefault="00730644" w:rsidP="00730644">
      <w:pPr>
        <w:rPr>
          <w:szCs w:val="22"/>
        </w:rPr>
      </w:pPr>
      <w:r w:rsidRPr="00B0124F">
        <w:rPr>
          <w:szCs w:val="22"/>
        </w:rPr>
        <w:t>As at December 2016, the Aboriginal and Torres Str</w:t>
      </w:r>
      <w:r w:rsidR="003321FB">
        <w:rPr>
          <w:szCs w:val="22"/>
        </w:rPr>
        <w:t>ait Islander staff make up 1.07 per cent</w:t>
      </w:r>
      <w:r w:rsidRPr="00B0124F">
        <w:rPr>
          <w:szCs w:val="22"/>
        </w:rPr>
        <w:t xml:space="preserve"> of our workforce based on a productive headcount of 749 employees</w:t>
      </w:r>
      <w:r w:rsidRPr="00B0124F">
        <w:rPr>
          <w:rStyle w:val="FootnoteReference"/>
          <w:sz w:val="22"/>
          <w:szCs w:val="22"/>
        </w:rPr>
        <w:footnoteReference w:id="3"/>
      </w:r>
      <w:r w:rsidRPr="00B0124F">
        <w:rPr>
          <w:szCs w:val="22"/>
        </w:rPr>
        <w:t xml:space="preserve">. </w:t>
      </w:r>
    </w:p>
    <w:p w:rsidR="00430591" w:rsidRDefault="00430591" w:rsidP="00430591">
      <w:pPr>
        <w:pStyle w:val="Tableheading"/>
      </w:pPr>
      <w:r>
        <w:t>Aboriginal and Torres Strait Islander employees</w:t>
      </w:r>
    </w:p>
    <w:tbl>
      <w:tblPr>
        <w:tblStyle w:val="TableGrid"/>
        <w:tblW w:w="0" w:type="auto"/>
        <w:tblLook w:val="04A0" w:firstRow="1" w:lastRow="0" w:firstColumn="1" w:lastColumn="0" w:noHBand="0" w:noVBand="1"/>
      </w:tblPr>
      <w:tblGrid>
        <w:gridCol w:w="6516"/>
        <w:gridCol w:w="3254"/>
      </w:tblGrid>
      <w:tr w:rsidR="003321FB" w:rsidTr="003321FB">
        <w:trPr>
          <w:tblHeader/>
        </w:trPr>
        <w:tc>
          <w:tcPr>
            <w:tcW w:w="6516" w:type="dxa"/>
            <w:shd w:val="pct10" w:color="auto" w:fill="auto"/>
          </w:tcPr>
          <w:p w:rsidR="003321FB" w:rsidRPr="003321FB" w:rsidRDefault="003321FB" w:rsidP="003321FB">
            <w:pPr>
              <w:rPr>
                <w:b/>
              </w:rPr>
            </w:pPr>
            <w:r w:rsidRPr="003321FB">
              <w:rPr>
                <w:b/>
              </w:rPr>
              <w:t>Gender</w:t>
            </w:r>
          </w:p>
        </w:tc>
        <w:tc>
          <w:tcPr>
            <w:tcW w:w="3254" w:type="dxa"/>
            <w:shd w:val="pct10" w:color="auto" w:fill="auto"/>
          </w:tcPr>
          <w:p w:rsidR="003321FB" w:rsidRPr="003321FB" w:rsidRDefault="003321FB" w:rsidP="003321FB">
            <w:pPr>
              <w:rPr>
                <w:b/>
              </w:rPr>
            </w:pPr>
            <w:r w:rsidRPr="003321FB">
              <w:rPr>
                <w:b/>
              </w:rPr>
              <w:t>Headcount</w:t>
            </w:r>
          </w:p>
        </w:tc>
      </w:tr>
      <w:tr w:rsidR="003321FB" w:rsidTr="003321FB">
        <w:tc>
          <w:tcPr>
            <w:tcW w:w="6516" w:type="dxa"/>
          </w:tcPr>
          <w:p w:rsidR="003321FB" w:rsidRDefault="003321FB" w:rsidP="003321FB">
            <w:r>
              <w:t>Male</w:t>
            </w:r>
          </w:p>
        </w:tc>
        <w:tc>
          <w:tcPr>
            <w:tcW w:w="3254" w:type="dxa"/>
          </w:tcPr>
          <w:p w:rsidR="003321FB" w:rsidRDefault="003321FB" w:rsidP="003321FB">
            <w:r>
              <w:t>4</w:t>
            </w:r>
          </w:p>
        </w:tc>
      </w:tr>
      <w:tr w:rsidR="003321FB" w:rsidTr="003321FB">
        <w:tc>
          <w:tcPr>
            <w:tcW w:w="6516" w:type="dxa"/>
          </w:tcPr>
          <w:p w:rsidR="003321FB" w:rsidRDefault="003321FB" w:rsidP="003321FB">
            <w:r>
              <w:t>Female</w:t>
            </w:r>
          </w:p>
        </w:tc>
        <w:tc>
          <w:tcPr>
            <w:tcW w:w="3254" w:type="dxa"/>
          </w:tcPr>
          <w:p w:rsidR="003321FB" w:rsidRDefault="003321FB" w:rsidP="003321FB">
            <w:r>
              <w:t>4</w:t>
            </w:r>
          </w:p>
        </w:tc>
      </w:tr>
    </w:tbl>
    <w:p w:rsidR="00430591" w:rsidRDefault="00430591" w:rsidP="00065E90">
      <w:pPr>
        <w:spacing w:line="240" w:lineRule="auto"/>
      </w:pPr>
    </w:p>
    <w:tbl>
      <w:tblPr>
        <w:tblStyle w:val="TableGrid"/>
        <w:tblW w:w="0" w:type="auto"/>
        <w:tblLook w:val="04A0" w:firstRow="1" w:lastRow="0" w:firstColumn="1" w:lastColumn="0" w:noHBand="0" w:noVBand="1"/>
      </w:tblPr>
      <w:tblGrid>
        <w:gridCol w:w="6516"/>
        <w:gridCol w:w="3254"/>
      </w:tblGrid>
      <w:tr w:rsidR="003321FB" w:rsidTr="003321FB">
        <w:tc>
          <w:tcPr>
            <w:tcW w:w="6516" w:type="dxa"/>
            <w:shd w:val="pct10" w:color="auto" w:fill="auto"/>
          </w:tcPr>
          <w:p w:rsidR="003321FB" w:rsidRPr="003321FB" w:rsidRDefault="003321FB" w:rsidP="00B743B3">
            <w:pPr>
              <w:rPr>
                <w:b/>
              </w:rPr>
            </w:pPr>
            <w:r w:rsidRPr="003321FB">
              <w:rPr>
                <w:b/>
              </w:rPr>
              <w:t>Employment type</w:t>
            </w:r>
          </w:p>
        </w:tc>
        <w:tc>
          <w:tcPr>
            <w:tcW w:w="3254" w:type="dxa"/>
            <w:shd w:val="pct10" w:color="auto" w:fill="auto"/>
          </w:tcPr>
          <w:p w:rsidR="003321FB" w:rsidRPr="003321FB" w:rsidRDefault="003321FB" w:rsidP="00B743B3">
            <w:pPr>
              <w:rPr>
                <w:b/>
              </w:rPr>
            </w:pPr>
            <w:r w:rsidRPr="003321FB">
              <w:rPr>
                <w:b/>
              </w:rPr>
              <w:t>Headcount</w:t>
            </w:r>
          </w:p>
        </w:tc>
      </w:tr>
      <w:tr w:rsidR="003321FB" w:rsidTr="00B743B3">
        <w:tc>
          <w:tcPr>
            <w:tcW w:w="6516" w:type="dxa"/>
          </w:tcPr>
          <w:p w:rsidR="003321FB" w:rsidRDefault="003321FB" w:rsidP="00B743B3">
            <w:r>
              <w:t>Ongoing</w:t>
            </w:r>
          </w:p>
        </w:tc>
        <w:tc>
          <w:tcPr>
            <w:tcW w:w="3254" w:type="dxa"/>
          </w:tcPr>
          <w:p w:rsidR="003321FB" w:rsidRDefault="003321FB" w:rsidP="00B743B3">
            <w:r>
              <w:t>5</w:t>
            </w:r>
          </w:p>
        </w:tc>
      </w:tr>
      <w:tr w:rsidR="003321FB" w:rsidTr="00B743B3">
        <w:tc>
          <w:tcPr>
            <w:tcW w:w="6516" w:type="dxa"/>
          </w:tcPr>
          <w:p w:rsidR="003321FB" w:rsidRDefault="003321FB" w:rsidP="00B743B3">
            <w:r>
              <w:t>Maximum term</w:t>
            </w:r>
          </w:p>
        </w:tc>
        <w:tc>
          <w:tcPr>
            <w:tcW w:w="3254" w:type="dxa"/>
          </w:tcPr>
          <w:p w:rsidR="003321FB" w:rsidRDefault="003321FB" w:rsidP="00B743B3">
            <w:r>
              <w:t>3</w:t>
            </w:r>
          </w:p>
        </w:tc>
      </w:tr>
    </w:tbl>
    <w:p w:rsidR="003321FB" w:rsidRDefault="003321FB" w:rsidP="00065E90">
      <w:pPr>
        <w:spacing w:line="240" w:lineRule="auto"/>
      </w:pPr>
    </w:p>
    <w:tbl>
      <w:tblPr>
        <w:tblStyle w:val="TableGrid"/>
        <w:tblW w:w="0" w:type="auto"/>
        <w:tblLook w:val="04A0" w:firstRow="1" w:lastRow="0" w:firstColumn="1" w:lastColumn="0" w:noHBand="0" w:noVBand="1"/>
      </w:tblPr>
      <w:tblGrid>
        <w:gridCol w:w="6516"/>
        <w:gridCol w:w="3254"/>
      </w:tblGrid>
      <w:tr w:rsidR="003321FB" w:rsidTr="003321FB">
        <w:tc>
          <w:tcPr>
            <w:tcW w:w="6516" w:type="dxa"/>
            <w:shd w:val="pct10" w:color="auto" w:fill="auto"/>
          </w:tcPr>
          <w:p w:rsidR="003321FB" w:rsidRPr="003321FB" w:rsidRDefault="003321FB" w:rsidP="00D44C70">
            <w:pPr>
              <w:rPr>
                <w:b/>
              </w:rPr>
            </w:pPr>
            <w:r>
              <w:rPr>
                <w:b/>
              </w:rPr>
              <w:t xml:space="preserve">Job </w:t>
            </w:r>
            <w:r w:rsidR="00D44C70">
              <w:rPr>
                <w:b/>
              </w:rPr>
              <w:t>family</w:t>
            </w:r>
          </w:p>
        </w:tc>
        <w:tc>
          <w:tcPr>
            <w:tcW w:w="3254" w:type="dxa"/>
            <w:shd w:val="pct10" w:color="auto" w:fill="auto"/>
          </w:tcPr>
          <w:p w:rsidR="003321FB" w:rsidRPr="003321FB" w:rsidRDefault="003321FB" w:rsidP="00B743B3">
            <w:pPr>
              <w:rPr>
                <w:b/>
              </w:rPr>
            </w:pPr>
            <w:r w:rsidRPr="003321FB">
              <w:rPr>
                <w:b/>
              </w:rPr>
              <w:t>Headcount</w:t>
            </w:r>
          </w:p>
        </w:tc>
      </w:tr>
      <w:tr w:rsidR="003321FB" w:rsidTr="00B743B3">
        <w:tc>
          <w:tcPr>
            <w:tcW w:w="6516" w:type="dxa"/>
          </w:tcPr>
          <w:p w:rsidR="003321FB" w:rsidRDefault="003321FB" w:rsidP="00B743B3">
            <w:r>
              <w:t>Lawyer</w:t>
            </w:r>
          </w:p>
        </w:tc>
        <w:tc>
          <w:tcPr>
            <w:tcW w:w="3254" w:type="dxa"/>
          </w:tcPr>
          <w:p w:rsidR="003321FB" w:rsidRDefault="003321FB" w:rsidP="00B743B3">
            <w:r>
              <w:t>5</w:t>
            </w:r>
          </w:p>
        </w:tc>
      </w:tr>
      <w:tr w:rsidR="003321FB" w:rsidTr="00B743B3">
        <w:tc>
          <w:tcPr>
            <w:tcW w:w="6516" w:type="dxa"/>
          </w:tcPr>
          <w:p w:rsidR="003321FB" w:rsidRDefault="003321FB" w:rsidP="00B743B3">
            <w:r>
              <w:t>Other</w:t>
            </w:r>
          </w:p>
        </w:tc>
        <w:tc>
          <w:tcPr>
            <w:tcW w:w="3254" w:type="dxa"/>
          </w:tcPr>
          <w:p w:rsidR="003321FB" w:rsidRDefault="003321FB" w:rsidP="00B743B3">
            <w:r>
              <w:t>3</w:t>
            </w:r>
          </w:p>
        </w:tc>
      </w:tr>
    </w:tbl>
    <w:p w:rsidR="003321FB" w:rsidRDefault="003321FB" w:rsidP="00065E90">
      <w:pPr>
        <w:spacing w:line="240" w:lineRule="auto"/>
      </w:pPr>
    </w:p>
    <w:tbl>
      <w:tblPr>
        <w:tblStyle w:val="TableGrid"/>
        <w:tblW w:w="0" w:type="auto"/>
        <w:tblLook w:val="04A0" w:firstRow="1" w:lastRow="0" w:firstColumn="1" w:lastColumn="0" w:noHBand="0" w:noVBand="1"/>
      </w:tblPr>
      <w:tblGrid>
        <w:gridCol w:w="6516"/>
        <w:gridCol w:w="3254"/>
      </w:tblGrid>
      <w:tr w:rsidR="003321FB" w:rsidTr="00B743B3">
        <w:tc>
          <w:tcPr>
            <w:tcW w:w="6516" w:type="dxa"/>
            <w:shd w:val="pct10" w:color="auto" w:fill="auto"/>
          </w:tcPr>
          <w:p w:rsidR="003321FB" w:rsidRPr="003321FB" w:rsidRDefault="003321FB" w:rsidP="00B743B3">
            <w:pPr>
              <w:rPr>
                <w:b/>
              </w:rPr>
            </w:pPr>
            <w:r>
              <w:rPr>
                <w:b/>
              </w:rPr>
              <w:t>Classification</w:t>
            </w:r>
          </w:p>
        </w:tc>
        <w:tc>
          <w:tcPr>
            <w:tcW w:w="3254" w:type="dxa"/>
            <w:shd w:val="pct10" w:color="auto" w:fill="auto"/>
          </w:tcPr>
          <w:p w:rsidR="003321FB" w:rsidRPr="003321FB" w:rsidRDefault="003321FB" w:rsidP="00B743B3">
            <w:pPr>
              <w:rPr>
                <w:b/>
              </w:rPr>
            </w:pPr>
            <w:r w:rsidRPr="003321FB">
              <w:rPr>
                <w:b/>
              </w:rPr>
              <w:t>Headcount</w:t>
            </w:r>
          </w:p>
        </w:tc>
      </w:tr>
      <w:tr w:rsidR="003321FB" w:rsidTr="00B743B3">
        <w:tc>
          <w:tcPr>
            <w:tcW w:w="6516" w:type="dxa"/>
          </w:tcPr>
          <w:p w:rsidR="003321FB" w:rsidRDefault="003321FB" w:rsidP="00B743B3">
            <w:r>
              <w:t>VLA2</w:t>
            </w:r>
          </w:p>
        </w:tc>
        <w:tc>
          <w:tcPr>
            <w:tcW w:w="3254" w:type="dxa"/>
          </w:tcPr>
          <w:p w:rsidR="003321FB" w:rsidRDefault="003321FB" w:rsidP="00B743B3">
            <w:r>
              <w:t>1</w:t>
            </w:r>
          </w:p>
        </w:tc>
      </w:tr>
      <w:tr w:rsidR="003321FB" w:rsidTr="00B743B3">
        <w:tc>
          <w:tcPr>
            <w:tcW w:w="6516" w:type="dxa"/>
          </w:tcPr>
          <w:p w:rsidR="003321FB" w:rsidRDefault="003321FB" w:rsidP="00B743B3">
            <w:r>
              <w:t>VLA3</w:t>
            </w:r>
          </w:p>
        </w:tc>
        <w:tc>
          <w:tcPr>
            <w:tcW w:w="3254" w:type="dxa"/>
          </w:tcPr>
          <w:p w:rsidR="003321FB" w:rsidRDefault="003321FB" w:rsidP="00B743B3">
            <w:r>
              <w:t>6</w:t>
            </w:r>
          </w:p>
        </w:tc>
      </w:tr>
      <w:tr w:rsidR="003321FB" w:rsidTr="00B743B3">
        <w:tc>
          <w:tcPr>
            <w:tcW w:w="6516" w:type="dxa"/>
          </w:tcPr>
          <w:p w:rsidR="003321FB" w:rsidRDefault="003321FB" w:rsidP="00B743B3">
            <w:r>
              <w:t>VLA6</w:t>
            </w:r>
          </w:p>
        </w:tc>
        <w:tc>
          <w:tcPr>
            <w:tcW w:w="3254" w:type="dxa"/>
          </w:tcPr>
          <w:p w:rsidR="003321FB" w:rsidRDefault="003321FB" w:rsidP="00B743B3">
            <w:r>
              <w:t>1</w:t>
            </w:r>
          </w:p>
        </w:tc>
      </w:tr>
    </w:tbl>
    <w:p w:rsidR="003321FB" w:rsidRDefault="003321FB" w:rsidP="00065E90">
      <w:pPr>
        <w:spacing w:line="240" w:lineRule="auto"/>
      </w:pPr>
    </w:p>
    <w:tbl>
      <w:tblPr>
        <w:tblStyle w:val="TableGrid"/>
        <w:tblW w:w="0" w:type="auto"/>
        <w:tblLook w:val="04A0" w:firstRow="1" w:lastRow="0" w:firstColumn="1" w:lastColumn="0" w:noHBand="0" w:noVBand="1"/>
      </w:tblPr>
      <w:tblGrid>
        <w:gridCol w:w="6516"/>
        <w:gridCol w:w="3254"/>
      </w:tblGrid>
      <w:tr w:rsidR="003321FB" w:rsidTr="00B743B3">
        <w:tc>
          <w:tcPr>
            <w:tcW w:w="6516" w:type="dxa"/>
            <w:shd w:val="pct10" w:color="auto" w:fill="auto"/>
          </w:tcPr>
          <w:p w:rsidR="003321FB" w:rsidRPr="003321FB" w:rsidRDefault="003321FB" w:rsidP="003321FB">
            <w:pPr>
              <w:rPr>
                <w:b/>
              </w:rPr>
            </w:pPr>
            <w:r>
              <w:rPr>
                <w:b/>
              </w:rPr>
              <w:t>Location</w:t>
            </w:r>
          </w:p>
        </w:tc>
        <w:tc>
          <w:tcPr>
            <w:tcW w:w="3254" w:type="dxa"/>
            <w:shd w:val="pct10" w:color="auto" w:fill="auto"/>
          </w:tcPr>
          <w:p w:rsidR="003321FB" w:rsidRPr="003321FB" w:rsidRDefault="003321FB" w:rsidP="00B743B3">
            <w:pPr>
              <w:rPr>
                <w:b/>
              </w:rPr>
            </w:pPr>
            <w:r w:rsidRPr="003321FB">
              <w:rPr>
                <w:b/>
              </w:rPr>
              <w:t>Headcount</w:t>
            </w:r>
          </w:p>
        </w:tc>
      </w:tr>
      <w:tr w:rsidR="003321FB" w:rsidTr="00B743B3">
        <w:tc>
          <w:tcPr>
            <w:tcW w:w="6516" w:type="dxa"/>
          </w:tcPr>
          <w:p w:rsidR="003321FB" w:rsidRDefault="003321FB" w:rsidP="00B743B3">
            <w:r>
              <w:t>CBD</w:t>
            </w:r>
          </w:p>
        </w:tc>
        <w:tc>
          <w:tcPr>
            <w:tcW w:w="3254" w:type="dxa"/>
          </w:tcPr>
          <w:p w:rsidR="003321FB" w:rsidRDefault="00065E90" w:rsidP="00B743B3">
            <w:r>
              <w:t>4</w:t>
            </w:r>
          </w:p>
        </w:tc>
      </w:tr>
      <w:tr w:rsidR="003321FB" w:rsidTr="00B743B3">
        <w:tc>
          <w:tcPr>
            <w:tcW w:w="6516" w:type="dxa"/>
          </w:tcPr>
          <w:p w:rsidR="003321FB" w:rsidRDefault="003321FB" w:rsidP="00065E90">
            <w:r>
              <w:t>B</w:t>
            </w:r>
            <w:r w:rsidR="00065E90">
              <w:t>endigo</w:t>
            </w:r>
          </w:p>
        </w:tc>
        <w:tc>
          <w:tcPr>
            <w:tcW w:w="3254" w:type="dxa"/>
          </w:tcPr>
          <w:p w:rsidR="003321FB" w:rsidRDefault="00065E90" w:rsidP="00B743B3">
            <w:r>
              <w:t>1</w:t>
            </w:r>
          </w:p>
        </w:tc>
      </w:tr>
      <w:tr w:rsidR="00065E90" w:rsidTr="00B743B3">
        <w:tc>
          <w:tcPr>
            <w:tcW w:w="6516" w:type="dxa"/>
          </w:tcPr>
          <w:p w:rsidR="00065E90" w:rsidRDefault="00065E90" w:rsidP="00B743B3">
            <w:r>
              <w:t>Broadmeadows</w:t>
            </w:r>
          </w:p>
        </w:tc>
        <w:tc>
          <w:tcPr>
            <w:tcW w:w="3254" w:type="dxa"/>
          </w:tcPr>
          <w:p w:rsidR="00065E90" w:rsidRDefault="00065E90" w:rsidP="00B743B3">
            <w:r>
              <w:t>1</w:t>
            </w:r>
          </w:p>
        </w:tc>
      </w:tr>
      <w:tr w:rsidR="00065E90" w:rsidTr="00B743B3">
        <w:tc>
          <w:tcPr>
            <w:tcW w:w="6516" w:type="dxa"/>
          </w:tcPr>
          <w:p w:rsidR="00065E90" w:rsidRDefault="00065E90" w:rsidP="00B743B3">
            <w:r>
              <w:t>Geelong</w:t>
            </w:r>
          </w:p>
        </w:tc>
        <w:tc>
          <w:tcPr>
            <w:tcW w:w="3254" w:type="dxa"/>
          </w:tcPr>
          <w:p w:rsidR="00065E90" w:rsidRDefault="00065E90" w:rsidP="00B743B3">
            <w:r>
              <w:t>1</w:t>
            </w:r>
          </w:p>
        </w:tc>
      </w:tr>
      <w:tr w:rsidR="00065E90" w:rsidTr="00B743B3">
        <w:tc>
          <w:tcPr>
            <w:tcW w:w="6516" w:type="dxa"/>
          </w:tcPr>
          <w:p w:rsidR="00065E90" w:rsidRDefault="00065E90" w:rsidP="00B743B3">
            <w:r>
              <w:t>Ringwood</w:t>
            </w:r>
          </w:p>
        </w:tc>
        <w:tc>
          <w:tcPr>
            <w:tcW w:w="3254" w:type="dxa"/>
          </w:tcPr>
          <w:p w:rsidR="00065E90" w:rsidRDefault="00065E90" w:rsidP="00B743B3">
            <w:r>
              <w:t>1</w:t>
            </w:r>
          </w:p>
        </w:tc>
      </w:tr>
    </w:tbl>
    <w:p w:rsidR="003321FB" w:rsidRDefault="003321FB" w:rsidP="003321FB">
      <w:r w:rsidRPr="003321FB">
        <w:rPr>
          <w:b/>
        </w:rPr>
        <w:lastRenderedPageBreak/>
        <w:t>Part-time take up:</w:t>
      </w:r>
      <w:r>
        <w:t xml:space="preserve"> 3</w:t>
      </w:r>
    </w:p>
    <w:p w:rsidR="003321FB" w:rsidRDefault="003321FB" w:rsidP="003321FB">
      <w:r w:rsidRPr="003321FB">
        <w:rPr>
          <w:b/>
        </w:rPr>
        <w:t>Average tenure (years):</w:t>
      </w:r>
      <w:r w:rsidR="007D7C3B">
        <w:t xml:space="preserve"> 3.5</w:t>
      </w:r>
    </w:p>
    <w:p w:rsidR="00730644" w:rsidRDefault="003321FB" w:rsidP="003321FB">
      <w:r w:rsidRPr="003321FB">
        <w:rPr>
          <w:b/>
        </w:rPr>
        <w:t>Average age:</w:t>
      </w:r>
      <w:r>
        <w:t xml:space="preserve"> 39 years</w:t>
      </w:r>
      <w:bookmarkStart w:id="11" w:name="_Toc468977103"/>
      <w:bookmarkStart w:id="12" w:name="_Toc456874259"/>
    </w:p>
    <w:p w:rsidR="00730644" w:rsidRDefault="00730644" w:rsidP="00730644">
      <w:pPr>
        <w:pStyle w:val="Heading1"/>
        <w:ind w:right="-472"/>
      </w:pPr>
      <w:bookmarkStart w:id="13" w:name="_Toc469407394"/>
      <w:r w:rsidRPr="004E3A06">
        <w:t xml:space="preserve">Aboriginal </w:t>
      </w:r>
      <w:r>
        <w:t>and</w:t>
      </w:r>
      <w:r w:rsidRPr="004E3A06">
        <w:t xml:space="preserve"> Torres Strait Islander</w:t>
      </w:r>
      <w:r>
        <w:t xml:space="preserve"> </w:t>
      </w:r>
      <w:r w:rsidRPr="004E3A06">
        <w:t>Employment Strategy</w:t>
      </w:r>
      <w:bookmarkEnd w:id="11"/>
      <w:bookmarkEnd w:id="13"/>
    </w:p>
    <w:p w:rsidR="003321FB" w:rsidRDefault="003321FB" w:rsidP="0025743E">
      <w:pPr>
        <w:pStyle w:val="Numberedtable"/>
      </w:pPr>
      <w:r>
        <w:t>Safety</w:t>
      </w:r>
      <w:r w:rsidR="00D44C70">
        <w:t xml:space="preserve"> </w:t>
      </w:r>
      <w:r w:rsidR="00D44C70" w:rsidRPr="00D44C70">
        <w:rPr>
          <w:rFonts w:cs="Times New Roman"/>
          <w:b w:val="0"/>
          <w:bCs w:val="0"/>
          <w:sz w:val="22"/>
          <w:szCs w:val="24"/>
          <w:lang w:eastAsia="en-US"/>
        </w:rPr>
        <w:t>Provide a safe and culturally aware workplace by improving staff education and understanding around Aboriginal and Torres Strait Islander peoples, their culture and heritage, through fostering a welcoming and culturally safe employment environment.</w:t>
      </w:r>
    </w:p>
    <w:tbl>
      <w:tblPr>
        <w:tblStyle w:val="TableGrid"/>
        <w:tblW w:w="0" w:type="auto"/>
        <w:tblLook w:val="04A0" w:firstRow="1" w:lastRow="0" w:firstColumn="1" w:lastColumn="0" w:noHBand="0" w:noVBand="1"/>
      </w:tblPr>
      <w:tblGrid>
        <w:gridCol w:w="3823"/>
        <w:gridCol w:w="2126"/>
        <w:gridCol w:w="1276"/>
        <w:gridCol w:w="2545"/>
      </w:tblGrid>
      <w:tr w:rsidR="0025743E" w:rsidTr="00E12788">
        <w:trPr>
          <w:tblHeader/>
        </w:trPr>
        <w:tc>
          <w:tcPr>
            <w:tcW w:w="3823" w:type="dxa"/>
            <w:shd w:val="pct10" w:color="auto" w:fill="auto"/>
          </w:tcPr>
          <w:p w:rsidR="0025743E" w:rsidRPr="0025743E" w:rsidRDefault="0025743E" w:rsidP="0025743E">
            <w:pPr>
              <w:rPr>
                <w:b/>
                <w:lang w:eastAsia="en-AU"/>
              </w:rPr>
            </w:pPr>
            <w:r w:rsidRPr="0025743E">
              <w:rPr>
                <w:b/>
                <w:lang w:eastAsia="en-AU"/>
              </w:rPr>
              <w:t>Action</w:t>
            </w:r>
          </w:p>
        </w:tc>
        <w:tc>
          <w:tcPr>
            <w:tcW w:w="2126" w:type="dxa"/>
            <w:shd w:val="pct10" w:color="auto" w:fill="auto"/>
          </w:tcPr>
          <w:p w:rsidR="0025743E" w:rsidRPr="0025743E" w:rsidRDefault="0025743E" w:rsidP="0025743E">
            <w:pPr>
              <w:rPr>
                <w:b/>
                <w:lang w:eastAsia="en-AU"/>
              </w:rPr>
            </w:pPr>
            <w:r w:rsidRPr="0025743E">
              <w:rPr>
                <w:b/>
                <w:lang w:eastAsia="en-AU"/>
              </w:rPr>
              <w:t>Who</w:t>
            </w:r>
          </w:p>
        </w:tc>
        <w:tc>
          <w:tcPr>
            <w:tcW w:w="1276" w:type="dxa"/>
            <w:shd w:val="pct10" w:color="auto" w:fill="auto"/>
          </w:tcPr>
          <w:p w:rsidR="0025743E" w:rsidRPr="0025743E" w:rsidRDefault="0025743E" w:rsidP="0025743E">
            <w:pPr>
              <w:rPr>
                <w:b/>
                <w:lang w:eastAsia="en-AU"/>
              </w:rPr>
            </w:pPr>
            <w:r w:rsidRPr="0025743E">
              <w:rPr>
                <w:b/>
                <w:lang w:eastAsia="en-AU"/>
              </w:rPr>
              <w:t>Timeline</w:t>
            </w:r>
          </w:p>
        </w:tc>
        <w:tc>
          <w:tcPr>
            <w:tcW w:w="2545" w:type="dxa"/>
            <w:shd w:val="pct10" w:color="auto" w:fill="auto"/>
          </w:tcPr>
          <w:p w:rsidR="0025743E" w:rsidRPr="0025743E" w:rsidRDefault="0025743E" w:rsidP="0025743E">
            <w:pPr>
              <w:rPr>
                <w:b/>
                <w:lang w:eastAsia="en-AU"/>
              </w:rPr>
            </w:pPr>
            <w:r w:rsidRPr="0025743E">
              <w:rPr>
                <w:b/>
                <w:lang w:eastAsia="en-AU"/>
              </w:rPr>
              <w:t>Measure</w:t>
            </w:r>
          </w:p>
        </w:tc>
      </w:tr>
      <w:tr w:rsidR="0025743E" w:rsidTr="0025743E">
        <w:tc>
          <w:tcPr>
            <w:tcW w:w="3823" w:type="dxa"/>
          </w:tcPr>
          <w:p w:rsidR="0025743E" w:rsidRDefault="0025743E" w:rsidP="0025743E">
            <w:pPr>
              <w:pStyle w:val="ListNumber2"/>
              <w:rPr>
                <w:lang w:eastAsia="en-AU"/>
              </w:rPr>
            </w:pPr>
            <w:r>
              <w:t>Survey staff on the extent to which our staff understand what Victoria Legal Aid wants to achieve through its Reconciliation Action Plan (item 9.4 Engagement Survey) and the extent to which Victoria Legal Aid encourages honest and robust discussions about identifying and removing the barriers to achieving diversity (item 9.7 Engagement Survey).</w:t>
            </w:r>
          </w:p>
        </w:tc>
        <w:tc>
          <w:tcPr>
            <w:tcW w:w="2126" w:type="dxa"/>
          </w:tcPr>
          <w:p w:rsidR="0025743E" w:rsidRDefault="0025743E" w:rsidP="0025743E">
            <w:pPr>
              <w:rPr>
                <w:lang w:eastAsia="en-AU"/>
              </w:rPr>
            </w:pPr>
            <w:r>
              <w:t>Associate Director, People and Culture</w:t>
            </w:r>
          </w:p>
        </w:tc>
        <w:tc>
          <w:tcPr>
            <w:tcW w:w="1276" w:type="dxa"/>
          </w:tcPr>
          <w:p w:rsidR="0025743E" w:rsidRDefault="0025743E" w:rsidP="0025743E">
            <w:pPr>
              <w:rPr>
                <w:lang w:eastAsia="en-AU"/>
              </w:rPr>
            </w:pPr>
            <w:r>
              <w:t>May 2018</w:t>
            </w:r>
          </w:p>
        </w:tc>
        <w:tc>
          <w:tcPr>
            <w:tcW w:w="2545" w:type="dxa"/>
          </w:tcPr>
          <w:p w:rsidR="0025743E" w:rsidRPr="0025743E" w:rsidRDefault="0025743E" w:rsidP="0025743E">
            <w:r>
              <w:t>A 20% increase in favourable staff response to the Engagement Survey items 9.4 and 9.7.</w:t>
            </w:r>
          </w:p>
        </w:tc>
      </w:tr>
      <w:tr w:rsidR="0025743E" w:rsidTr="0025743E">
        <w:tc>
          <w:tcPr>
            <w:tcW w:w="3823" w:type="dxa"/>
          </w:tcPr>
          <w:p w:rsidR="0025743E" w:rsidRDefault="0025743E" w:rsidP="0025743E">
            <w:pPr>
              <w:pStyle w:val="ListNumber2"/>
              <w:rPr>
                <w:lang w:eastAsia="en-AU"/>
              </w:rPr>
            </w:pPr>
            <w:r>
              <w:t>Survey staff on the attitudes and behaviours towards reconciliation through the Reconciliation Australia Workplace RAP Barometer Survey.</w:t>
            </w:r>
          </w:p>
        </w:tc>
        <w:tc>
          <w:tcPr>
            <w:tcW w:w="2126" w:type="dxa"/>
          </w:tcPr>
          <w:p w:rsidR="0025743E" w:rsidRPr="0025743E" w:rsidRDefault="0025743E" w:rsidP="0025743E">
            <w:pPr>
              <w:rPr>
                <w:bCs/>
              </w:rPr>
            </w:pPr>
            <w:r w:rsidRPr="005268B4">
              <w:rPr>
                <w:bCs/>
              </w:rPr>
              <w:t>Associate Director, Aboriginal Services</w:t>
            </w:r>
          </w:p>
        </w:tc>
        <w:tc>
          <w:tcPr>
            <w:tcW w:w="1276" w:type="dxa"/>
          </w:tcPr>
          <w:p w:rsidR="0025743E" w:rsidRDefault="0025743E" w:rsidP="0025743E">
            <w:pPr>
              <w:rPr>
                <w:lang w:eastAsia="en-AU"/>
              </w:rPr>
            </w:pPr>
            <w:r w:rsidRPr="00F37070">
              <w:rPr>
                <w:bCs/>
              </w:rPr>
              <w:t>Annually</w:t>
            </w:r>
          </w:p>
        </w:tc>
        <w:tc>
          <w:tcPr>
            <w:tcW w:w="2545" w:type="dxa"/>
          </w:tcPr>
          <w:p w:rsidR="0025743E" w:rsidRDefault="0025743E" w:rsidP="0025743E">
            <w:pPr>
              <w:rPr>
                <w:lang w:eastAsia="en-AU"/>
              </w:rPr>
            </w:pPr>
            <w:r w:rsidRPr="00F37070">
              <w:rPr>
                <w:bCs/>
              </w:rPr>
              <w:t xml:space="preserve">A favourable increase </w:t>
            </w:r>
            <w:r>
              <w:rPr>
                <w:bCs/>
              </w:rPr>
              <w:t xml:space="preserve">(measure to be confirmed) </w:t>
            </w:r>
            <w:r w:rsidRPr="00F37070">
              <w:rPr>
                <w:bCs/>
              </w:rPr>
              <w:t>in staff attitudes and behaviours towards</w:t>
            </w:r>
            <w:r>
              <w:rPr>
                <w:bCs/>
              </w:rPr>
              <w:t xml:space="preserve"> reconciliation.</w:t>
            </w:r>
          </w:p>
        </w:tc>
      </w:tr>
      <w:tr w:rsidR="0025743E" w:rsidTr="0025743E">
        <w:tc>
          <w:tcPr>
            <w:tcW w:w="3823" w:type="dxa"/>
          </w:tcPr>
          <w:p w:rsidR="0025743E" w:rsidRPr="0025743E" w:rsidRDefault="0025743E" w:rsidP="0025743E">
            <w:pPr>
              <w:pStyle w:val="ListNumber2"/>
              <w:rPr>
                <w:i/>
              </w:rPr>
            </w:pPr>
            <w:r w:rsidRPr="005268B4">
              <w:t>Improve Aboriginal cultural competency in the workplace.</w:t>
            </w:r>
            <w:r>
              <w:t xml:space="preserve"> </w:t>
            </w:r>
            <w:r w:rsidRPr="00B81342">
              <w:rPr>
                <w:i/>
              </w:rPr>
              <w:t>(Reconciliation Action Plan 2.2)</w:t>
            </w:r>
          </w:p>
        </w:tc>
        <w:tc>
          <w:tcPr>
            <w:tcW w:w="2126" w:type="dxa"/>
          </w:tcPr>
          <w:p w:rsidR="0025743E" w:rsidRDefault="0025743E" w:rsidP="0025743E">
            <w:pPr>
              <w:rPr>
                <w:lang w:eastAsia="en-AU"/>
              </w:rPr>
            </w:pPr>
            <w:r>
              <w:rPr>
                <w:bCs/>
              </w:rPr>
              <w:t>Legal Learning and Development Manager, Legal Practice</w:t>
            </w:r>
          </w:p>
        </w:tc>
        <w:tc>
          <w:tcPr>
            <w:tcW w:w="1276" w:type="dxa"/>
          </w:tcPr>
          <w:p w:rsidR="0025743E" w:rsidRDefault="0025743E" w:rsidP="0025743E">
            <w:pPr>
              <w:rPr>
                <w:lang w:eastAsia="en-AU"/>
              </w:rPr>
            </w:pPr>
            <w:r w:rsidRPr="005268B4">
              <w:rPr>
                <w:bCs/>
              </w:rPr>
              <w:t>Yearly</w:t>
            </w:r>
          </w:p>
        </w:tc>
        <w:tc>
          <w:tcPr>
            <w:tcW w:w="2545" w:type="dxa"/>
          </w:tcPr>
          <w:p w:rsidR="0025743E" w:rsidRDefault="0025743E" w:rsidP="0025743E">
            <w:r w:rsidRPr="005268B4">
              <w:rPr>
                <w:bCs/>
              </w:rPr>
              <w:t xml:space="preserve">Four Aboriginal Cultural Awareness Training sessions provided as part of the </w:t>
            </w:r>
            <w:r>
              <w:rPr>
                <w:bCs/>
              </w:rPr>
              <w:t xml:space="preserve">Legal </w:t>
            </w:r>
            <w:r w:rsidRPr="005268B4">
              <w:rPr>
                <w:bCs/>
              </w:rPr>
              <w:t xml:space="preserve">Practice Essentials training for lawyers annually. </w:t>
            </w:r>
          </w:p>
        </w:tc>
      </w:tr>
    </w:tbl>
    <w:p w:rsidR="006355B3" w:rsidRDefault="006355B3" w:rsidP="006355B3">
      <w:pPr>
        <w:pStyle w:val="Numberedtable"/>
        <w:numPr>
          <w:ilvl w:val="0"/>
          <w:numId w:val="0"/>
        </w:numPr>
      </w:pPr>
    </w:p>
    <w:p w:rsidR="0025743E" w:rsidRPr="0025743E" w:rsidRDefault="006355B3" w:rsidP="0025743E">
      <w:pPr>
        <w:pStyle w:val="Numberedtable"/>
      </w:pPr>
      <w:r>
        <w:br w:type="column"/>
      </w:r>
      <w:r w:rsidR="0025743E">
        <w:lastRenderedPageBreak/>
        <w:t>Support</w:t>
      </w:r>
      <w:r w:rsidR="00D44C70">
        <w:t xml:space="preserve"> </w:t>
      </w:r>
      <w:r w:rsidR="00D44C70" w:rsidRPr="00D44C70">
        <w:rPr>
          <w:rFonts w:cs="Times New Roman"/>
          <w:b w:val="0"/>
          <w:bCs w:val="0"/>
          <w:sz w:val="22"/>
          <w:szCs w:val="24"/>
          <w:lang w:eastAsia="en-US"/>
        </w:rPr>
        <w:t>Develop and implement strong, supportive policies, procedures and practices which support and enable Aboriginal and Torres Strait Islander staff to fulfil their role at Victoria Legal Aid.</w:t>
      </w:r>
    </w:p>
    <w:tbl>
      <w:tblPr>
        <w:tblStyle w:val="TableGrid"/>
        <w:tblW w:w="0" w:type="auto"/>
        <w:tblLook w:val="04A0" w:firstRow="1" w:lastRow="0" w:firstColumn="1" w:lastColumn="0" w:noHBand="0" w:noVBand="1"/>
      </w:tblPr>
      <w:tblGrid>
        <w:gridCol w:w="3823"/>
        <w:gridCol w:w="2126"/>
        <w:gridCol w:w="1276"/>
        <w:gridCol w:w="2545"/>
      </w:tblGrid>
      <w:tr w:rsidR="0025743E" w:rsidTr="00E12788">
        <w:trPr>
          <w:tblHeader/>
        </w:trPr>
        <w:tc>
          <w:tcPr>
            <w:tcW w:w="3823" w:type="dxa"/>
            <w:shd w:val="pct10" w:color="auto" w:fill="auto"/>
          </w:tcPr>
          <w:bookmarkEnd w:id="12"/>
          <w:p w:rsidR="0025743E" w:rsidRPr="0025743E" w:rsidRDefault="0025743E" w:rsidP="0025743E">
            <w:pPr>
              <w:rPr>
                <w:b/>
                <w:lang w:eastAsia="en-AU"/>
              </w:rPr>
            </w:pPr>
            <w:r w:rsidRPr="0025743E">
              <w:rPr>
                <w:b/>
                <w:lang w:eastAsia="en-AU"/>
              </w:rPr>
              <w:t>Action</w:t>
            </w:r>
          </w:p>
        </w:tc>
        <w:tc>
          <w:tcPr>
            <w:tcW w:w="2126" w:type="dxa"/>
            <w:shd w:val="pct10" w:color="auto" w:fill="auto"/>
          </w:tcPr>
          <w:p w:rsidR="0025743E" w:rsidRPr="0025743E" w:rsidRDefault="0025743E" w:rsidP="0025743E">
            <w:pPr>
              <w:rPr>
                <w:b/>
                <w:lang w:eastAsia="en-AU"/>
              </w:rPr>
            </w:pPr>
            <w:r w:rsidRPr="0025743E">
              <w:rPr>
                <w:b/>
                <w:lang w:eastAsia="en-AU"/>
              </w:rPr>
              <w:t>Who</w:t>
            </w:r>
          </w:p>
        </w:tc>
        <w:tc>
          <w:tcPr>
            <w:tcW w:w="1276" w:type="dxa"/>
            <w:shd w:val="pct10" w:color="auto" w:fill="auto"/>
          </w:tcPr>
          <w:p w:rsidR="0025743E" w:rsidRPr="0025743E" w:rsidRDefault="0025743E" w:rsidP="0025743E">
            <w:pPr>
              <w:rPr>
                <w:b/>
                <w:lang w:eastAsia="en-AU"/>
              </w:rPr>
            </w:pPr>
            <w:r w:rsidRPr="0025743E">
              <w:rPr>
                <w:b/>
                <w:lang w:eastAsia="en-AU"/>
              </w:rPr>
              <w:t>Timeline</w:t>
            </w:r>
          </w:p>
        </w:tc>
        <w:tc>
          <w:tcPr>
            <w:tcW w:w="2545" w:type="dxa"/>
            <w:shd w:val="pct10" w:color="auto" w:fill="auto"/>
          </w:tcPr>
          <w:p w:rsidR="0025743E" w:rsidRPr="0025743E" w:rsidRDefault="0025743E" w:rsidP="0025743E">
            <w:pPr>
              <w:rPr>
                <w:b/>
                <w:lang w:eastAsia="en-AU"/>
              </w:rPr>
            </w:pPr>
            <w:r w:rsidRPr="0025743E">
              <w:rPr>
                <w:b/>
                <w:lang w:eastAsia="en-AU"/>
              </w:rPr>
              <w:t>Measure</w:t>
            </w:r>
          </w:p>
        </w:tc>
      </w:tr>
      <w:tr w:rsidR="0025743E" w:rsidTr="0025743E">
        <w:tc>
          <w:tcPr>
            <w:tcW w:w="3823" w:type="dxa"/>
          </w:tcPr>
          <w:p w:rsidR="0025743E" w:rsidRPr="0025743E" w:rsidRDefault="0025743E" w:rsidP="0025743E">
            <w:pPr>
              <w:pStyle w:val="ListNumbersupport"/>
            </w:pPr>
            <w:r w:rsidRPr="005268B4">
              <w:t>Review and identify possible improvements to V</w:t>
            </w:r>
            <w:r>
              <w:t xml:space="preserve">ictoria </w:t>
            </w:r>
            <w:r w:rsidRPr="005268B4">
              <w:t>L</w:t>
            </w:r>
            <w:r>
              <w:t xml:space="preserve">egal </w:t>
            </w:r>
            <w:r w:rsidRPr="005268B4">
              <w:t>A</w:t>
            </w:r>
            <w:r>
              <w:t>id</w:t>
            </w:r>
            <w:r w:rsidRPr="005268B4">
              <w:t xml:space="preserve"> employment policies and procedures including access to compassionate leave for bereavement</w:t>
            </w:r>
            <w:r>
              <w:t xml:space="preserve"> </w:t>
            </w:r>
            <w:r w:rsidRPr="00B81342">
              <w:rPr>
                <w:i/>
              </w:rPr>
              <w:t>(Reconciliation Action Plan 2.6)</w:t>
            </w:r>
          </w:p>
        </w:tc>
        <w:tc>
          <w:tcPr>
            <w:tcW w:w="2126" w:type="dxa"/>
          </w:tcPr>
          <w:p w:rsidR="0025743E" w:rsidRDefault="0025743E" w:rsidP="0025743E">
            <w:pPr>
              <w:rPr>
                <w:lang w:eastAsia="en-AU"/>
              </w:rPr>
            </w:pPr>
            <w:r w:rsidRPr="005268B4">
              <w:rPr>
                <w:bCs/>
              </w:rPr>
              <w:t xml:space="preserve">Employee Relations Manager, </w:t>
            </w:r>
            <w:r>
              <w:rPr>
                <w:bCs/>
              </w:rPr>
              <w:t>People and</w:t>
            </w:r>
            <w:r w:rsidRPr="005268B4">
              <w:rPr>
                <w:bCs/>
              </w:rPr>
              <w:t xml:space="preserve"> Culture</w:t>
            </w:r>
            <w:r>
              <w:rPr>
                <w:bCs/>
              </w:rPr>
              <w:t xml:space="preserve"> and </w:t>
            </w:r>
            <w:r w:rsidRPr="005268B4">
              <w:rPr>
                <w:bCs/>
              </w:rPr>
              <w:t xml:space="preserve">Resourcing </w:t>
            </w:r>
            <w:r>
              <w:rPr>
                <w:bCs/>
              </w:rPr>
              <w:t>and Remuneration Manager, People and</w:t>
            </w:r>
            <w:r w:rsidRPr="005268B4">
              <w:rPr>
                <w:bCs/>
              </w:rPr>
              <w:t xml:space="preserve"> Culture</w:t>
            </w:r>
          </w:p>
        </w:tc>
        <w:tc>
          <w:tcPr>
            <w:tcW w:w="1276" w:type="dxa"/>
          </w:tcPr>
          <w:p w:rsidR="0025743E" w:rsidRDefault="0025743E" w:rsidP="00B743B3">
            <w:pPr>
              <w:rPr>
                <w:lang w:eastAsia="en-AU"/>
              </w:rPr>
            </w:pPr>
            <w:r>
              <w:t>January 2017</w:t>
            </w:r>
          </w:p>
        </w:tc>
        <w:tc>
          <w:tcPr>
            <w:tcW w:w="2545" w:type="dxa"/>
          </w:tcPr>
          <w:p w:rsidR="0025743E" w:rsidRPr="0025743E" w:rsidRDefault="0025743E" w:rsidP="00B743B3">
            <w:pPr>
              <w:rPr>
                <w:bCs/>
              </w:rPr>
            </w:pPr>
            <w:r>
              <w:rPr>
                <w:bCs/>
              </w:rPr>
              <w:t>A r</w:t>
            </w:r>
            <w:r w:rsidRPr="005268B4">
              <w:rPr>
                <w:bCs/>
              </w:rPr>
              <w:t xml:space="preserve">eview </w:t>
            </w:r>
            <w:r>
              <w:rPr>
                <w:bCs/>
              </w:rPr>
              <w:t xml:space="preserve">is </w:t>
            </w:r>
            <w:r w:rsidRPr="005268B4">
              <w:rPr>
                <w:bCs/>
              </w:rPr>
              <w:t xml:space="preserve">conducted and recommendations </w:t>
            </w:r>
            <w:r>
              <w:rPr>
                <w:bCs/>
              </w:rPr>
              <w:t xml:space="preserve">are reflected </w:t>
            </w:r>
            <w:r w:rsidRPr="005268B4">
              <w:rPr>
                <w:bCs/>
              </w:rPr>
              <w:t>in Enterprise Agreement</w:t>
            </w:r>
            <w:r>
              <w:rPr>
                <w:bCs/>
              </w:rPr>
              <w:t xml:space="preserve"> 2016–20.</w:t>
            </w:r>
          </w:p>
        </w:tc>
      </w:tr>
      <w:tr w:rsidR="0025743E" w:rsidTr="0025743E">
        <w:tc>
          <w:tcPr>
            <w:tcW w:w="3823" w:type="dxa"/>
          </w:tcPr>
          <w:p w:rsidR="0025743E" w:rsidRPr="0025743E" w:rsidRDefault="0025743E" w:rsidP="0025743E">
            <w:pPr>
              <w:pStyle w:val="ListNumbersupport"/>
              <w:rPr>
                <w:i/>
              </w:rPr>
            </w:pPr>
            <w:r w:rsidRPr="005268B4">
              <w:t>Provide opportunities for Aboriginal and Torres Strait Islander employees to engage with their culture and community through NAIDOC week eve</w:t>
            </w:r>
            <w:r>
              <w:t xml:space="preserve">nts and similar cultural events </w:t>
            </w:r>
            <w:r w:rsidRPr="00B81342">
              <w:rPr>
                <w:i/>
              </w:rPr>
              <w:t>(Reconciliation Action Plan 2.5)</w:t>
            </w:r>
            <w:bookmarkStart w:id="14" w:name="_GoBack"/>
            <w:bookmarkEnd w:id="14"/>
          </w:p>
        </w:tc>
        <w:tc>
          <w:tcPr>
            <w:tcW w:w="2126" w:type="dxa"/>
          </w:tcPr>
          <w:p w:rsidR="0025743E" w:rsidRPr="005268B4" w:rsidRDefault="0025743E" w:rsidP="0025743E">
            <w:pPr>
              <w:rPr>
                <w:bCs/>
              </w:rPr>
            </w:pPr>
            <w:r w:rsidRPr="005268B4">
              <w:rPr>
                <w:bCs/>
              </w:rPr>
              <w:t>Associa</w:t>
            </w:r>
            <w:r>
              <w:rPr>
                <w:bCs/>
              </w:rPr>
              <w:t>te Director, Aboriginal Services and Associate Director, People and</w:t>
            </w:r>
            <w:r w:rsidRPr="005268B4">
              <w:rPr>
                <w:bCs/>
              </w:rPr>
              <w:t xml:space="preserve"> Culture</w:t>
            </w:r>
          </w:p>
          <w:p w:rsidR="0025743E" w:rsidRPr="0025743E" w:rsidRDefault="0025743E" w:rsidP="00B743B3">
            <w:pPr>
              <w:rPr>
                <w:bCs/>
              </w:rPr>
            </w:pPr>
          </w:p>
        </w:tc>
        <w:tc>
          <w:tcPr>
            <w:tcW w:w="1276" w:type="dxa"/>
          </w:tcPr>
          <w:p w:rsidR="0025743E" w:rsidRDefault="0025743E" w:rsidP="00B743B3">
            <w:pPr>
              <w:rPr>
                <w:lang w:eastAsia="en-AU"/>
              </w:rPr>
            </w:pPr>
            <w:r>
              <w:rPr>
                <w:bCs/>
              </w:rPr>
              <w:t>Yearly</w:t>
            </w:r>
          </w:p>
        </w:tc>
        <w:tc>
          <w:tcPr>
            <w:tcW w:w="2545" w:type="dxa"/>
          </w:tcPr>
          <w:p w:rsidR="0025743E" w:rsidRPr="005268B4" w:rsidRDefault="0025743E" w:rsidP="0025743E">
            <w:pPr>
              <w:rPr>
                <w:bCs/>
              </w:rPr>
            </w:pPr>
            <w:r w:rsidRPr="005268B4">
              <w:rPr>
                <w:bCs/>
              </w:rPr>
              <w:t>Aboriginal and Torres Strait Islander employees and their managers are aware of policies relating to attending NAIDOC week events or similar cultural events.</w:t>
            </w:r>
          </w:p>
          <w:p w:rsidR="0025743E" w:rsidRDefault="0025743E" w:rsidP="0025743E">
            <w:pPr>
              <w:rPr>
                <w:lang w:eastAsia="en-AU"/>
              </w:rPr>
            </w:pPr>
            <w:r w:rsidRPr="005268B4">
              <w:rPr>
                <w:bCs/>
              </w:rPr>
              <w:t>A minimum of 50% (2017) and 85% (2018) Aboriginal or Torres Strait Islander employees participate in NAIDOC events and similar cultural events.</w:t>
            </w:r>
          </w:p>
        </w:tc>
      </w:tr>
      <w:tr w:rsidR="004B6011" w:rsidTr="0025743E">
        <w:tc>
          <w:tcPr>
            <w:tcW w:w="3823" w:type="dxa"/>
          </w:tcPr>
          <w:p w:rsidR="004B6011" w:rsidRPr="004B6011" w:rsidRDefault="004B6011" w:rsidP="00BC7CE8">
            <w:pPr>
              <w:pStyle w:val="ListNumbersupport"/>
              <w:numPr>
                <w:ilvl w:val="0"/>
                <w:numId w:val="47"/>
              </w:numPr>
              <w:ind w:left="589" w:hanging="589"/>
              <w:rPr>
                <w:i/>
              </w:rPr>
            </w:pPr>
            <w:r w:rsidRPr="005268B4">
              <w:t>Provide opportunities for Aboriginal and Torres Strait Islander employees to engage with their culture and community through NAIDOC week eve</w:t>
            </w:r>
            <w:r>
              <w:t xml:space="preserve">nts and similar cultural events </w:t>
            </w:r>
            <w:r w:rsidRPr="004B6011">
              <w:rPr>
                <w:i/>
              </w:rPr>
              <w:t>(Reconciliation Action Plan 2.5)</w:t>
            </w:r>
          </w:p>
        </w:tc>
        <w:tc>
          <w:tcPr>
            <w:tcW w:w="2126" w:type="dxa"/>
          </w:tcPr>
          <w:p w:rsidR="004B6011" w:rsidRDefault="004B6011" w:rsidP="004B6011">
            <w:pPr>
              <w:rPr>
                <w:lang w:eastAsia="en-AU"/>
              </w:rPr>
            </w:pPr>
            <w:r>
              <w:rPr>
                <w:bCs/>
              </w:rPr>
              <w:t>Employee Relations Manager, People and Culture</w:t>
            </w:r>
          </w:p>
        </w:tc>
        <w:tc>
          <w:tcPr>
            <w:tcW w:w="1276" w:type="dxa"/>
          </w:tcPr>
          <w:p w:rsidR="004B6011" w:rsidRDefault="004B6011" w:rsidP="004B6011">
            <w:pPr>
              <w:rPr>
                <w:lang w:eastAsia="en-AU"/>
              </w:rPr>
            </w:pPr>
            <w:r>
              <w:rPr>
                <w:bCs/>
              </w:rPr>
              <w:t>June 2017</w:t>
            </w:r>
          </w:p>
        </w:tc>
        <w:tc>
          <w:tcPr>
            <w:tcW w:w="2545" w:type="dxa"/>
          </w:tcPr>
          <w:p w:rsidR="004B6011" w:rsidRDefault="004B6011" w:rsidP="004B6011">
            <w:r>
              <w:t>HR policies and procedures reviewed to ensure there are no barriers to staff participating in NAIDOC week events or other similar cultural events.</w:t>
            </w:r>
          </w:p>
        </w:tc>
      </w:tr>
    </w:tbl>
    <w:p w:rsidR="006355B3" w:rsidRDefault="006355B3" w:rsidP="006355B3">
      <w:pPr>
        <w:pStyle w:val="Numberedtable"/>
        <w:numPr>
          <w:ilvl w:val="0"/>
          <w:numId w:val="0"/>
        </w:numPr>
      </w:pPr>
    </w:p>
    <w:p w:rsidR="006355B3" w:rsidRDefault="006355B3">
      <w:pPr>
        <w:spacing w:after="0" w:line="240" w:lineRule="auto"/>
        <w:rPr>
          <w:rFonts w:cs="Arial"/>
          <w:b/>
          <w:bCs/>
          <w:sz w:val="26"/>
          <w:szCs w:val="26"/>
          <w:lang w:eastAsia="en-AU"/>
        </w:rPr>
      </w:pPr>
      <w:r>
        <w:br w:type="page"/>
      </w:r>
    </w:p>
    <w:p w:rsidR="00E12788" w:rsidRPr="00E12788" w:rsidRDefault="00E12788" w:rsidP="00E12788">
      <w:pPr>
        <w:pStyle w:val="Numberedtable"/>
      </w:pPr>
      <w:r w:rsidRPr="00E12788">
        <w:lastRenderedPageBreak/>
        <w:t>Attraction</w:t>
      </w:r>
      <w:r w:rsidR="004B6011">
        <w:t xml:space="preserve"> </w:t>
      </w:r>
      <w:r w:rsidR="004B6011" w:rsidRPr="004B6011">
        <w:rPr>
          <w:rFonts w:cs="Times New Roman"/>
          <w:b w:val="0"/>
          <w:bCs w:val="0"/>
          <w:sz w:val="22"/>
          <w:szCs w:val="24"/>
          <w:lang w:eastAsia="en-US"/>
        </w:rPr>
        <w:t>Improve Aboriginal and Torres Strait Islander employment opportunities by providing leadership on recruitment initiatives and practices to attract Aboriginal and Torres Strait Islander people to roles at Victoria Legal Aid.</w:t>
      </w:r>
    </w:p>
    <w:tbl>
      <w:tblPr>
        <w:tblStyle w:val="TableGrid"/>
        <w:tblW w:w="0" w:type="auto"/>
        <w:tblLook w:val="04A0" w:firstRow="1" w:lastRow="0" w:firstColumn="1" w:lastColumn="0" w:noHBand="0" w:noVBand="1"/>
      </w:tblPr>
      <w:tblGrid>
        <w:gridCol w:w="3823"/>
        <w:gridCol w:w="2126"/>
        <w:gridCol w:w="1276"/>
        <w:gridCol w:w="2545"/>
      </w:tblGrid>
      <w:tr w:rsidR="00E12788" w:rsidTr="00B743B3">
        <w:trPr>
          <w:tblHeader/>
        </w:trPr>
        <w:tc>
          <w:tcPr>
            <w:tcW w:w="3823" w:type="dxa"/>
            <w:shd w:val="pct10" w:color="auto" w:fill="auto"/>
          </w:tcPr>
          <w:p w:rsidR="00E12788" w:rsidRPr="0025743E" w:rsidRDefault="00E12788" w:rsidP="00E12788">
            <w:pPr>
              <w:rPr>
                <w:b/>
                <w:lang w:eastAsia="en-AU"/>
              </w:rPr>
            </w:pPr>
            <w:r w:rsidRPr="0025743E">
              <w:rPr>
                <w:b/>
                <w:lang w:eastAsia="en-AU"/>
              </w:rPr>
              <w:t>Action</w:t>
            </w:r>
          </w:p>
        </w:tc>
        <w:tc>
          <w:tcPr>
            <w:tcW w:w="2126" w:type="dxa"/>
            <w:shd w:val="pct10" w:color="auto" w:fill="auto"/>
          </w:tcPr>
          <w:p w:rsidR="00E12788" w:rsidRPr="0025743E" w:rsidRDefault="00E12788" w:rsidP="00E12788">
            <w:pPr>
              <w:rPr>
                <w:b/>
                <w:lang w:eastAsia="en-AU"/>
              </w:rPr>
            </w:pPr>
            <w:r w:rsidRPr="0025743E">
              <w:rPr>
                <w:b/>
                <w:lang w:eastAsia="en-AU"/>
              </w:rPr>
              <w:t>Who</w:t>
            </w:r>
          </w:p>
        </w:tc>
        <w:tc>
          <w:tcPr>
            <w:tcW w:w="1276" w:type="dxa"/>
            <w:shd w:val="pct10" w:color="auto" w:fill="auto"/>
          </w:tcPr>
          <w:p w:rsidR="00E12788" w:rsidRPr="0025743E" w:rsidRDefault="00E12788" w:rsidP="00E12788">
            <w:pPr>
              <w:rPr>
                <w:b/>
                <w:lang w:eastAsia="en-AU"/>
              </w:rPr>
            </w:pPr>
            <w:r w:rsidRPr="0025743E">
              <w:rPr>
                <w:b/>
                <w:lang w:eastAsia="en-AU"/>
              </w:rPr>
              <w:t>Timeline</w:t>
            </w:r>
          </w:p>
        </w:tc>
        <w:tc>
          <w:tcPr>
            <w:tcW w:w="2545" w:type="dxa"/>
            <w:shd w:val="pct10" w:color="auto" w:fill="auto"/>
          </w:tcPr>
          <w:p w:rsidR="00E12788" w:rsidRPr="0025743E" w:rsidRDefault="00E12788" w:rsidP="00E12788">
            <w:pPr>
              <w:rPr>
                <w:b/>
                <w:lang w:eastAsia="en-AU"/>
              </w:rPr>
            </w:pPr>
            <w:r w:rsidRPr="0025743E">
              <w:rPr>
                <w:b/>
                <w:lang w:eastAsia="en-AU"/>
              </w:rPr>
              <w:t>Measure</w:t>
            </w:r>
          </w:p>
        </w:tc>
      </w:tr>
      <w:tr w:rsidR="00E12788" w:rsidTr="00B743B3">
        <w:tc>
          <w:tcPr>
            <w:tcW w:w="3823" w:type="dxa"/>
          </w:tcPr>
          <w:p w:rsidR="00E12788" w:rsidRPr="0025743E" w:rsidRDefault="00E12788" w:rsidP="00B2073D">
            <w:pPr>
              <w:pStyle w:val="ListNumberattraction"/>
              <w:ind w:left="589" w:hanging="589"/>
            </w:pPr>
            <w:r w:rsidRPr="005268B4">
              <w:t>Increase V</w:t>
            </w:r>
            <w:r>
              <w:t>ictoria Legal Aid</w:t>
            </w:r>
            <w:r w:rsidRPr="005268B4">
              <w:t>’s Aboriginal or Torres Strait Islander workforce</w:t>
            </w:r>
            <w:r>
              <w:t xml:space="preserve">. </w:t>
            </w:r>
            <w:r w:rsidRPr="00B81342">
              <w:rPr>
                <w:i/>
              </w:rPr>
              <w:t>(Reconciliation Action Plan 3.1, 3.2, 3.5)</w:t>
            </w:r>
          </w:p>
        </w:tc>
        <w:tc>
          <w:tcPr>
            <w:tcW w:w="2126" w:type="dxa"/>
          </w:tcPr>
          <w:p w:rsidR="00E12788" w:rsidRDefault="00E12788" w:rsidP="00E12788">
            <w:pPr>
              <w:rPr>
                <w:lang w:eastAsia="en-AU"/>
              </w:rPr>
            </w:pPr>
            <w:r w:rsidRPr="005268B4">
              <w:t xml:space="preserve">Associate Director, People </w:t>
            </w:r>
            <w:r>
              <w:t>and</w:t>
            </w:r>
            <w:r w:rsidRPr="005268B4">
              <w:t xml:space="preserve"> Culture</w:t>
            </w:r>
          </w:p>
        </w:tc>
        <w:tc>
          <w:tcPr>
            <w:tcW w:w="1276" w:type="dxa"/>
          </w:tcPr>
          <w:p w:rsidR="00E12788" w:rsidRDefault="00E12788" w:rsidP="00E12788">
            <w:pPr>
              <w:rPr>
                <w:lang w:eastAsia="en-AU"/>
              </w:rPr>
            </w:pPr>
            <w:r>
              <w:rPr>
                <w:lang w:eastAsia="en-AU"/>
              </w:rPr>
              <w:t xml:space="preserve">On or before </w:t>
            </w:r>
            <w:r w:rsidRPr="005268B4">
              <w:t>December 2018</w:t>
            </w:r>
          </w:p>
        </w:tc>
        <w:tc>
          <w:tcPr>
            <w:tcW w:w="2545" w:type="dxa"/>
          </w:tcPr>
          <w:p w:rsidR="00E12788" w:rsidRDefault="00E12788" w:rsidP="00E12788">
            <w:r>
              <w:t xml:space="preserve">Aboriginal and Torres Strait </w:t>
            </w:r>
            <w:r w:rsidRPr="005268B4">
              <w:t xml:space="preserve">Islander </w:t>
            </w:r>
            <w:r>
              <w:t xml:space="preserve">staff </w:t>
            </w:r>
            <w:r w:rsidRPr="005268B4">
              <w:t>represent a minimum of 2</w:t>
            </w:r>
            <w:r>
              <w:t>.5</w:t>
            </w:r>
            <w:r w:rsidRPr="005268B4">
              <w:t xml:space="preserve">% of </w:t>
            </w:r>
            <w:r>
              <w:t>Victoria Legal Aid’s productive workforce</w:t>
            </w:r>
          </w:p>
        </w:tc>
      </w:tr>
      <w:tr w:rsidR="00E12788" w:rsidTr="00B743B3">
        <w:tc>
          <w:tcPr>
            <w:tcW w:w="3823" w:type="dxa"/>
          </w:tcPr>
          <w:p w:rsidR="00E12788" w:rsidRPr="00E12788" w:rsidRDefault="00E12788" w:rsidP="00E12788">
            <w:pPr>
              <w:pStyle w:val="ListNumberattraction"/>
              <w:ind w:left="567" w:hanging="567"/>
            </w:pPr>
            <w:r w:rsidRPr="005268B4">
              <w:t>Improve pathways for Aboriginal and Torres Strait Islander law students, graduates and lawyers.</w:t>
            </w:r>
            <w:r>
              <w:t xml:space="preserve"> </w:t>
            </w:r>
            <w:r w:rsidRPr="00E12788">
              <w:rPr>
                <w:i/>
              </w:rPr>
              <w:t>(Reconciliation Action Plan 3.1 and 3.2)</w:t>
            </w:r>
          </w:p>
        </w:tc>
        <w:tc>
          <w:tcPr>
            <w:tcW w:w="2126" w:type="dxa"/>
          </w:tcPr>
          <w:p w:rsidR="00E12788" w:rsidRPr="00E12788" w:rsidRDefault="00E12788" w:rsidP="00E12788">
            <w:r>
              <w:t>Resourcing and</w:t>
            </w:r>
            <w:r w:rsidRPr="005268B4">
              <w:t xml:space="preserve"> Remuneration Manager, People and Culture</w:t>
            </w:r>
          </w:p>
        </w:tc>
        <w:tc>
          <w:tcPr>
            <w:tcW w:w="1276" w:type="dxa"/>
          </w:tcPr>
          <w:p w:rsidR="00E12788" w:rsidRDefault="00E12788" w:rsidP="00E12788">
            <w:pPr>
              <w:rPr>
                <w:lang w:eastAsia="en-AU"/>
              </w:rPr>
            </w:pPr>
            <w:r>
              <w:rPr>
                <w:bCs/>
              </w:rPr>
              <w:t>December 2017</w:t>
            </w:r>
          </w:p>
        </w:tc>
        <w:tc>
          <w:tcPr>
            <w:tcW w:w="2545" w:type="dxa"/>
          </w:tcPr>
          <w:p w:rsidR="00E12788" w:rsidRPr="005268B4" w:rsidRDefault="00E12788" w:rsidP="00E12788">
            <w:r w:rsidRPr="005268B4">
              <w:t>Graduate Scholarship Program for Aboriginal and Torres Strait Islander law graduates implemented.</w:t>
            </w:r>
          </w:p>
          <w:p w:rsidR="00E12788" w:rsidRDefault="00E12788" w:rsidP="00E12788">
            <w:r w:rsidRPr="005268B4">
              <w:t>Recruit two law graduates to o</w:t>
            </w:r>
            <w:r>
              <w:t>ur Graduate Scholarship Program.</w:t>
            </w:r>
          </w:p>
        </w:tc>
      </w:tr>
      <w:tr w:rsidR="00E12788" w:rsidTr="00B743B3">
        <w:tc>
          <w:tcPr>
            <w:tcW w:w="3823" w:type="dxa"/>
          </w:tcPr>
          <w:p w:rsidR="00E12788" w:rsidRPr="00B2073D" w:rsidRDefault="00441244" w:rsidP="00B2073D">
            <w:pPr>
              <w:pStyle w:val="ListNumberattraction"/>
              <w:numPr>
                <w:ilvl w:val="0"/>
                <w:numId w:val="40"/>
              </w:numPr>
              <w:ind w:left="589" w:hanging="567"/>
            </w:pPr>
            <w:r w:rsidRPr="00B2073D">
              <w:t xml:space="preserve">Improve pathways for Aboriginal and Torres Strait Islander law students, graduates and lawyers. </w:t>
            </w:r>
            <w:r w:rsidRPr="00B2073D">
              <w:rPr>
                <w:i/>
              </w:rPr>
              <w:t>(Reconciliation Action Plan 3.1 and 3.2)</w:t>
            </w:r>
          </w:p>
        </w:tc>
        <w:tc>
          <w:tcPr>
            <w:tcW w:w="2126" w:type="dxa"/>
          </w:tcPr>
          <w:p w:rsidR="00E12788" w:rsidRDefault="00B2073D" w:rsidP="00E12788">
            <w:pPr>
              <w:rPr>
                <w:lang w:eastAsia="en-AU"/>
              </w:rPr>
            </w:pPr>
            <w:r>
              <w:t>Resourcing and</w:t>
            </w:r>
            <w:r w:rsidRPr="005268B4">
              <w:t xml:space="preserve"> Remuneration Manager, People and Culture</w:t>
            </w:r>
          </w:p>
        </w:tc>
        <w:tc>
          <w:tcPr>
            <w:tcW w:w="1276" w:type="dxa"/>
          </w:tcPr>
          <w:p w:rsidR="00E12788" w:rsidRDefault="00E12788" w:rsidP="00E12788">
            <w:pPr>
              <w:rPr>
                <w:bCs/>
              </w:rPr>
            </w:pPr>
            <w:r>
              <w:rPr>
                <w:bCs/>
              </w:rPr>
              <w:t>Yearly</w:t>
            </w:r>
          </w:p>
        </w:tc>
        <w:tc>
          <w:tcPr>
            <w:tcW w:w="2545" w:type="dxa"/>
          </w:tcPr>
          <w:p w:rsidR="00E12788" w:rsidRDefault="00E12788" w:rsidP="00E12788">
            <w:r w:rsidRPr="005268B4">
              <w:t>Recruit at least two law students to our Aboriginal Clerkship Progr</w:t>
            </w:r>
            <w:r>
              <w:t>am.</w:t>
            </w:r>
          </w:p>
          <w:p w:rsidR="00E12788" w:rsidRPr="00E12788" w:rsidRDefault="00E12788" w:rsidP="00E12788">
            <w:r w:rsidRPr="005268B4">
              <w:t>Recruit two Aboriginal or Torres Strait Isla</w:t>
            </w:r>
            <w:r>
              <w:t xml:space="preserve">nder lawyers on our New Lawyers </w:t>
            </w:r>
            <w:r w:rsidRPr="005268B4">
              <w:t>Program.</w:t>
            </w:r>
          </w:p>
          <w:p w:rsidR="00E12788" w:rsidRDefault="00E12788" w:rsidP="00E12788">
            <w:r w:rsidRPr="005268B4">
              <w:t xml:space="preserve">Referrals from </w:t>
            </w:r>
            <w:r>
              <w:t xml:space="preserve">Aboriginal </w:t>
            </w:r>
            <w:r w:rsidRPr="005268B4">
              <w:t xml:space="preserve">engagement units (including </w:t>
            </w:r>
            <w:proofErr w:type="spellStart"/>
            <w:r w:rsidRPr="005268B4">
              <w:t>Tarwirri</w:t>
            </w:r>
            <w:proofErr w:type="spellEnd"/>
            <w:r w:rsidRPr="005268B4">
              <w:t xml:space="preserve">) and law schools to our clerkship, graduate and new lawyer programs. </w:t>
            </w:r>
          </w:p>
        </w:tc>
      </w:tr>
      <w:tr w:rsidR="00E12788" w:rsidTr="00B743B3">
        <w:tc>
          <w:tcPr>
            <w:tcW w:w="3823" w:type="dxa"/>
          </w:tcPr>
          <w:p w:rsidR="00E12788" w:rsidRPr="00E12788" w:rsidRDefault="00E12788" w:rsidP="00B2073D">
            <w:pPr>
              <w:pStyle w:val="ListNumberattraction"/>
              <w:ind w:left="589" w:hanging="589"/>
              <w:rPr>
                <w:i/>
              </w:rPr>
            </w:pPr>
            <w:r w:rsidRPr="005268B4">
              <w:t>Develop and implement attraction employment strategies specifically targeting Aboriginal or Torres Strait Islander peoples.</w:t>
            </w:r>
            <w:r>
              <w:t xml:space="preserve"> </w:t>
            </w:r>
            <w:r w:rsidRPr="00E41786">
              <w:rPr>
                <w:i/>
              </w:rPr>
              <w:t>(Reconciliation Action Plan 3.5)</w:t>
            </w:r>
          </w:p>
        </w:tc>
        <w:tc>
          <w:tcPr>
            <w:tcW w:w="2126" w:type="dxa"/>
          </w:tcPr>
          <w:p w:rsidR="00E12788" w:rsidRDefault="00E12788" w:rsidP="00E12788">
            <w:r w:rsidRPr="005268B4">
              <w:t>Associate Director, Aboriginal Services</w:t>
            </w:r>
          </w:p>
        </w:tc>
        <w:tc>
          <w:tcPr>
            <w:tcW w:w="1276" w:type="dxa"/>
          </w:tcPr>
          <w:p w:rsidR="00E12788" w:rsidRDefault="00E12788" w:rsidP="00E12788">
            <w:pPr>
              <w:rPr>
                <w:bCs/>
              </w:rPr>
            </w:pPr>
            <w:r w:rsidRPr="005268B4">
              <w:t>July 2017</w:t>
            </w:r>
          </w:p>
        </w:tc>
        <w:tc>
          <w:tcPr>
            <w:tcW w:w="2545" w:type="dxa"/>
          </w:tcPr>
          <w:p w:rsidR="004B6011" w:rsidRPr="004B6011" w:rsidRDefault="004B6011" w:rsidP="004B6011">
            <w:pPr>
              <w:spacing w:after="160" w:line="259" w:lineRule="auto"/>
            </w:pPr>
            <w:r w:rsidRPr="004B6011">
              <w:t>Three Aboriginal Community Engagement Officer positions are recruited, inducted and supported in their roles.</w:t>
            </w:r>
          </w:p>
          <w:p w:rsidR="00E12788" w:rsidRPr="005268B4" w:rsidRDefault="00E12788" w:rsidP="00E12788"/>
        </w:tc>
      </w:tr>
      <w:tr w:rsidR="00E12788" w:rsidTr="00B743B3">
        <w:tc>
          <w:tcPr>
            <w:tcW w:w="3823" w:type="dxa"/>
          </w:tcPr>
          <w:p w:rsidR="00E12788" w:rsidRPr="00B2073D" w:rsidRDefault="00B2073D" w:rsidP="00B2073D">
            <w:pPr>
              <w:pStyle w:val="ListNumberattraction"/>
              <w:numPr>
                <w:ilvl w:val="0"/>
                <w:numId w:val="41"/>
              </w:numPr>
              <w:ind w:left="589" w:hanging="589"/>
            </w:pPr>
            <w:r w:rsidRPr="00B2073D">
              <w:lastRenderedPageBreak/>
              <w:t>Develop and implement attraction employment strategies specifically targeting Aboriginal or Torres Strait Islander peoples. (Reconciliation Action Plan 3.5)</w:t>
            </w:r>
          </w:p>
        </w:tc>
        <w:tc>
          <w:tcPr>
            <w:tcW w:w="2126" w:type="dxa"/>
          </w:tcPr>
          <w:p w:rsidR="00E12788" w:rsidRPr="005268B4" w:rsidRDefault="00E12788" w:rsidP="00E12788">
            <w:r>
              <w:t>Resourcing and</w:t>
            </w:r>
            <w:r w:rsidRPr="005268B4">
              <w:t xml:space="preserve"> Remuneration Manager, People and Culture</w:t>
            </w:r>
          </w:p>
        </w:tc>
        <w:tc>
          <w:tcPr>
            <w:tcW w:w="1276" w:type="dxa"/>
          </w:tcPr>
          <w:p w:rsidR="00E12788" w:rsidRPr="005268B4" w:rsidRDefault="00E12788" w:rsidP="00E12788">
            <w:r>
              <w:t>Ongoing</w:t>
            </w:r>
          </w:p>
        </w:tc>
        <w:tc>
          <w:tcPr>
            <w:tcW w:w="2545" w:type="dxa"/>
          </w:tcPr>
          <w:p w:rsidR="00E12788" w:rsidRDefault="00E12788" w:rsidP="00E12788">
            <w:r w:rsidRPr="005268B4">
              <w:t>Employment opportunities are advertised in Aboriginal and Torres Strait Islander media including Koori Mail, Our Mob, University Indigenous law centres and/or law faculties.</w:t>
            </w:r>
          </w:p>
        </w:tc>
      </w:tr>
      <w:tr w:rsidR="00E12788" w:rsidTr="00B743B3">
        <w:tc>
          <w:tcPr>
            <w:tcW w:w="3823" w:type="dxa"/>
          </w:tcPr>
          <w:p w:rsidR="00E12788" w:rsidRPr="00B2073D" w:rsidRDefault="00B2073D" w:rsidP="00B2073D">
            <w:pPr>
              <w:pStyle w:val="ListNumberattraction"/>
              <w:numPr>
                <w:ilvl w:val="0"/>
                <w:numId w:val="42"/>
              </w:numPr>
              <w:ind w:left="589" w:hanging="589"/>
            </w:pPr>
            <w:r w:rsidRPr="00B2073D">
              <w:t>Develop and implement attraction employment strategies specifically targeting Aboriginal or Torres Strait Islander peoples. (Reconciliation Action Plan 3.5)</w:t>
            </w:r>
          </w:p>
        </w:tc>
        <w:tc>
          <w:tcPr>
            <w:tcW w:w="2126" w:type="dxa"/>
          </w:tcPr>
          <w:p w:rsidR="00E12788" w:rsidRDefault="00E12788" w:rsidP="00E12788">
            <w:r>
              <w:t>Resourcing and</w:t>
            </w:r>
            <w:r w:rsidRPr="005268B4">
              <w:t xml:space="preserve"> Remuneration Manager, People and Culture</w:t>
            </w:r>
          </w:p>
        </w:tc>
        <w:tc>
          <w:tcPr>
            <w:tcW w:w="1276" w:type="dxa"/>
          </w:tcPr>
          <w:p w:rsidR="00E12788" w:rsidRDefault="00E12788" w:rsidP="00E12788">
            <w:r>
              <w:t>February 2017</w:t>
            </w:r>
          </w:p>
        </w:tc>
        <w:tc>
          <w:tcPr>
            <w:tcW w:w="2545" w:type="dxa"/>
          </w:tcPr>
          <w:p w:rsidR="00E12788" w:rsidRPr="005268B4" w:rsidRDefault="00E12788" w:rsidP="00E12788">
            <w:r w:rsidRPr="005268B4">
              <w:t>V</w:t>
            </w:r>
            <w:r>
              <w:t xml:space="preserve">ictoria </w:t>
            </w:r>
            <w:r w:rsidRPr="005268B4">
              <w:t>L</w:t>
            </w:r>
            <w:r>
              <w:t xml:space="preserve">egal </w:t>
            </w:r>
            <w:r w:rsidRPr="005268B4">
              <w:t>A</w:t>
            </w:r>
            <w:r>
              <w:t>id</w:t>
            </w:r>
            <w:r w:rsidRPr="005268B4">
              <w:t xml:space="preserve"> website updated to promote Aboriginal and Torres Strait Isla</w:t>
            </w:r>
            <w:r>
              <w:t>nder employment opportunities.</w:t>
            </w:r>
          </w:p>
        </w:tc>
      </w:tr>
      <w:tr w:rsidR="00E12788" w:rsidTr="00B743B3">
        <w:tc>
          <w:tcPr>
            <w:tcW w:w="3823" w:type="dxa"/>
          </w:tcPr>
          <w:p w:rsidR="00E12788" w:rsidRPr="00B2073D" w:rsidRDefault="00B2073D" w:rsidP="00B2073D">
            <w:pPr>
              <w:pStyle w:val="ListNumberattraction"/>
              <w:numPr>
                <w:ilvl w:val="0"/>
                <w:numId w:val="43"/>
              </w:numPr>
              <w:ind w:left="589" w:hanging="589"/>
            </w:pPr>
            <w:r w:rsidRPr="00B2073D">
              <w:t>Develop and implement attraction employment strategies specifically targeting Aboriginal or Torres Strait Islander peoples. (Reconciliation Action Plan 3.5)</w:t>
            </w:r>
          </w:p>
        </w:tc>
        <w:tc>
          <w:tcPr>
            <w:tcW w:w="2126" w:type="dxa"/>
          </w:tcPr>
          <w:p w:rsidR="00E12788" w:rsidRDefault="008C03AF" w:rsidP="00E12788">
            <w:r>
              <w:t>Resourcing and</w:t>
            </w:r>
            <w:r w:rsidRPr="005268B4">
              <w:t xml:space="preserve"> Remuneration Manager, People and Culture</w:t>
            </w:r>
          </w:p>
        </w:tc>
        <w:tc>
          <w:tcPr>
            <w:tcW w:w="1276" w:type="dxa"/>
          </w:tcPr>
          <w:p w:rsidR="00E12788" w:rsidRDefault="00E12788" w:rsidP="00E12788">
            <w:r>
              <w:t>Ongoing</w:t>
            </w:r>
          </w:p>
        </w:tc>
        <w:tc>
          <w:tcPr>
            <w:tcW w:w="2545" w:type="dxa"/>
          </w:tcPr>
          <w:p w:rsidR="00E12788" w:rsidRPr="005268B4" w:rsidRDefault="00E12788" w:rsidP="00E12788">
            <w:r w:rsidRPr="005268B4">
              <w:t>All recruitment selection panels for identified positions includ</w:t>
            </w:r>
            <w:r>
              <w:t>e</w:t>
            </w:r>
            <w:r w:rsidRPr="005268B4">
              <w:t xml:space="preserve"> </w:t>
            </w:r>
            <w:r>
              <w:t xml:space="preserve">an </w:t>
            </w:r>
            <w:r w:rsidRPr="005268B4">
              <w:t xml:space="preserve">Aboriginal </w:t>
            </w:r>
            <w:r>
              <w:t xml:space="preserve">or </w:t>
            </w:r>
            <w:r w:rsidRPr="005268B4">
              <w:t>Torres Strait Islander representation.</w:t>
            </w:r>
          </w:p>
        </w:tc>
      </w:tr>
    </w:tbl>
    <w:p w:rsidR="00730644" w:rsidRDefault="00904573" w:rsidP="00730644">
      <w:pPr>
        <w:pStyle w:val="Heading1"/>
        <w:ind w:right="-472"/>
      </w:pPr>
      <w:bookmarkStart w:id="15" w:name="_Toc469407395"/>
      <w:r>
        <w:t>F</w:t>
      </w:r>
      <w:r w:rsidR="00730644">
        <w:t>urther information</w:t>
      </w:r>
      <w:bookmarkEnd w:id="15"/>
    </w:p>
    <w:p w:rsidR="00730644" w:rsidRDefault="00E12788" w:rsidP="00730644">
      <w:r>
        <w:t>Leah Borsboom – Resourcing and</w:t>
      </w:r>
      <w:r w:rsidR="00730644">
        <w:t xml:space="preserve"> Remuneration Manager</w:t>
      </w:r>
    </w:p>
    <w:p w:rsidR="00730644" w:rsidRDefault="00730644" w:rsidP="00730644">
      <w:r>
        <w:t>Phone: (03) 9269 0537</w:t>
      </w:r>
    </w:p>
    <w:p w:rsidR="00730644" w:rsidRDefault="00730644" w:rsidP="00730644">
      <w:r>
        <w:t xml:space="preserve">Email: </w:t>
      </w:r>
      <w:hyperlink r:id="rId17" w:history="1">
        <w:r w:rsidRPr="00713C24">
          <w:rPr>
            <w:rStyle w:val="Hyperlink"/>
          </w:rPr>
          <w:t>Leah.Borsboom@vla.vic.gov.au</w:t>
        </w:r>
      </w:hyperlink>
    </w:p>
    <w:p w:rsidR="00730644" w:rsidRDefault="00730644" w:rsidP="00730644">
      <w:pPr>
        <w:spacing w:before="480"/>
      </w:pPr>
      <w:r>
        <w:t>Meena Singh – Associate Director, Aboriginal Services</w:t>
      </w:r>
    </w:p>
    <w:p w:rsidR="00730644" w:rsidRDefault="00730644" w:rsidP="00730644">
      <w:r>
        <w:t>Phone: (03) 9269 0360</w:t>
      </w:r>
    </w:p>
    <w:p w:rsidR="005B58F0" w:rsidRPr="00730644" w:rsidRDefault="00730644" w:rsidP="00730644">
      <w:r>
        <w:t xml:space="preserve">Email: </w:t>
      </w:r>
      <w:hyperlink r:id="rId18" w:history="1">
        <w:r w:rsidRPr="008C0E72">
          <w:rPr>
            <w:rStyle w:val="Hyperlink"/>
          </w:rPr>
          <w:t>Meena.Singh@vla.vic.gov.au</w:t>
        </w:r>
      </w:hyperlink>
    </w:p>
    <w:sectPr w:rsidR="005B58F0" w:rsidRPr="00730644" w:rsidSect="007C05C3">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41" w:rsidRDefault="006B7341">
      <w:r>
        <w:separator/>
      </w:r>
    </w:p>
    <w:p w:rsidR="006B7341" w:rsidRDefault="006B7341"/>
    <w:p w:rsidR="006B7341" w:rsidRDefault="006B7341"/>
  </w:endnote>
  <w:endnote w:type="continuationSeparator" w:id="0">
    <w:p w:rsidR="006B7341" w:rsidRDefault="006B7341">
      <w:r>
        <w:continuationSeparator/>
      </w:r>
    </w:p>
    <w:p w:rsidR="006B7341" w:rsidRDefault="006B7341"/>
    <w:p w:rsidR="006B7341" w:rsidRDefault="006B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C97428" w:rsidRDefault="00A7087F"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5B58F0" w:rsidP="00674E45">
    <w:pPr>
      <w:pStyle w:val="Filename"/>
      <w:pBdr>
        <w:top w:val="single" w:sz="4" w:space="1" w:color="971A4B"/>
      </w:pBdr>
      <w:tabs>
        <w:tab w:val="clear" w:pos="9240"/>
      </w:tabs>
    </w:pPr>
    <w:r>
      <w:t>Victoria Legal Aid – Aboriginal and Torres Strait Islander Employment Strategy 2016–18</w:t>
    </w:r>
    <w:r w:rsidR="00674E45">
      <w:t xml:space="preserve"> – </w:t>
    </w:r>
    <w:r>
      <w:t>December 2016</w:t>
    </w:r>
  </w:p>
  <w:p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C7CE8">
      <w:rPr>
        <w:rStyle w:val="PageNumber"/>
        <w:noProof/>
      </w:rPr>
      <w:t>8</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5B58F0" w:rsidP="00674E45">
    <w:pPr>
      <w:pStyle w:val="Filename"/>
      <w:pBdr>
        <w:top w:val="single" w:sz="4" w:space="1" w:color="971A4B"/>
      </w:pBdr>
      <w:tabs>
        <w:tab w:val="clear" w:pos="9240"/>
      </w:tabs>
    </w:pPr>
    <w:r>
      <w:t>Victoria Legal Aid – Aboriginal and Torres Strait Islander Employment Strategy 2016–18</w:t>
    </w:r>
    <w:r w:rsidR="00A7087F">
      <w:t xml:space="preserve"> – </w:t>
    </w:r>
    <w:r>
      <w:t>December 2016</w:t>
    </w:r>
  </w:p>
  <w:p w:rsidR="00092871" w:rsidRPr="00430591" w:rsidRDefault="00A7087F" w:rsidP="00430591">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C7CE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41" w:rsidRPr="00E9228F" w:rsidRDefault="006B7341" w:rsidP="00E9228F">
      <w:pPr>
        <w:rPr>
          <w:sz w:val="18"/>
          <w:szCs w:val="18"/>
        </w:rPr>
      </w:pPr>
      <w:r w:rsidRPr="006831FC">
        <w:rPr>
          <w:sz w:val="18"/>
        </w:rPr>
        <w:separator/>
      </w:r>
    </w:p>
  </w:footnote>
  <w:footnote w:type="continuationSeparator" w:id="0">
    <w:p w:rsidR="006B7341" w:rsidRDefault="006B7341">
      <w:r>
        <w:continuationSeparator/>
      </w:r>
    </w:p>
    <w:p w:rsidR="006B7341" w:rsidRDefault="006B7341"/>
    <w:p w:rsidR="006B7341" w:rsidRDefault="006B7341"/>
  </w:footnote>
  <w:footnote w:id="1">
    <w:p w:rsidR="00730644" w:rsidRPr="001B234E" w:rsidRDefault="00730644" w:rsidP="00730644">
      <w:pPr>
        <w:pStyle w:val="FootnoteText"/>
        <w:spacing w:after="0" w:line="120" w:lineRule="atLeast"/>
        <w:rPr>
          <w:sz w:val="16"/>
          <w:szCs w:val="16"/>
          <w:lang w:val="en-US"/>
        </w:rPr>
      </w:pPr>
      <w:r w:rsidRPr="001B234E">
        <w:rPr>
          <w:rStyle w:val="FootnoteReference"/>
          <w:sz w:val="16"/>
          <w:szCs w:val="16"/>
        </w:rPr>
        <w:footnoteRef/>
      </w:r>
      <w:r w:rsidRPr="001B234E">
        <w:rPr>
          <w:sz w:val="16"/>
          <w:szCs w:val="16"/>
        </w:rPr>
        <w:t xml:space="preserve"> </w:t>
      </w:r>
      <w:r w:rsidRPr="001B234E">
        <w:rPr>
          <w:sz w:val="16"/>
          <w:szCs w:val="16"/>
          <w:lang w:val="en-US"/>
        </w:rPr>
        <w:t xml:space="preserve">Australian Bureau of Statistics, </w:t>
      </w:r>
      <w:r w:rsidRPr="001B234E">
        <w:rPr>
          <w:sz w:val="16"/>
          <w:szCs w:val="16"/>
          <w:lang w:val="en"/>
        </w:rPr>
        <w:t>Census of Population and Housing - Counts of Aboriginal and Torres Str</w:t>
      </w:r>
      <w:r w:rsidR="00E12788">
        <w:rPr>
          <w:sz w:val="16"/>
          <w:szCs w:val="16"/>
          <w:lang w:val="en"/>
        </w:rPr>
        <w:t>ait Islander Australians, 2011 </w:t>
      </w:r>
    </w:p>
  </w:footnote>
  <w:footnote w:id="2">
    <w:p w:rsidR="00730644" w:rsidRDefault="00730644" w:rsidP="00730644">
      <w:pPr>
        <w:pStyle w:val="FootnoteText"/>
        <w:spacing w:after="0" w:line="120" w:lineRule="atLeast"/>
        <w:jc w:val="both"/>
        <w:rPr>
          <w:sz w:val="16"/>
          <w:szCs w:val="16"/>
        </w:rPr>
      </w:pPr>
      <w:r w:rsidRPr="001B234E">
        <w:rPr>
          <w:rStyle w:val="FootnoteReference"/>
          <w:sz w:val="16"/>
          <w:szCs w:val="16"/>
        </w:rPr>
        <w:footnoteRef/>
      </w:r>
      <w:r w:rsidRPr="001B234E">
        <w:rPr>
          <w:sz w:val="16"/>
          <w:szCs w:val="16"/>
        </w:rPr>
        <w:t xml:space="preserve"> Commonwealth of Australia, Department of the Prime Minister and Cabinet, Closing the Gap Prime Minister’s Report 2016.</w:t>
      </w:r>
    </w:p>
    <w:p w:rsidR="00430591" w:rsidRPr="004040EC" w:rsidRDefault="00430591" w:rsidP="00730644">
      <w:pPr>
        <w:pStyle w:val="FootnoteText"/>
        <w:spacing w:after="0" w:line="120" w:lineRule="atLeast"/>
        <w:jc w:val="both"/>
        <w:rPr>
          <w:szCs w:val="18"/>
        </w:rPr>
      </w:pPr>
    </w:p>
  </w:footnote>
  <w:footnote w:id="3">
    <w:p w:rsidR="00730644" w:rsidRPr="00152A8A" w:rsidRDefault="00730644" w:rsidP="00730644">
      <w:pPr>
        <w:pStyle w:val="FootnoteText"/>
        <w:rPr>
          <w:szCs w:val="18"/>
          <w:lang w:val="en-US"/>
        </w:rPr>
      </w:pPr>
      <w:r w:rsidRPr="00152A8A">
        <w:rPr>
          <w:rStyle w:val="FootnoteReference"/>
          <w:szCs w:val="18"/>
        </w:rPr>
        <w:footnoteRef/>
      </w:r>
      <w:r w:rsidRPr="00152A8A">
        <w:rPr>
          <w:szCs w:val="18"/>
        </w:rPr>
        <w:t xml:space="preserve"> </w:t>
      </w:r>
      <w:r w:rsidRPr="00152A8A">
        <w:rPr>
          <w:szCs w:val="18"/>
          <w:lang w:val="en-US"/>
        </w:rPr>
        <w:t xml:space="preserve">Productive headcount </w:t>
      </w:r>
      <w:r>
        <w:rPr>
          <w:szCs w:val="18"/>
          <w:lang w:val="en-US"/>
        </w:rPr>
        <w:t>i</w:t>
      </w:r>
      <w:r w:rsidRPr="00152A8A">
        <w:rPr>
          <w:szCs w:val="18"/>
          <w:lang w:val="en-US"/>
        </w:rPr>
        <w:t>ncludes employees that are on paid or unpaid short term leave</w:t>
      </w:r>
      <w:r>
        <w:rPr>
          <w:szCs w:val="18"/>
          <w:lang w:val="en-US"/>
        </w:rPr>
        <w:t xml:space="preserve"> and e</w:t>
      </w:r>
      <w:r w:rsidRPr="00152A8A">
        <w:rPr>
          <w:szCs w:val="18"/>
          <w:lang w:val="en-US"/>
        </w:rPr>
        <w:t>xclude</w:t>
      </w:r>
      <w:r>
        <w:rPr>
          <w:szCs w:val="18"/>
          <w:lang w:val="en-US"/>
        </w:rPr>
        <w:t>s</w:t>
      </w:r>
      <w:r w:rsidRPr="00152A8A">
        <w:rPr>
          <w:szCs w:val="18"/>
          <w:lang w:val="en-US"/>
        </w:rPr>
        <w:t xml:space="preserve"> employees on paid or unpaid maternity leave and employees on unpaid leave where the likelihood is that these positions will be backfilled.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BC7C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164B85" w:rsidP="004E0688">
    <w:pPr>
      <w:pStyle w:val="Header"/>
      <w:jc w:val="right"/>
    </w:pPr>
    <w:r>
      <w:rPr>
        <w:noProof/>
        <w:lang w:eastAsia="en-AU"/>
      </w:rPr>
      <w:drawing>
        <wp:inline distT="0" distB="0" distL="0" distR="0">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164B85" w:rsidP="006E2882">
    <w:pPr>
      <w:spacing w:before="400"/>
      <w:jc w:val="right"/>
    </w:pPr>
    <w:r>
      <w:rPr>
        <w:noProof/>
        <w:lang w:eastAsia="en-AU"/>
      </w:rPr>
      <w:drawing>
        <wp:inline distT="0" distB="0" distL="0" distR="0">
          <wp:extent cx="2691765" cy="427990"/>
          <wp:effectExtent l="0" t="0" r="0" b="0"/>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BC7CE8">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A7087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A7087F"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p w:rsidR="00092871" w:rsidRDefault="00092871"/>
  <w:p w:rsidR="00092871" w:rsidRDefault="000928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32F0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3625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D876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069DFC"/>
    <w:lvl w:ilvl="0">
      <w:start w:val="1"/>
      <w:numFmt w:val="decimal"/>
      <w:pStyle w:val="ListNumber2"/>
      <w:lvlText w:val="1.%1"/>
      <w:lvlJc w:val="left"/>
      <w:pPr>
        <w:ind w:left="643" w:hanging="360"/>
      </w:pPr>
      <w:rPr>
        <w:rFonts w:hint="default"/>
        <w:i w:val="0"/>
      </w:rPr>
    </w:lvl>
  </w:abstractNum>
  <w:abstractNum w:abstractNumId="5" w15:restartNumberingAfterBreak="0">
    <w:nsid w:val="FFFFFF80"/>
    <w:multiLevelType w:val="singleLevel"/>
    <w:tmpl w:val="FB6015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1BFE50E0"/>
    <w:lvl w:ilvl="0">
      <w:start w:val="1"/>
      <w:numFmt w:val="decimal"/>
      <w:pStyle w:val="ListNumber"/>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7845473"/>
    <w:multiLevelType w:val="hybridMultilevel"/>
    <w:tmpl w:val="F6E8C7AE"/>
    <w:lvl w:ilvl="0" w:tplc="368AC1EC">
      <w:start w:val="1"/>
      <w:numFmt w:val="decimal"/>
      <w:pStyle w:val="Numberedtab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8F579FC"/>
    <w:multiLevelType w:val="hybridMultilevel"/>
    <w:tmpl w:val="392CA32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D37AFF"/>
    <w:multiLevelType w:val="hybridMultilevel"/>
    <w:tmpl w:val="2DBCE620"/>
    <w:lvl w:ilvl="0" w:tplc="0E3C5486">
      <w:start w:val="1"/>
      <w:numFmt w:val="decimal"/>
      <w:lvlText w:val="%1."/>
      <w:lvlJc w:val="left"/>
      <w:pPr>
        <w:ind w:left="720" w:hanging="360"/>
      </w:pPr>
      <w:rPr>
        <w:rFonts w:ascii="Arial" w:hAnsi="Arial" w:cs="Aria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FE6732A"/>
    <w:multiLevelType w:val="hybridMultilevel"/>
    <w:tmpl w:val="0994BF00"/>
    <w:lvl w:ilvl="0" w:tplc="CDA60E7C">
      <w:start w:val="1"/>
      <w:numFmt w:val="decimal"/>
      <w:pStyle w:val="ListNumberattraction"/>
      <w:lvlText w:val="3.%1"/>
      <w:lvlJc w:val="left"/>
      <w:pPr>
        <w:ind w:left="360" w:hanging="360"/>
      </w:pPr>
      <w:rPr>
        <w:rFonts w:hint="default"/>
        <w:i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6862594"/>
    <w:multiLevelType w:val="hybridMultilevel"/>
    <w:tmpl w:val="D9BED724"/>
    <w:lvl w:ilvl="0" w:tplc="EF96DAAE">
      <w:start w:val="1"/>
      <w:numFmt w:val="decimal"/>
      <w:pStyle w:val="ListNumbersupport"/>
      <w:lvlText w:val="2.%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AA18F2"/>
    <w:multiLevelType w:val="hybridMultilevel"/>
    <w:tmpl w:val="1D1050FE"/>
    <w:lvl w:ilvl="0" w:tplc="788AA4CA">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74ED0797"/>
    <w:multiLevelType w:val="hybridMultilevel"/>
    <w:tmpl w:val="D382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4"/>
  </w:num>
  <w:num w:numId="3">
    <w:abstractNumId w:val="16"/>
  </w:num>
  <w:num w:numId="4">
    <w:abstractNumId w:val="21"/>
  </w:num>
  <w:num w:numId="5">
    <w:abstractNumId w:val="18"/>
  </w:num>
  <w:num w:numId="6">
    <w:abstractNumId w:val="12"/>
  </w:num>
  <w:num w:numId="7">
    <w:abstractNumId w:val="14"/>
  </w:num>
  <w:num w:numId="8">
    <w:abstractNumId w:val="9"/>
  </w:num>
  <w:num w:numId="9">
    <w:abstractNumId w:val="9"/>
  </w:num>
  <w:num w:numId="10">
    <w:abstractNumId w:val="9"/>
  </w:num>
  <w:num w:numId="11">
    <w:abstractNumId w:val="9"/>
  </w:num>
  <w:num w:numId="12">
    <w:abstractNumId w:val="12"/>
  </w:num>
  <w:num w:numId="13">
    <w:abstractNumId w:val="18"/>
  </w:num>
  <w:num w:numId="14">
    <w:abstractNumId w:val="18"/>
  </w:num>
  <w:num w:numId="15">
    <w:abstractNumId w:val="16"/>
  </w:num>
  <w:num w:numId="16">
    <w:abstractNumId w:val="16"/>
  </w:num>
  <w:num w:numId="17">
    <w:abstractNumId w:val="16"/>
  </w:num>
  <w:num w:numId="18">
    <w:abstractNumId w:val="14"/>
  </w:num>
  <w:num w:numId="19">
    <w:abstractNumId w:val="12"/>
  </w:num>
  <w:num w:numId="20">
    <w:abstractNumId w:val="18"/>
  </w:num>
  <w:num w:numId="21">
    <w:abstractNumId w:val="18"/>
  </w:num>
  <w:num w:numId="22">
    <w:abstractNumId w:val="16"/>
  </w:num>
  <w:num w:numId="23">
    <w:abstractNumId w:val="16"/>
  </w:num>
  <w:num w:numId="24">
    <w:abstractNumId w:val="16"/>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1"/>
  </w:num>
  <w:num w:numId="33">
    <w:abstractNumId w:val="20"/>
  </w:num>
  <w:num w:numId="34">
    <w:abstractNumId w:val="24"/>
  </w:num>
  <w:num w:numId="35">
    <w:abstractNumId w:val="6"/>
    <w:lvlOverride w:ilvl="0">
      <w:startOverride w:val="1"/>
    </w:lvlOverride>
  </w:num>
  <w:num w:numId="36">
    <w:abstractNumId w:val="15"/>
  </w:num>
  <w:num w:numId="37">
    <w:abstractNumId w:val="8"/>
  </w:num>
  <w:num w:numId="38">
    <w:abstractNumId w:val="19"/>
  </w:num>
  <w:num w:numId="39">
    <w:abstractNumId w:val="17"/>
  </w:num>
  <w:num w:numId="40">
    <w:abstractNumId w:val="17"/>
    <w:lvlOverride w:ilvl="0">
      <w:startOverride w:val="2"/>
    </w:lvlOverride>
  </w:num>
  <w:num w:numId="41">
    <w:abstractNumId w:val="17"/>
    <w:lvlOverride w:ilvl="0">
      <w:startOverride w:val="3"/>
    </w:lvlOverride>
  </w:num>
  <w:num w:numId="42">
    <w:abstractNumId w:val="17"/>
    <w:lvlOverride w:ilvl="0">
      <w:startOverride w:val="3"/>
    </w:lvlOverride>
  </w:num>
  <w:num w:numId="43">
    <w:abstractNumId w:val="17"/>
    <w:lvlOverride w:ilvl="0">
      <w:startOverride w:val="3"/>
    </w:lvlOverride>
  </w:num>
  <w:num w:numId="44">
    <w:abstractNumId w:val="19"/>
  </w:num>
  <w:num w:numId="45">
    <w:abstractNumId w:val="19"/>
  </w:num>
  <w:num w:numId="46">
    <w:abstractNumId w:val="19"/>
    <w:lvlOverride w:ilvl="0">
      <w:startOverride w:val="20"/>
    </w:lvlOverride>
  </w:num>
  <w:num w:numId="47">
    <w:abstractNumId w:val="19"/>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0"/>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65E90"/>
    <w:rsid w:val="00084C6C"/>
    <w:rsid w:val="00092871"/>
    <w:rsid w:val="000A711A"/>
    <w:rsid w:val="000B02D8"/>
    <w:rsid w:val="000B0AB6"/>
    <w:rsid w:val="000B278C"/>
    <w:rsid w:val="000B3766"/>
    <w:rsid w:val="000B3A9F"/>
    <w:rsid w:val="000C0B84"/>
    <w:rsid w:val="000D41D7"/>
    <w:rsid w:val="000D4F97"/>
    <w:rsid w:val="000E4B9B"/>
    <w:rsid w:val="000E7142"/>
    <w:rsid w:val="00101CBD"/>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585A"/>
    <w:rsid w:val="002228E1"/>
    <w:rsid w:val="00241904"/>
    <w:rsid w:val="002435C9"/>
    <w:rsid w:val="0025743E"/>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21FB"/>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E17D1"/>
    <w:rsid w:val="003E409C"/>
    <w:rsid w:val="003E5D82"/>
    <w:rsid w:val="003F1C1E"/>
    <w:rsid w:val="003F48A9"/>
    <w:rsid w:val="003F55A5"/>
    <w:rsid w:val="003F6005"/>
    <w:rsid w:val="0041181E"/>
    <w:rsid w:val="00415437"/>
    <w:rsid w:val="00423CC7"/>
    <w:rsid w:val="00423DE6"/>
    <w:rsid w:val="00425587"/>
    <w:rsid w:val="00430591"/>
    <w:rsid w:val="004365C6"/>
    <w:rsid w:val="00441244"/>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B6011"/>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A01BE"/>
    <w:rsid w:val="005A20B2"/>
    <w:rsid w:val="005A7F72"/>
    <w:rsid w:val="005B2676"/>
    <w:rsid w:val="005B4BAD"/>
    <w:rsid w:val="005B58F0"/>
    <w:rsid w:val="005D103A"/>
    <w:rsid w:val="005D1354"/>
    <w:rsid w:val="005E248A"/>
    <w:rsid w:val="005E3CA0"/>
    <w:rsid w:val="005F193F"/>
    <w:rsid w:val="005F7D8E"/>
    <w:rsid w:val="0060449D"/>
    <w:rsid w:val="00604558"/>
    <w:rsid w:val="00605C95"/>
    <w:rsid w:val="006166BA"/>
    <w:rsid w:val="006260BB"/>
    <w:rsid w:val="006355B3"/>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341"/>
    <w:rsid w:val="006B7DD2"/>
    <w:rsid w:val="006C3D4C"/>
    <w:rsid w:val="006C4CA7"/>
    <w:rsid w:val="006E2882"/>
    <w:rsid w:val="006E2AD6"/>
    <w:rsid w:val="006E2FA2"/>
    <w:rsid w:val="006E3195"/>
    <w:rsid w:val="0071324F"/>
    <w:rsid w:val="00714771"/>
    <w:rsid w:val="007151C8"/>
    <w:rsid w:val="00716188"/>
    <w:rsid w:val="00717F8F"/>
    <w:rsid w:val="0072015C"/>
    <w:rsid w:val="00730644"/>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D7C3B"/>
    <w:rsid w:val="007E4CB8"/>
    <w:rsid w:val="007E54F6"/>
    <w:rsid w:val="007F52A9"/>
    <w:rsid w:val="007F7A68"/>
    <w:rsid w:val="00800301"/>
    <w:rsid w:val="00826EB9"/>
    <w:rsid w:val="0082710E"/>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3AF"/>
    <w:rsid w:val="008C072E"/>
    <w:rsid w:val="008C4E01"/>
    <w:rsid w:val="008F1F0B"/>
    <w:rsid w:val="008F36EC"/>
    <w:rsid w:val="008F726E"/>
    <w:rsid w:val="00904573"/>
    <w:rsid w:val="00911151"/>
    <w:rsid w:val="009118C9"/>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2073D"/>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C7CE8"/>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3008A"/>
    <w:rsid w:val="00D42E2A"/>
    <w:rsid w:val="00D43920"/>
    <w:rsid w:val="00D44C7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2788"/>
    <w:rsid w:val="00E1488D"/>
    <w:rsid w:val="00E15C73"/>
    <w:rsid w:val="00E15F96"/>
    <w:rsid w:val="00E24A08"/>
    <w:rsid w:val="00E36631"/>
    <w:rsid w:val="00E36CAF"/>
    <w:rsid w:val="00E42BD1"/>
    <w:rsid w:val="00E61A54"/>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35A5AE"/>
  <w15:chartTrackingRefBased/>
  <w15:docId w15:val="{30AC7A2B-F47B-4319-A426-40BE18EA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B58F0"/>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430591"/>
    <w:pPr>
      <w:numPr>
        <w:numId w:val="19"/>
      </w:numPr>
      <w:spacing w:after="120" w:line="300" w:lineRule="atLeast"/>
      <w:ind w:left="850" w:hanging="34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730644"/>
    <w:pPr>
      <w:spacing w:after="160" w:line="259"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730644"/>
    <w:rPr>
      <w:rFonts w:ascii="Arial" w:hAnsi="Arial"/>
      <w:sz w:val="18"/>
      <w:lang w:eastAsia="en-US"/>
    </w:rPr>
  </w:style>
  <w:style w:type="paragraph" w:styleId="ListNumber">
    <w:name w:val="List Number"/>
    <w:basedOn w:val="Normal"/>
    <w:rsid w:val="00730644"/>
    <w:pPr>
      <w:numPr>
        <w:numId w:val="27"/>
      </w:numPr>
      <w:ind w:left="697" w:hanging="357"/>
      <w:contextualSpacing/>
    </w:pPr>
  </w:style>
  <w:style w:type="paragraph" w:styleId="CommentText">
    <w:name w:val="annotation text"/>
    <w:basedOn w:val="Normal"/>
    <w:link w:val="CommentTextChar"/>
    <w:rsid w:val="00430591"/>
    <w:pPr>
      <w:spacing w:line="240" w:lineRule="auto"/>
    </w:pPr>
    <w:rPr>
      <w:sz w:val="20"/>
      <w:szCs w:val="20"/>
    </w:rPr>
  </w:style>
  <w:style w:type="character" w:customStyle="1" w:styleId="CommentTextChar">
    <w:name w:val="Comment Text Char"/>
    <w:basedOn w:val="DefaultParagraphFont"/>
    <w:link w:val="CommentText"/>
    <w:rsid w:val="00430591"/>
    <w:rPr>
      <w:rFonts w:ascii="Arial" w:hAnsi="Arial"/>
      <w:lang w:eastAsia="en-US"/>
    </w:rPr>
  </w:style>
  <w:style w:type="paragraph" w:customStyle="1" w:styleId="Tableheading">
    <w:name w:val="Table heading"/>
    <w:basedOn w:val="Heading3"/>
    <w:qFormat/>
    <w:rsid w:val="00430591"/>
  </w:style>
  <w:style w:type="paragraph" w:styleId="TableofAuthorities">
    <w:name w:val="table of authorities"/>
    <w:basedOn w:val="Normal"/>
    <w:next w:val="Normal"/>
    <w:rsid w:val="0025743E"/>
    <w:pPr>
      <w:spacing w:after="0"/>
      <w:ind w:left="220" w:hanging="220"/>
    </w:pPr>
  </w:style>
  <w:style w:type="paragraph" w:customStyle="1" w:styleId="Numberedtable">
    <w:name w:val="Numbered table"/>
    <w:basedOn w:val="Tableheading"/>
    <w:qFormat/>
    <w:rsid w:val="0025743E"/>
    <w:pPr>
      <w:numPr>
        <w:numId w:val="37"/>
      </w:numPr>
    </w:pPr>
  </w:style>
  <w:style w:type="paragraph" w:styleId="ListNumber2">
    <w:name w:val="List Number 2"/>
    <w:basedOn w:val="Normal"/>
    <w:rsid w:val="0025743E"/>
    <w:pPr>
      <w:numPr>
        <w:numId w:val="28"/>
      </w:numPr>
      <w:ind w:left="567" w:hanging="567"/>
      <w:contextualSpacing/>
    </w:pPr>
  </w:style>
  <w:style w:type="paragraph" w:customStyle="1" w:styleId="ListNumbersupport">
    <w:name w:val="List Number support"/>
    <w:basedOn w:val="ListNumber2"/>
    <w:qFormat/>
    <w:rsid w:val="00BC7CE8"/>
    <w:pPr>
      <w:numPr>
        <w:numId w:val="45"/>
      </w:numPr>
      <w:ind w:left="567" w:hanging="567"/>
    </w:pPr>
  </w:style>
  <w:style w:type="paragraph" w:customStyle="1" w:styleId="ListNumberattraction">
    <w:name w:val="List Number attraction"/>
    <w:basedOn w:val="ListNumbersupport"/>
    <w:qFormat/>
    <w:rsid w:val="00E12788"/>
    <w:pPr>
      <w:numPr>
        <w:numId w:val="39"/>
      </w:numPr>
      <w:spacing w:before="60"/>
    </w:pPr>
  </w:style>
  <w:style w:type="paragraph" w:styleId="EndnoteText">
    <w:name w:val="endnote text"/>
    <w:basedOn w:val="Normal"/>
    <w:link w:val="EndnoteTextChar"/>
    <w:rsid w:val="00904573"/>
    <w:pPr>
      <w:spacing w:after="0" w:line="240" w:lineRule="auto"/>
    </w:pPr>
    <w:rPr>
      <w:sz w:val="20"/>
      <w:szCs w:val="20"/>
    </w:rPr>
  </w:style>
  <w:style w:type="character" w:customStyle="1" w:styleId="EndnoteTextChar">
    <w:name w:val="Endnote Text Char"/>
    <w:basedOn w:val="DefaultParagraphFont"/>
    <w:link w:val="EndnoteText"/>
    <w:rsid w:val="0090457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Meena.Singh@vla.vic.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eah.Borsboom@vla.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D2DB-C3F9-4287-A212-94D26ABD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2039</Words>
  <Characters>12980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Aboriginal and Torres Strait Islander Employment Strategy 2016–18</vt:lpstr>
    </vt:vector>
  </TitlesOfParts>
  <Company>Victoria Legal Aid</Company>
  <LinksUpToDate>false</LinksUpToDate>
  <CharactersWithSpaces>14990</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Employment Strategy 2016–18</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