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FC8C4" w14:textId="77777777" w:rsidR="00EF7C5C" w:rsidRDefault="00FE2A7E" w:rsidP="00091432">
      <w:pPr>
        <w:pStyle w:val="Heading1"/>
      </w:pPr>
      <w:r>
        <w:t xml:space="preserve">Victoria Legal Aid 2017–18 </w:t>
      </w:r>
      <w:r w:rsidR="00C9586F">
        <w:t>E</w:t>
      </w:r>
      <w:r>
        <w:t>nd</w:t>
      </w:r>
      <w:r w:rsidR="0086577E">
        <w:t xml:space="preserve"> y</w:t>
      </w:r>
      <w:r>
        <w:t>ear report</w:t>
      </w:r>
    </w:p>
    <w:p w14:paraId="08060A8E" w14:textId="77777777" w:rsidR="00FE2A7E" w:rsidRPr="00FE2A7E" w:rsidRDefault="00FE2A7E" w:rsidP="00FE2A7E">
      <w:pPr>
        <w:rPr>
          <w:lang w:eastAsia="en-AU"/>
        </w:rPr>
      </w:pPr>
      <w:r>
        <w:rPr>
          <w:lang w:eastAsia="en-AU"/>
        </w:rPr>
        <w:t>This report summarises our full year of operations in 2017-18.</w:t>
      </w:r>
    </w:p>
    <w:p w14:paraId="6ACFAD18" w14:textId="77777777" w:rsidR="00D75C29" w:rsidRDefault="006258EA" w:rsidP="006258EA">
      <w:pPr>
        <w:pStyle w:val="Heading2"/>
      </w:pPr>
      <w:r>
        <w:t>Snapshot of service delivery</w:t>
      </w:r>
    </w:p>
    <w:p w14:paraId="3C3064CF" w14:textId="2073A1F3" w:rsidR="006258EA" w:rsidRDefault="006258EA" w:rsidP="006258EA">
      <w:pPr>
        <w:rPr>
          <w:lang w:eastAsia="en-AU"/>
        </w:rPr>
      </w:pPr>
      <w:r w:rsidRPr="00B363FD">
        <w:rPr>
          <w:lang w:eastAsia="en-AU"/>
        </w:rPr>
        <w:t>Demand for legal aid remained strong throughout 2017-18. We helped more people, providing more intensive assistance</w:t>
      </w:r>
      <w:r w:rsidR="00B363FD">
        <w:rPr>
          <w:lang w:eastAsia="en-AU"/>
        </w:rPr>
        <w:t xml:space="preserve"> for increasingly complex and serious problems. </w:t>
      </w:r>
    </w:p>
    <w:tbl>
      <w:tblPr>
        <w:tblStyle w:val="TableGrid"/>
        <w:tblW w:w="4922" w:type="pct"/>
        <w:tblLook w:val="04A0" w:firstRow="1" w:lastRow="0" w:firstColumn="1" w:lastColumn="0" w:noHBand="0" w:noVBand="1"/>
      </w:tblPr>
      <w:tblGrid>
        <w:gridCol w:w="5500"/>
        <w:gridCol w:w="1583"/>
        <w:gridCol w:w="1424"/>
        <w:gridCol w:w="1412"/>
      </w:tblGrid>
      <w:tr w:rsidR="006258EA" w:rsidRPr="0047677D" w14:paraId="065EFFDE" w14:textId="77777777" w:rsidTr="00EC795B">
        <w:trPr>
          <w:tblHeader/>
        </w:trPr>
        <w:tc>
          <w:tcPr>
            <w:tcW w:w="2772" w:type="pct"/>
            <w:shd w:val="clear" w:color="auto" w:fill="D9D9D9" w:themeFill="background1" w:themeFillShade="D9"/>
          </w:tcPr>
          <w:p w14:paraId="2798330A" w14:textId="77777777" w:rsidR="006258EA" w:rsidRPr="0047677D" w:rsidRDefault="006258EA" w:rsidP="002C47F1">
            <w:pPr>
              <w:rPr>
                <w:b/>
              </w:rPr>
            </w:pPr>
            <w:r w:rsidRPr="0047677D">
              <w:rPr>
                <w:b/>
              </w:rPr>
              <w:t>Clients</w:t>
            </w:r>
          </w:p>
        </w:tc>
        <w:tc>
          <w:tcPr>
            <w:tcW w:w="798" w:type="pct"/>
            <w:shd w:val="clear" w:color="auto" w:fill="D9D9D9" w:themeFill="background1" w:themeFillShade="D9"/>
          </w:tcPr>
          <w:p w14:paraId="14EAD84F" w14:textId="65A2C5D8" w:rsidR="006258EA" w:rsidRDefault="00F665BB" w:rsidP="00EC795B">
            <w:pPr>
              <w:jc w:val="right"/>
              <w:rPr>
                <w:b/>
              </w:rPr>
            </w:pPr>
            <w:r>
              <w:rPr>
                <w:b/>
              </w:rPr>
              <w:t>2017</w:t>
            </w:r>
            <w:r>
              <w:rPr>
                <w:rFonts w:cs="Arial"/>
                <w:b/>
              </w:rPr>
              <w:t>–</w:t>
            </w:r>
            <w:r w:rsidR="006258EA">
              <w:rPr>
                <w:b/>
              </w:rPr>
              <w:t>18</w:t>
            </w:r>
          </w:p>
        </w:tc>
        <w:tc>
          <w:tcPr>
            <w:tcW w:w="718" w:type="pct"/>
            <w:shd w:val="clear" w:color="auto" w:fill="D9D9D9" w:themeFill="background1" w:themeFillShade="D9"/>
          </w:tcPr>
          <w:p w14:paraId="107901BB" w14:textId="77777777" w:rsidR="006258EA" w:rsidRPr="0047677D" w:rsidRDefault="006258EA" w:rsidP="00EC795B">
            <w:pPr>
              <w:jc w:val="right"/>
              <w:rPr>
                <w:b/>
              </w:rPr>
            </w:pPr>
            <w:r>
              <w:rPr>
                <w:b/>
              </w:rPr>
              <w:t>2016–17</w:t>
            </w:r>
          </w:p>
        </w:tc>
        <w:tc>
          <w:tcPr>
            <w:tcW w:w="712" w:type="pct"/>
            <w:shd w:val="clear" w:color="auto" w:fill="D9D9D9" w:themeFill="background1" w:themeFillShade="D9"/>
          </w:tcPr>
          <w:p w14:paraId="0D440ACD" w14:textId="715B4D81" w:rsidR="006258EA" w:rsidRPr="0047677D" w:rsidRDefault="005A3FC5" w:rsidP="00EC795B">
            <w:pPr>
              <w:jc w:val="right"/>
              <w:rPr>
                <w:b/>
              </w:rPr>
            </w:pPr>
            <w:r>
              <w:rPr>
                <w:b/>
              </w:rPr>
              <w:t>% Change</w:t>
            </w:r>
          </w:p>
        </w:tc>
      </w:tr>
      <w:tr w:rsidR="006258EA" w14:paraId="14AB3090" w14:textId="77777777" w:rsidTr="00EC795B">
        <w:tc>
          <w:tcPr>
            <w:tcW w:w="2772" w:type="pct"/>
          </w:tcPr>
          <w:p w14:paraId="058A8D44" w14:textId="77777777" w:rsidR="006258EA" w:rsidRDefault="006258EA" w:rsidP="002C47F1">
            <w:r>
              <w:t>Unique clients</w:t>
            </w:r>
          </w:p>
        </w:tc>
        <w:tc>
          <w:tcPr>
            <w:tcW w:w="798" w:type="pct"/>
          </w:tcPr>
          <w:p w14:paraId="2F5A2439" w14:textId="45DE0D08" w:rsidR="006258EA" w:rsidRPr="0075674E" w:rsidRDefault="0066326A" w:rsidP="00EC795B">
            <w:pPr>
              <w:jc w:val="right"/>
            </w:pPr>
            <w:r>
              <w:t>94,485</w:t>
            </w:r>
          </w:p>
        </w:tc>
        <w:tc>
          <w:tcPr>
            <w:tcW w:w="718" w:type="pct"/>
          </w:tcPr>
          <w:p w14:paraId="302C733A" w14:textId="77777777" w:rsidR="006258EA" w:rsidRDefault="006258EA" w:rsidP="00EC795B">
            <w:pPr>
              <w:jc w:val="right"/>
            </w:pPr>
            <w:r w:rsidRPr="0075674E">
              <w:t>90,649</w:t>
            </w:r>
          </w:p>
        </w:tc>
        <w:tc>
          <w:tcPr>
            <w:tcW w:w="712" w:type="pct"/>
          </w:tcPr>
          <w:p w14:paraId="344D4DB7" w14:textId="72A6C3F2" w:rsidR="006258EA" w:rsidRDefault="0066326A" w:rsidP="00EC795B">
            <w:pPr>
              <w:jc w:val="right"/>
            </w:pPr>
            <w:r>
              <w:t>4</w:t>
            </w:r>
          </w:p>
        </w:tc>
      </w:tr>
      <w:tr w:rsidR="006258EA" w14:paraId="67732F38" w14:textId="77777777" w:rsidTr="00EC795B">
        <w:tc>
          <w:tcPr>
            <w:tcW w:w="2772" w:type="pct"/>
          </w:tcPr>
          <w:p w14:paraId="0672B7F1" w14:textId="4C8940CE" w:rsidR="006258EA" w:rsidRDefault="006258EA" w:rsidP="002C47F1">
            <w:r>
              <w:t xml:space="preserve">Calls </w:t>
            </w:r>
            <w:r w:rsidR="00BE29B1">
              <w:t>answered</w:t>
            </w:r>
            <w:r>
              <w:t xml:space="preserve"> by our Legal Help telephone service</w:t>
            </w:r>
          </w:p>
        </w:tc>
        <w:tc>
          <w:tcPr>
            <w:tcW w:w="798" w:type="pct"/>
          </w:tcPr>
          <w:p w14:paraId="7A0751CB" w14:textId="7F378B34" w:rsidR="006258EA" w:rsidRPr="00637457" w:rsidRDefault="0066326A" w:rsidP="00EC795B">
            <w:pPr>
              <w:jc w:val="right"/>
            </w:pPr>
            <w:r>
              <w:t>135,193</w:t>
            </w:r>
          </w:p>
        </w:tc>
        <w:tc>
          <w:tcPr>
            <w:tcW w:w="718" w:type="pct"/>
          </w:tcPr>
          <w:p w14:paraId="05D9D043" w14:textId="77777777" w:rsidR="006258EA" w:rsidRDefault="006258EA" w:rsidP="00EC795B">
            <w:pPr>
              <w:jc w:val="right"/>
            </w:pPr>
            <w:r w:rsidRPr="00637457">
              <w:t>125,512</w:t>
            </w:r>
          </w:p>
        </w:tc>
        <w:tc>
          <w:tcPr>
            <w:tcW w:w="712" w:type="pct"/>
          </w:tcPr>
          <w:p w14:paraId="10174307" w14:textId="10E45290" w:rsidR="006258EA" w:rsidRDefault="0066326A" w:rsidP="00EC795B">
            <w:pPr>
              <w:jc w:val="right"/>
            </w:pPr>
            <w:r>
              <w:t>8</w:t>
            </w:r>
          </w:p>
        </w:tc>
      </w:tr>
      <w:tr w:rsidR="006258EA" w:rsidRPr="0047677D" w14:paraId="6B3F3B48" w14:textId="77777777" w:rsidTr="00EC795B">
        <w:trPr>
          <w:tblHeader/>
        </w:trPr>
        <w:tc>
          <w:tcPr>
            <w:tcW w:w="2772" w:type="pct"/>
            <w:shd w:val="clear" w:color="auto" w:fill="D9D9D9" w:themeFill="background1" w:themeFillShade="D9"/>
          </w:tcPr>
          <w:p w14:paraId="48E762B7" w14:textId="77777777" w:rsidR="006258EA" w:rsidRPr="0047677D" w:rsidRDefault="006258EA" w:rsidP="002C47F1">
            <w:pPr>
              <w:rPr>
                <w:b/>
              </w:rPr>
            </w:pPr>
            <w:r>
              <w:rPr>
                <w:b/>
              </w:rPr>
              <w:t>Preventative services</w:t>
            </w:r>
          </w:p>
        </w:tc>
        <w:tc>
          <w:tcPr>
            <w:tcW w:w="798" w:type="pct"/>
            <w:shd w:val="clear" w:color="auto" w:fill="D9D9D9" w:themeFill="background1" w:themeFillShade="D9"/>
          </w:tcPr>
          <w:p w14:paraId="6FC2EB7B" w14:textId="3C60285A" w:rsidR="006258EA" w:rsidRDefault="005F1EB0" w:rsidP="00EC795B">
            <w:pPr>
              <w:jc w:val="right"/>
              <w:rPr>
                <w:b/>
              </w:rPr>
            </w:pPr>
            <w:r>
              <w:rPr>
                <w:b/>
              </w:rPr>
              <w:t>2017</w:t>
            </w:r>
            <w:r>
              <w:rPr>
                <w:rFonts w:cs="Arial"/>
                <w:b/>
              </w:rPr>
              <w:t>–</w:t>
            </w:r>
            <w:r>
              <w:rPr>
                <w:b/>
              </w:rPr>
              <w:t>18</w:t>
            </w:r>
          </w:p>
        </w:tc>
        <w:tc>
          <w:tcPr>
            <w:tcW w:w="718" w:type="pct"/>
            <w:shd w:val="clear" w:color="auto" w:fill="D9D9D9" w:themeFill="background1" w:themeFillShade="D9"/>
          </w:tcPr>
          <w:p w14:paraId="23D0C832" w14:textId="77777777" w:rsidR="006258EA" w:rsidRPr="0047677D" w:rsidRDefault="006258EA" w:rsidP="00EC795B">
            <w:pPr>
              <w:jc w:val="right"/>
              <w:rPr>
                <w:b/>
              </w:rPr>
            </w:pPr>
            <w:r>
              <w:rPr>
                <w:b/>
              </w:rPr>
              <w:t>2016–17</w:t>
            </w:r>
          </w:p>
        </w:tc>
        <w:tc>
          <w:tcPr>
            <w:tcW w:w="712" w:type="pct"/>
            <w:shd w:val="clear" w:color="auto" w:fill="D9D9D9" w:themeFill="background1" w:themeFillShade="D9"/>
          </w:tcPr>
          <w:p w14:paraId="1B9CD90B" w14:textId="2E292616" w:rsidR="006258EA" w:rsidRPr="0047677D" w:rsidRDefault="005A3FC5" w:rsidP="00EC795B">
            <w:pPr>
              <w:jc w:val="right"/>
              <w:rPr>
                <w:b/>
              </w:rPr>
            </w:pPr>
            <w:r>
              <w:rPr>
                <w:b/>
              </w:rPr>
              <w:t>% Change</w:t>
            </w:r>
          </w:p>
        </w:tc>
      </w:tr>
      <w:tr w:rsidR="006258EA" w14:paraId="2A1A421F" w14:textId="77777777" w:rsidTr="00EC795B">
        <w:tc>
          <w:tcPr>
            <w:tcW w:w="2772" w:type="pct"/>
          </w:tcPr>
          <w:p w14:paraId="73D23383" w14:textId="77777777" w:rsidR="006258EA" w:rsidRDefault="006258EA" w:rsidP="002C47F1">
            <w:r>
              <w:t>Calls to our Legal Help telephone service</w:t>
            </w:r>
          </w:p>
        </w:tc>
        <w:tc>
          <w:tcPr>
            <w:tcW w:w="798" w:type="pct"/>
          </w:tcPr>
          <w:p w14:paraId="620F1A41" w14:textId="2AFCD4FC" w:rsidR="006258EA" w:rsidRPr="00637457" w:rsidRDefault="0066326A" w:rsidP="00EC795B">
            <w:pPr>
              <w:jc w:val="right"/>
            </w:pPr>
            <w:r>
              <w:t>196,177</w:t>
            </w:r>
          </w:p>
        </w:tc>
        <w:tc>
          <w:tcPr>
            <w:tcW w:w="718" w:type="pct"/>
          </w:tcPr>
          <w:p w14:paraId="786F1E94" w14:textId="77777777" w:rsidR="006258EA" w:rsidRDefault="006258EA" w:rsidP="00EC795B">
            <w:pPr>
              <w:jc w:val="right"/>
            </w:pPr>
            <w:r w:rsidRPr="00637457">
              <w:t>191,030</w:t>
            </w:r>
          </w:p>
        </w:tc>
        <w:tc>
          <w:tcPr>
            <w:tcW w:w="712" w:type="pct"/>
          </w:tcPr>
          <w:p w14:paraId="59F51457" w14:textId="408384FD" w:rsidR="006258EA" w:rsidRDefault="0066326A" w:rsidP="00EC795B">
            <w:pPr>
              <w:jc w:val="right"/>
            </w:pPr>
            <w:r>
              <w:t>3</w:t>
            </w:r>
          </w:p>
        </w:tc>
      </w:tr>
      <w:tr w:rsidR="006258EA" w:rsidRPr="00074127" w14:paraId="7C3B3C3C" w14:textId="77777777" w:rsidTr="00EC795B">
        <w:tc>
          <w:tcPr>
            <w:tcW w:w="2772" w:type="pct"/>
          </w:tcPr>
          <w:p w14:paraId="4C67640C" w14:textId="77777777" w:rsidR="006258EA" w:rsidRDefault="006258EA" w:rsidP="002C47F1">
            <w:r>
              <w:t>Information and community legal education services</w:t>
            </w:r>
          </w:p>
        </w:tc>
        <w:tc>
          <w:tcPr>
            <w:tcW w:w="798" w:type="pct"/>
          </w:tcPr>
          <w:p w14:paraId="3575F075" w14:textId="0FE80854" w:rsidR="006258EA" w:rsidRDefault="005F1EB0" w:rsidP="00EC795B">
            <w:pPr>
              <w:jc w:val="right"/>
            </w:pPr>
            <w:r>
              <w:t>13</w:t>
            </w:r>
            <w:r w:rsidR="00573639">
              <w:t>5</w:t>
            </w:r>
            <w:r>
              <w:t>,607</w:t>
            </w:r>
          </w:p>
        </w:tc>
        <w:tc>
          <w:tcPr>
            <w:tcW w:w="718" w:type="pct"/>
          </w:tcPr>
          <w:p w14:paraId="08969904" w14:textId="77777777" w:rsidR="006258EA" w:rsidRPr="00074127" w:rsidRDefault="006258EA" w:rsidP="00EC795B">
            <w:pPr>
              <w:jc w:val="right"/>
              <w:rPr>
                <w:highlight w:val="yellow"/>
              </w:rPr>
            </w:pPr>
            <w:r>
              <w:t>129,260</w:t>
            </w:r>
          </w:p>
        </w:tc>
        <w:tc>
          <w:tcPr>
            <w:tcW w:w="712" w:type="pct"/>
          </w:tcPr>
          <w:p w14:paraId="1478E022" w14:textId="4FF8E9EC" w:rsidR="006258EA" w:rsidRPr="00074127" w:rsidRDefault="005F1EB0" w:rsidP="00EC795B">
            <w:pPr>
              <w:jc w:val="right"/>
              <w:rPr>
                <w:highlight w:val="yellow"/>
              </w:rPr>
            </w:pPr>
            <w:r w:rsidRPr="005F1EB0">
              <w:t>8</w:t>
            </w:r>
          </w:p>
        </w:tc>
      </w:tr>
      <w:tr w:rsidR="006258EA" w14:paraId="6532C4FB" w14:textId="77777777" w:rsidTr="00EC795B">
        <w:tc>
          <w:tcPr>
            <w:tcW w:w="2772" w:type="pct"/>
            <w:tcBorders>
              <w:bottom w:val="single" w:sz="4" w:space="0" w:color="auto"/>
            </w:tcBorders>
          </w:tcPr>
          <w:p w14:paraId="0782B95E" w14:textId="77777777" w:rsidR="006258EA" w:rsidRDefault="006258EA" w:rsidP="002C47F1">
            <w:r>
              <w:t>Sessions on our website</w:t>
            </w:r>
          </w:p>
        </w:tc>
        <w:tc>
          <w:tcPr>
            <w:tcW w:w="798" w:type="pct"/>
            <w:tcBorders>
              <w:bottom w:val="single" w:sz="4" w:space="0" w:color="auto"/>
            </w:tcBorders>
          </w:tcPr>
          <w:p w14:paraId="3D0E1075" w14:textId="3572FDB0" w:rsidR="006258EA" w:rsidRPr="00C36B68" w:rsidRDefault="0066326A" w:rsidP="00EC795B">
            <w:pPr>
              <w:jc w:val="right"/>
            </w:pPr>
            <w:r w:rsidRPr="00E52754">
              <w:t>2,268,256</w:t>
            </w:r>
          </w:p>
        </w:tc>
        <w:tc>
          <w:tcPr>
            <w:tcW w:w="718" w:type="pct"/>
            <w:tcBorders>
              <w:bottom w:val="single" w:sz="4" w:space="0" w:color="auto"/>
            </w:tcBorders>
          </w:tcPr>
          <w:p w14:paraId="5F9A3304" w14:textId="77777777" w:rsidR="006258EA" w:rsidRDefault="006258EA" w:rsidP="00EC795B">
            <w:pPr>
              <w:jc w:val="right"/>
            </w:pPr>
            <w:r w:rsidRPr="00C36B68">
              <w:t>2,034,706</w:t>
            </w:r>
          </w:p>
        </w:tc>
        <w:tc>
          <w:tcPr>
            <w:tcW w:w="712" w:type="pct"/>
            <w:tcBorders>
              <w:bottom w:val="single" w:sz="4" w:space="0" w:color="auto"/>
            </w:tcBorders>
          </w:tcPr>
          <w:p w14:paraId="39A40A7A" w14:textId="66A2041D" w:rsidR="006258EA" w:rsidRDefault="0066326A" w:rsidP="00EC795B">
            <w:pPr>
              <w:jc w:val="right"/>
            </w:pPr>
            <w:r>
              <w:t>11</w:t>
            </w:r>
          </w:p>
        </w:tc>
      </w:tr>
      <w:tr w:rsidR="000C67D6" w14:paraId="2EAC8AEF" w14:textId="77777777" w:rsidTr="00EC795B">
        <w:tc>
          <w:tcPr>
            <w:tcW w:w="2772" w:type="pct"/>
            <w:tcBorders>
              <w:bottom w:val="single" w:sz="4" w:space="0" w:color="auto"/>
            </w:tcBorders>
            <w:shd w:val="clear" w:color="auto" w:fill="D9D9D9" w:themeFill="background1" w:themeFillShade="D9"/>
          </w:tcPr>
          <w:p w14:paraId="67BBC924" w14:textId="77777777" w:rsidR="000C67D6" w:rsidRPr="000C67D6" w:rsidRDefault="000C67D6" w:rsidP="002C47F1">
            <w:pPr>
              <w:rPr>
                <w:b/>
              </w:rPr>
            </w:pPr>
            <w:r>
              <w:rPr>
                <w:b/>
              </w:rPr>
              <w:t>Early intervention services</w:t>
            </w:r>
          </w:p>
        </w:tc>
        <w:tc>
          <w:tcPr>
            <w:tcW w:w="798" w:type="pct"/>
            <w:tcBorders>
              <w:bottom w:val="single" w:sz="4" w:space="0" w:color="auto"/>
            </w:tcBorders>
            <w:shd w:val="clear" w:color="auto" w:fill="D9D9D9" w:themeFill="background1" w:themeFillShade="D9"/>
          </w:tcPr>
          <w:p w14:paraId="2A2062DD" w14:textId="52FB002C" w:rsidR="000C67D6" w:rsidRPr="000C67D6" w:rsidRDefault="00F665BB" w:rsidP="00EC795B">
            <w:pPr>
              <w:jc w:val="right"/>
              <w:rPr>
                <w:b/>
              </w:rPr>
            </w:pPr>
            <w:r>
              <w:rPr>
                <w:b/>
              </w:rPr>
              <w:t>2017</w:t>
            </w:r>
            <w:r>
              <w:rPr>
                <w:rFonts w:cs="Arial"/>
                <w:b/>
              </w:rPr>
              <w:t>–</w:t>
            </w:r>
            <w:r>
              <w:rPr>
                <w:b/>
              </w:rPr>
              <w:t>18</w:t>
            </w:r>
          </w:p>
        </w:tc>
        <w:tc>
          <w:tcPr>
            <w:tcW w:w="718" w:type="pct"/>
            <w:tcBorders>
              <w:bottom w:val="single" w:sz="4" w:space="0" w:color="auto"/>
            </w:tcBorders>
            <w:shd w:val="clear" w:color="auto" w:fill="D9D9D9" w:themeFill="background1" w:themeFillShade="D9"/>
          </w:tcPr>
          <w:p w14:paraId="377D8AA2" w14:textId="77777777" w:rsidR="000C67D6" w:rsidRPr="000C67D6" w:rsidRDefault="000C67D6" w:rsidP="00EC795B">
            <w:pPr>
              <w:jc w:val="right"/>
              <w:rPr>
                <w:b/>
              </w:rPr>
            </w:pPr>
            <w:r w:rsidRPr="000C67D6">
              <w:rPr>
                <w:b/>
              </w:rPr>
              <w:t>2016-17</w:t>
            </w:r>
          </w:p>
        </w:tc>
        <w:tc>
          <w:tcPr>
            <w:tcW w:w="712" w:type="pct"/>
            <w:tcBorders>
              <w:bottom w:val="single" w:sz="4" w:space="0" w:color="auto"/>
            </w:tcBorders>
            <w:shd w:val="clear" w:color="auto" w:fill="D9D9D9" w:themeFill="background1" w:themeFillShade="D9"/>
          </w:tcPr>
          <w:p w14:paraId="663C343A" w14:textId="4B2AAEFD" w:rsidR="000C67D6" w:rsidRPr="000C67D6" w:rsidRDefault="005A3FC5" w:rsidP="00EC795B">
            <w:pPr>
              <w:jc w:val="right"/>
              <w:rPr>
                <w:b/>
              </w:rPr>
            </w:pPr>
            <w:r>
              <w:rPr>
                <w:b/>
              </w:rPr>
              <w:t>% Change</w:t>
            </w:r>
          </w:p>
        </w:tc>
      </w:tr>
      <w:tr w:rsidR="000C67D6" w14:paraId="05357DB9" w14:textId="77777777" w:rsidTr="00EC795B">
        <w:tc>
          <w:tcPr>
            <w:tcW w:w="2772" w:type="pct"/>
            <w:tcBorders>
              <w:bottom w:val="single" w:sz="4" w:space="0" w:color="auto"/>
            </w:tcBorders>
          </w:tcPr>
          <w:p w14:paraId="2C5AC1F3" w14:textId="77777777" w:rsidR="000C67D6" w:rsidRDefault="000C67D6" w:rsidP="002C47F1">
            <w:r>
              <w:t>Legal advice and minor assistance and advocacy</w:t>
            </w:r>
          </w:p>
        </w:tc>
        <w:tc>
          <w:tcPr>
            <w:tcW w:w="798" w:type="pct"/>
            <w:tcBorders>
              <w:bottom w:val="single" w:sz="4" w:space="0" w:color="auto"/>
            </w:tcBorders>
          </w:tcPr>
          <w:p w14:paraId="30CF59ED" w14:textId="17E19663" w:rsidR="000C67D6" w:rsidRPr="00C36B68" w:rsidRDefault="0066326A" w:rsidP="00EC795B">
            <w:pPr>
              <w:jc w:val="right"/>
            </w:pPr>
            <w:r>
              <w:t>41,680</w:t>
            </w:r>
          </w:p>
        </w:tc>
        <w:tc>
          <w:tcPr>
            <w:tcW w:w="718" w:type="pct"/>
            <w:tcBorders>
              <w:bottom w:val="single" w:sz="4" w:space="0" w:color="auto"/>
            </w:tcBorders>
          </w:tcPr>
          <w:p w14:paraId="1DB999FD" w14:textId="0D817C9F" w:rsidR="000C67D6" w:rsidRPr="00C36B68" w:rsidRDefault="0066326A" w:rsidP="00EC795B">
            <w:pPr>
              <w:jc w:val="right"/>
            </w:pPr>
            <w:r w:rsidRPr="00BC6766">
              <w:t>41,725</w:t>
            </w:r>
          </w:p>
        </w:tc>
        <w:tc>
          <w:tcPr>
            <w:tcW w:w="712" w:type="pct"/>
            <w:tcBorders>
              <w:bottom w:val="single" w:sz="4" w:space="0" w:color="auto"/>
            </w:tcBorders>
          </w:tcPr>
          <w:p w14:paraId="74553DEC" w14:textId="3B969496" w:rsidR="000C67D6" w:rsidRDefault="0066326A" w:rsidP="00EC795B">
            <w:pPr>
              <w:jc w:val="right"/>
            </w:pPr>
            <w:r>
              <w:t>0</w:t>
            </w:r>
          </w:p>
        </w:tc>
      </w:tr>
      <w:tr w:rsidR="006258EA" w:rsidRPr="0047677D" w14:paraId="398CCF7B" w14:textId="77777777" w:rsidTr="00EC795B">
        <w:tc>
          <w:tcPr>
            <w:tcW w:w="2772" w:type="pct"/>
            <w:shd w:val="clear" w:color="auto" w:fill="D9D9D9" w:themeFill="background1" w:themeFillShade="D9"/>
          </w:tcPr>
          <w:p w14:paraId="7024E6C4" w14:textId="77777777" w:rsidR="006258EA" w:rsidRPr="0047677D" w:rsidRDefault="006258EA" w:rsidP="002C47F1">
            <w:pPr>
              <w:rPr>
                <w:b/>
              </w:rPr>
            </w:pPr>
            <w:r w:rsidRPr="0047677D">
              <w:rPr>
                <w:b/>
              </w:rPr>
              <w:t>Duty lawyer services</w:t>
            </w:r>
          </w:p>
        </w:tc>
        <w:tc>
          <w:tcPr>
            <w:tcW w:w="798" w:type="pct"/>
            <w:shd w:val="clear" w:color="auto" w:fill="D9D9D9" w:themeFill="background1" w:themeFillShade="D9"/>
          </w:tcPr>
          <w:p w14:paraId="52B5CEC2" w14:textId="48E7AAE7" w:rsidR="006258EA" w:rsidRDefault="00F665BB" w:rsidP="00EC795B">
            <w:pPr>
              <w:jc w:val="right"/>
              <w:rPr>
                <w:b/>
              </w:rPr>
            </w:pPr>
            <w:r>
              <w:rPr>
                <w:b/>
              </w:rPr>
              <w:t>2017</w:t>
            </w:r>
            <w:r>
              <w:rPr>
                <w:rFonts w:cs="Arial"/>
                <w:b/>
              </w:rPr>
              <w:t>–</w:t>
            </w:r>
            <w:r>
              <w:rPr>
                <w:b/>
              </w:rPr>
              <w:t>18</w:t>
            </w:r>
          </w:p>
        </w:tc>
        <w:tc>
          <w:tcPr>
            <w:tcW w:w="718" w:type="pct"/>
            <w:shd w:val="clear" w:color="auto" w:fill="D9D9D9" w:themeFill="background1" w:themeFillShade="D9"/>
          </w:tcPr>
          <w:p w14:paraId="23C9D580" w14:textId="77777777" w:rsidR="006258EA" w:rsidRPr="0047677D" w:rsidRDefault="006258EA" w:rsidP="00EC795B">
            <w:pPr>
              <w:jc w:val="right"/>
              <w:rPr>
                <w:b/>
              </w:rPr>
            </w:pPr>
            <w:r>
              <w:rPr>
                <w:b/>
              </w:rPr>
              <w:t>2016–17</w:t>
            </w:r>
          </w:p>
        </w:tc>
        <w:tc>
          <w:tcPr>
            <w:tcW w:w="712" w:type="pct"/>
            <w:shd w:val="clear" w:color="auto" w:fill="D9D9D9" w:themeFill="background1" w:themeFillShade="D9"/>
          </w:tcPr>
          <w:p w14:paraId="11104DFE" w14:textId="5C8B232F" w:rsidR="006258EA" w:rsidRPr="0047677D" w:rsidRDefault="005A3FC5" w:rsidP="00EC795B">
            <w:pPr>
              <w:jc w:val="right"/>
              <w:rPr>
                <w:b/>
              </w:rPr>
            </w:pPr>
            <w:r>
              <w:rPr>
                <w:b/>
              </w:rPr>
              <w:t>% Change</w:t>
            </w:r>
          </w:p>
        </w:tc>
      </w:tr>
      <w:tr w:rsidR="006258EA" w14:paraId="3DA1095E" w14:textId="77777777" w:rsidTr="00EC795B">
        <w:tc>
          <w:tcPr>
            <w:tcW w:w="2772" w:type="pct"/>
            <w:tcBorders>
              <w:bottom w:val="single" w:sz="4" w:space="0" w:color="auto"/>
            </w:tcBorders>
          </w:tcPr>
          <w:p w14:paraId="6A008317" w14:textId="77777777" w:rsidR="006258EA" w:rsidRDefault="006258EA" w:rsidP="002C47F1">
            <w:r>
              <w:t>In-house and private practitioners</w:t>
            </w:r>
          </w:p>
        </w:tc>
        <w:tc>
          <w:tcPr>
            <w:tcW w:w="798" w:type="pct"/>
            <w:tcBorders>
              <w:bottom w:val="single" w:sz="4" w:space="0" w:color="auto"/>
            </w:tcBorders>
          </w:tcPr>
          <w:p w14:paraId="30B1E84A" w14:textId="5F543D06" w:rsidR="006258EA" w:rsidRDefault="0066326A" w:rsidP="00EC795B">
            <w:pPr>
              <w:jc w:val="right"/>
            </w:pPr>
            <w:r>
              <w:t>93,564</w:t>
            </w:r>
          </w:p>
        </w:tc>
        <w:tc>
          <w:tcPr>
            <w:tcW w:w="718" w:type="pct"/>
            <w:tcBorders>
              <w:bottom w:val="single" w:sz="4" w:space="0" w:color="auto"/>
            </w:tcBorders>
          </w:tcPr>
          <w:p w14:paraId="34293E0B" w14:textId="77777777" w:rsidR="006258EA" w:rsidRDefault="006258EA" w:rsidP="00EC795B">
            <w:pPr>
              <w:jc w:val="right"/>
            </w:pPr>
            <w:r>
              <w:t>93,697</w:t>
            </w:r>
          </w:p>
        </w:tc>
        <w:tc>
          <w:tcPr>
            <w:tcW w:w="712" w:type="pct"/>
            <w:tcBorders>
              <w:bottom w:val="single" w:sz="4" w:space="0" w:color="auto"/>
            </w:tcBorders>
          </w:tcPr>
          <w:p w14:paraId="2D3DF9B3" w14:textId="3DB5FE26" w:rsidR="006258EA" w:rsidRDefault="0066326A" w:rsidP="00EC795B">
            <w:pPr>
              <w:jc w:val="right"/>
            </w:pPr>
            <w:r>
              <w:t>0</w:t>
            </w:r>
          </w:p>
        </w:tc>
      </w:tr>
      <w:tr w:rsidR="006258EA" w:rsidRPr="0047677D" w14:paraId="28AEC0FF" w14:textId="77777777" w:rsidTr="00EC795B">
        <w:tc>
          <w:tcPr>
            <w:tcW w:w="2772" w:type="pct"/>
            <w:shd w:val="clear" w:color="auto" w:fill="D9D9D9" w:themeFill="background1" w:themeFillShade="D9"/>
          </w:tcPr>
          <w:p w14:paraId="65F11D9C" w14:textId="77777777" w:rsidR="006258EA" w:rsidRPr="0047677D" w:rsidRDefault="006258EA" w:rsidP="002C47F1">
            <w:pPr>
              <w:rPr>
                <w:b/>
              </w:rPr>
            </w:pPr>
            <w:r w:rsidRPr="0047677D">
              <w:rPr>
                <w:b/>
              </w:rPr>
              <w:t>Grants of legal assistance</w:t>
            </w:r>
          </w:p>
        </w:tc>
        <w:tc>
          <w:tcPr>
            <w:tcW w:w="798" w:type="pct"/>
            <w:shd w:val="clear" w:color="auto" w:fill="D9D9D9" w:themeFill="background1" w:themeFillShade="D9"/>
          </w:tcPr>
          <w:p w14:paraId="6E09C7EE" w14:textId="25027E70" w:rsidR="006258EA" w:rsidRDefault="00F665BB" w:rsidP="00EC795B">
            <w:pPr>
              <w:jc w:val="right"/>
              <w:rPr>
                <w:b/>
              </w:rPr>
            </w:pPr>
            <w:r>
              <w:rPr>
                <w:b/>
              </w:rPr>
              <w:t>2017</w:t>
            </w:r>
            <w:r>
              <w:rPr>
                <w:rFonts w:cs="Arial"/>
                <w:b/>
              </w:rPr>
              <w:t>–</w:t>
            </w:r>
            <w:r>
              <w:rPr>
                <w:b/>
              </w:rPr>
              <w:t>18</w:t>
            </w:r>
          </w:p>
        </w:tc>
        <w:tc>
          <w:tcPr>
            <w:tcW w:w="718" w:type="pct"/>
            <w:shd w:val="clear" w:color="auto" w:fill="D9D9D9" w:themeFill="background1" w:themeFillShade="D9"/>
          </w:tcPr>
          <w:p w14:paraId="0847E2A3" w14:textId="77777777" w:rsidR="006258EA" w:rsidRPr="0047677D" w:rsidRDefault="006258EA" w:rsidP="00EC795B">
            <w:pPr>
              <w:jc w:val="right"/>
              <w:rPr>
                <w:b/>
              </w:rPr>
            </w:pPr>
            <w:r>
              <w:rPr>
                <w:b/>
              </w:rPr>
              <w:t>2016–17</w:t>
            </w:r>
          </w:p>
        </w:tc>
        <w:tc>
          <w:tcPr>
            <w:tcW w:w="712" w:type="pct"/>
            <w:shd w:val="clear" w:color="auto" w:fill="D9D9D9" w:themeFill="background1" w:themeFillShade="D9"/>
          </w:tcPr>
          <w:p w14:paraId="48CE2D5A" w14:textId="63BBF8A9" w:rsidR="006258EA" w:rsidRPr="0047677D" w:rsidRDefault="005A3FC5" w:rsidP="00EC795B">
            <w:pPr>
              <w:jc w:val="right"/>
              <w:rPr>
                <w:b/>
              </w:rPr>
            </w:pPr>
            <w:r>
              <w:rPr>
                <w:b/>
              </w:rPr>
              <w:t>% Change</w:t>
            </w:r>
          </w:p>
        </w:tc>
      </w:tr>
      <w:tr w:rsidR="006258EA" w14:paraId="4D2DF809" w14:textId="77777777" w:rsidTr="00EC795B">
        <w:tc>
          <w:tcPr>
            <w:tcW w:w="2772" w:type="pct"/>
          </w:tcPr>
          <w:p w14:paraId="532EAE4F" w14:textId="77777777" w:rsidR="006258EA" w:rsidRDefault="006258EA" w:rsidP="002C47F1">
            <w:r>
              <w:t>In-house, private practitioners and community legal centres</w:t>
            </w:r>
          </w:p>
        </w:tc>
        <w:tc>
          <w:tcPr>
            <w:tcW w:w="798" w:type="pct"/>
          </w:tcPr>
          <w:p w14:paraId="40E1E4F7" w14:textId="15CA6772" w:rsidR="006258EA" w:rsidRDefault="0066326A" w:rsidP="00EC795B">
            <w:pPr>
              <w:jc w:val="right"/>
            </w:pPr>
            <w:r>
              <w:t>42,777</w:t>
            </w:r>
          </w:p>
        </w:tc>
        <w:tc>
          <w:tcPr>
            <w:tcW w:w="718" w:type="pct"/>
          </w:tcPr>
          <w:p w14:paraId="3519B086" w14:textId="77777777" w:rsidR="006258EA" w:rsidRDefault="006258EA" w:rsidP="00EC795B">
            <w:pPr>
              <w:jc w:val="right"/>
            </w:pPr>
            <w:r>
              <w:t>41,638</w:t>
            </w:r>
          </w:p>
        </w:tc>
        <w:tc>
          <w:tcPr>
            <w:tcW w:w="712" w:type="pct"/>
          </w:tcPr>
          <w:p w14:paraId="3595C186" w14:textId="10EF3325" w:rsidR="006258EA" w:rsidRDefault="0066326A" w:rsidP="00EC795B">
            <w:pPr>
              <w:jc w:val="right"/>
            </w:pPr>
            <w:r>
              <w:t>3</w:t>
            </w:r>
          </w:p>
        </w:tc>
      </w:tr>
    </w:tbl>
    <w:p w14:paraId="7791609C" w14:textId="77777777" w:rsidR="006258EA" w:rsidRDefault="006258EA" w:rsidP="006258EA">
      <w:pPr>
        <w:rPr>
          <w:lang w:eastAsia="en-AU"/>
        </w:rPr>
      </w:pPr>
    </w:p>
    <w:p w14:paraId="44609400" w14:textId="1A9572DD" w:rsidR="00101D4B" w:rsidRDefault="00101D4B" w:rsidP="00101D4B">
      <w:pPr>
        <w:rPr>
          <w:lang w:eastAsia="en-AU"/>
        </w:rPr>
      </w:pPr>
      <w:r>
        <w:t xml:space="preserve">The number of vulnerable people requiring our services continues to grow. Increasingly, people are presenting with more complex problems. In </w:t>
      </w:r>
      <w:r>
        <w:rPr>
          <w:lang w:eastAsia="en-AU"/>
        </w:rPr>
        <w:t>2017</w:t>
      </w:r>
      <w:r>
        <w:rPr>
          <w:rFonts w:cs="Arial"/>
          <w:lang w:eastAsia="en-AU"/>
        </w:rPr>
        <w:t>–</w:t>
      </w:r>
      <w:r>
        <w:rPr>
          <w:lang w:eastAsia="en-AU"/>
        </w:rPr>
        <w:t xml:space="preserve">18 our expenditure grew by </w:t>
      </w:r>
      <w:r w:rsidRPr="00BC4296">
        <w:rPr>
          <w:lang w:eastAsia="en-AU"/>
        </w:rPr>
        <w:t>$</w:t>
      </w:r>
      <w:r w:rsidR="00633BDC" w:rsidRPr="00BC4296">
        <w:rPr>
          <w:lang w:eastAsia="en-AU"/>
        </w:rPr>
        <w:t>16.7 million</w:t>
      </w:r>
      <w:r>
        <w:rPr>
          <w:lang w:eastAsia="en-AU"/>
        </w:rPr>
        <w:t xml:space="preserve"> as we helped more people navigate </w:t>
      </w:r>
      <w:r w:rsidR="00F431F3">
        <w:rPr>
          <w:lang w:eastAsia="en-AU"/>
        </w:rPr>
        <w:t xml:space="preserve">family violence issues, </w:t>
      </w:r>
      <w:r>
        <w:rPr>
          <w:lang w:eastAsia="en-AU"/>
        </w:rPr>
        <w:t>summary crime</w:t>
      </w:r>
      <w:r w:rsidR="00F431F3">
        <w:rPr>
          <w:lang w:eastAsia="en-AU"/>
        </w:rPr>
        <w:t xml:space="preserve"> and </w:t>
      </w:r>
      <w:r>
        <w:rPr>
          <w:lang w:eastAsia="en-AU"/>
        </w:rPr>
        <w:t xml:space="preserve">child protection. </w:t>
      </w:r>
      <w:r w:rsidR="00BC4296" w:rsidRPr="00BC4296">
        <w:rPr>
          <w:lang w:eastAsia="en-AU"/>
        </w:rPr>
        <w:t xml:space="preserve">While </w:t>
      </w:r>
      <w:proofErr w:type="gramStart"/>
      <w:r w:rsidR="00BC4296" w:rsidRPr="00BC4296">
        <w:rPr>
          <w:lang w:eastAsia="en-AU"/>
        </w:rPr>
        <w:t>the majority of</w:t>
      </w:r>
      <w:proofErr w:type="gramEnd"/>
      <w:r w:rsidR="00BC4296" w:rsidRPr="00BC4296">
        <w:rPr>
          <w:lang w:eastAsia="en-AU"/>
        </w:rPr>
        <w:t xml:space="preserve"> this growth was supported by additional revenue from the State Government to support new and expanded services, the continued high level of service demand meant we went into deficit, spending $5.3 million more than we received. Instead of restricting eligibility for our services, we drew on our cash reserves built up in previous years.</w:t>
      </w:r>
      <w:r w:rsidR="00BC4296">
        <w:rPr>
          <w:lang w:eastAsia="en-AU"/>
        </w:rPr>
        <w:t xml:space="preserve"> </w:t>
      </w:r>
    </w:p>
    <w:p w14:paraId="651D953A" w14:textId="55708B15" w:rsidR="00101D4B" w:rsidRDefault="00101D4B" w:rsidP="00101D4B">
      <w:pPr>
        <w:rPr>
          <w:lang w:eastAsia="en-AU"/>
        </w:rPr>
      </w:pPr>
      <w:r>
        <w:rPr>
          <w:lang w:eastAsia="en-AU"/>
        </w:rPr>
        <w:t>Grants of assistance, where a lawyer is paid to represent a client on an ongoing basis</w:t>
      </w:r>
      <w:r w:rsidR="0002325D">
        <w:rPr>
          <w:lang w:eastAsia="en-AU"/>
        </w:rPr>
        <w:t>,</w:t>
      </w:r>
      <w:r>
        <w:rPr>
          <w:lang w:eastAsia="en-AU"/>
        </w:rPr>
        <w:t xml:space="preserve"> grew by three per cent, reflecting our clients’ need for more intensive assistance. The provision of duty lawyer services and early intervention and information sessions remained steady, but we recorded a sharp increase in the early support provided to victims of family violence. Our free telephone advice service Legal Help provided 58 per cent more advice sessions for family violence matters, and the number of calls it answered </w:t>
      </w:r>
      <w:r w:rsidR="00345DB7">
        <w:rPr>
          <w:lang w:eastAsia="en-AU"/>
        </w:rPr>
        <w:t xml:space="preserve">overall </w:t>
      </w:r>
      <w:r>
        <w:rPr>
          <w:lang w:eastAsia="en-AU"/>
        </w:rPr>
        <w:t xml:space="preserve">increased by eight per cent. </w:t>
      </w:r>
    </w:p>
    <w:p w14:paraId="69F3F12D" w14:textId="2A8C47F3" w:rsidR="00F431F3" w:rsidRDefault="00F431F3" w:rsidP="00F431F3">
      <w:pPr>
        <w:rPr>
          <w:lang w:eastAsia="en-AU"/>
        </w:rPr>
      </w:pPr>
      <w:r>
        <w:rPr>
          <w:lang w:eastAsia="en-AU"/>
        </w:rPr>
        <w:lastRenderedPageBreak/>
        <w:t>The broader justice system and community safety is served</w:t>
      </w:r>
      <w:r w:rsidR="004025D4">
        <w:rPr>
          <w:lang w:eastAsia="en-AU"/>
        </w:rPr>
        <w:t xml:space="preserve"> best</w:t>
      </w:r>
      <w:r>
        <w:rPr>
          <w:lang w:eastAsia="en-AU"/>
        </w:rPr>
        <w:t xml:space="preserve"> if vulnerable people have early access to information and support services to help them address the behaviour</w:t>
      </w:r>
      <w:r w:rsidR="006C752F">
        <w:rPr>
          <w:lang w:eastAsia="en-AU"/>
        </w:rPr>
        <w:t xml:space="preserve"> that can contribute to interactions with the justice system</w:t>
      </w:r>
      <w:r>
        <w:rPr>
          <w:lang w:eastAsia="en-AU"/>
        </w:rPr>
        <w:t>. We will continue to be part of the public discussion about appropriate policy responses to ensure community safety through early investment in justice, diversionary and support services.</w:t>
      </w:r>
    </w:p>
    <w:p w14:paraId="6A9C7B0C" w14:textId="0A0F0054" w:rsidR="00D063D2" w:rsidRDefault="00F431F3" w:rsidP="00F431F3">
      <w:pPr>
        <w:rPr>
          <w:lang w:eastAsia="en-AU"/>
        </w:rPr>
      </w:pPr>
      <w:r>
        <w:rPr>
          <w:lang w:eastAsia="en-AU"/>
        </w:rPr>
        <w:t>The welcome government investments we have received in recent years</w:t>
      </w:r>
      <w:r w:rsidR="001E1A16">
        <w:rPr>
          <w:lang w:eastAsia="en-AU"/>
        </w:rPr>
        <w:t xml:space="preserve"> through the Victorian Budget</w:t>
      </w:r>
      <w:r>
        <w:rPr>
          <w:lang w:eastAsia="en-AU"/>
        </w:rPr>
        <w:t xml:space="preserve"> reflect the overwhelming demand for our services and are dedicated to increase capacity in specific program areas. We are grateful for these investments, but they do not clos</w:t>
      </w:r>
      <w:r w:rsidR="00D063D2">
        <w:rPr>
          <w:lang w:eastAsia="en-AU"/>
        </w:rPr>
        <w:t>e</w:t>
      </w:r>
      <w:r>
        <w:rPr>
          <w:lang w:eastAsia="en-AU"/>
        </w:rPr>
        <w:t xml:space="preserve"> the gap in demand stimulated by additional police, child protection officers, changes in the law and population growth. </w:t>
      </w:r>
    </w:p>
    <w:p w14:paraId="4E784389" w14:textId="7234C529" w:rsidR="00F431F3" w:rsidRDefault="00F431F3" w:rsidP="00F431F3">
      <w:pPr>
        <w:rPr>
          <w:lang w:eastAsia="en-AU"/>
        </w:rPr>
      </w:pPr>
      <w:r>
        <w:rPr>
          <w:lang w:eastAsia="en-AU"/>
        </w:rPr>
        <w:t xml:space="preserve">We know that using our cash reserves to meet growing demand is not sustainable and our financial circumstances are tightening. </w:t>
      </w:r>
      <w:bookmarkStart w:id="0" w:name="_Hlk515368727"/>
      <w:r>
        <w:rPr>
          <w:lang w:eastAsia="en-AU"/>
        </w:rPr>
        <w:t xml:space="preserve">While our efforts to attract revenue will not lessen, we must prepare for difficult decisions about how to contain expenditure growth. We will commence discussions with stakeholders in the next 12 months about the ongoing viability of our current service offerings, service priorities and how to transform the way we do our work. Developing innovative and client focused </w:t>
      </w:r>
      <w:r w:rsidR="00345DB7">
        <w:rPr>
          <w:lang w:eastAsia="en-AU"/>
        </w:rPr>
        <w:t xml:space="preserve">technology solutions </w:t>
      </w:r>
      <w:r>
        <w:rPr>
          <w:lang w:eastAsia="en-AU"/>
        </w:rPr>
        <w:t xml:space="preserve">and data </w:t>
      </w:r>
      <w:r w:rsidR="00345DB7">
        <w:rPr>
          <w:lang w:eastAsia="en-AU"/>
        </w:rPr>
        <w:t xml:space="preserve">capabilities </w:t>
      </w:r>
      <w:r>
        <w:rPr>
          <w:lang w:eastAsia="en-AU"/>
        </w:rPr>
        <w:t>is critical to ensure we use our limited funding in the most efficient and effective way.</w:t>
      </w:r>
    </w:p>
    <w:p w14:paraId="10871F31" w14:textId="62B0F08B" w:rsidR="006C752F" w:rsidRDefault="006C752F" w:rsidP="006C752F">
      <w:pPr>
        <w:rPr>
          <w:lang w:eastAsia="en-AU"/>
        </w:rPr>
      </w:pPr>
      <w:r>
        <w:rPr>
          <w:lang w:eastAsia="en-AU"/>
        </w:rPr>
        <w:t>We will maintain our focus on ensuring our services are client centred, designed using evidence and data, and delivered with a strengthened spirit of trust and collaboration with the legal assistance sector. Our work plan will also reflect the decisions taken by government to confirm Victoria Legal Aid’s role as a system co-ordinator for the legal assistance sector, and to strengthen transparency and reporting. We look forward to working with our sector partners to continue to improve the delivery of legal services.</w:t>
      </w:r>
    </w:p>
    <w:bookmarkEnd w:id="0"/>
    <w:p w14:paraId="3230E88E" w14:textId="77777777" w:rsidR="0086577E" w:rsidRDefault="0086577E" w:rsidP="0086577E">
      <w:pPr>
        <w:pStyle w:val="Heading2"/>
      </w:pPr>
      <w:r>
        <w:t>Our clients</w:t>
      </w:r>
    </w:p>
    <w:p w14:paraId="19565D37" w14:textId="2BA49790" w:rsidR="0086577E" w:rsidRDefault="0086577E" w:rsidP="0086577E">
      <w:pPr>
        <w:rPr>
          <w:lang w:eastAsia="en-AU"/>
        </w:rPr>
      </w:pPr>
      <w:r>
        <w:rPr>
          <w:lang w:eastAsia="en-AU"/>
        </w:rPr>
        <w:t xml:space="preserve">In 2017-18 we helped </w:t>
      </w:r>
      <w:r w:rsidR="005F1EB0">
        <w:t xml:space="preserve">94,485 </w:t>
      </w:r>
      <w:r>
        <w:rPr>
          <w:lang w:eastAsia="en-AU"/>
        </w:rPr>
        <w:t>unique clients</w:t>
      </w:r>
      <w:r w:rsidR="00B006A4">
        <w:rPr>
          <w:lang w:eastAsia="en-AU"/>
        </w:rPr>
        <w:t>.</w:t>
      </w:r>
      <w:r w:rsidR="00B006A4">
        <w:rPr>
          <w:rStyle w:val="FootnoteReference"/>
          <w:lang w:eastAsia="en-AU"/>
        </w:rPr>
        <w:footnoteReference w:id="2"/>
      </w:r>
      <w:r>
        <w:rPr>
          <w:lang w:eastAsia="en-AU"/>
        </w:rPr>
        <w:t xml:space="preserve"> </w:t>
      </w:r>
    </w:p>
    <w:tbl>
      <w:tblPr>
        <w:tblStyle w:val="TableGrid"/>
        <w:tblW w:w="0" w:type="auto"/>
        <w:tblLook w:val="04A0" w:firstRow="1" w:lastRow="0" w:firstColumn="1" w:lastColumn="0" w:noHBand="0" w:noVBand="1"/>
      </w:tblPr>
      <w:tblGrid>
        <w:gridCol w:w="3682"/>
        <w:gridCol w:w="1600"/>
        <w:gridCol w:w="1597"/>
        <w:gridCol w:w="1597"/>
        <w:gridCol w:w="1597"/>
      </w:tblGrid>
      <w:tr w:rsidR="00B006A4" w:rsidRPr="00D37B73" w14:paraId="1E568ACA" w14:textId="77777777" w:rsidTr="00633BDC">
        <w:trPr>
          <w:trHeight w:val="480"/>
          <w:tblHeader/>
        </w:trPr>
        <w:tc>
          <w:tcPr>
            <w:tcW w:w="3682" w:type="dxa"/>
            <w:shd w:val="clear" w:color="auto" w:fill="D9D9D9" w:themeFill="background1" w:themeFillShade="D9"/>
          </w:tcPr>
          <w:p w14:paraId="2142C15A" w14:textId="77777777" w:rsidR="00B006A4" w:rsidRPr="00D37B73" w:rsidRDefault="00B006A4" w:rsidP="002C47F1">
            <w:pPr>
              <w:rPr>
                <w:b/>
              </w:rPr>
            </w:pPr>
            <w:r w:rsidRPr="00D37B73">
              <w:rPr>
                <w:b/>
              </w:rPr>
              <w:t>Unique clients as at</w:t>
            </w:r>
          </w:p>
        </w:tc>
        <w:tc>
          <w:tcPr>
            <w:tcW w:w="1600" w:type="dxa"/>
            <w:shd w:val="clear" w:color="auto" w:fill="D9D9D9" w:themeFill="background1" w:themeFillShade="D9"/>
          </w:tcPr>
          <w:p w14:paraId="19006048" w14:textId="77777777" w:rsidR="00B006A4" w:rsidRPr="00D37B73" w:rsidRDefault="00B006A4" w:rsidP="00EC795B">
            <w:pPr>
              <w:jc w:val="right"/>
              <w:rPr>
                <w:b/>
              </w:rPr>
            </w:pPr>
            <w:r>
              <w:rPr>
                <w:b/>
              </w:rPr>
              <w:t>2014–15</w:t>
            </w:r>
          </w:p>
        </w:tc>
        <w:tc>
          <w:tcPr>
            <w:tcW w:w="1597" w:type="dxa"/>
            <w:shd w:val="clear" w:color="auto" w:fill="D9D9D9" w:themeFill="background1" w:themeFillShade="D9"/>
          </w:tcPr>
          <w:p w14:paraId="3E7A61AE" w14:textId="77777777" w:rsidR="00B006A4" w:rsidRPr="00D37B73" w:rsidRDefault="00B006A4" w:rsidP="00EC795B">
            <w:pPr>
              <w:jc w:val="right"/>
              <w:rPr>
                <w:b/>
              </w:rPr>
            </w:pPr>
            <w:r>
              <w:rPr>
                <w:b/>
              </w:rPr>
              <w:t>2015–16</w:t>
            </w:r>
          </w:p>
        </w:tc>
        <w:tc>
          <w:tcPr>
            <w:tcW w:w="1597" w:type="dxa"/>
            <w:shd w:val="clear" w:color="auto" w:fill="D9D9D9" w:themeFill="background1" w:themeFillShade="D9"/>
          </w:tcPr>
          <w:p w14:paraId="78021A89" w14:textId="77777777" w:rsidR="00B006A4" w:rsidRPr="00D37B73" w:rsidRDefault="00B006A4" w:rsidP="00EC795B">
            <w:pPr>
              <w:jc w:val="right"/>
              <w:rPr>
                <w:b/>
              </w:rPr>
            </w:pPr>
            <w:r>
              <w:rPr>
                <w:b/>
              </w:rPr>
              <w:t>2016–17</w:t>
            </w:r>
          </w:p>
        </w:tc>
        <w:tc>
          <w:tcPr>
            <w:tcW w:w="1597" w:type="dxa"/>
            <w:shd w:val="clear" w:color="auto" w:fill="D9D9D9" w:themeFill="background1" w:themeFillShade="D9"/>
          </w:tcPr>
          <w:p w14:paraId="03C1012B" w14:textId="3D659458" w:rsidR="00B006A4" w:rsidRDefault="00F665BB" w:rsidP="00EC795B">
            <w:pPr>
              <w:jc w:val="right"/>
              <w:rPr>
                <w:b/>
              </w:rPr>
            </w:pPr>
            <w:r>
              <w:rPr>
                <w:b/>
              </w:rPr>
              <w:t>2017</w:t>
            </w:r>
            <w:r>
              <w:rPr>
                <w:rFonts w:cs="Arial"/>
                <w:b/>
              </w:rPr>
              <w:t>–</w:t>
            </w:r>
            <w:r>
              <w:rPr>
                <w:b/>
              </w:rPr>
              <w:t>18</w:t>
            </w:r>
          </w:p>
        </w:tc>
      </w:tr>
      <w:tr w:rsidR="00B006A4" w14:paraId="37AA6ECF" w14:textId="77777777" w:rsidTr="00633BDC">
        <w:trPr>
          <w:trHeight w:val="480"/>
        </w:trPr>
        <w:tc>
          <w:tcPr>
            <w:tcW w:w="3682" w:type="dxa"/>
            <w:tcBorders>
              <w:bottom w:val="single" w:sz="4" w:space="0" w:color="auto"/>
            </w:tcBorders>
          </w:tcPr>
          <w:p w14:paraId="79173BC0" w14:textId="77777777" w:rsidR="00B006A4" w:rsidRDefault="00B006A4" w:rsidP="002C47F1">
            <w:r>
              <w:t>Unique clients</w:t>
            </w:r>
          </w:p>
        </w:tc>
        <w:tc>
          <w:tcPr>
            <w:tcW w:w="1600" w:type="dxa"/>
            <w:tcBorders>
              <w:bottom w:val="single" w:sz="4" w:space="0" w:color="auto"/>
            </w:tcBorders>
          </w:tcPr>
          <w:p w14:paraId="0B5C22D3" w14:textId="562C2D93" w:rsidR="00B006A4" w:rsidRDefault="00B006A4" w:rsidP="00EC795B">
            <w:pPr>
              <w:jc w:val="right"/>
            </w:pPr>
            <w:r>
              <w:t>85,007</w:t>
            </w:r>
            <w:bookmarkStart w:id="1" w:name="_Ref488051307"/>
            <w:r w:rsidR="00B1328B">
              <w:rPr>
                <w:rStyle w:val="FootnoteReference"/>
              </w:rPr>
              <w:footnoteReference w:id="3"/>
            </w:r>
            <w:bookmarkEnd w:id="1"/>
          </w:p>
        </w:tc>
        <w:tc>
          <w:tcPr>
            <w:tcW w:w="1597" w:type="dxa"/>
            <w:tcBorders>
              <w:bottom w:val="single" w:sz="4" w:space="0" w:color="auto"/>
            </w:tcBorders>
          </w:tcPr>
          <w:p w14:paraId="68B0A5AF" w14:textId="77777777" w:rsidR="00B006A4" w:rsidRDefault="00B006A4" w:rsidP="00EC795B">
            <w:pPr>
              <w:jc w:val="right"/>
            </w:pPr>
            <w:r w:rsidRPr="00A65BB9">
              <w:t>86,847</w:t>
            </w:r>
          </w:p>
        </w:tc>
        <w:tc>
          <w:tcPr>
            <w:tcW w:w="1597" w:type="dxa"/>
            <w:tcBorders>
              <w:bottom w:val="single" w:sz="4" w:space="0" w:color="auto"/>
            </w:tcBorders>
          </w:tcPr>
          <w:p w14:paraId="5BD10AC8" w14:textId="77777777" w:rsidR="00B006A4" w:rsidRDefault="00B006A4" w:rsidP="00EC795B">
            <w:pPr>
              <w:jc w:val="right"/>
            </w:pPr>
            <w:r w:rsidRPr="00A65BB9">
              <w:t>90,649</w:t>
            </w:r>
          </w:p>
        </w:tc>
        <w:tc>
          <w:tcPr>
            <w:tcW w:w="1597" w:type="dxa"/>
            <w:tcBorders>
              <w:bottom w:val="single" w:sz="4" w:space="0" w:color="auto"/>
            </w:tcBorders>
          </w:tcPr>
          <w:p w14:paraId="7D977D2F" w14:textId="64573512" w:rsidR="00B006A4" w:rsidRPr="00A65BB9" w:rsidRDefault="005F1EB0" w:rsidP="00EC795B">
            <w:pPr>
              <w:jc w:val="right"/>
            </w:pPr>
            <w:r>
              <w:t>94,485</w:t>
            </w:r>
          </w:p>
        </w:tc>
      </w:tr>
      <w:tr w:rsidR="00B006A4" w14:paraId="0EB6CDB8" w14:textId="77777777" w:rsidTr="00633BDC">
        <w:trPr>
          <w:trHeight w:val="480"/>
        </w:trPr>
        <w:tc>
          <w:tcPr>
            <w:tcW w:w="3682" w:type="dxa"/>
            <w:shd w:val="clear" w:color="auto" w:fill="F2F2F2" w:themeFill="background1" w:themeFillShade="F2"/>
          </w:tcPr>
          <w:p w14:paraId="2069C30F" w14:textId="77777777" w:rsidR="00B006A4" w:rsidRPr="00D37B73" w:rsidRDefault="00B006A4" w:rsidP="002C47F1">
            <w:pPr>
              <w:rPr>
                <w:b/>
              </w:rPr>
            </w:pPr>
            <w:r w:rsidRPr="00D37B73">
              <w:rPr>
                <w:b/>
              </w:rPr>
              <w:t>Growth</w:t>
            </w:r>
          </w:p>
        </w:tc>
        <w:tc>
          <w:tcPr>
            <w:tcW w:w="1600" w:type="dxa"/>
            <w:shd w:val="clear" w:color="auto" w:fill="F2F2F2" w:themeFill="background1" w:themeFillShade="F2"/>
          </w:tcPr>
          <w:p w14:paraId="146CD159" w14:textId="77777777" w:rsidR="00B006A4" w:rsidRDefault="00B006A4" w:rsidP="00EC795B">
            <w:pPr>
              <w:jc w:val="right"/>
            </w:pPr>
            <w:r>
              <w:t>-</w:t>
            </w:r>
          </w:p>
        </w:tc>
        <w:tc>
          <w:tcPr>
            <w:tcW w:w="1597" w:type="dxa"/>
            <w:shd w:val="clear" w:color="auto" w:fill="F2F2F2" w:themeFill="background1" w:themeFillShade="F2"/>
          </w:tcPr>
          <w:p w14:paraId="2DA7EDF8" w14:textId="77777777" w:rsidR="00B006A4" w:rsidRDefault="00B006A4" w:rsidP="00EC795B">
            <w:pPr>
              <w:jc w:val="right"/>
            </w:pPr>
            <w:r>
              <w:t>2.2%</w:t>
            </w:r>
          </w:p>
        </w:tc>
        <w:tc>
          <w:tcPr>
            <w:tcW w:w="1597" w:type="dxa"/>
            <w:shd w:val="clear" w:color="auto" w:fill="F2F2F2" w:themeFill="background1" w:themeFillShade="F2"/>
          </w:tcPr>
          <w:p w14:paraId="1E610422" w14:textId="77777777" w:rsidR="00B006A4" w:rsidRDefault="00B006A4" w:rsidP="00EC795B">
            <w:pPr>
              <w:jc w:val="right"/>
            </w:pPr>
            <w:r>
              <w:t>4.3%</w:t>
            </w:r>
          </w:p>
        </w:tc>
        <w:tc>
          <w:tcPr>
            <w:tcW w:w="1597" w:type="dxa"/>
            <w:shd w:val="clear" w:color="auto" w:fill="F2F2F2" w:themeFill="background1" w:themeFillShade="F2"/>
          </w:tcPr>
          <w:p w14:paraId="0AE8594E" w14:textId="1A044D30" w:rsidR="00B006A4" w:rsidRDefault="005F1EB0" w:rsidP="00EC795B">
            <w:pPr>
              <w:jc w:val="right"/>
            </w:pPr>
            <w:r>
              <w:t>4.2%</w:t>
            </w:r>
          </w:p>
        </w:tc>
      </w:tr>
    </w:tbl>
    <w:p w14:paraId="49C3A47C" w14:textId="0A0ED1A3" w:rsidR="008E6B8F" w:rsidRPr="008E6B8F" w:rsidRDefault="0010364F" w:rsidP="0086577E">
      <w:pPr>
        <w:rPr>
          <w:sz w:val="18"/>
          <w:szCs w:val="18"/>
          <w:lang w:eastAsia="en-AU"/>
        </w:rPr>
      </w:pPr>
      <w:r>
        <w:rPr>
          <w:rStyle w:val="FootnoteReference"/>
          <w:szCs w:val="18"/>
        </w:rPr>
        <w:t>2</w:t>
      </w:r>
      <w:r w:rsidRPr="008E6B8F">
        <w:rPr>
          <w:sz w:val="18"/>
          <w:szCs w:val="18"/>
        </w:rPr>
        <w:t xml:space="preserve"> </w:t>
      </w:r>
      <w:r w:rsidR="008E6B8F" w:rsidRPr="008E6B8F">
        <w:rPr>
          <w:sz w:val="18"/>
          <w:szCs w:val="18"/>
        </w:rPr>
        <w:t>This does not include clients assisted by a private lawyer through VLA’s private practitioner duty lawyer scheme</w:t>
      </w:r>
    </w:p>
    <w:p w14:paraId="15FED128" w14:textId="432D0857" w:rsidR="00B006A4" w:rsidRDefault="000E045E" w:rsidP="0086577E">
      <w:pPr>
        <w:rPr>
          <w:lang w:eastAsia="en-AU"/>
        </w:rPr>
      </w:pPr>
      <w:r>
        <w:rPr>
          <w:lang w:eastAsia="en-AU"/>
        </w:rPr>
        <w:t xml:space="preserve">We are continuing to experience consistent growth in the number of vulnerable people requiring our help. </w:t>
      </w:r>
      <w:r w:rsidR="00F431F3">
        <w:rPr>
          <w:lang w:eastAsia="en-AU"/>
        </w:rPr>
        <w:t xml:space="preserve">Our clients are among the most marginalised people in Victoria, and we know many others are missing out on our help. We have seen steady increases in the level of disadvantage experienced by our clients, including: </w:t>
      </w:r>
    </w:p>
    <w:p w14:paraId="0BBCC03D" w14:textId="6B48C070" w:rsidR="00B006A4" w:rsidRPr="00B1328B" w:rsidRDefault="005F1EB0" w:rsidP="00B006A4">
      <w:pPr>
        <w:pStyle w:val="Bullet1"/>
      </w:pPr>
      <w:r w:rsidRPr="00B1328B">
        <w:t>5</w:t>
      </w:r>
      <w:r w:rsidR="00B006A4" w:rsidRPr="00B1328B">
        <w:t xml:space="preserve">% </w:t>
      </w:r>
      <w:r w:rsidR="00594A42" w:rsidRPr="00B1328B">
        <w:t xml:space="preserve">or 4,496 </w:t>
      </w:r>
      <w:r w:rsidR="00B006A4" w:rsidRPr="00B1328B">
        <w:t>were of Aboriginal or Torres Strait Islander background</w:t>
      </w:r>
      <w:r w:rsidR="00745B9B" w:rsidRPr="00B1328B">
        <w:t xml:space="preserve"> (up 10% on last year)</w:t>
      </w:r>
    </w:p>
    <w:p w14:paraId="63279889" w14:textId="30D1C407" w:rsidR="00B006A4" w:rsidRPr="00B1328B" w:rsidRDefault="005F1EB0" w:rsidP="00B006A4">
      <w:pPr>
        <w:pStyle w:val="Bullet1"/>
      </w:pPr>
      <w:r w:rsidRPr="00B1328B">
        <w:lastRenderedPageBreak/>
        <w:t>29</w:t>
      </w:r>
      <w:r w:rsidR="00B006A4" w:rsidRPr="00B1328B">
        <w:t xml:space="preserve">% </w:t>
      </w:r>
      <w:r w:rsidR="00594A42" w:rsidRPr="00B1328B">
        <w:t xml:space="preserve">or 26,310 </w:t>
      </w:r>
      <w:r w:rsidR="00B006A4" w:rsidRPr="00B1328B">
        <w:t>had no income</w:t>
      </w:r>
      <w:r w:rsidR="00B1328B">
        <w:rPr>
          <w:rStyle w:val="FootnoteReference"/>
        </w:rPr>
        <w:footnoteReference w:id="4"/>
      </w:r>
      <w:r w:rsidR="00745B9B" w:rsidRPr="00B1328B">
        <w:t xml:space="preserve"> (up 7% on last year)</w:t>
      </w:r>
    </w:p>
    <w:p w14:paraId="5F13D3AA" w14:textId="3E3EB482" w:rsidR="00B006A4" w:rsidRPr="00B1328B" w:rsidRDefault="005F1EB0" w:rsidP="00B006A4">
      <w:pPr>
        <w:pStyle w:val="Bullet1"/>
      </w:pPr>
      <w:r w:rsidRPr="00B1328B">
        <w:t>22</w:t>
      </w:r>
      <w:r w:rsidR="00B006A4" w:rsidRPr="00B1328B">
        <w:t xml:space="preserve">% </w:t>
      </w:r>
      <w:r w:rsidR="00594A42" w:rsidRPr="00B1328B">
        <w:t xml:space="preserve">or 19,921 </w:t>
      </w:r>
      <w:r w:rsidR="00B006A4" w:rsidRPr="00B1328B">
        <w:t>were from culturally and linguistically diverse backgrounds</w:t>
      </w:r>
      <w:r w:rsidR="00B1328B">
        <w:rPr>
          <w:rStyle w:val="FootnoteReference"/>
        </w:rPr>
        <w:footnoteReference w:id="5"/>
      </w:r>
      <w:r w:rsidR="00745B9B" w:rsidRPr="00B1328B">
        <w:t xml:space="preserve"> (up 7% on las year)</w:t>
      </w:r>
    </w:p>
    <w:p w14:paraId="16ABFA00" w14:textId="41180AFF" w:rsidR="00B006A4" w:rsidRPr="00B1328B" w:rsidRDefault="005F1EB0" w:rsidP="00B006A4">
      <w:pPr>
        <w:pStyle w:val="Bullet1"/>
      </w:pPr>
      <w:r w:rsidRPr="00B1328B">
        <w:t>12</w:t>
      </w:r>
      <w:r w:rsidR="00B006A4" w:rsidRPr="00B1328B">
        <w:t>%</w:t>
      </w:r>
      <w:r w:rsidR="00594A42" w:rsidRPr="00B1328B">
        <w:t xml:space="preserve"> or 11,457</w:t>
      </w:r>
      <w:r w:rsidR="00B006A4" w:rsidRPr="00B1328B">
        <w:t xml:space="preserve"> were younger than 19 years of age</w:t>
      </w:r>
      <w:r w:rsidR="00745B9B" w:rsidRPr="00B1328B">
        <w:t xml:space="preserve"> (up 5% on last year)</w:t>
      </w:r>
    </w:p>
    <w:p w14:paraId="410926F7" w14:textId="5E383E88" w:rsidR="00B006A4" w:rsidRPr="00B1328B" w:rsidRDefault="005F1EB0" w:rsidP="00B006A4">
      <w:pPr>
        <w:pStyle w:val="Bullet1"/>
      </w:pPr>
      <w:r w:rsidRPr="00B1328B">
        <w:t>5</w:t>
      </w:r>
      <w:r w:rsidR="00B006A4" w:rsidRPr="00B1328B">
        <w:t xml:space="preserve">% </w:t>
      </w:r>
      <w:r w:rsidR="00594A42" w:rsidRPr="00B1328B">
        <w:t xml:space="preserve">or 4,942 </w:t>
      </w:r>
      <w:r w:rsidR="00B006A4" w:rsidRPr="00B1328B">
        <w:t>were experiencing homelessness</w:t>
      </w:r>
      <w:r w:rsidR="00745B9B" w:rsidRPr="00B1328B">
        <w:t xml:space="preserve"> (up 13% on last year)</w:t>
      </w:r>
    </w:p>
    <w:p w14:paraId="1728B9A9" w14:textId="21EFA929" w:rsidR="00B006A4" w:rsidRPr="002C47F1" w:rsidRDefault="00B006A4" w:rsidP="00B006A4">
      <w:pPr>
        <w:pStyle w:val="Heading2"/>
        <w:rPr>
          <w:highlight w:val="yellow"/>
        </w:rPr>
      </w:pPr>
      <w:r>
        <w:t>Spotlight</w:t>
      </w:r>
      <w:r w:rsidR="00295065">
        <w:t xml:space="preserve"> – </w:t>
      </w:r>
      <w:r w:rsidR="00413667">
        <w:t xml:space="preserve">Family violence legal services </w:t>
      </w:r>
    </w:p>
    <w:p w14:paraId="06572595" w14:textId="1D8AFF8E" w:rsidR="00B006A4" w:rsidRDefault="00F431F3" w:rsidP="00B006A4">
      <w:pPr>
        <w:rPr>
          <w:lang w:eastAsia="en-AU"/>
        </w:rPr>
      </w:pPr>
      <w:r>
        <w:rPr>
          <w:lang w:eastAsia="en-AU"/>
        </w:rPr>
        <w:t xml:space="preserve">In line with community </w:t>
      </w:r>
      <w:r w:rsidR="000F7758">
        <w:rPr>
          <w:lang w:eastAsia="en-AU"/>
        </w:rPr>
        <w:t>and government</w:t>
      </w:r>
      <w:r>
        <w:rPr>
          <w:lang w:eastAsia="en-AU"/>
        </w:rPr>
        <w:t xml:space="preserve"> expectations we have increased our focus on</w:t>
      </w:r>
      <w:r w:rsidR="008F75B4">
        <w:rPr>
          <w:lang w:eastAsia="en-AU"/>
        </w:rPr>
        <w:t xml:space="preserve"> providing</w:t>
      </w:r>
      <w:r>
        <w:rPr>
          <w:lang w:eastAsia="en-AU"/>
        </w:rPr>
        <w:t xml:space="preserve"> family violence </w:t>
      </w:r>
      <w:r w:rsidR="008F75B4">
        <w:rPr>
          <w:lang w:eastAsia="en-AU"/>
        </w:rPr>
        <w:t xml:space="preserve">legal </w:t>
      </w:r>
      <w:r>
        <w:rPr>
          <w:lang w:eastAsia="en-AU"/>
        </w:rPr>
        <w:t>services.</w:t>
      </w:r>
      <w:r w:rsidR="004D4E65">
        <w:rPr>
          <w:lang w:eastAsia="en-AU"/>
        </w:rPr>
        <w:t xml:space="preserve"> These services include matters w</w:t>
      </w:r>
      <w:r w:rsidR="00D063D2">
        <w:rPr>
          <w:lang w:eastAsia="en-AU"/>
        </w:rPr>
        <w:t>h</w:t>
      </w:r>
      <w:r w:rsidR="004D4E65">
        <w:rPr>
          <w:lang w:eastAsia="en-AU"/>
        </w:rPr>
        <w:t>ere family violence may be a contributing factor, such as child protection or criminal offen</w:t>
      </w:r>
      <w:r w:rsidR="00D063D2">
        <w:rPr>
          <w:lang w:eastAsia="en-AU"/>
        </w:rPr>
        <w:t>ces</w:t>
      </w:r>
      <w:r w:rsidR="004D4E65">
        <w:rPr>
          <w:lang w:eastAsia="en-AU"/>
        </w:rPr>
        <w:t xml:space="preserve">. </w:t>
      </w:r>
    </w:p>
    <w:p w14:paraId="057553BC" w14:textId="67D7DE4F" w:rsidR="004D4E65" w:rsidRDefault="00D063D2" w:rsidP="00B006A4">
      <w:pPr>
        <w:rPr>
          <w:lang w:eastAsia="en-AU"/>
        </w:rPr>
      </w:pPr>
      <w:r>
        <w:rPr>
          <w:lang w:eastAsia="en-AU"/>
        </w:rPr>
        <w:t xml:space="preserve">We have significantly exceeded </w:t>
      </w:r>
      <w:r w:rsidR="00345DB7">
        <w:rPr>
          <w:lang w:eastAsia="en-AU"/>
        </w:rPr>
        <w:t xml:space="preserve">the </w:t>
      </w:r>
      <w:r>
        <w:rPr>
          <w:lang w:eastAsia="en-AU"/>
        </w:rPr>
        <w:t xml:space="preserve">targets </w:t>
      </w:r>
      <w:r w:rsidR="00345DB7">
        <w:rPr>
          <w:lang w:eastAsia="en-AU"/>
        </w:rPr>
        <w:t xml:space="preserve">set by the Victorian government </w:t>
      </w:r>
      <w:r>
        <w:rPr>
          <w:lang w:eastAsia="en-AU"/>
        </w:rPr>
        <w:t xml:space="preserve">for legal services and information. </w:t>
      </w:r>
      <w:r w:rsidR="004D4E65" w:rsidRPr="00B1328B">
        <w:rPr>
          <w:lang w:eastAsia="en-AU"/>
        </w:rPr>
        <w:t xml:space="preserve">The </w:t>
      </w:r>
      <w:r w:rsidRPr="00B1328B">
        <w:rPr>
          <w:lang w:eastAsia="en-AU"/>
        </w:rPr>
        <w:t>12</w:t>
      </w:r>
      <w:r w:rsidR="00F10564" w:rsidRPr="00B1328B">
        <w:rPr>
          <w:lang w:eastAsia="en-AU"/>
        </w:rPr>
        <w:t>3</w:t>
      </w:r>
      <w:r w:rsidRPr="00B1328B">
        <w:rPr>
          <w:lang w:eastAsia="en-AU"/>
        </w:rPr>
        <w:t xml:space="preserve"> per cent </w:t>
      </w:r>
      <w:r w:rsidR="004D4E65" w:rsidRPr="00B1328B">
        <w:rPr>
          <w:lang w:eastAsia="en-AU"/>
        </w:rPr>
        <w:t xml:space="preserve">jump in family violence related community legal education and information services </w:t>
      </w:r>
      <w:bookmarkStart w:id="2" w:name="_Hlk521416953"/>
      <w:r w:rsidR="004D4E65" w:rsidRPr="00B1328B">
        <w:rPr>
          <w:lang w:eastAsia="en-AU"/>
        </w:rPr>
        <w:t xml:space="preserve">can be attributed to </w:t>
      </w:r>
      <w:r w:rsidR="001829A1" w:rsidRPr="00B1328B">
        <w:rPr>
          <w:szCs w:val="22"/>
          <w:lang w:eastAsia="en-AU"/>
        </w:rPr>
        <w:t>our increased response to family violence matters</w:t>
      </w:r>
      <w:r w:rsidRPr="00B1328B">
        <w:t>,</w:t>
      </w:r>
      <w:r w:rsidR="004D4E65" w:rsidRPr="00B1328B">
        <w:t xml:space="preserve"> improved data capture and the establishment of the Family Advocacy and Support Services in Commonwealth family court registries funded by the Commonwealth government and launched in May 2017.</w:t>
      </w:r>
      <w:bookmarkEnd w:id="2"/>
      <w:r w:rsidR="00A756E7">
        <w:t xml:space="preserve"> </w:t>
      </w:r>
      <w:r w:rsidR="000F7758">
        <w:t>This service</w:t>
      </w:r>
      <w:r w:rsidR="0043722F">
        <w:t xml:space="preserve"> combines legal advice, risk screening, safety planning, social support and referrals for families affected by family violence who are involved in family law proceedings. These results demonstrate our increased focus on improving early intervention services for people families affected by family violence. They also reflect </w:t>
      </w:r>
      <w:r w:rsidR="00A756E7">
        <w:rPr>
          <w:szCs w:val="22"/>
        </w:rPr>
        <w:t>increased community understanding and awareness of family violence, and the role Victoria Legal Aid can play in response.</w:t>
      </w:r>
    </w:p>
    <w:p w14:paraId="720A0623" w14:textId="11BD5DE5" w:rsidR="004D4E65" w:rsidRPr="000E045E" w:rsidRDefault="004D4E65" w:rsidP="004D4E65">
      <w:r w:rsidRPr="000E045E">
        <w:t xml:space="preserve">We are working with Family Safety Victoria (FSV) and community legal centres on the design and implementation of The Orange Door support and safety hubs, including how legal advice will be provided within or connected with the </w:t>
      </w:r>
      <w:r w:rsidR="00345DB7">
        <w:t>h</w:t>
      </w:r>
      <w:r w:rsidRPr="000E045E">
        <w:t>ubs.</w:t>
      </w:r>
      <w:r w:rsidR="000E045E">
        <w:t xml:space="preserve"> We are also continuing to support a range of other reforms designed to improve community-wide responses to family violence. </w:t>
      </w:r>
    </w:p>
    <w:p w14:paraId="059A5A0A" w14:textId="6B957B2C" w:rsidR="004D4E65" w:rsidRPr="00CE68F2" w:rsidRDefault="004D4E65" w:rsidP="004D4E65"/>
    <w:tbl>
      <w:tblPr>
        <w:tblStyle w:val="TableGrid"/>
        <w:tblW w:w="5000" w:type="pct"/>
        <w:tblLook w:val="04A0" w:firstRow="1" w:lastRow="0" w:firstColumn="1" w:lastColumn="0" w:noHBand="0" w:noVBand="1"/>
      </w:tblPr>
      <w:tblGrid>
        <w:gridCol w:w="3836"/>
        <w:gridCol w:w="2927"/>
        <w:gridCol w:w="1657"/>
        <w:gridCol w:w="1656"/>
      </w:tblGrid>
      <w:tr w:rsidR="003B7750" w:rsidRPr="002312A1" w14:paraId="2A76B741" w14:textId="77777777" w:rsidTr="003B7750">
        <w:trPr>
          <w:tblHeader/>
        </w:trPr>
        <w:tc>
          <w:tcPr>
            <w:tcW w:w="1903" w:type="pct"/>
            <w:shd w:val="clear" w:color="auto" w:fill="D9D9D9" w:themeFill="background1" w:themeFillShade="D9"/>
          </w:tcPr>
          <w:p w14:paraId="0D7CE5B6" w14:textId="77777777" w:rsidR="003B7750" w:rsidRPr="002312A1" w:rsidRDefault="003B7750" w:rsidP="00903A08">
            <w:pPr>
              <w:rPr>
                <w:b/>
                <w:lang w:eastAsia="en-AU"/>
              </w:rPr>
            </w:pPr>
            <w:r w:rsidRPr="002312A1">
              <w:rPr>
                <w:b/>
              </w:rPr>
              <w:t>Output measure</w:t>
            </w:r>
          </w:p>
        </w:tc>
        <w:tc>
          <w:tcPr>
            <w:tcW w:w="1452" w:type="pct"/>
            <w:shd w:val="clear" w:color="auto" w:fill="D9D9D9" w:themeFill="background1" w:themeFillShade="D9"/>
          </w:tcPr>
          <w:p w14:paraId="0B8533D0" w14:textId="77777777" w:rsidR="003B7750" w:rsidRPr="007C6992" w:rsidRDefault="003B7750" w:rsidP="00903A08">
            <w:pPr>
              <w:rPr>
                <w:b/>
              </w:rPr>
            </w:pPr>
            <w:r w:rsidRPr="002312A1">
              <w:rPr>
                <w:b/>
              </w:rPr>
              <w:t>Annual Target</w:t>
            </w:r>
          </w:p>
        </w:tc>
        <w:tc>
          <w:tcPr>
            <w:tcW w:w="822" w:type="pct"/>
            <w:shd w:val="clear" w:color="auto" w:fill="D9D9D9" w:themeFill="background1" w:themeFillShade="D9"/>
          </w:tcPr>
          <w:p w14:paraId="6D1216C4" w14:textId="77777777" w:rsidR="003B7750" w:rsidRPr="002312A1" w:rsidRDefault="003B7750" w:rsidP="00903A08">
            <w:pPr>
              <w:rPr>
                <w:b/>
                <w:lang w:eastAsia="en-AU"/>
              </w:rPr>
            </w:pPr>
            <w:r w:rsidRPr="002312A1">
              <w:rPr>
                <w:b/>
              </w:rPr>
              <w:t>Actual</w:t>
            </w:r>
          </w:p>
        </w:tc>
        <w:tc>
          <w:tcPr>
            <w:tcW w:w="822" w:type="pct"/>
            <w:shd w:val="clear" w:color="auto" w:fill="D9D9D9" w:themeFill="background1" w:themeFillShade="D9"/>
          </w:tcPr>
          <w:p w14:paraId="6A005982" w14:textId="77777777" w:rsidR="003B7750" w:rsidRPr="002312A1" w:rsidRDefault="003B7750" w:rsidP="00903A08">
            <w:pPr>
              <w:rPr>
                <w:b/>
                <w:lang w:eastAsia="en-AU"/>
              </w:rPr>
            </w:pPr>
            <w:r>
              <w:rPr>
                <w:b/>
              </w:rPr>
              <w:t>% Change</w:t>
            </w:r>
          </w:p>
        </w:tc>
      </w:tr>
      <w:tr w:rsidR="003B7750" w:rsidRPr="00AB66DF" w14:paraId="40B08F3E" w14:textId="77777777" w:rsidTr="003B7750">
        <w:tc>
          <w:tcPr>
            <w:tcW w:w="1903" w:type="pct"/>
          </w:tcPr>
          <w:p w14:paraId="27610917" w14:textId="77777777" w:rsidR="003B7750" w:rsidRDefault="003B7750" w:rsidP="00903A08">
            <w:pPr>
              <w:rPr>
                <w:lang w:eastAsia="en-AU"/>
              </w:rPr>
            </w:pPr>
            <w:r>
              <w:t>Community legal education and information services –family violence related services</w:t>
            </w:r>
          </w:p>
        </w:tc>
        <w:tc>
          <w:tcPr>
            <w:tcW w:w="1452" w:type="pct"/>
            <w:vAlign w:val="bottom"/>
          </w:tcPr>
          <w:p w14:paraId="50A66DFA" w14:textId="77777777" w:rsidR="003B7750" w:rsidRPr="00AB66DF" w:rsidRDefault="003B7750" w:rsidP="00903A08">
            <w:pPr>
              <w:jc w:val="right"/>
              <w:rPr>
                <w:lang w:eastAsia="en-AU"/>
              </w:rPr>
            </w:pPr>
            <w:r w:rsidRPr="00AB66DF">
              <w:rPr>
                <w:lang w:eastAsia="en-AU"/>
              </w:rPr>
              <w:t>11,500</w:t>
            </w:r>
          </w:p>
        </w:tc>
        <w:tc>
          <w:tcPr>
            <w:tcW w:w="822" w:type="pct"/>
            <w:vAlign w:val="bottom"/>
          </w:tcPr>
          <w:p w14:paraId="7AD60E84" w14:textId="0E004ACB" w:rsidR="003B7750" w:rsidRPr="00AB66DF" w:rsidRDefault="003B7750" w:rsidP="00903A08">
            <w:pPr>
              <w:jc w:val="right"/>
              <w:rPr>
                <w:lang w:eastAsia="en-AU"/>
              </w:rPr>
            </w:pPr>
            <w:r>
              <w:rPr>
                <w:rFonts w:cs="Arial"/>
                <w:szCs w:val="22"/>
              </w:rPr>
              <w:t>25,595</w:t>
            </w:r>
          </w:p>
        </w:tc>
        <w:tc>
          <w:tcPr>
            <w:tcW w:w="822" w:type="pct"/>
            <w:vAlign w:val="bottom"/>
          </w:tcPr>
          <w:p w14:paraId="00F7E248" w14:textId="3C421215" w:rsidR="003B7750" w:rsidRPr="00AB66DF" w:rsidRDefault="003B7750" w:rsidP="00903A08">
            <w:pPr>
              <w:jc w:val="right"/>
              <w:rPr>
                <w:lang w:eastAsia="en-AU"/>
              </w:rPr>
            </w:pPr>
            <w:r>
              <w:rPr>
                <w:lang w:eastAsia="en-AU"/>
              </w:rPr>
              <w:t>123</w:t>
            </w:r>
          </w:p>
        </w:tc>
      </w:tr>
      <w:tr w:rsidR="003B7750" w14:paraId="747C1D4C" w14:textId="77777777" w:rsidTr="003B7750">
        <w:tc>
          <w:tcPr>
            <w:tcW w:w="1903" w:type="pct"/>
          </w:tcPr>
          <w:p w14:paraId="50740202" w14:textId="77777777" w:rsidR="003B7750" w:rsidRDefault="003B7750" w:rsidP="00903A08">
            <w:r>
              <w:t>Family violence legal services</w:t>
            </w:r>
          </w:p>
        </w:tc>
        <w:tc>
          <w:tcPr>
            <w:tcW w:w="1452" w:type="pct"/>
            <w:vAlign w:val="bottom"/>
          </w:tcPr>
          <w:p w14:paraId="0D7DECC8" w14:textId="77777777" w:rsidR="003B7750" w:rsidRPr="00AB66DF" w:rsidRDefault="003B7750" w:rsidP="00903A08">
            <w:pPr>
              <w:jc w:val="right"/>
              <w:rPr>
                <w:lang w:eastAsia="en-AU"/>
              </w:rPr>
            </w:pPr>
            <w:r w:rsidRPr="00AB66DF">
              <w:rPr>
                <w:lang w:eastAsia="en-AU"/>
              </w:rPr>
              <w:t>32,000</w:t>
            </w:r>
          </w:p>
        </w:tc>
        <w:tc>
          <w:tcPr>
            <w:tcW w:w="822" w:type="pct"/>
            <w:vAlign w:val="bottom"/>
          </w:tcPr>
          <w:p w14:paraId="747957E6" w14:textId="77777777" w:rsidR="003B7750" w:rsidRPr="00AB66DF" w:rsidRDefault="003B7750" w:rsidP="00903A08">
            <w:pPr>
              <w:jc w:val="right"/>
              <w:rPr>
                <w:lang w:eastAsia="en-AU"/>
              </w:rPr>
            </w:pPr>
            <w:r>
              <w:rPr>
                <w:szCs w:val="22"/>
              </w:rPr>
              <w:t>39,086</w:t>
            </w:r>
          </w:p>
        </w:tc>
        <w:tc>
          <w:tcPr>
            <w:tcW w:w="822" w:type="pct"/>
            <w:vAlign w:val="bottom"/>
          </w:tcPr>
          <w:p w14:paraId="6E2DF77B" w14:textId="77777777" w:rsidR="003B7750" w:rsidRDefault="003B7750" w:rsidP="00903A08">
            <w:pPr>
              <w:jc w:val="right"/>
              <w:rPr>
                <w:lang w:eastAsia="en-AU"/>
              </w:rPr>
            </w:pPr>
            <w:r>
              <w:rPr>
                <w:lang w:eastAsia="en-AU"/>
              </w:rPr>
              <w:t>22</w:t>
            </w:r>
          </w:p>
        </w:tc>
      </w:tr>
    </w:tbl>
    <w:p w14:paraId="587CD0F0" w14:textId="3B63D8CB" w:rsidR="004D4E65" w:rsidRPr="00CE68F2" w:rsidRDefault="004D4E65" w:rsidP="004D4E65"/>
    <w:p w14:paraId="3FD5B42A" w14:textId="24735249" w:rsidR="00D063D2" w:rsidRPr="002C47F1" w:rsidRDefault="00D063D2" w:rsidP="00D063D2">
      <w:pPr>
        <w:pStyle w:val="Heading2"/>
        <w:rPr>
          <w:highlight w:val="yellow"/>
        </w:rPr>
      </w:pPr>
      <w:r>
        <w:t>Spotlight</w:t>
      </w:r>
      <w:r w:rsidR="00295065">
        <w:t xml:space="preserve"> – </w:t>
      </w:r>
      <w:r>
        <w:t>Working smarter with data and technology</w:t>
      </w:r>
    </w:p>
    <w:p w14:paraId="2EA9C183" w14:textId="73BBAB5F" w:rsidR="008F75B4" w:rsidRDefault="00D063D2" w:rsidP="008F75B4">
      <w:r>
        <w:t xml:space="preserve">We are </w:t>
      </w:r>
      <w:r w:rsidR="008F75B4">
        <w:t>investigating new technologies and ways of working to ensure we use our limited resources to help as many people as possible in the most efficient and effective way</w:t>
      </w:r>
      <w:r>
        <w:t>.</w:t>
      </w:r>
      <w:r w:rsidR="008F75B4">
        <w:t xml:space="preserve"> In conjunction with Code for </w:t>
      </w:r>
      <w:r w:rsidR="008F75B4">
        <w:lastRenderedPageBreak/>
        <w:t xml:space="preserve">Australia we have developed a new online referral and booking tool which is halving the time it takes for someone to access </w:t>
      </w:r>
      <w:r w:rsidR="00736A76">
        <w:t xml:space="preserve">the </w:t>
      </w:r>
      <w:r w:rsidR="008F75B4">
        <w:t>service</w:t>
      </w:r>
      <w:r w:rsidR="00736A76">
        <w:t xml:space="preserve"> and support that is best suited to their circumstances.</w:t>
      </w:r>
      <w:r>
        <w:t xml:space="preserve">  </w:t>
      </w:r>
    </w:p>
    <w:p w14:paraId="76A76675" w14:textId="0E1B474E" w:rsidR="008F75B4" w:rsidRDefault="008F75B4" w:rsidP="008F75B4">
      <w:r>
        <w:t xml:space="preserve">Using </w:t>
      </w:r>
      <w:r w:rsidR="009C4FBC">
        <w:t>the tool</w:t>
      </w:r>
      <w:r>
        <w:t>, VLA and participating community legal centres match people to relevant services, based on the type of legal issue, their location and eligibility for assistance. Importantly</w:t>
      </w:r>
      <w:r w:rsidR="00736A76">
        <w:t>,</w:t>
      </w:r>
      <w:r>
        <w:t xml:space="preserve"> staff can book clients directly into services </w:t>
      </w:r>
      <w:r w:rsidR="00736A76">
        <w:t>during their first call or discussion</w:t>
      </w:r>
      <w:r>
        <w:t>, significantly reducing the time it takes for people to get help.</w:t>
      </w:r>
    </w:p>
    <w:p w14:paraId="0A7E0A98" w14:textId="06C2A501" w:rsidR="008F75B4" w:rsidRDefault="008F75B4" w:rsidP="008F75B4">
      <w:r>
        <w:t xml:space="preserve">Between August 2017 and the end of June 2018 </w:t>
      </w:r>
      <w:r w:rsidR="009C4FBC">
        <w:t xml:space="preserve">the tool </w:t>
      </w:r>
      <w:r>
        <w:t xml:space="preserve">supported </w:t>
      </w:r>
      <w:r w:rsidR="00345DB7">
        <w:t>over 7</w:t>
      </w:r>
      <w:r w:rsidR="000F7758">
        <w:t>,</w:t>
      </w:r>
      <w:r w:rsidR="00345DB7">
        <w:t>000</w:t>
      </w:r>
      <w:r>
        <w:t xml:space="preserve"> clients. So far </w:t>
      </w:r>
      <w:r w:rsidR="009C4FBC">
        <w:t xml:space="preserve">11 </w:t>
      </w:r>
      <w:r>
        <w:t xml:space="preserve">community legal centres </w:t>
      </w:r>
      <w:r w:rsidR="00736A76">
        <w:t xml:space="preserve">are using </w:t>
      </w:r>
      <w:r w:rsidR="009C4FBC">
        <w:t xml:space="preserve">the tool </w:t>
      </w:r>
      <w:r w:rsidR="00736A76">
        <w:t xml:space="preserve">and we look forward to making </w:t>
      </w:r>
      <w:r w:rsidR="009C4FBC">
        <w:t>it</w:t>
      </w:r>
      <w:r w:rsidR="00736A76">
        <w:t xml:space="preserve"> available to many more centres across Victoria. </w:t>
      </w:r>
    </w:p>
    <w:p w14:paraId="5A7FBA51" w14:textId="69C48241" w:rsidR="00806121" w:rsidRDefault="00660DC4" w:rsidP="009C4FBC">
      <w:pPr>
        <w:rPr>
          <w:szCs w:val="22"/>
        </w:rPr>
      </w:pPr>
      <w:r w:rsidRPr="00295065">
        <w:t>Operational changes have also helped o</w:t>
      </w:r>
      <w:r w:rsidR="005B76EA" w:rsidRPr="00295065">
        <w:t>ur free</w:t>
      </w:r>
      <w:r w:rsidRPr="00295065">
        <w:t xml:space="preserve"> telephone service, Legal Help, to assist more people, offer them more intensive support</w:t>
      </w:r>
      <w:r w:rsidR="00501BBF">
        <w:t xml:space="preserve"> and reduce the call waiting time</w:t>
      </w:r>
      <w:r w:rsidRPr="00295065">
        <w:t xml:space="preserve">. </w:t>
      </w:r>
      <w:r w:rsidRPr="00295065">
        <w:rPr>
          <w:color w:val="000000" w:themeColor="text1"/>
          <w:szCs w:val="22"/>
        </w:rPr>
        <w:t>The introduction of a</w:t>
      </w:r>
      <w:r w:rsidR="006B21FE">
        <w:rPr>
          <w:color w:val="000000" w:themeColor="text1"/>
          <w:szCs w:val="22"/>
        </w:rPr>
        <w:t xml:space="preserve"> </w:t>
      </w:r>
      <w:r w:rsidR="002D5973">
        <w:rPr>
          <w:color w:val="000000" w:themeColor="text1"/>
          <w:szCs w:val="22"/>
        </w:rPr>
        <w:t>two-stage</w:t>
      </w:r>
      <w:r w:rsidRPr="00295065">
        <w:rPr>
          <w:color w:val="000000" w:themeColor="text1"/>
          <w:szCs w:val="22"/>
        </w:rPr>
        <w:t xml:space="preserve"> </w:t>
      </w:r>
      <w:r w:rsidR="00501BBF">
        <w:rPr>
          <w:color w:val="000000" w:themeColor="text1"/>
          <w:szCs w:val="22"/>
        </w:rPr>
        <w:t>intake and assessment model</w:t>
      </w:r>
      <w:r w:rsidR="0043722F">
        <w:rPr>
          <w:color w:val="000000" w:themeColor="text1"/>
          <w:szCs w:val="22"/>
        </w:rPr>
        <w:t xml:space="preserve"> </w:t>
      </w:r>
      <w:r w:rsidRPr="00295065">
        <w:rPr>
          <w:color w:val="000000" w:themeColor="text1"/>
          <w:szCs w:val="22"/>
        </w:rPr>
        <w:t>in December 2017 means we</w:t>
      </w:r>
      <w:r w:rsidRPr="00295065">
        <w:rPr>
          <w:szCs w:val="22"/>
        </w:rPr>
        <w:t xml:space="preserve"> target our most intensive services to disadvantaged callers and tailor the right level of service to the needs of the caller. </w:t>
      </w:r>
      <w:r w:rsidR="00806121" w:rsidRPr="002E554E">
        <w:rPr>
          <w:szCs w:val="22"/>
        </w:rPr>
        <w:t>61 per cent of callers in 2017</w:t>
      </w:r>
      <w:r w:rsidR="00806121" w:rsidRPr="002E554E">
        <w:rPr>
          <w:rFonts w:cs="Arial"/>
          <w:szCs w:val="22"/>
        </w:rPr>
        <w:t>–</w:t>
      </w:r>
      <w:r w:rsidR="00806121" w:rsidRPr="002E554E">
        <w:rPr>
          <w:szCs w:val="22"/>
        </w:rPr>
        <w:t xml:space="preserve">18 had priority factors that make them eligible for more intensive services from VLA. Callers who do not have any priority indicators are provided with legal information resources in an email </w:t>
      </w:r>
      <w:r w:rsidR="00806121">
        <w:rPr>
          <w:szCs w:val="22"/>
        </w:rPr>
        <w:t xml:space="preserve">which assists them to take further action to deal with their legal problems. </w:t>
      </w:r>
    </w:p>
    <w:p w14:paraId="44A1E64D" w14:textId="63BCBBDB" w:rsidR="009C4FBC" w:rsidRPr="00295065" w:rsidRDefault="00660DC4" w:rsidP="009C4FBC">
      <w:r w:rsidRPr="00295065">
        <w:t xml:space="preserve">While our annual results show significant improvement in our services, the impact of our new operating model is most effectively demonstrated by comparing January to June 2018 to the same period in 2017. </w:t>
      </w:r>
    </w:p>
    <w:p w14:paraId="5849868A" w14:textId="023DDEB6" w:rsidR="00731361" w:rsidRDefault="00660DC4" w:rsidP="009C4FBC">
      <w:r w:rsidRPr="00295065">
        <w:t>There was a 50 per cent increase in advice sessions in the first six months of 2018, compared to the same period in 2017. Information sessions rose by 10 percent, and the number of calls answered was 11 per cent higher. Most importantly for clients there was a three minute or 32 per cent reduction in waiting times.</w:t>
      </w:r>
      <w:r w:rsidRPr="002E554E">
        <w:t xml:space="preserve"> </w:t>
      </w:r>
    </w:p>
    <w:p w14:paraId="1A958B4A" w14:textId="77777777" w:rsidR="00731361" w:rsidRDefault="00731361">
      <w:pPr>
        <w:spacing w:after="0" w:line="240" w:lineRule="auto"/>
      </w:pPr>
      <w:r>
        <w:br w:type="page"/>
      </w:r>
    </w:p>
    <w:p w14:paraId="17BB4BEE" w14:textId="77777777" w:rsidR="00B006A4" w:rsidRDefault="00B006A4" w:rsidP="00B006A4">
      <w:pPr>
        <w:pStyle w:val="Heading2"/>
      </w:pPr>
      <w:r>
        <w:lastRenderedPageBreak/>
        <w:t>Program performance report</w:t>
      </w:r>
    </w:p>
    <w:p w14:paraId="075C9D3D" w14:textId="77777777" w:rsidR="00B006A4" w:rsidRDefault="00B006A4" w:rsidP="00B006A4">
      <w:pPr>
        <w:pStyle w:val="Heading3"/>
      </w:pPr>
      <w:r>
        <w:t>Access and Equity</w:t>
      </w:r>
    </w:p>
    <w:p w14:paraId="0708F459" w14:textId="77777777" w:rsidR="00B006A4" w:rsidRDefault="00B006A4" w:rsidP="00B006A4">
      <w:r w:rsidRPr="00AD7A21">
        <w:t>We must design and provide services that are accessible and appropriate to need. Our work ranges from helping individual clients with information and advice in 24 different languages over the phone, or with the provision of information via our website, or through our delivery of community legal education (which aims to prevent problems from occurring). We also support the community legal sector.</w:t>
      </w:r>
    </w:p>
    <w:p w14:paraId="7D929CDF" w14:textId="77777777" w:rsidR="00B006A4" w:rsidRDefault="00B006A4" w:rsidP="00B006A4">
      <w:pPr>
        <w:pStyle w:val="Heading4"/>
      </w:pPr>
      <w:r>
        <w:t>Legal Help</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355"/>
        <w:gridCol w:w="1606"/>
        <w:gridCol w:w="1646"/>
        <w:gridCol w:w="1469"/>
      </w:tblGrid>
      <w:tr w:rsidR="00B006A4" w:rsidRPr="00CF143E" w14:paraId="0B7C3AD4" w14:textId="77777777" w:rsidTr="003B7750">
        <w:trPr>
          <w:cnfStyle w:val="100000000000" w:firstRow="1" w:lastRow="0" w:firstColumn="0" w:lastColumn="0" w:oddVBand="0" w:evenVBand="0" w:oddHBand="0" w:evenHBand="0" w:firstRowFirstColumn="0" w:firstRowLastColumn="0" w:lastRowFirstColumn="0" w:lastRowLastColumn="0"/>
        </w:trPr>
        <w:tc>
          <w:tcPr>
            <w:tcW w:w="2657" w:type="pct"/>
            <w:shd w:val="clear" w:color="auto" w:fill="BFBFBF" w:themeFill="background1" w:themeFillShade="BF"/>
          </w:tcPr>
          <w:p w14:paraId="7C990D18" w14:textId="77777777" w:rsidR="00B006A4" w:rsidRPr="00CF143E" w:rsidRDefault="00B006A4" w:rsidP="002C47F1">
            <w:pPr>
              <w:rPr>
                <w:b/>
                <w:color w:val="000000" w:themeColor="text1"/>
              </w:rPr>
            </w:pPr>
          </w:p>
        </w:tc>
        <w:tc>
          <w:tcPr>
            <w:tcW w:w="797" w:type="pct"/>
            <w:shd w:val="clear" w:color="auto" w:fill="BFBFBF" w:themeFill="background1" w:themeFillShade="BF"/>
          </w:tcPr>
          <w:p w14:paraId="16985C1D" w14:textId="59B959E6" w:rsidR="00B006A4" w:rsidRPr="00F120B1" w:rsidRDefault="00D060EA" w:rsidP="00EC795B">
            <w:pPr>
              <w:jc w:val="right"/>
              <w:rPr>
                <w:b/>
                <w:color w:val="000000" w:themeColor="text1"/>
              </w:rPr>
            </w:pPr>
            <w:r>
              <w:rPr>
                <w:b/>
              </w:rPr>
              <w:t>2016–17</w:t>
            </w:r>
          </w:p>
        </w:tc>
        <w:tc>
          <w:tcPr>
            <w:tcW w:w="817" w:type="pct"/>
            <w:shd w:val="clear" w:color="auto" w:fill="BFBFBF" w:themeFill="background1" w:themeFillShade="BF"/>
          </w:tcPr>
          <w:p w14:paraId="6E128AE4" w14:textId="6F165A37" w:rsidR="00B006A4" w:rsidRPr="00F120B1" w:rsidRDefault="00F665BB" w:rsidP="00EC795B">
            <w:pPr>
              <w:jc w:val="right"/>
              <w:rPr>
                <w:b/>
                <w:color w:val="000000" w:themeColor="text1"/>
              </w:rPr>
            </w:pPr>
            <w:r>
              <w:rPr>
                <w:b/>
              </w:rPr>
              <w:t>2017</w:t>
            </w:r>
            <w:r>
              <w:rPr>
                <w:rFonts w:cs="Arial"/>
                <w:b/>
              </w:rPr>
              <w:t>–</w:t>
            </w:r>
            <w:r>
              <w:rPr>
                <w:b/>
              </w:rPr>
              <w:t>18</w:t>
            </w:r>
          </w:p>
        </w:tc>
        <w:tc>
          <w:tcPr>
            <w:tcW w:w="729" w:type="pct"/>
            <w:shd w:val="clear" w:color="auto" w:fill="BFBFBF" w:themeFill="background1" w:themeFillShade="BF"/>
          </w:tcPr>
          <w:p w14:paraId="58673C2C" w14:textId="43D92C39" w:rsidR="00B006A4" w:rsidRPr="00F120B1" w:rsidRDefault="005A3FC5" w:rsidP="00EC795B">
            <w:pPr>
              <w:jc w:val="right"/>
              <w:rPr>
                <w:b/>
                <w:color w:val="000000" w:themeColor="text1"/>
              </w:rPr>
            </w:pPr>
            <w:r>
              <w:rPr>
                <w:b/>
              </w:rPr>
              <w:t>% Change</w:t>
            </w:r>
          </w:p>
        </w:tc>
      </w:tr>
      <w:tr w:rsidR="00B006A4" w:rsidRPr="00BC6766" w14:paraId="0537B12A" w14:textId="77777777" w:rsidTr="003B7750">
        <w:trPr>
          <w:cnfStyle w:val="000000100000" w:firstRow="0" w:lastRow="0" w:firstColumn="0" w:lastColumn="0" w:oddVBand="0" w:evenVBand="0" w:oddHBand="1" w:evenHBand="0" w:firstRowFirstColumn="0" w:firstRowLastColumn="0" w:lastRowFirstColumn="0" w:lastRowLastColumn="0"/>
        </w:trPr>
        <w:tc>
          <w:tcPr>
            <w:tcW w:w="2657" w:type="pct"/>
          </w:tcPr>
          <w:p w14:paraId="37E99E7F" w14:textId="77777777" w:rsidR="00B006A4" w:rsidRPr="00BC6766" w:rsidRDefault="00B006A4" w:rsidP="002C47F1">
            <w:r w:rsidRPr="00F120B1">
              <w:t>Calls to the service</w:t>
            </w:r>
          </w:p>
        </w:tc>
        <w:tc>
          <w:tcPr>
            <w:tcW w:w="797" w:type="pct"/>
          </w:tcPr>
          <w:p w14:paraId="187252EB" w14:textId="77777777" w:rsidR="00B006A4" w:rsidRPr="00FD1C4F" w:rsidRDefault="005D2F1E" w:rsidP="002C47F1">
            <w:pPr>
              <w:jc w:val="right"/>
            </w:pPr>
            <w:r>
              <w:t>191,030</w:t>
            </w:r>
          </w:p>
        </w:tc>
        <w:tc>
          <w:tcPr>
            <w:tcW w:w="817" w:type="pct"/>
          </w:tcPr>
          <w:p w14:paraId="74E3C09C" w14:textId="3C7BAD7E" w:rsidR="00B006A4" w:rsidRPr="00FD1C4F" w:rsidRDefault="005F1EB0" w:rsidP="002C47F1">
            <w:pPr>
              <w:jc w:val="right"/>
            </w:pPr>
            <w:r>
              <w:t>196,177</w:t>
            </w:r>
          </w:p>
        </w:tc>
        <w:tc>
          <w:tcPr>
            <w:tcW w:w="729" w:type="pct"/>
          </w:tcPr>
          <w:p w14:paraId="60610633" w14:textId="24C294EA" w:rsidR="00B006A4" w:rsidRPr="00FD1C4F" w:rsidRDefault="005F1EB0" w:rsidP="002C47F1">
            <w:pPr>
              <w:jc w:val="right"/>
            </w:pPr>
            <w:r>
              <w:t>3</w:t>
            </w:r>
          </w:p>
        </w:tc>
      </w:tr>
      <w:tr w:rsidR="00B006A4" w:rsidRPr="00BC6766" w14:paraId="33F04A0B" w14:textId="77777777" w:rsidTr="003B7750">
        <w:trPr>
          <w:cnfStyle w:val="000000010000" w:firstRow="0" w:lastRow="0" w:firstColumn="0" w:lastColumn="0" w:oddVBand="0" w:evenVBand="0" w:oddHBand="0" w:evenHBand="1" w:firstRowFirstColumn="0" w:firstRowLastColumn="0" w:lastRowFirstColumn="0" w:lastRowLastColumn="0"/>
        </w:trPr>
        <w:tc>
          <w:tcPr>
            <w:tcW w:w="2657" w:type="pct"/>
          </w:tcPr>
          <w:p w14:paraId="44945B8B" w14:textId="77777777" w:rsidR="00B006A4" w:rsidRPr="00BC6766" w:rsidRDefault="00B006A4" w:rsidP="002C47F1">
            <w:r>
              <w:t xml:space="preserve">Calls </w:t>
            </w:r>
            <w:r w:rsidRPr="00D91616">
              <w:t>answered</w:t>
            </w:r>
          </w:p>
        </w:tc>
        <w:tc>
          <w:tcPr>
            <w:tcW w:w="797" w:type="pct"/>
          </w:tcPr>
          <w:p w14:paraId="0A88C1AF" w14:textId="77777777" w:rsidR="00B006A4" w:rsidRPr="00FD1C4F" w:rsidRDefault="005D2F1E" w:rsidP="002C47F1">
            <w:pPr>
              <w:jc w:val="right"/>
            </w:pPr>
            <w:r>
              <w:t>125,512</w:t>
            </w:r>
          </w:p>
        </w:tc>
        <w:tc>
          <w:tcPr>
            <w:tcW w:w="817" w:type="pct"/>
          </w:tcPr>
          <w:p w14:paraId="3B7B166A" w14:textId="72077FE6" w:rsidR="00B006A4" w:rsidRPr="00FD1C4F" w:rsidRDefault="005F1EB0" w:rsidP="002C47F1">
            <w:pPr>
              <w:jc w:val="right"/>
            </w:pPr>
            <w:r>
              <w:t>135,193</w:t>
            </w:r>
          </w:p>
        </w:tc>
        <w:tc>
          <w:tcPr>
            <w:tcW w:w="729" w:type="pct"/>
          </w:tcPr>
          <w:p w14:paraId="7C17B10D" w14:textId="57D7A04F" w:rsidR="00B006A4" w:rsidRPr="00FD1C4F" w:rsidRDefault="005F1EB0" w:rsidP="002C47F1">
            <w:pPr>
              <w:jc w:val="right"/>
            </w:pPr>
            <w:r>
              <w:t>8</w:t>
            </w:r>
          </w:p>
        </w:tc>
      </w:tr>
    </w:tbl>
    <w:p w14:paraId="24554776" w14:textId="77777777" w:rsidR="00B006A4" w:rsidRDefault="00B006A4" w:rsidP="00B006A4"/>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506"/>
        <w:gridCol w:w="3424"/>
        <w:gridCol w:w="3146"/>
      </w:tblGrid>
      <w:tr w:rsidR="005F1EB0" w:rsidRPr="000674AD" w14:paraId="3D010678" w14:textId="77777777" w:rsidTr="003B7750">
        <w:trPr>
          <w:cnfStyle w:val="100000000000" w:firstRow="1" w:lastRow="0" w:firstColumn="0" w:lastColumn="0" w:oddVBand="0" w:evenVBand="0" w:oddHBand="0" w:evenHBand="0" w:firstRowFirstColumn="0" w:firstRowLastColumn="0" w:lastRowFirstColumn="0" w:lastRowLastColumn="0"/>
          <w:trHeight w:val="322"/>
        </w:trPr>
        <w:tc>
          <w:tcPr>
            <w:tcW w:w="1740" w:type="pct"/>
            <w:shd w:val="clear" w:color="auto" w:fill="BFBFBF" w:themeFill="background1" w:themeFillShade="BF"/>
            <w:vAlign w:val="center"/>
          </w:tcPr>
          <w:p w14:paraId="76A34DEF" w14:textId="77777777" w:rsidR="005F1EB0" w:rsidRPr="00F120B1" w:rsidRDefault="005F1EB0" w:rsidP="002C47F1">
            <w:pPr>
              <w:rPr>
                <w:b/>
                <w:color w:val="000000" w:themeColor="text1"/>
              </w:rPr>
            </w:pPr>
            <w:r>
              <w:rPr>
                <w:b/>
                <w:color w:val="000000" w:themeColor="text1"/>
              </w:rPr>
              <w:t>Year</w:t>
            </w:r>
          </w:p>
        </w:tc>
        <w:tc>
          <w:tcPr>
            <w:tcW w:w="1699" w:type="pct"/>
            <w:shd w:val="clear" w:color="auto" w:fill="BFBFBF" w:themeFill="background1" w:themeFillShade="BF"/>
          </w:tcPr>
          <w:p w14:paraId="71F1C262" w14:textId="31F89D94" w:rsidR="005F1EB0" w:rsidRPr="000674AD" w:rsidRDefault="005F1EB0" w:rsidP="00EC795B">
            <w:pPr>
              <w:jc w:val="right"/>
              <w:rPr>
                <w:b/>
                <w:color w:val="000000" w:themeColor="text1"/>
              </w:rPr>
            </w:pPr>
            <w:r>
              <w:rPr>
                <w:b/>
              </w:rPr>
              <w:t>2016–17</w:t>
            </w:r>
          </w:p>
        </w:tc>
        <w:tc>
          <w:tcPr>
            <w:tcW w:w="1561" w:type="pct"/>
            <w:shd w:val="clear" w:color="auto" w:fill="BFBFBF" w:themeFill="background1" w:themeFillShade="BF"/>
          </w:tcPr>
          <w:p w14:paraId="2772CDBF" w14:textId="2CC71BB4" w:rsidR="005F1EB0" w:rsidRDefault="005F1EB0" w:rsidP="00EC795B">
            <w:pPr>
              <w:jc w:val="right"/>
              <w:rPr>
                <w:b/>
              </w:rPr>
            </w:pPr>
            <w:r>
              <w:rPr>
                <w:b/>
              </w:rPr>
              <w:t>2017</w:t>
            </w:r>
            <w:r>
              <w:rPr>
                <w:rFonts w:cs="Arial"/>
                <w:b/>
              </w:rPr>
              <w:t>–</w:t>
            </w:r>
            <w:r>
              <w:rPr>
                <w:b/>
              </w:rPr>
              <w:t>18</w:t>
            </w:r>
          </w:p>
        </w:tc>
      </w:tr>
      <w:tr w:rsidR="005F1EB0" w:rsidRPr="00BD4690" w14:paraId="0EFDDD53" w14:textId="77777777" w:rsidTr="003B7750">
        <w:trPr>
          <w:cnfStyle w:val="000000100000" w:firstRow="0" w:lastRow="0" w:firstColumn="0" w:lastColumn="0" w:oddVBand="0" w:evenVBand="0" w:oddHBand="1" w:evenHBand="0" w:firstRowFirstColumn="0" w:firstRowLastColumn="0" w:lastRowFirstColumn="0" w:lastRowLastColumn="0"/>
          <w:trHeight w:val="310"/>
        </w:trPr>
        <w:tc>
          <w:tcPr>
            <w:tcW w:w="1740" w:type="pct"/>
            <w:vAlign w:val="center"/>
          </w:tcPr>
          <w:p w14:paraId="6B61FAD0" w14:textId="30189617" w:rsidR="005F1EB0" w:rsidRPr="000674AD" w:rsidRDefault="005F1EB0" w:rsidP="002C47F1">
            <w:r>
              <w:rPr>
                <w:color w:val="000000" w:themeColor="text1"/>
              </w:rPr>
              <w:t>Average call wait time</w:t>
            </w:r>
          </w:p>
        </w:tc>
        <w:tc>
          <w:tcPr>
            <w:tcW w:w="1699" w:type="pct"/>
          </w:tcPr>
          <w:p w14:paraId="28DFF9DF" w14:textId="77777777" w:rsidR="005F1EB0" w:rsidRPr="00BD4690" w:rsidRDefault="005F1EB0" w:rsidP="002C47F1">
            <w:pPr>
              <w:jc w:val="right"/>
              <w:rPr>
                <w:szCs w:val="22"/>
              </w:rPr>
            </w:pPr>
            <w:r>
              <w:rPr>
                <w:szCs w:val="22"/>
              </w:rPr>
              <w:t>8m 42s</w:t>
            </w:r>
          </w:p>
        </w:tc>
        <w:tc>
          <w:tcPr>
            <w:tcW w:w="1561" w:type="pct"/>
          </w:tcPr>
          <w:p w14:paraId="4EA6CC18" w14:textId="33A3A016" w:rsidR="005F1EB0" w:rsidRPr="00BD4690" w:rsidRDefault="005F1EB0" w:rsidP="002C47F1">
            <w:pPr>
              <w:jc w:val="right"/>
              <w:rPr>
                <w:szCs w:val="22"/>
              </w:rPr>
            </w:pPr>
            <w:r>
              <w:rPr>
                <w:szCs w:val="22"/>
              </w:rPr>
              <w:t>8m 49s</w:t>
            </w:r>
          </w:p>
        </w:tc>
      </w:tr>
      <w:tr w:rsidR="005F1EB0" w:rsidRPr="00BD4690" w14:paraId="76E54B42" w14:textId="77777777" w:rsidTr="003B7750">
        <w:trPr>
          <w:cnfStyle w:val="000000010000" w:firstRow="0" w:lastRow="0" w:firstColumn="0" w:lastColumn="0" w:oddVBand="0" w:evenVBand="0" w:oddHBand="0" w:evenHBand="1" w:firstRowFirstColumn="0" w:firstRowLastColumn="0" w:lastRowFirstColumn="0" w:lastRowLastColumn="0"/>
          <w:trHeight w:val="322"/>
        </w:trPr>
        <w:tc>
          <w:tcPr>
            <w:tcW w:w="1740" w:type="pct"/>
            <w:vAlign w:val="center"/>
          </w:tcPr>
          <w:p w14:paraId="3C206FC7" w14:textId="77777777" w:rsidR="005F1EB0" w:rsidRPr="000674AD" w:rsidRDefault="005F1EB0" w:rsidP="002C47F1">
            <w:r>
              <w:rPr>
                <w:color w:val="000000" w:themeColor="text1"/>
              </w:rPr>
              <w:t>Average call duration</w:t>
            </w:r>
          </w:p>
        </w:tc>
        <w:tc>
          <w:tcPr>
            <w:tcW w:w="1699" w:type="pct"/>
          </w:tcPr>
          <w:p w14:paraId="436CE8BB" w14:textId="77777777" w:rsidR="005F1EB0" w:rsidRPr="00BD4690" w:rsidRDefault="005F1EB0" w:rsidP="002C47F1">
            <w:pPr>
              <w:jc w:val="right"/>
              <w:rPr>
                <w:szCs w:val="22"/>
              </w:rPr>
            </w:pPr>
            <w:r>
              <w:rPr>
                <w:szCs w:val="22"/>
              </w:rPr>
              <w:t>9m 47s</w:t>
            </w:r>
          </w:p>
        </w:tc>
        <w:tc>
          <w:tcPr>
            <w:tcW w:w="1561" w:type="pct"/>
          </w:tcPr>
          <w:p w14:paraId="7D34B79D" w14:textId="11726C3E" w:rsidR="005F1EB0" w:rsidRPr="00BD4690" w:rsidRDefault="005F1EB0" w:rsidP="002C47F1">
            <w:pPr>
              <w:jc w:val="right"/>
              <w:rPr>
                <w:szCs w:val="22"/>
              </w:rPr>
            </w:pPr>
            <w:r w:rsidRPr="00BD0F8C">
              <w:t>16</w:t>
            </w:r>
            <w:r>
              <w:t>m</w:t>
            </w:r>
            <w:r w:rsidRPr="00BD0F8C">
              <w:t xml:space="preserve"> 11</w:t>
            </w:r>
            <w:r>
              <w:t>s</w:t>
            </w:r>
          </w:p>
        </w:tc>
      </w:tr>
    </w:tbl>
    <w:p w14:paraId="2BCB75C3" w14:textId="57BA55ED" w:rsidR="00CE5D55" w:rsidRDefault="00CE5D55" w:rsidP="00CE5D55">
      <w:pPr>
        <w:spacing w:before="240"/>
      </w:pPr>
      <w:r w:rsidRPr="002F34F5">
        <w:rPr>
          <w:lang w:eastAsia="en-AU"/>
        </w:rPr>
        <w:t xml:space="preserve">Demand for </w:t>
      </w:r>
      <w:r>
        <w:rPr>
          <w:lang w:eastAsia="en-AU"/>
        </w:rPr>
        <w:t xml:space="preserve">legal </w:t>
      </w:r>
      <w:r w:rsidRPr="002F34F5">
        <w:rPr>
          <w:lang w:eastAsia="en-AU"/>
        </w:rPr>
        <w:t>help over the phone is</w:t>
      </w:r>
      <w:r>
        <w:rPr>
          <w:lang w:eastAsia="en-AU"/>
        </w:rPr>
        <w:t xml:space="preserve"> continuing to</w:t>
      </w:r>
      <w:r w:rsidRPr="002F34F5">
        <w:rPr>
          <w:lang w:eastAsia="en-AU"/>
        </w:rPr>
        <w:t xml:space="preserve"> increas</w:t>
      </w:r>
      <w:r>
        <w:rPr>
          <w:lang w:eastAsia="en-AU"/>
        </w:rPr>
        <w:t>e</w:t>
      </w:r>
      <w:r w:rsidRPr="002F34F5">
        <w:rPr>
          <w:lang w:eastAsia="en-AU"/>
        </w:rPr>
        <w:t xml:space="preserve">. We </w:t>
      </w:r>
      <w:r>
        <w:rPr>
          <w:lang w:eastAsia="en-AU"/>
        </w:rPr>
        <w:t xml:space="preserve">are responding to this demand by </w:t>
      </w:r>
      <w:r w:rsidRPr="002F34F5">
        <w:rPr>
          <w:lang w:eastAsia="en-AU"/>
        </w:rPr>
        <w:t xml:space="preserve">providing the community with a modernised, easy to access service. </w:t>
      </w:r>
      <w:r w:rsidRPr="002F34F5">
        <w:t xml:space="preserve">Our Legal Help team answered </w:t>
      </w:r>
      <w:r w:rsidR="003B7750">
        <w:t xml:space="preserve">eight per cent </w:t>
      </w:r>
      <w:r w:rsidRPr="002F34F5">
        <w:t xml:space="preserve">more calls this year and spoke to the people they were advising for longer, </w:t>
      </w:r>
      <w:r>
        <w:t xml:space="preserve">at </w:t>
      </w:r>
      <w:r w:rsidRPr="002F34F5">
        <w:t xml:space="preserve">an average of </w:t>
      </w:r>
      <w:r>
        <w:t>16</w:t>
      </w:r>
      <w:r w:rsidRPr="002F34F5">
        <w:t xml:space="preserve"> minutes and </w:t>
      </w:r>
      <w:r>
        <w:t>11</w:t>
      </w:r>
      <w:r w:rsidRPr="002F34F5">
        <w:t xml:space="preserve"> seconds. The longer call lengths can be attributed to the increase in more intensive matters, meaning our staff took the time to explain more complex and difficult issues.</w:t>
      </w:r>
      <w:r w:rsidR="00806121">
        <w:t xml:space="preserve"> </w:t>
      </w:r>
    </w:p>
    <w:p w14:paraId="2CAF145D" w14:textId="7426A512" w:rsidR="00345DB7" w:rsidRDefault="00CE5D55" w:rsidP="00345DB7">
      <w:pPr>
        <w:spacing w:before="240"/>
        <w:rPr>
          <w:szCs w:val="22"/>
        </w:rPr>
      </w:pPr>
      <w:r w:rsidRPr="002F34F5">
        <w:t xml:space="preserve">While </w:t>
      </w:r>
      <w:r>
        <w:t xml:space="preserve">average call times were longer this year, </w:t>
      </w:r>
      <w:r w:rsidRPr="002F34F5">
        <w:t xml:space="preserve">wait times for Legal Help </w:t>
      </w:r>
      <w:r>
        <w:t>remained steady due to the operational changes introduced in December 2017</w:t>
      </w:r>
      <w:r w:rsidR="00501BBF">
        <w:t xml:space="preserve"> (refer above</w:t>
      </w:r>
      <w:r w:rsidR="003B7750">
        <w:rPr>
          <w:color w:val="000000" w:themeColor="text1"/>
          <w:szCs w:val="22"/>
        </w:rPr>
        <w:t>).</w:t>
      </w:r>
      <w:r w:rsidR="00806121">
        <w:rPr>
          <w:color w:val="000000" w:themeColor="text1"/>
          <w:szCs w:val="22"/>
        </w:rPr>
        <w:t xml:space="preserve"> </w:t>
      </w:r>
      <w:r w:rsidR="00806121">
        <w:t>Some callers choose not to wait for an answer, and we continue to offer a call-back system where people can leave a message, so they don’t have to wait in the queue.</w:t>
      </w:r>
      <w:r w:rsidR="003B7750">
        <w:rPr>
          <w:color w:val="000000" w:themeColor="text1"/>
          <w:szCs w:val="22"/>
        </w:rPr>
        <w:t xml:space="preserve"> </w:t>
      </w:r>
    </w:p>
    <w:p w14:paraId="504FDA53" w14:textId="13869281" w:rsidR="00B9461A" w:rsidRDefault="00B9461A" w:rsidP="00345DB7">
      <w:pPr>
        <w:spacing w:before="240"/>
      </w:pPr>
      <w:r>
        <w:t>The top five matters</w:t>
      </w:r>
      <w:r w:rsidR="005D2F1E">
        <w:t xml:space="preserve"> dealt with by Legal Help in </w:t>
      </w:r>
      <w:r w:rsidR="008047E1" w:rsidRPr="008047E1">
        <w:t>2017</w:t>
      </w:r>
      <w:r w:rsidR="008047E1" w:rsidRPr="008047E1">
        <w:rPr>
          <w:rFonts w:cs="Arial"/>
        </w:rPr>
        <w:t>–</w:t>
      </w:r>
      <w:r w:rsidR="008047E1" w:rsidRPr="008047E1">
        <w:t>18</w:t>
      </w:r>
      <w:r w:rsidR="008047E1">
        <w:rPr>
          <w:b/>
        </w:rPr>
        <w:t xml:space="preserve"> </w:t>
      </w:r>
      <w:r>
        <w:t>were:</w:t>
      </w:r>
    </w:p>
    <w:p w14:paraId="1A6851CA" w14:textId="7AF2AA2E" w:rsidR="00F94B39" w:rsidRPr="00E80D51" w:rsidRDefault="00F94B39" w:rsidP="00F94B39">
      <w:pPr>
        <w:pStyle w:val="ListParagraph"/>
        <w:numPr>
          <w:ilvl w:val="0"/>
          <w:numId w:val="45"/>
        </w:numPr>
        <w:ind w:left="357" w:hanging="357"/>
      </w:pPr>
      <w:r w:rsidRPr="00E80D51">
        <w:t>Time spent with children</w:t>
      </w:r>
      <w:r w:rsidR="00074726">
        <w:t>, 9,901</w:t>
      </w:r>
    </w:p>
    <w:p w14:paraId="2F167DE9" w14:textId="3283D11B" w:rsidR="00F94B39" w:rsidRPr="00E80D51" w:rsidRDefault="00F94B39" w:rsidP="00F94B39">
      <w:pPr>
        <w:pStyle w:val="ListParagraph"/>
        <w:numPr>
          <w:ilvl w:val="0"/>
          <w:numId w:val="45"/>
        </w:numPr>
        <w:ind w:left="357" w:hanging="357"/>
      </w:pPr>
      <w:r w:rsidRPr="00E80D51">
        <w:t>Family violence (Applicant)</w:t>
      </w:r>
      <w:r w:rsidR="00074726">
        <w:t>, 8,347</w:t>
      </w:r>
    </w:p>
    <w:p w14:paraId="0CE93115" w14:textId="5ECABDA2" w:rsidR="00F94B39" w:rsidRPr="00E80D51" w:rsidRDefault="009C4FBC" w:rsidP="00F94B39">
      <w:pPr>
        <w:pStyle w:val="ListParagraph"/>
        <w:numPr>
          <w:ilvl w:val="0"/>
          <w:numId w:val="45"/>
        </w:numPr>
        <w:ind w:left="357" w:hanging="357"/>
      </w:pPr>
      <w:r>
        <w:t>Family law p</w:t>
      </w:r>
      <w:r w:rsidR="00F94B39" w:rsidRPr="00E80D51">
        <w:t>roperty settlement</w:t>
      </w:r>
      <w:r w:rsidR="00074726">
        <w:t>, 6,563</w:t>
      </w:r>
    </w:p>
    <w:p w14:paraId="690CB982" w14:textId="3F75499D" w:rsidR="00F94B39" w:rsidRPr="00E80D51" w:rsidRDefault="00F94B39" w:rsidP="00F94B39">
      <w:pPr>
        <w:pStyle w:val="ListParagraph"/>
        <w:numPr>
          <w:ilvl w:val="0"/>
          <w:numId w:val="45"/>
        </w:numPr>
        <w:ind w:left="357" w:hanging="357"/>
      </w:pPr>
      <w:r w:rsidRPr="00E80D51">
        <w:t>Infringements</w:t>
      </w:r>
      <w:r w:rsidR="00074726">
        <w:t>, 5,383</w:t>
      </w:r>
      <w:r w:rsidRPr="00E80D51">
        <w:t xml:space="preserve"> </w:t>
      </w:r>
    </w:p>
    <w:p w14:paraId="2835A9FD" w14:textId="3CF74272" w:rsidR="00F94B39" w:rsidRPr="00E80D51" w:rsidRDefault="00F94B39" w:rsidP="00F94B39">
      <w:pPr>
        <w:pStyle w:val="ListParagraph"/>
        <w:numPr>
          <w:ilvl w:val="0"/>
          <w:numId w:val="45"/>
        </w:numPr>
        <w:ind w:left="357" w:hanging="357"/>
      </w:pPr>
      <w:r w:rsidRPr="00E80D51">
        <w:t>Parenting plans</w:t>
      </w:r>
      <w:r w:rsidR="00074726">
        <w:t>, 5,333</w:t>
      </w:r>
    </w:p>
    <w:p w14:paraId="4B240C53" w14:textId="0975813C" w:rsidR="00B9461A" w:rsidRDefault="00416FFC" w:rsidP="00B9461A">
      <w:r>
        <w:t xml:space="preserve">Our assistance on family violence matters included a </w:t>
      </w:r>
      <w:r w:rsidR="00CE5D55" w:rsidRPr="00380F65">
        <w:t xml:space="preserve">58 per cent </w:t>
      </w:r>
      <w:r>
        <w:t>increase in</w:t>
      </w:r>
      <w:r w:rsidR="00CE5D55" w:rsidRPr="00380F65">
        <w:t xml:space="preserve"> advice sessions, compared to the previous year, providing 2</w:t>
      </w:r>
      <w:r w:rsidR="00CE5D55">
        <w:t>773</w:t>
      </w:r>
      <w:r w:rsidR="00CE5D55" w:rsidRPr="00380F65">
        <w:t xml:space="preserve"> sessions in </w:t>
      </w:r>
      <w:r w:rsidR="00CE5D55" w:rsidRPr="00380F65">
        <w:rPr>
          <w:lang w:eastAsia="en-AU"/>
        </w:rPr>
        <w:t>2017</w:t>
      </w:r>
      <w:r w:rsidR="00CE5D55" w:rsidRPr="00380F65">
        <w:rPr>
          <w:rFonts w:cs="Arial"/>
          <w:lang w:eastAsia="en-AU"/>
        </w:rPr>
        <w:t>–</w:t>
      </w:r>
      <w:r w:rsidR="00CE5D55" w:rsidRPr="00380F65">
        <w:rPr>
          <w:lang w:eastAsia="en-AU"/>
        </w:rPr>
        <w:t>18</w:t>
      </w:r>
      <w:r w:rsidR="00CE5D55" w:rsidRPr="00380F65">
        <w:t>.</w:t>
      </w:r>
      <w:r w:rsidR="00CE5D55">
        <w:t xml:space="preserve"> We also continue to help thousands of Victorians with child-focused matters and other family law enquiries. </w:t>
      </w:r>
    </w:p>
    <w:p w14:paraId="40F9A9E3" w14:textId="77777777" w:rsidR="00B9461A" w:rsidRDefault="00B9461A" w:rsidP="00B9461A">
      <w:pPr>
        <w:pStyle w:val="Heading4"/>
      </w:pPr>
      <w:r>
        <w:t>Community Legal Education</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356"/>
        <w:gridCol w:w="1605"/>
        <w:gridCol w:w="1647"/>
        <w:gridCol w:w="1468"/>
      </w:tblGrid>
      <w:tr w:rsidR="009D6615" w:rsidRPr="00146904" w14:paraId="5FCAC049" w14:textId="77777777" w:rsidTr="00633BDC">
        <w:trPr>
          <w:cnfStyle w:val="100000000000" w:firstRow="1" w:lastRow="0" w:firstColumn="0" w:lastColumn="0" w:oddVBand="0" w:evenVBand="0" w:oddHBand="0" w:evenHBand="0" w:firstRowFirstColumn="0" w:firstRowLastColumn="0" w:lastRowFirstColumn="0" w:lastRowLastColumn="0"/>
        </w:trPr>
        <w:tc>
          <w:tcPr>
            <w:tcW w:w="5356" w:type="dxa"/>
            <w:shd w:val="clear" w:color="auto" w:fill="BFBFBF" w:themeFill="background1" w:themeFillShade="BF"/>
          </w:tcPr>
          <w:p w14:paraId="44F74C38" w14:textId="77777777" w:rsidR="009D6615" w:rsidRPr="00CF143E" w:rsidRDefault="009D6615" w:rsidP="002C47F1">
            <w:pPr>
              <w:rPr>
                <w:b/>
                <w:color w:val="000000" w:themeColor="text1"/>
              </w:rPr>
            </w:pPr>
          </w:p>
        </w:tc>
        <w:tc>
          <w:tcPr>
            <w:tcW w:w="1605" w:type="dxa"/>
            <w:shd w:val="clear" w:color="auto" w:fill="BFBFBF" w:themeFill="background1" w:themeFillShade="BF"/>
          </w:tcPr>
          <w:p w14:paraId="5E33E99E" w14:textId="1517FB14" w:rsidR="009D6615" w:rsidRPr="00146904" w:rsidRDefault="00D060EA" w:rsidP="00EC795B">
            <w:pPr>
              <w:jc w:val="right"/>
              <w:rPr>
                <w:b/>
                <w:color w:val="000000" w:themeColor="text1"/>
              </w:rPr>
            </w:pPr>
            <w:r>
              <w:rPr>
                <w:b/>
              </w:rPr>
              <w:t>2016–17</w:t>
            </w:r>
          </w:p>
        </w:tc>
        <w:tc>
          <w:tcPr>
            <w:tcW w:w="1647" w:type="dxa"/>
            <w:shd w:val="clear" w:color="auto" w:fill="BFBFBF" w:themeFill="background1" w:themeFillShade="BF"/>
          </w:tcPr>
          <w:p w14:paraId="0896341C" w14:textId="759CA83C" w:rsidR="009D6615" w:rsidRPr="00146904" w:rsidRDefault="00F665BB" w:rsidP="00EC795B">
            <w:pPr>
              <w:jc w:val="right"/>
              <w:rPr>
                <w:b/>
                <w:color w:val="000000" w:themeColor="text1"/>
              </w:rPr>
            </w:pPr>
            <w:r>
              <w:rPr>
                <w:b/>
              </w:rPr>
              <w:t>2017</w:t>
            </w:r>
            <w:r>
              <w:rPr>
                <w:rFonts w:cs="Arial"/>
                <w:b/>
              </w:rPr>
              <w:t>–</w:t>
            </w:r>
            <w:r>
              <w:rPr>
                <w:b/>
              </w:rPr>
              <w:t>18</w:t>
            </w:r>
          </w:p>
        </w:tc>
        <w:tc>
          <w:tcPr>
            <w:tcW w:w="1468" w:type="dxa"/>
            <w:shd w:val="clear" w:color="auto" w:fill="BFBFBF" w:themeFill="background1" w:themeFillShade="BF"/>
          </w:tcPr>
          <w:p w14:paraId="0559C442" w14:textId="15410401" w:rsidR="009D6615" w:rsidRPr="00146904" w:rsidRDefault="005A3FC5" w:rsidP="00EC795B">
            <w:pPr>
              <w:jc w:val="right"/>
              <w:rPr>
                <w:b/>
                <w:color w:val="000000" w:themeColor="text1"/>
              </w:rPr>
            </w:pPr>
            <w:r>
              <w:rPr>
                <w:b/>
              </w:rPr>
              <w:t>% Change</w:t>
            </w:r>
          </w:p>
        </w:tc>
      </w:tr>
      <w:tr w:rsidR="009D6615" w:rsidRPr="00BC6766" w14:paraId="14FE7582" w14:textId="77777777" w:rsidTr="002C47F1">
        <w:trPr>
          <w:cnfStyle w:val="000000100000" w:firstRow="0" w:lastRow="0" w:firstColumn="0" w:lastColumn="0" w:oddVBand="0" w:evenVBand="0" w:oddHBand="1" w:evenHBand="0" w:firstRowFirstColumn="0" w:firstRowLastColumn="0" w:lastRowFirstColumn="0" w:lastRowLastColumn="0"/>
        </w:trPr>
        <w:tc>
          <w:tcPr>
            <w:tcW w:w="5356" w:type="dxa"/>
          </w:tcPr>
          <w:p w14:paraId="003FA616" w14:textId="77777777" w:rsidR="009D6615" w:rsidRPr="00BC6766" w:rsidRDefault="009D6615" w:rsidP="002C47F1">
            <w:r w:rsidRPr="00BC6766">
              <w:t>Community legal education participants</w:t>
            </w:r>
          </w:p>
        </w:tc>
        <w:tc>
          <w:tcPr>
            <w:tcW w:w="1605" w:type="dxa"/>
          </w:tcPr>
          <w:p w14:paraId="24D34D3F" w14:textId="526C4808" w:rsidR="009D6615" w:rsidRPr="00BC6766" w:rsidRDefault="00073E10" w:rsidP="002C47F1">
            <w:pPr>
              <w:jc w:val="right"/>
            </w:pPr>
            <w:r>
              <w:t>14,222</w:t>
            </w:r>
          </w:p>
        </w:tc>
        <w:tc>
          <w:tcPr>
            <w:tcW w:w="1647" w:type="dxa"/>
          </w:tcPr>
          <w:p w14:paraId="594726A7" w14:textId="793FE72B" w:rsidR="009D6615" w:rsidRPr="00BC6766" w:rsidRDefault="00073E10" w:rsidP="002C47F1">
            <w:pPr>
              <w:jc w:val="right"/>
            </w:pPr>
            <w:r>
              <w:t>14,854</w:t>
            </w:r>
          </w:p>
        </w:tc>
        <w:tc>
          <w:tcPr>
            <w:tcW w:w="1468" w:type="dxa"/>
          </w:tcPr>
          <w:p w14:paraId="19A2C8CF" w14:textId="36D4DC13" w:rsidR="009D6615" w:rsidRPr="00BC6766" w:rsidRDefault="00073E10" w:rsidP="002C47F1">
            <w:pPr>
              <w:jc w:val="right"/>
            </w:pPr>
            <w:r>
              <w:t>4</w:t>
            </w:r>
          </w:p>
        </w:tc>
      </w:tr>
      <w:tr w:rsidR="009D6615" w:rsidRPr="00F120B1" w14:paraId="5F34F55E" w14:textId="77777777" w:rsidTr="002C47F1">
        <w:trPr>
          <w:cnfStyle w:val="000000010000" w:firstRow="0" w:lastRow="0" w:firstColumn="0" w:lastColumn="0" w:oddVBand="0" w:evenVBand="0" w:oddHBand="0" w:evenHBand="1" w:firstRowFirstColumn="0" w:firstRowLastColumn="0" w:lastRowFirstColumn="0" w:lastRowLastColumn="0"/>
        </w:trPr>
        <w:tc>
          <w:tcPr>
            <w:tcW w:w="5356" w:type="dxa"/>
          </w:tcPr>
          <w:p w14:paraId="00EEBA92" w14:textId="77777777" w:rsidR="009D6615" w:rsidRPr="00BC6766" w:rsidRDefault="009D6615" w:rsidP="002C47F1">
            <w:r w:rsidRPr="00BC6766">
              <w:t>Community legal education sessions</w:t>
            </w:r>
          </w:p>
        </w:tc>
        <w:tc>
          <w:tcPr>
            <w:tcW w:w="1605" w:type="dxa"/>
          </w:tcPr>
          <w:p w14:paraId="61782B4F" w14:textId="6E5E3C05" w:rsidR="009D6615" w:rsidRPr="00F120B1" w:rsidRDefault="00073E10" w:rsidP="002C47F1">
            <w:pPr>
              <w:jc w:val="right"/>
              <w:rPr>
                <w:color w:val="000000" w:themeColor="text1"/>
              </w:rPr>
            </w:pPr>
            <w:r>
              <w:rPr>
                <w:color w:val="000000" w:themeColor="text1"/>
              </w:rPr>
              <w:t>334</w:t>
            </w:r>
          </w:p>
        </w:tc>
        <w:tc>
          <w:tcPr>
            <w:tcW w:w="1647" w:type="dxa"/>
          </w:tcPr>
          <w:p w14:paraId="5A225F59" w14:textId="0C715046" w:rsidR="009D6615" w:rsidRPr="00F120B1" w:rsidRDefault="00073E10" w:rsidP="002C47F1">
            <w:pPr>
              <w:jc w:val="right"/>
              <w:rPr>
                <w:color w:val="000000" w:themeColor="text1"/>
              </w:rPr>
            </w:pPr>
            <w:r>
              <w:rPr>
                <w:color w:val="000000" w:themeColor="text1"/>
              </w:rPr>
              <w:t>353</w:t>
            </w:r>
          </w:p>
        </w:tc>
        <w:tc>
          <w:tcPr>
            <w:tcW w:w="1468" w:type="dxa"/>
          </w:tcPr>
          <w:p w14:paraId="73B0C2FA" w14:textId="128D1246" w:rsidR="009D6615" w:rsidRPr="00F120B1" w:rsidRDefault="00345DB7" w:rsidP="002C47F1">
            <w:pPr>
              <w:jc w:val="right"/>
              <w:rPr>
                <w:color w:val="000000" w:themeColor="text1"/>
              </w:rPr>
            </w:pPr>
            <w:r>
              <w:rPr>
                <w:color w:val="000000" w:themeColor="text1"/>
              </w:rPr>
              <w:t>6</w:t>
            </w:r>
          </w:p>
        </w:tc>
      </w:tr>
      <w:tr w:rsidR="009D6615" w:rsidRPr="00BC6766" w14:paraId="283F7F81" w14:textId="77777777" w:rsidTr="002C47F1">
        <w:trPr>
          <w:cnfStyle w:val="000000100000" w:firstRow="0" w:lastRow="0" w:firstColumn="0" w:lastColumn="0" w:oddVBand="0" w:evenVBand="0" w:oddHBand="1" w:evenHBand="0" w:firstRowFirstColumn="0" w:firstRowLastColumn="0" w:lastRowFirstColumn="0" w:lastRowLastColumn="0"/>
        </w:trPr>
        <w:tc>
          <w:tcPr>
            <w:tcW w:w="5356" w:type="dxa"/>
          </w:tcPr>
          <w:p w14:paraId="0DB5FD6E" w14:textId="77777777" w:rsidR="009D6615" w:rsidRPr="00BC6766" w:rsidRDefault="009D6615" w:rsidP="002C47F1">
            <w:r>
              <w:lastRenderedPageBreak/>
              <w:t>Publications</w:t>
            </w:r>
          </w:p>
        </w:tc>
        <w:tc>
          <w:tcPr>
            <w:tcW w:w="1605" w:type="dxa"/>
          </w:tcPr>
          <w:p w14:paraId="19C8161E" w14:textId="21741EBC" w:rsidR="009D6615" w:rsidRPr="00BC6766" w:rsidRDefault="00073E10" w:rsidP="002C47F1">
            <w:pPr>
              <w:jc w:val="right"/>
            </w:pPr>
            <w:r>
              <w:t>320,946</w:t>
            </w:r>
          </w:p>
        </w:tc>
        <w:tc>
          <w:tcPr>
            <w:tcW w:w="1647" w:type="dxa"/>
          </w:tcPr>
          <w:p w14:paraId="2C05365F" w14:textId="2C269BF4" w:rsidR="009D6615" w:rsidRPr="00BC6766" w:rsidRDefault="00073E10" w:rsidP="002C47F1">
            <w:pPr>
              <w:jc w:val="right"/>
            </w:pPr>
            <w:r>
              <w:t>365,595</w:t>
            </w:r>
          </w:p>
        </w:tc>
        <w:tc>
          <w:tcPr>
            <w:tcW w:w="1468" w:type="dxa"/>
          </w:tcPr>
          <w:p w14:paraId="5F039A33" w14:textId="4902BB5B" w:rsidR="009D6615" w:rsidRPr="00BC6766" w:rsidRDefault="00073E10" w:rsidP="002C47F1">
            <w:pPr>
              <w:jc w:val="right"/>
            </w:pPr>
            <w:r>
              <w:t>1</w:t>
            </w:r>
            <w:r w:rsidR="00345DB7">
              <w:t>4</w:t>
            </w:r>
          </w:p>
        </w:tc>
      </w:tr>
    </w:tbl>
    <w:p w14:paraId="3C9D9CF6" w14:textId="3F6A094F" w:rsidR="00CE5D55" w:rsidRDefault="00CE5D55" w:rsidP="00CE5D55">
      <w:pPr>
        <w:rPr>
          <w:lang w:eastAsia="en-AU"/>
        </w:rPr>
      </w:pPr>
      <w:r>
        <w:rPr>
          <w:lang w:eastAsia="en-AU"/>
        </w:rPr>
        <w:t xml:space="preserve">The total number of community legal education sessions we delivered increased by almost six per cent to </w:t>
      </w:r>
      <w:r w:rsidRPr="00E503DF">
        <w:rPr>
          <w:lang w:eastAsia="en-AU"/>
        </w:rPr>
        <w:t>3</w:t>
      </w:r>
      <w:r>
        <w:rPr>
          <w:lang w:eastAsia="en-AU"/>
        </w:rPr>
        <w:t>5</w:t>
      </w:r>
      <w:r w:rsidRPr="00E503DF">
        <w:rPr>
          <w:lang w:eastAsia="en-AU"/>
        </w:rPr>
        <w:t>3 sessions</w:t>
      </w:r>
      <w:r>
        <w:rPr>
          <w:lang w:eastAsia="en-AU"/>
        </w:rPr>
        <w:t xml:space="preserve">. We reached 14,854 people, an increase of four per cent. Most sessions were delivered by staff in our </w:t>
      </w:r>
      <w:r w:rsidR="001E1A16">
        <w:rPr>
          <w:lang w:eastAsia="en-AU"/>
        </w:rPr>
        <w:t xml:space="preserve">14 </w:t>
      </w:r>
      <w:r>
        <w:rPr>
          <w:lang w:eastAsia="en-AU"/>
        </w:rPr>
        <w:t xml:space="preserve">regional </w:t>
      </w:r>
      <w:r w:rsidR="000757CE">
        <w:rPr>
          <w:lang w:eastAsia="en-AU"/>
        </w:rPr>
        <w:t xml:space="preserve">and suburban </w:t>
      </w:r>
      <w:r>
        <w:rPr>
          <w:lang w:eastAsia="en-AU"/>
        </w:rPr>
        <w:t>offices and many delivered in conjunction with community legal centres. We are focusing on providing education and training to intermediaries who interact with our priority audiences.</w:t>
      </w:r>
    </w:p>
    <w:p w14:paraId="3396DE1C" w14:textId="2F3D5DC6" w:rsidR="00CE5D55" w:rsidRDefault="00CE5D55" w:rsidP="00CE5D55">
      <w:pPr>
        <w:rPr>
          <w:lang w:eastAsia="en-AU"/>
        </w:rPr>
      </w:pPr>
      <w:r>
        <w:rPr>
          <w:lang w:eastAsia="en-AU"/>
        </w:rPr>
        <w:t xml:space="preserve">Young people remain a focus for our education programs and we collaborated with the Department of Education on the roll out of the Respectful Relationships curriculum training for 562 teachers in 11 regions to deliver preventative education about sexting, consent and age of consent. We also measured the impact of our </w:t>
      </w:r>
      <w:r w:rsidRPr="00505416">
        <w:rPr>
          <w:i/>
          <w:lang w:eastAsia="en-AU"/>
        </w:rPr>
        <w:t>Learning the law</w:t>
      </w:r>
      <w:r>
        <w:rPr>
          <w:lang w:eastAsia="en-AU"/>
        </w:rPr>
        <w:t xml:space="preserve"> program for students with mild intellectual disabilities finding a sustainable change in students’ </w:t>
      </w:r>
      <w:r w:rsidRPr="00422CE3">
        <w:rPr>
          <w:lang w:eastAsia="en-AU"/>
        </w:rPr>
        <w:t>understanding</w:t>
      </w:r>
      <w:r>
        <w:rPr>
          <w:lang w:eastAsia="en-AU"/>
        </w:rPr>
        <w:t>s</w:t>
      </w:r>
      <w:r w:rsidRPr="00422CE3">
        <w:rPr>
          <w:lang w:eastAsia="en-AU"/>
        </w:rPr>
        <w:t xml:space="preserve"> of legal issues associated with public transport and fines</w:t>
      </w:r>
      <w:r>
        <w:rPr>
          <w:lang w:eastAsia="en-AU"/>
        </w:rPr>
        <w:t>.</w:t>
      </w:r>
    </w:p>
    <w:p w14:paraId="6043379D" w14:textId="5F548F33" w:rsidR="00806121" w:rsidRDefault="00806121" w:rsidP="00CE5D55">
      <w:pPr>
        <w:rPr>
          <w:lang w:eastAsia="en-AU"/>
        </w:rPr>
      </w:pPr>
      <w:r>
        <w:rPr>
          <w:lang w:eastAsia="en-AU"/>
        </w:rPr>
        <w:t>This year we distributed 365,595 publications, up by 14 per cent (44,649). We have a role in coordinating legal information across Victoria and increasingly we are distributing high quality material produced by other justice sector agencies. There was high demand for information about powers of attorney and advanced care directives, produced by the Office of the Public Advocate, making up 45 per cent of total distribution.</w:t>
      </w:r>
    </w:p>
    <w:p w14:paraId="15368EE0" w14:textId="454D8F02" w:rsidR="009D6615" w:rsidRDefault="009D6615" w:rsidP="009D6615">
      <w:pPr>
        <w:pStyle w:val="Heading4"/>
      </w:pPr>
      <w:r>
        <w:t>Community Legal Centres – funding that we distribute</w:t>
      </w:r>
    </w:p>
    <w:p w14:paraId="6913D468" w14:textId="39A3A3EB" w:rsidR="00936212" w:rsidRPr="00CE68F2" w:rsidRDefault="000B296C" w:rsidP="00936212">
      <w:r>
        <w:t xml:space="preserve">We grant and administer funding to 37 community legal centres, including the Federal of Community Legal Centres as the sector’s peak body, as part of our ongoing partnership with the legal assistance sector. We </w:t>
      </w:r>
      <w:r w:rsidR="009D6615">
        <w:t>administer</w:t>
      </w:r>
      <w:r>
        <w:t>ed</w:t>
      </w:r>
      <w:r w:rsidR="009D6615">
        <w:t xml:space="preserve"> more than </w:t>
      </w:r>
      <w:r>
        <w:t>$17.4</w:t>
      </w:r>
      <w:r w:rsidR="00D27B0C">
        <w:t xml:space="preserve"> </w:t>
      </w:r>
      <w:r w:rsidR="009D6615">
        <w:t xml:space="preserve">million </w:t>
      </w:r>
      <w:r>
        <w:t xml:space="preserve">in </w:t>
      </w:r>
      <w:r w:rsidR="006D25BF">
        <w:t xml:space="preserve">State Government </w:t>
      </w:r>
      <w:r>
        <w:t xml:space="preserve">funding to </w:t>
      </w:r>
      <w:r w:rsidR="009D6615">
        <w:t>community legal centres</w:t>
      </w:r>
      <w:r>
        <w:t xml:space="preserve"> in 2017</w:t>
      </w:r>
      <w:r>
        <w:rPr>
          <w:rFonts w:cs="Arial"/>
        </w:rPr>
        <w:t>–</w:t>
      </w:r>
      <w:r>
        <w:t xml:space="preserve">18.  </w:t>
      </w:r>
    </w:p>
    <w:tbl>
      <w:tblPr>
        <w:tblStyle w:val="TableGrid"/>
        <w:tblW w:w="10076" w:type="dxa"/>
        <w:tblLook w:val="04A0" w:firstRow="1" w:lastRow="0" w:firstColumn="1" w:lastColumn="0" w:noHBand="0" w:noVBand="1"/>
      </w:tblPr>
      <w:tblGrid>
        <w:gridCol w:w="4531"/>
        <w:gridCol w:w="1843"/>
        <w:gridCol w:w="1948"/>
        <w:gridCol w:w="1754"/>
      </w:tblGrid>
      <w:tr w:rsidR="00936212" w:rsidRPr="002312A1" w14:paraId="014CEE9E" w14:textId="77777777" w:rsidTr="00633BDC">
        <w:trPr>
          <w:tblHeader/>
        </w:trPr>
        <w:tc>
          <w:tcPr>
            <w:tcW w:w="4531" w:type="dxa"/>
            <w:shd w:val="clear" w:color="auto" w:fill="D9D9D9" w:themeFill="background1" w:themeFillShade="D9"/>
          </w:tcPr>
          <w:p w14:paraId="38C879FD" w14:textId="77777777" w:rsidR="00936212" w:rsidRPr="002312A1" w:rsidRDefault="00936212" w:rsidP="002C47F1">
            <w:pPr>
              <w:rPr>
                <w:b/>
                <w:lang w:eastAsia="en-AU"/>
              </w:rPr>
            </w:pPr>
          </w:p>
        </w:tc>
        <w:tc>
          <w:tcPr>
            <w:tcW w:w="1843" w:type="dxa"/>
            <w:shd w:val="clear" w:color="auto" w:fill="D9D9D9" w:themeFill="background1" w:themeFillShade="D9"/>
          </w:tcPr>
          <w:p w14:paraId="7DFCC170" w14:textId="63B81DD2" w:rsidR="00936212" w:rsidRPr="001448E8" w:rsidRDefault="00D060EA" w:rsidP="00EC795B">
            <w:pPr>
              <w:jc w:val="right"/>
              <w:rPr>
                <w:b/>
                <w:lang w:eastAsia="en-AU"/>
              </w:rPr>
            </w:pPr>
            <w:r>
              <w:rPr>
                <w:b/>
              </w:rPr>
              <w:t>2016–17</w:t>
            </w:r>
            <w:r>
              <w:rPr>
                <w:b/>
                <w:color w:val="000000" w:themeColor="text1"/>
              </w:rPr>
              <w:t xml:space="preserve"> </w:t>
            </w:r>
            <w:r w:rsidR="0009220A">
              <w:rPr>
                <w:b/>
                <w:color w:val="000000" w:themeColor="text1"/>
              </w:rPr>
              <w:t>($000)</w:t>
            </w:r>
          </w:p>
        </w:tc>
        <w:tc>
          <w:tcPr>
            <w:tcW w:w="1948" w:type="dxa"/>
            <w:shd w:val="clear" w:color="auto" w:fill="D9D9D9" w:themeFill="background1" w:themeFillShade="D9"/>
          </w:tcPr>
          <w:p w14:paraId="6495E06B" w14:textId="01FA03CA" w:rsidR="00936212" w:rsidRPr="002312A1" w:rsidRDefault="00F665BB" w:rsidP="00EC795B">
            <w:pPr>
              <w:jc w:val="right"/>
              <w:rPr>
                <w:b/>
                <w:lang w:eastAsia="en-AU"/>
              </w:rPr>
            </w:pPr>
            <w:r>
              <w:rPr>
                <w:b/>
              </w:rPr>
              <w:t>2017</w:t>
            </w:r>
            <w:r>
              <w:rPr>
                <w:rFonts w:cs="Arial"/>
                <w:b/>
              </w:rPr>
              <w:t>–</w:t>
            </w:r>
            <w:r>
              <w:rPr>
                <w:b/>
              </w:rPr>
              <w:t>18</w:t>
            </w:r>
            <w:r>
              <w:rPr>
                <w:b/>
                <w:color w:val="000000" w:themeColor="text1"/>
              </w:rPr>
              <w:t xml:space="preserve"> </w:t>
            </w:r>
            <w:r w:rsidR="0009220A">
              <w:rPr>
                <w:b/>
                <w:color w:val="000000" w:themeColor="text1"/>
              </w:rPr>
              <w:t>($000)</w:t>
            </w:r>
          </w:p>
        </w:tc>
        <w:tc>
          <w:tcPr>
            <w:tcW w:w="1754" w:type="dxa"/>
            <w:shd w:val="clear" w:color="auto" w:fill="D9D9D9" w:themeFill="background1" w:themeFillShade="D9"/>
          </w:tcPr>
          <w:p w14:paraId="64CF5717" w14:textId="072A1373" w:rsidR="00936212" w:rsidRPr="002312A1" w:rsidRDefault="005A3FC5" w:rsidP="00EC795B">
            <w:pPr>
              <w:jc w:val="right"/>
              <w:rPr>
                <w:b/>
                <w:lang w:eastAsia="en-AU"/>
              </w:rPr>
            </w:pPr>
            <w:r>
              <w:rPr>
                <w:b/>
              </w:rPr>
              <w:t>% Change</w:t>
            </w:r>
          </w:p>
        </w:tc>
      </w:tr>
      <w:tr w:rsidR="00936212" w14:paraId="373A4932" w14:textId="77777777" w:rsidTr="00F665BB">
        <w:tc>
          <w:tcPr>
            <w:tcW w:w="4531" w:type="dxa"/>
            <w:vAlign w:val="bottom"/>
          </w:tcPr>
          <w:p w14:paraId="7F6ACE07" w14:textId="77777777" w:rsidR="00936212" w:rsidRDefault="00936212" w:rsidP="002C47F1">
            <w:pPr>
              <w:rPr>
                <w:lang w:eastAsia="en-AU"/>
              </w:rPr>
            </w:pPr>
            <w:r w:rsidRPr="00073D86">
              <w:t>Community legal centres</w:t>
            </w:r>
          </w:p>
        </w:tc>
        <w:tc>
          <w:tcPr>
            <w:tcW w:w="1843" w:type="dxa"/>
          </w:tcPr>
          <w:p w14:paraId="3F6EF04F" w14:textId="77777777" w:rsidR="00936212" w:rsidRPr="002D3F4B" w:rsidRDefault="0009220A" w:rsidP="002C47F1">
            <w:pPr>
              <w:jc w:val="right"/>
              <w:rPr>
                <w:lang w:eastAsia="en-AU"/>
              </w:rPr>
            </w:pPr>
            <w:r>
              <w:rPr>
                <w:lang w:eastAsia="en-AU"/>
              </w:rPr>
              <w:t>15,844</w:t>
            </w:r>
          </w:p>
        </w:tc>
        <w:tc>
          <w:tcPr>
            <w:tcW w:w="1948" w:type="dxa"/>
          </w:tcPr>
          <w:p w14:paraId="1E05DF31" w14:textId="7A1B2178" w:rsidR="00936212" w:rsidRPr="002D3F4B" w:rsidRDefault="00184948" w:rsidP="002C47F1">
            <w:pPr>
              <w:jc w:val="right"/>
              <w:rPr>
                <w:lang w:eastAsia="en-AU"/>
              </w:rPr>
            </w:pPr>
            <w:r>
              <w:rPr>
                <w:lang w:eastAsia="en-AU"/>
              </w:rPr>
              <w:t>16,557</w:t>
            </w:r>
          </w:p>
        </w:tc>
        <w:tc>
          <w:tcPr>
            <w:tcW w:w="1754" w:type="dxa"/>
            <w:vAlign w:val="center"/>
          </w:tcPr>
          <w:p w14:paraId="62502221" w14:textId="7DDFF126" w:rsidR="00936212" w:rsidRPr="002D3F4B" w:rsidRDefault="004E2F01" w:rsidP="002C47F1">
            <w:pPr>
              <w:jc w:val="right"/>
              <w:rPr>
                <w:lang w:eastAsia="en-AU"/>
              </w:rPr>
            </w:pPr>
            <w:r>
              <w:rPr>
                <w:lang w:eastAsia="en-AU"/>
              </w:rPr>
              <w:t>5</w:t>
            </w:r>
          </w:p>
        </w:tc>
      </w:tr>
      <w:tr w:rsidR="00936212" w14:paraId="389C061C" w14:textId="77777777" w:rsidTr="00F665BB">
        <w:tc>
          <w:tcPr>
            <w:tcW w:w="4531" w:type="dxa"/>
            <w:vAlign w:val="bottom"/>
          </w:tcPr>
          <w:p w14:paraId="5216CAA5" w14:textId="77777777" w:rsidR="00936212" w:rsidRDefault="00936212" w:rsidP="002C47F1">
            <w:pPr>
              <w:rPr>
                <w:lang w:eastAsia="en-AU"/>
              </w:rPr>
            </w:pPr>
            <w:r w:rsidRPr="00073D86">
              <w:t>Community legal centres, project funds</w:t>
            </w:r>
          </w:p>
        </w:tc>
        <w:tc>
          <w:tcPr>
            <w:tcW w:w="1843" w:type="dxa"/>
          </w:tcPr>
          <w:p w14:paraId="4F6900B8" w14:textId="77777777" w:rsidR="00936212" w:rsidRPr="002D3F4B" w:rsidRDefault="0009220A" w:rsidP="002C47F1">
            <w:pPr>
              <w:jc w:val="right"/>
              <w:rPr>
                <w:lang w:eastAsia="en-AU"/>
              </w:rPr>
            </w:pPr>
            <w:r>
              <w:rPr>
                <w:lang w:eastAsia="en-AU"/>
              </w:rPr>
              <w:t>1,003</w:t>
            </w:r>
          </w:p>
        </w:tc>
        <w:tc>
          <w:tcPr>
            <w:tcW w:w="1948" w:type="dxa"/>
          </w:tcPr>
          <w:p w14:paraId="0A4D7873" w14:textId="1333490D" w:rsidR="00936212" w:rsidRPr="002D3F4B" w:rsidRDefault="00184948" w:rsidP="002C47F1">
            <w:pPr>
              <w:jc w:val="right"/>
              <w:rPr>
                <w:lang w:eastAsia="en-AU"/>
              </w:rPr>
            </w:pPr>
            <w:r>
              <w:rPr>
                <w:lang w:eastAsia="en-AU"/>
              </w:rPr>
              <w:t>755</w:t>
            </w:r>
          </w:p>
        </w:tc>
        <w:tc>
          <w:tcPr>
            <w:tcW w:w="1754" w:type="dxa"/>
            <w:vAlign w:val="center"/>
          </w:tcPr>
          <w:p w14:paraId="591292F1" w14:textId="03F1CCAB" w:rsidR="00936212" w:rsidRPr="002D3F4B" w:rsidRDefault="00413667" w:rsidP="002C47F1">
            <w:pPr>
              <w:jc w:val="right"/>
              <w:rPr>
                <w:lang w:eastAsia="en-AU"/>
              </w:rPr>
            </w:pPr>
            <w:r>
              <w:rPr>
                <w:lang w:eastAsia="en-AU"/>
              </w:rPr>
              <w:t>-</w:t>
            </w:r>
            <w:r w:rsidR="004E2F01">
              <w:rPr>
                <w:lang w:eastAsia="en-AU"/>
              </w:rPr>
              <w:t>25</w:t>
            </w:r>
          </w:p>
        </w:tc>
      </w:tr>
    </w:tbl>
    <w:p w14:paraId="54A342DA" w14:textId="46FC8CDE" w:rsidR="00B9461A" w:rsidRDefault="0097116C" w:rsidP="00B9461A">
      <w:r>
        <w:t xml:space="preserve">This table does not include Commonwealth payments to community legal centres. </w:t>
      </w:r>
      <w:r w:rsidR="000B296C">
        <w:t>T</w:t>
      </w:r>
      <w:r w:rsidR="00936212" w:rsidRPr="00763F07">
        <w:t>he combined total State and Commonwealth funds to community legal centres administered by Victoria Lega</w:t>
      </w:r>
      <w:r w:rsidR="00763F07">
        <w:t xml:space="preserve">l Aid in 2017-18 amounts to </w:t>
      </w:r>
      <w:r w:rsidR="00763F07" w:rsidRPr="00EC795B">
        <w:t>$28.</w:t>
      </w:r>
      <w:r w:rsidR="004E2F01" w:rsidRPr="004E2F01">
        <w:t>2</w:t>
      </w:r>
      <w:r w:rsidR="00936212" w:rsidRPr="00EC795B">
        <w:t xml:space="preserve"> million.</w:t>
      </w:r>
      <w:r w:rsidR="00936212" w:rsidRPr="00763F07">
        <w:t xml:space="preserve"> The variance for the project funds can be attributed to the completion of the Innovation and Transformation Fund; a program </w:t>
      </w:r>
      <w:r w:rsidR="000B296C">
        <w:t xml:space="preserve">we </w:t>
      </w:r>
      <w:r w:rsidR="00936212" w:rsidRPr="00763F07">
        <w:t>established in 2015 to stimulate new ways of working in the community legal sector.</w:t>
      </w:r>
      <w:r w:rsidR="00806121">
        <w:t xml:space="preserve"> In each project we have worked with community legal centres to develop, test and evaluate new approaches to meeting legal needs.</w:t>
      </w:r>
    </w:p>
    <w:p w14:paraId="1E4E2967" w14:textId="7A0011D9" w:rsidR="00731361" w:rsidRDefault="00731361">
      <w:pPr>
        <w:spacing w:after="0" w:line="240" w:lineRule="auto"/>
        <w:rPr>
          <w:rFonts w:cs="Arial"/>
          <w:b/>
          <w:bCs/>
          <w:sz w:val="26"/>
          <w:szCs w:val="26"/>
          <w:lang w:eastAsia="en-AU"/>
        </w:rPr>
      </w:pPr>
      <w:r>
        <w:rPr>
          <w:rFonts w:cs="Arial"/>
          <w:b/>
          <w:bCs/>
          <w:sz w:val="26"/>
          <w:szCs w:val="26"/>
          <w:lang w:eastAsia="en-AU"/>
        </w:rPr>
        <w:br w:type="page"/>
      </w:r>
    </w:p>
    <w:p w14:paraId="3797195A" w14:textId="52D4E900" w:rsidR="002B5992" w:rsidRDefault="002B5992" w:rsidP="002B5992">
      <w:pPr>
        <w:pStyle w:val="Heading3"/>
      </w:pPr>
      <w:bookmarkStart w:id="3" w:name="_GoBack"/>
      <w:bookmarkEnd w:id="3"/>
      <w:r>
        <w:lastRenderedPageBreak/>
        <w:t xml:space="preserve">Criminal Law </w:t>
      </w:r>
      <w:r w:rsidR="00612D66">
        <w:t>P</w:t>
      </w:r>
      <w:r>
        <w:t>rogram</w:t>
      </w:r>
    </w:p>
    <w:p w14:paraId="3AB46FBB" w14:textId="77777777" w:rsidR="002B5992" w:rsidRPr="00CE68F2" w:rsidRDefault="002B5992" w:rsidP="002B5992">
      <w:r w:rsidRPr="00CE68F2">
        <w:t xml:space="preserve">We </w:t>
      </w:r>
      <w:r>
        <w:t xml:space="preserve">assist </w:t>
      </w:r>
      <w:r w:rsidRPr="00CE68F2">
        <w:t xml:space="preserve">people charged with criminal offences </w:t>
      </w:r>
      <w:r>
        <w:t xml:space="preserve">and endeavour to positively </w:t>
      </w:r>
      <w:r w:rsidRPr="00CE68F2">
        <w:t>influence the criminal justice system to:</w:t>
      </w:r>
    </w:p>
    <w:p w14:paraId="372F3133" w14:textId="77777777" w:rsidR="002B5992" w:rsidRPr="00CE68F2" w:rsidRDefault="002B5992" w:rsidP="002B5992">
      <w:pPr>
        <w:pStyle w:val="ListParagraph"/>
        <w:numPr>
          <w:ilvl w:val="0"/>
          <w:numId w:val="38"/>
        </w:numPr>
      </w:pPr>
      <w:r w:rsidRPr="00CE68F2">
        <w:t>provide timely justice, the fair hearing of charges and appropriate outcomes</w:t>
      </w:r>
    </w:p>
    <w:p w14:paraId="287F4A52" w14:textId="1E49B091" w:rsidR="002B5992" w:rsidRDefault="002B5992" w:rsidP="002B5992">
      <w:pPr>
        <w:pStyle w:val="ListParagraph"/>
        <w:numPr>
          <w:ilvl w:val="0"/>
          <w:numId w:val="38"/>
        </w:numPr>
      </w:pPr>
      <w:r w:rsidRPr="00CE68F2">
        <w:t xml:space="preserve">ensure people charged with offences are treated </w:t>
      </w:r>
      <w:r w:rsidR="009C4FBC">
        <w:t>fairly</w:t>
      </w:r>
      <w:r>
        <w:t xml:space="preserve"> and </w:t>
      </w:r>
      <w:r w:rsidRPr="00CE68F2">
        <w:t xml:space="preserve">are well-informed </w:t>
      </w:r>
      <w:r>
        <w:t>about their options</w:t>
      </w:r>
    </w:p>
    <w:p w14:paraId="3652E8A2" w14:textId="13C797EB" w:rsidR="002B5992" w:rsidRPr="00CE68F2" w:rsidRDefault="002B5992" w:rsidP="002B5992">
      <w:pPr>
        <w:pStyle w:val="ListParagraph"/>
        <w:numPr>
          <w:ilvl w:val="0"/>
          <w:numId w:val="38"/>
        </w:numPr>
      </w:pPr>
      <w:r w:rsidRPr="00CE68F2">
        <w:t xml:space="preserve">improve understanding of criminal justice and </w:t>
      </w:r>
      <w:r w:rsidR="0036720D">
        <w:t xml:space="preserve">how to best address the causes of criminal offending and keep the community safe. </w:t>
      </w:r>
    </w:p>
    <w:p w14:paraId="25B35536" w14:textId="77777777" w:rsidR="002B5992" w:rsidRPr="00393169" w:rsidRDefault="002B5992" w:rsidP="002B5992">
      <w:pPr>
        <w:pStyle w:val="Heading4"/>
      </w:pPr>
      <w:r w:rsidRPr="0047677D">
        <w:t>Clients</w:t>
      </w:r>
      <w:r>
        <w:t xml:space="preserve"> numbers and service outcomes</w:t>
      </w:r>
    </w:p>
    <w:tbl>
      <w:tblPr>
        <w:tblStyle w:val="TableGrid"/>
        <w:tblW w:w="5000" w:type="pct"/>
        <w:tblLook w:val="04A0" w:firstRow="1" w:lastRow="0" w:firstColumn="1" w:lastColumn="0" w:noHBand="0" w:noVBand="1"/>
      </w:tblPr>
      <w:tblGrid>
        <w:gridCol w:w="5664"/>
        <w:gridCol w:w="1560"/>
        <w:gridCol w:w="1419"/>
        <w:gridCol w:w="1433"/>
      </w:tblGrid>
      <w:tr w:rsidR="002B5992" w:rsidRPr="0047677D" w14:paraId="05113309" w14:textId="77777777" w:rsidTr="00633BDC">
        <w:trPr>
          <w:tblHeader/>
        </w:trPr>
        <w:tc>
          <w:tcPr>
            <w:tcW w:w="2811" w:type="pct"/>
            <w:shd w:val="clear" w:color="auto" w:fill="D9D9D9" w:themeFill="background1" w:themeFillShade="D9"/>
          </w:tcPr>
          <w:p w14:paraId="6BD8C198" w14:textId="77777777" w:rsidR="002B5992" w:rsidRPr="0047677D" w:rsidRDefault="002B5992" w:rsidP="002C47F1">
            <w:pPr>
              <w:rPr>
                <w:b/>
              </w:rPr>
            </w:pPr>
          </w:p>
        </w:tc>
        <w:tc>
          <w:tcPr>
            <w:tcW w:w="774" w:type="pct"/>
            <w:shd w:val="clear" w:color="auto" w:fill="D9D9D9" w:themeFill="background1" w:themeFillShade="D9"/>
          </w:tcPr>
          <w:p w14:paraId="7587E145" w14:textId="5CB51458" w:rsidR="002B5992" w:rsidRPr="0047677D" w:rsidRDefault="00D060EA" w:rsidP="00EC795B">
            <w:pPr>
              <w:jc w:val="right"/>
              <w:rPr>
                <w:b/>
              </w:rPr>
            </w:pPr>
            <w:r>
              <w:rPr>
                <w:b/>
              </w:rPr>
              <w:t>2016–17</w:t>
            </w:r>
          </w:p>
        </w:tc>
        <w:tc>
          <w:tcPr>
            <w:tcW w:w="704" w:type="pct"/>
            <w:shd w:val="clear" w:color="auto" w:fill="D9D9D9" w:themeFill="background1" w:themeFillShade="D9"/>
          </w:tcPr>
          <w:p w14:paraId="78DA1A69" w14:textId="64B13429" w:rsidR="002B5992" w:rsidRPr="0047677D" w:rsidRDefault="00F665BB" w:rsidP="00EC795B">
            <w:pPr>
              <w:jc w:val="right"/>
              <w:rPr>
                <w:b/>
              </w:rPr>
            </w:pPr>
            <w:r>
              <w:rPr>
                <w:b/>
              </w:rPr>
              <w:t>2017</w:t>
            </w:r>
            <w:r>
              <w:rPr>
                <w:rFonts w:cs="Arial"/>
                <w:b/>
              </w:rPr>
              <w:t>–</w:t>
            </w:r>
            <w:r>
              <w:rPr>
                <w:b/>
              </w:rPr>
              <w:t>18</w:t>
            </w:r>
          </w:p>
        </w:tc>
        <w:tc>
          <w:tcPr>
            <w:tcW w:w="711" w:type="pct"/>
            <w:shd w:val="clear" w:color="auto" w:fill="D9D9D9" w:themeFill="background1" w:themeFillShade="D9"/>
          </w:tcPr>
          <w:p w14:paraId="62342235" w14:textId="419D6303" w:rsidR="002B5992" w:rsidRPr="0047677D" w:rsidRDefault="005A3FC5" w:rsidP="00EC795B">
            <w:pPr>
              <w:jc w:val="right"/>
              <w:rPr>
                <w:b/>
              </w:rPr>
            </w:pPr>
            <w:r>
              <w:rPr>
                <w:b/>
              </w:rPr>
              <w:t>% Change</w:t>
            </w:r>
          </w:p>
        </w:tc>
      </w:tr>
      <w:tr w:rsidR="002B5992" w14:paraId="7C5BF2DC" w14:textId="77777777" w:rsidTr="00A756E7">
        <w:tc>
          <w:tcPr>
            <w:tcW w:w="2811" w:type="pct"/>
          </w:tcPr>
          <w:p w14:paraId="7FDF8355" w14:textId="77777777" w:rsidR="002B5992" w:rsidRDefault="002B5992" w:rsidP="002C47F1">
            <w:r>
              <w:t>Unique clients</w:t>
            </w:r>
          </w:p>
        </w:tc>
        <w:tc>
          <w:tcPr>
            <w:tcW w:w="774" w:type="pct"/>
          </w:tcPr>
          <w:p w14:paraId="3CBE5462" w14:textId="47C450A3" w:rsidR="002B5992" w:rsidRPr="00700B87" w:rsidRDefault="0051489E" w:rsidP="002C47F1">
            <w:pPr>
              <w:jc w:val="right"/>
            </w:pPr>
            <w:r>
              <w:t>51,502</w:t>
            </w:r>
          </w:p>
        </w:tc>
        <w:tc>
          <w:tcPr>
            <w:tcW w:w="704" w:type="pct"/>
          </w:tcPr>
          <w:p w14:paraId="6CB7FADB" w14:textId="46BB6D8B" w:rsidR="002B5992" w:rsidRPr="00700B87" w:rsidRDefault="00FA7D9E" w:rsidP="002C47F1">
            <w:pPr>
              <w:jc w:val="right"/>
            </w:pPr>
            <w:r>
              <w:t>51</w:t>
            </w:r>
            <w:r w:rsidR="00A7216F">
              <w:t>,920</w:t>
            </w:r>
          </w:p>
        </w:tc>
        <w:tc>
          <w:tcPr>
            <w:tcW w:w="711" w:type="pct"/>
          </w:tcPr>
          <w:p w14:paraId="691F99CB" w14:textId="0D874A52" w:rsidR="002B5992" w:rsidRPr="00700B87" w:rsidRDefault="00EE46F4" w:rsidP="002C47F1">
            <w:pPr>
              <w:jc w:val="right"/>
            </w:pPr>
            <w:r>
              <w:t>1</w:t>
            </w:r>
          </w:p>
        </w:tc>
      </w:tr>
      <w:tr w:rsidR="002B5992" w14:paraId="312B31DB" w14:textId="77777777" w:rsidTr="00A756E7">
        <w:tc>
          <w:tcPr>
            <w:tcW w:w="2811" w:type="pct"/>
          </w:tcPr>
          <w:p w14:paraId="6E80D443" w14:textId="77777777" w:rsidR="002B5992" w:rsidRPr="00DC1D85" w:rsidRDefault="002B5992" w:rsidP="002C47F1">
            <w:r w:rsidRPr="00DC1D85">
              <w:t>Legal advice, minor assistance and advocacy services</w:t>
            </w:r>
          </w:p>
        </w:tc>
        <w:tc>
          <w:tcPr>
            <w:tcW w:w="774" w:type="pct"/>
          </w:tcPr>
          <w:p w14:paraId="5F5BEF5F" w14:textId="27054D1E" w:rsidR="002B5992" w:rsidRPr="00700B87" w:rsidRDefault="00FA7D9E" w:rsidP="002C47F1">
            <w:pPr>
              <w:jc w:val="right"/>
            </w:pPr>
            <w:r>
              <w:t>15,160</w:t>
            </w:r>
          </w:p>
        </w:tc>
        <w:tc>
          <w:tcPr>
            <w:tcW w:w="704" w:type="pct"/>
          </w:tcPr>
          <w:p w14:paraId="64FAF20A" w14:textId="2CD3065D" w:rsidR="002B5992" w:rsidRPr="00700B87" w:rsidRDefault="00A7216F" w:rsidP="002C47F1">
            <w:pPr>
              <w:jc w:val="right"/>
            </w:pPr>
            <w:r>
              <w:t>11,980</w:t>
            </w:r>
          </w:p>
        </w:tc>
        <w:tc>
          <w:tcPr>
            <w:tcW w:w="711" w:type="pct"/>
          </w:tcPr>
          <w:p w14:paraId="0A24645E" w14:textId="61F849D4" w:rsidR="002B5992" w:rsidRPr="00700B87" w:rsidRDefault="00A7216F" w:rsidP="002C47F1">
            <w:pPr>
              <w:jc w:val="right"/>
            </w:pPr>
            <w:r>
              <w:t>-21</w:t>
            </w:r>
          </w:p>
        </w:tc>
      </w:tr>
      <w:tr w:rsidR="002B5992" w14:paraId="2AA272DF" w14:textId="77777777" w:rsidTr="00A756E7">
        <w:tc>
          <w:tcPr>
            <w:tcW w:w="2811" w:type="pct"/>
          </w:tcPr>
          <w:p w14:paraId="612471E1" w14:textId="77777777" w:rsidR="002B5992" w:rsidRDefault="002B5992" w:rsidP="002C47F1">
            <w:r>
              <w:t>D</w:t>
            </w:r>
            <w:r w:rsidRPr="00DC1D85">
              <w:t>uty lawyer services</w:t>
            </w:r>
          </w:p>
        </w:tc>
        <w:tc>
          <w:tcPr>
            <w:tcW w:w="774" w:type="pct"/>
            <w:vAlign w:val="bottom"/>
          </w:tcPr>
          <w:p w14:paraId="4E319DFA" w14:textId="14E6CA97" w:rsidR="002B5992" w:rsidRPr="00700B87" w:rsidRDefault="00FA7D9E" w:rsidP="002C47F1">
            <w:pPr>
              <w:jc w:val="right"/>
            </w:pPr>
            <w:r>
              <w:t>60,715</w:t>
            </w:r>
          </w:p>
        </w:tc>
        <w:tc>
          <w:tcPr>
            <w:tcW w:w="704" w:type="pct"/>
            <w:vAlign w:val="bottom"/>
          </w:tcPr>
          <w:p w14:paraId="60866678" w14:textId="45074849" w:rsidR="002B5992" w:rsidRPr="00700B87" w:rsidRDefault="00A7216F" w:rsidP="002C47F1">
            <w:pPr>
              <w:jc w:val="right"/>
            </w:pPr>
            <w:r>
              <w:t>58,964</w:t>
            </w:r>
          </w:p>
        </w:tc>
        <w:tc>
          <w:tcPr>
            <w:tcW w:w="711" w:type="pct"/>
          </w:tcPr>
          <w:p w14:paraId="1F1603F4" w14:textId="288C22D0" w:rsidR="002B5992" w:rsidRPr="00700B87" w:rsidRDefault="00A7216F" w:rsidP="002C47F1">
            <w:pPr>
              <w:jc w:val="right"/>
            </w:pPr>
            <w:r>
              <w:t>-</w:t>
            </w:r>
            <w:r w:rsidR="00EE46F4">
              <w:t>3</w:t>
            </w:r>
          </w:p>
        </w:tc>
      </w:tr>
      <w:tr w:rsidR="002B5992" w14:paraId="4399311F" w14:textId="77777777" w:rsidTr="00A756E7">
        <w:tc>
          <w:tcPr>
            <w:tcW w:w="2811" w:type="pct"/>
          </w:tcPr>
          <w:p w14:paraId="351D9693" w14:textId="77777777" w:rsidR="002B5992" w:rsidRDefault="002B5992" w:rsidP="002C47F1">
            <w:r w:rsidRPr="00DC1D85">
              <w:t>Grants of legal assistance</w:t>
            </w:r>
          </w:p>
        </w:tc>
        <w:tc>
          <w:tcPr>
            <w:tcW w:w="774" w:type="pct"/>
          </w:tcPr>
          <w:p w14:paraId="4B265CC5" w14:textId="5A735680" w:rsidR="002B5992" w:rsidRPr="00700B87" w:rsidRDefault="00FA7D9E" w:rsidP="002C47F1">
            <w:pPr>
              <w:jc w:val="right"/>
            </w:pPr>
            <w:r>
              <w:t>25,302</w:t>
            </w:r>
          </w:p>
        </w:tc>
        <w:tc>
          <w:tcPr>
            <w:tcW w:w="704" w:type="pct"/>
          </w:tcPr>
          <w:p w14:paraId="19C1C377" w14:textId="61368862" w:rsidR="002B5992" w:rsidRPr="00700B87" w:rsidRDefault="00A7216F" w:rsidP="002C47F1">
            <w:pPr>
              <w:jc w:val="right"/>
            </w:pPr>
            <w:r>
              <w:t>26,100</w:t>
            </w:r>
          </w:p>
        </w:tc>
        <w:tc>
          <w:tcPr>
            <w:tcW w:w="711" w:type="pct"/>
          </w:tcPr>
          <w:p w14:paraId="3974742A" w14:textId="23204208" w:rsidR="002B5992" w:rsidRPr="00700B87" w:rsidRDefault="00A7216F" w:rsidP="002C47F1">
            <w:pPr>
              <w:jc w:val="right"/>
            </w:pPr>
            <w:r>
              <w:t>3</w:t>
            </w:r>
          </w:p>
        </w:tc>
      </w:tr>
    </w:tbl>
    <w:p w14:paraId="375BD72A" w14:textId="62CF23E2" w:rsidR="00A756E7" w:rsidRDefault="00A756E7" w:rsidP="00A756E7">
      <w:pPr>
        <w:pStyle w:val="Bullet1"/>
        <w:numPr>
          <w:ilvl w:val="0"/>
          <w:numId w:val="0"/>
        </w:numPr>
      </w:pPr>
      <w:r>
        <w:t>We have observed a very high pace of legislative and system change in the criminal justice sector in 2017</w:t>
      </w:r>
      <w:r>
        <w:rPr>
          <w:rFonts w:cs="Arial"/>
        </w:rPr>
        <w:t>–</w:t>
      </w:r>
      <w:r>
        <w:t>18. Tougher bail and sentencing laws, workload management initiatives in the Magistrates’ Court and the introduction of Youth Control Orders are just some of the changes which are having an impact on the way we deliver criminal law services. Our staff, practice partners and clients have all felt the impact of the high pace of change to the criminal law system over the past year.</w:t>
      </w:r>
    </w:p>
    <w:p w14:paraId="1938E953" w14:textId="6321F968" w:rsidR="00A756E7" w:rsidRDefault="00A756E7" w:rsidP="00A756E7">
      <w:r>
        <w:t>These reforms mean we are spending more time giving our clients more intensive help for more complex and serious problems. We are taking steps to ensure we continue to deliver high quality services to our clients, while we adapt to these systemic changes.</w:t>
      </w:r>
      <w:r w:rsidR="005A2C42">
        <w:t xml:space="preserve"> Demand for our most intensive form of assistance, grants of legal aid continued to increase across 2017</w:t>
      </w:r>
      <w:r w:rsidR="005A2C42">
        <w:rPr>
          <w:rFonts w:cs="Arial"/>
        </w:rPr>
        <w:t>–</w:t>
      </w:r>
      <w:r w:rsidR="005A2C42">
        <w:t xml:space="preserve">18 reflecting the complexity and seriousness of the legal problems faced by our clients. </w:t>
      </w:r>
    </w:p>
    <w:p w14:paraId="694A72EB" w14:textId="4CE6D234" w:rsidR="00A756E7" w:rsidRDefault="00A756E7" w:rsidP="00A756E7">
      <w:pPr>
        <w:rPr>
          <w:highlight w:val="yellow"/>
        </w:rPr>
      </w:pPr>
      <w:r w:rsidRPr="00A1757A">
        <w:t xml:space="preserve">There continues to be </w:t>
      </w:r>
      <w:r>
        <w:t>steady</w:t>
      </w:r>
      <w:r w:rsidRPr="00A1757A">
        <w:t xml:space="preserve"> demand for in-court duty lawyer services</w:t>
      </w:r>
      <w:r>
        <w:t xml:space="preserve"> and we expect this to increase next year </w:t>
      </w:r>
      <w:r w:rsidRPr="00A1757A">
        <w:t>due to an increase in the number of clients on remand, and the implementation of bail review recommendations and sentencing reforms.</w:t>
      </w:r>
      <w:bookmarkStart w:id="4" w:name="_Grants_of_legal_1"/>
      <w:bookmarkStart w:id="5" w:name="_Grants_of_legal"/>
      <w:bookmarkEnd w:id="4"/>
      <w:bookmarkEnd w:id="5"/>
      <w:r w:rsidRPr="00A1757A">
        <w:t xml:space="preserve"> We have also begun offering duty lawyer services at night at the Melbourne Magistrates’ Court. </w:t>
      </w:r>
      <w:r>
        <w:rPr>
          <w:lang w:eastAsia="en-AU"/>
        </w:rPr>
        <w:t>We welcomed an extra $37 million over four years, and the $129 million investment into the Magistrates’ Court of Victoria</w:t>
      </w:r>
      <w:r w:rsidR="006B21FE">
        <w:rPr>
          <w:lang w:eastAsia="en-AU"/>
        </w:rPr>
        <w:t xml:space="preserve"> made by </w:t>
      </w:r>
      <w:r>
        <w:rPr>
          <w:lang w:eastAsia="en-AU"/>
        </w:rPr>
        <w:t>the Victorian government</w:t>
      </w:r>
      <w:r w:rsidR="006B21FE">
        <w:rPr>
          <w:lang w:eastAsia="en-AU"/>
        </w:rPr>
        <w:t xml:space="preserve"> in the 2018 Budget</w:t>
      </w:r>
      <w:r>
        <w:rPr>
          <w:lang w:eastAsia="en-AU"/>
        </w:rPr>
        <w:t xml:space="preserve">, to help ease pressure in an increasingly crowded criminal law space. </w:t>
      </w:r>
    </w:p>
    <w:p w14:paraId="42C9097E" w14:textId="77777777" w:rsidR="002B5992" w:rsidRDefault="002B5992" w:rsidP="002B5992">
      <w:pPr>
        <w:pStyle w:val="Heading4"/>
      </w:pPr>
      <w:r w:rsidRPr="006973CA">
        <w:t xml:space="preserve">Criminal Law </w:t>
      </w:r>
      <w:r>
        <w:t xml:space="preserve">Program grants of legal assistance </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554"/>
        <w:gridCol w:w="2174"/>
        <w:gridCol w:w="2174"/>
        <w:gridCol w:w="2174"/>
      </w:tblGrid>
      <w:tr w:rsidR="002B5992" w:rsidRPr="00E9367A" w14:paraId="6CF9BC10" w14:textId="77777777" w:rsidTr="002C47F1">
        <w:trPr>
          <w:cnfStyle w:val="100000000000" w:firstRow="1" w:lastRow="0" w:firstColumn="0" w:lastColumn="0" w:oddVBand="0" w:evenVBand="0" w:oddHBand="0" w:evenHBand="0" w:firstRowFirstColumn="0" w:firstRowLastColumn="0" w:lastRowFirstColumn="0" w:lastRowLastColumn="0"/>
        </w:trPr>
        <w:tc>
          <w:tcPr>
            <w:tcW w:w="3554" w:type="dxa"/>
            <w:shd w:val="clear" w:color="auto" w:fill="BFBFBF" w:themeFill="background1" w:themeFillShade="BF"/>
          </w:tcPr>
          <w:p w14:paraId="357DF034" w14:textId="77777777" w:rsidR="002B5992" w:rsidRPr="00C07559" w:rsidRDefault="002B5992" w:rsidP="002C47F1">
            <w:pPr>
              <w:rPr>
                <w:b/>
                <w:color w:val="000000" w:themeColor="text1"/>
              </w:rPr>
            </w:pPr>
          </w:p>
        </w:tc>
        <w:tc>
          <w:tcPr>
            <w:tcW w:w="2174" w:type="dxa"/>
            <w:shd w:val="clear" w:color="auto" w:fill="BFBFBF" w:themeFill="background1" w:themeFillShade="BF"/>
          </w:tcPr>
          <w:p w14:paraId="3B74D508" w14:textId="37DF04C0" w:rsidR="002B5992" w:rsidRPr="00B32B83" w:rsidRDefault="00D060EA" w:rsidP="002C47F1">
            <w:pPr>
              <w:jc w:val="right"/>
              <w:rPr>
                <w:b/>
                <w:color w:val="000000" w:themeColor="text1"/>
              </w:rPr>
            </w:pPr>
            <w:r>
              <w:rPr>
                <w:b/>
              </w:rPr>
              <w:t>2016–17</w:t>
            </w:r>
          </w:p>
        </w:tc>
        <w:tc>
          <w:tcPr>
            <w:tcW w:w="2174" w:type="dxa"/>
            <w:shd w:val="clear" w:color="auto" w:fill="BFBFBF" w:themeFill="background1" w:themeFillShade="BF"/>
          </w:tcPr>
          <w:p w14:paraId="0C1D5B17" w14:textId="7370FF23" w:rsidR="002B5992" w:rsidRPr="00B32B83" w:rsidRDefault="00F665BB" w:rsidP="002C47F1">
            <w:pPr>
              <w:jc w:val="right"/>
              <w:rPr>
                <w:b/>
                <w:color w:val="000000" w:themeColor="text1"/>
              </w:rPr>
            </w:pPr>
            <w:r>
              <w:rPr>
                <w:b/>
              </w:rPr>
              <w:t>2017</w:t>
            </w:r>
            <w:r>
              <w:rPr>
                <w:rFonts w:cs="Arial"/>
                <w:b/>
              </w:rPr>
              <w:t>–</w:t>
            </w:r>
            <w:r>
              <w:rPr>
                <w:b/>
              </w:rPr>
              <w:t>18</w:t>
            </w:r>
          </w:p>
        </w:tc>
        <w:tc>
          <w:tcPr>
            <w:tcW w:w="2174" w:type="dxa"/>
            <w:shd w:val="clear" w:color="auto" w:fill="BFBFBF" w:themeFill="background1" w:themeFillShade="BF"/>
          </w:tcPr>
          <w:p w14:paraId="5D3C4A42" w14:textId="7380C736" w:rsidR="002B5992" w:rsidRPr="00B32B83" w:rsidRDefault="005A3FC5" w:rsidP="002C47F1">
            <w:pPr>
              <w:jc w:val="right"/>
              <w:rPr>
                <w:b/>
                <w:color w:val="000000" w:themeColor="text1"/>
              </w:rPr>
            </w:pPr>
            <w:r>
              <w:rPr>
                <w:b/>
              </w:rPr>
              <w:t>% Change</w:t>
            </w:r>
          </w:p>
        </w:tc>
      </w:tr>
      <w:tr w:rsidR="002B5992" w:rsidRPr="00E9367A" w14:paraId="64C53D6C" w14:textId="77777777" w:rsidTr="002C47F1">
        <w:trPr>
          <w:cnfStyle w:val="000000100000" w:firstRow="0" w:lastRow="0" w:firstColumn="0" w:lastColumn="0" w:oddVBand="0" w:evenVBand="0" w:oddHBand="1" w:evenHBand="0" w:firstRowFirstColumn="0" w:firstRowLastColumn="0" w:lastRowFirstColumn="0" w:lastRowLastColumn="0"/>
        </w:trPr>
        <w:tc>
          <w:tcPr>
            <w:tcW w:w="3554" w:type="dxa"/>
          </w:tcPr>
          <w:p w14:paraId="43B095D8" w14:textId="77777777" w:rsidR="002B5992" w:rsidRPr="00E9367A" w:rsidRDefault="002B5992" w:rsidP="002C47F1">
            <w:r w:rsidRPr="00E9367A">
              <w:t>Summary Crime</w:t>
            </w:r>
          </w:p>
        </w:tc>
        <w:tc>
          <w:tcPr>
            <w:tcW w:w="2174" w:type="dxa"/>
          </w:tcPr>
          <w:p w14:paraId="687145D3" w14:textId="2CEE0DE6" w:rsidR="002B5992" w:rsidRPr="00414EF5" w:rsidRDefault="00FA7D9E" w:rsidP="002C47F1">
            <w:pPr>
              <w:jc w:val="right"/>
              <w:rPr>
                <w:rFonts w:cs="Arial"/>
                <w:color w:val="000000"/>
                <w:szCs w:val="22"/>
              </w:rPr>
            </w:pPr>
            <w:r>
              <w:rPr>
                <w:rFonts w:cs="Arial"/>
                <w:color w:val="000000"/>
                <w:szCs w:val="22"/>
              </w:rPr>
              <w:t>16,442</w:t>
            </w:r>
          </w:p>
        </w:tc>
        <w:tc>
          <w:tcPr>
            <w:tcW w:w="2174" w:type="dxa"/>
          </w:tcPr>
          <w:p w14:paraId="5C909EFF" w14:textId="23DF7AF2" w:rsidR="002B5992" w:rsidRPr="00414EF5" w:rsidRDefault="00A7216F" w:rsidP="002C47F1">
            <w:pPr>
              <w:jc w:val="right"/>
              <w:rPr>
                <w:szCs w:val="22"/>
              </w:rPr>
            </w:pPr>
            <w:r>
              <w:rPr>
                <w:szCs w:val="22"/>
              </w:rPr>
              <w:t>16,965</w:t>
            </w:r>
          </w:p>
        </w:tc>
        <w:tc>
          <w:tcPr>
            <w:tcW w:w="2174" w:type="dxa"/>
          </w:tcPr>
          <w:p w14:paraId="33307354" w14:textId="2791F6CA" w:rsidR="002B5992" w:rsidRPr="00414EF5" w:rsidRDefault="00A7216F" w:rsidP="002C47F1">
            <w:pPr>
              <w:jc w:val="right"/>
              <w:rPr>
                <w:szCs w:val="22"/>
              </w:rPr>
            </w:pPr>
            <w:r>
              <w:rPr>
                <w:szCs w:val="22"/>
              </w:rPr>
              <w:t>3</w:t>
            </w:r>
          </w:p>
        </w:tc>
      </w:tr>
      <w:tr w:rsidR="002B5992" w:rsidRPr="00E9367A" w14:paraId="7C590773" w14:textId="77777777" w:rsidTr="002C47F1">
        <w:trPr>
          <w:cnfStyle w:val="000000010000" w:firstRow="0" w:lastRow="0" w:firstColumn="0" w:lastColumn="0" w:oddVBand="0" w:evenVBand="0" w:oddHBand="0" w:evenHBand="1" w:firstRowFirstColumn="0" w:firstRowLastColumn="0" w:lastRowFirstColumn="0" w:lastRowLastColumn="0"/>
        </w:trPr>
        <w:tc>
          <w:tcPr>
            <w:tcW w:w="3554" w:type="dxa"/>
          </w:tcPr>
          <w:p w14:paraId="7DD24540" w14:textId="77777777" w:rsidR="002B5992" w:rsidRPr="00E9367A" w:rsidRDefault="002B5992" w:rsidP="002C47F1">
            <w:r w:rsidRPr="00E9367A">
              <w:t>Youth Crime</w:t>
            </w:r>
          </w:p>
        </w:tc>
        <w:tc>
          <w:tcPr>
            <w:tcW w:w="2174" w:type="dxa"/>
          </w:tcPr>
          <w:p w14:paraId="06B7B378" w14:textId="349B0C72" w:rsidR="002B5992" w:rsidRPr="00414EF5" w:rsidRDefault="00FA7D9E" w:rsidP="002C47F1">
            <w:pPr>
              <w:jc w:val="right"/>
              <w:rPr>
                <w:rFonts w:cs="Arial"/>
                <w:color w:val="000000"/>
                <w:szCs w:val="22"/>
              </w:rPr>
            </w:pPr>
            <w:r>
              <w:rPr>
                <w:rFonts w:cs="Arial"/>
                <w:color w:val="000000"/>
                <w:szCs w:val="22"/>
              </w:rPr>
              <w:t>4,114</w:t>
            </w:r>
          </w:p>
        </w:tc>
        <w:tc>
          <w:tcPr>
            <w:tcW w:w="2174" w:type="dxa"/>
          </w:tcPr>
          <w:p w14:paraId="506CC8F3" w14:textId="1F6419AE" w:rsidR="002B5992" w:rsidRPr="00414EF5" w:rsidRDefault="00A7216F" w:rsidP="002C47F1">
            <w:pPr>
              <w:jc w:val="right"/>
              <w:rPr>
                <w:szCs w:val="22"/>
              </w:rPr>
            </w:pPr>
            <w:r>
              <w:rPr>
                <w:szCs w:val="22"/>
              </w:rPr>
              <w:t>4,193</w:t>
            </w:r>
          </w:p>
        </w:tc>
        <w:tc>
          <w:tcPr>
            <w:tcW w:w="2174" w:type="dxa"/>
          </w:tcPr>
          <w:p w14:paraId="7866019E" w14:textId="763ADA23" w:rsidR="002B5992" w:rsidRPr="00414EF5" w:rsidRDefault="00EE46F4" w:rsidP="002C47F1">
            <w:pPr>
              <w:jc w:val="right"/>
              <w:rPr>
                <w:szCs w:val="22"/>
              </w:rPr>
            </w:pPr>
            <w:r>
              <w:rPr>
                <w:szCs w:val="22"/>
              </w:rPr>
              <w:t>2</w:t>
            </w:r>
          </w:p>
        </w:tc>
      </w:tr>
      <w:tr w:rsidR="002B5992" w:rsidRPr="00E9367A" w14:paraId="45AC74F8" w14:textId="77777777" w:rsidTr="002C47F1">
        <w:trPr>
          <w:cnfStyle w:val="000000100000" w:firstRow="0" w:lastRow="0" w:firstColumn="0" w:lastColumn="0" w:oddVBand="0" w:evenVBand="0" w:oddHBand="1" w:evenHBand="0" w:firstRowFirstColumn="0" w:firstRowLastColumn="0" w:lastRowFirstColumn="0" w:lastRowLastColumn="0"/>
        </w:trPr>
        <w:tc>
          <w:tcPr>
            <w:tcW w:w="3554" w:type="dxa"/>
          </w:tcPr>
          <w:p w14:paraId="7E7FCD1F" w14:textId="77777777" w:rsidR="002B5992" w:rsidRPr="00E9367A" w:rsidRDefault="002B5992" w:rsidP="002C47F1">
            <w:r w:rsidRPr="00E9367A">
              <w:t>Indictable Crime (includes sexual offences)</w:t>
            </w:r>
          </w:p>
        </w:tc>
        <w:tc>
          <w:tcPr>
            <w:tcW w:w="2174" w:type="dxa"/>
            <w:vAlign w:val="center"/>
          </w:tcPr>
          <w:p w14:paraId="07ED1254" w14:textId="7768092B" w:rsidR="002B5992" w:rsidRPr="00414EF5" w:rsidRDefault="00FA7D9E" w:rsidP="002C47F1">
            <w:pPr>
              <w:jc w:val="right"/>
              <w:rPr>
                <w:rFonts w:cs="Arial"/>
                <w:color w:val="000000"/>
                <w:szCs w:val="22"/>
              </w:rPr>
            </w:pPr>
            <w:r>
              <w:rPr>
                <w:rFonts w:cs="Arial"/>
                <w:color w:val="000000"/>
                <w:szCs w:val="22"/>
              </w:rPr>
              <w:t>3,539</w:t>
            </w:r>
          </w:p>
        </w:tc>
        <w:tc>
          <w:tcPr>
            <w:tcW w:w="2174" w:type="dxa"/>
            <w:vAlign w:val="center"/>
          </w:tcPr>
          <w:p w14:paraId="2CE4E1EE" w14:textId="08199E64" w:rsidR="002B5992" w:rsidRPr="00414EF5" w:rsidRDefault="00A7216F" w:rsidP="002C47F1">
            <w:pPr>
              <w:jc w:val="right"/>
              <w:rPr>
                <w:szCs w:val="22"/>
              </w:rPr>
            </w:pPr>
            <w:r>
              <w:rPr>
                <w:szCs w:val="22"/>
              </w:rPr>
              <w:t>3,706</w:t>
            </w:r>
          </w:p>
        </w:tc>
        <w:tc>
          <w:tcPr>
            <w:tcW w:w="2174" w:type="dxa"/>
            <w:vAlign w:val="center"/>
          </w:tcPr>
          <w:p w14:paraId="63BC30E4" w14:textId="4ACF7809" w:rsidR="002B5992" w:rsidRPr="00414EF5" w:rsidRDefault="00EE46F4" w:rsidP="002C47F1">
            <w:pPr>
              <w:jc w:val="right"/>
              <w:rPr>
                <w:szCs w:val="22"/>
              </w:rPr>
            </w:pPr>
            <w:r>
              <w:rPr>
                <w:szCs w:val="22"/>
              </w:rPr>
              <w:t>5</w:t>
            </w:r>
          </w:p>
        </w:tc>
      </w:tr>
      <w:tr w:rsidR="002B5992" w:rsidRPr="00E9367A" w14:paraId="5C8496F0" w14:textId="77777777" w:rsidTr="002C47F1">
        <w:trPr>
          <w:cnfStyle w:val="000000010000" w:firstRow="0" w:lastRow="0" w:firstColumn="0" w:lastColumn="0" w:oddVBand="0" w:evenVBand="0" w:oddHBand="0" w:evenHBand="1" w:firstRowFirstColumn="0" w:firstRowLastColumn="0" w:lastRowFirstColumn="0" w:lastRowLastColumn="0"/>
        </w:trPr>
        <w:tc>
          <w:tcPr>
            <w:tcW w:w="3554" w:type="dxa"/>
          </w:tcPr>
          <w:p w14:paraId="04101548" w14:textId="77777777" w:rsidR="002B5992" w:rsidRPr="00E9367A" w:rsidRDefault="002B5992" w:rsidP="002C47F1">
            <w:r w:rsidRPr="00E9367A">
              <w:t>Appellate Crime</w:t>
            </w:r>
          </w:p>
        </w:tc>
        <w:tc>
          <w:tcPr>
            <w:tcW w:w="2174" w:type="dxa"/>
          </w:tcPr>
          <w:p w14:paraId="780D0DB2" w14:textId="1420533F" w:rsidR="002B5992" w:rsidRPr="00414EF5" w:rsidRDefault="00FA7D9E" w:rsidP="002C47F1">
            <w:pPr>
              <w:jc w:val="right"/>
              <w:rPr>
                <w:szCs w:val="22"/>
              </w:rPr>
            </w:pPr>
            <w:r>
              <w:rPr>
                <w:szCs w:val="22"/>
              </w:rPr>
              <w:t>1,167</w:t>
            </w:r>
          </w:p>
        </w:tc>
        <w:tc>
          <w:tcPr>
            <w:tcW w:w="2174" w:type="dxa"/>
          </w:tcPr>
          <w:p w14:paraId="27D35BC1" w14:textId="4B4AC6D7" w:rsidR="002B5992" w:rsidRPr="00414EF5" w:rsidRDefault="00A7216F" w:rsidP="002C47F1">
            <w:pPr>
              <w:jc w:val="right"/>
              <w:rPr>
                <w:szCs w:val="22"/>
              </w:rPr>
            </w:pPr>
            <w:r>
              <w:rPr>
                <w:szCs w:val="22"/>
              </w:rPr>
              <w:t>1,236</w:t>
            </w:r>
          </w:p>
        </w:tc>
        <w:tc>
          <w:tcPr>
            <w:tcW w:w="2174" w:type="dxa"/>
            <w:vAlign w:val="center"/>
          </w:tcPr>
          <w:p w14:paraId="7273B8C7" w14:textId="08019F3D" w:rsidR="002B5992" w:rsidRPr="00414EF5" w:rsidRDefault="00EE46F4" w:rsidP="002C47F1">
            <w:pPr>
              <w:jc w:val="right"/>
              <w:rPr>
                <w:szCs w:val="22"/>
              </w:rPr>
            </w:pPr>
            <w:r>
              <w:rPr>
                <w:szCs w:val="22"/>
              </w:rPr>
              <w:t>6</w:t>
            </w:r>
          </w:p>
        </w:tc>
      </w:tr>
      <w:tr w:rsidR="002B5992" w:rsidRPr="00E9367A" w14:paraId="4FB488BC" w14:textId="77777777" w:rsidTr="002C47F1">
        <w:trPr>
          <w:cnfStyle w:val="000000100000" w:firstRow="0" w:lastRow="0" w:firstColumn="0" w:lastColumn="0" w:oddVBand="0" w:evenVBand="0" w:oddHBand="1" w:evenHBand="0" w:firstRowFirstColumn="0" w:firstRowLastColumn="0" w:lastRowFirstColumn="0" w:lastRowLastColumn="0"/>
        </w:trPr>
        <w:tc>
          <w:tcPr>
            <w:tcW w:w="3554" w:type="dxa"/>
          </w:tcPr>
          <w:p w14:paraId="659F5DB6" w14:textId="77777777" w:rsidR="002B5992" w:rsidRPr="00E9367A" w:rsidRDefault="002B5992" w:rsidP="002B5992">
            <w:pPr>
              <w:pStyle w:val="ListParagraph"/>
              <w:numPr>
                <w:ilvl w:val="0"/>
                <w:numId w:val="39"/>
              </w:numPr>
            </w:pPr>
            <w:r>
              <w:lastRenderedPageBreak/>
              <w:t>Higher court appeals</w:t>
            </w:r>
            <w:r>
              <w:rPr>
                <w:rStyle w:val="FootnoteReference"/>
              </w:rPr>
              <w:footnoteReference w:id="6"/>
            </w:r>
          </w:p>
        </w:tc>
        <w:tc>
          <w:tcPr>
            <w:tcW w:w="2174" w:type="dxa"/>
          </w:tcPr>
          <w:p w14:paraId="2DDAF7DE" w14:textId="54853804" w:rsidR="002B5992" w:rsidRPr="00414EF5" w:rsidRDefault="00FA7D9E" w:rsidP="002C47F1">
            <w:pPr>
              <w:jc w:val="right"/>
              <w:rPr>
                <w:szCs w:val="22"/>
              </w:rPr>
            </w:pPr>
            <w:r>
              <w:rPr>
                <w:szCs w:val="22"/>
              </w:rPr>
              <w:t>116</w:t>
            </w:r>
          </w:p>
        </w:tc>
        <w:tc>
          <w:tcPr>
            <w:tcW w:w="2174" w:type="dxa"/>
          </w:tcPr>
          <w:p w14:paraId="4463D6F1" w14:textId="082708EA" w:rsidR="002B5992" w:rsidRPr="00414EF5" w:rsidRDefault="00A7216F" w:rsidP="002C47F1">
            <w:pPr>
              <w:jc w:val="right"/>
              <w:rPr>
                <w:szCs w:val="22"/>
              </w:rPr>
            </w:pPr>
            <w:r>
              <w:rPr>
                <w:szCs w:val="22"/>
              </w:rPr>
              <w:t>100</w:t>
            </w:r>
          </w:p>
        </w:tc>
        <w:tc>
          <w:tcPr>
            <w:tcW w:w="2174" w:type="dxa"/>
          </w:tcPr>
          <w:p w14:paraId="4539A67B" w14:textId="41469817" w:rsidR="002B5992" w:rsidRPr="00414EF5" w:rsidRDefault="00A7216F" w:rsidP="002C47F1">
            <w:pPr>
              <w:jc w:val="right"/>
              <w:rPr>
                <w:szCs w:val="22"/>
              </w:rPr>
            </w:pPr>
            <w:r>
              <w:rPr>
                <w:szCs w:val="22"/>
              </w:rPr>
              <w:t>-1</w:t>
            </w:r>
            <w:r w:rsidR="00EE46F4">
              <w:rPr>
                <w:szCs w:val="22"/>
              </w:rPr>
              <w:t>4</w:t>
            </w:r>
          </w:p>
        </w:tc>
      </w:tr>
      <w:tr w:rsidR="002B5992" w:rsidRPr="00E9367A" w14:paraId="11A9A05A" w14:textId="77777777" w:rsidTr="002C47F1">
        <w:trPr>
          <w:cnfStyle w:val="000000010000" w:firstRow="0" w:lastRow="0" w:firstColumn="0" w:lastColumn="0" w:oddVBand="0" w:evenVBand="0" w:oddHBand="0" w:evenHBand="1" w:firstRowFirstColumn="0" w:firstRowLastColumn="0" w:lastRowFirstColumn="0" w:lastRowLastColumn="0"/>
        </w:trPr>
        <w:tc>
          <w:tcPr>
            <w:tcW w:w="3554" w:type="dxa"/>
          </w:tcPr>
          <w:p w14:paraId="5BEE7C25" w14:textId="77777777" w:rsidR="002B5992" w:rsidRPr="00E9367A" w:rsidRDefault="002B5992" w:rsidP="002B5992">
            <w:pPr>
              <w:pStyle w:val="ListParagraph"/>
              <w:numPr>
                <w:ilvl w:val="0"/>
                <w:numId w:val="39"/>
              </w:numPr>
            </w:pPr>
            <w:r w:rsidRPr="00E9367A">
              <w:t>County Court appeals</w:t>
            </w:r>
            <w:r>
              <w:rPr>
                <w:rStyle w:val="FootnoteReference"/>
              </w:rPr>
              <w:footnoteReference w:id="7"/>
            </w:r>
          </w:p>
        </w:tc>
        <w:tc>
          <w:tcPr>
            <w:tcW w:w="2174" w:type="dxa"/>
          </w:tcPr>
          <w:p w14:paraId="671D8E33" w14:textId="596DFB15" w:rsidR="002B5992" w:rsidRPr="00414EF5" w:rsidRDefault="00FA7D9E" w:rsidP="002C47F1">
            <w:pPr>
              <w:jc w:val="right"/>
              <w:rPr>
                <w:szCs w:val="22"/>
              </w:rPr>
            </w:pPr>
            <w:r>
              <w:rPr>
                <w:szCs w:val="22"/>
              </w:rPr>
              <w:t>1,015</w:t>
            </w:r>
          </w:p>
        </w:tc>
        <w:tc>
          <w:tcPr>
            <w:tcW w:w="2174" w:type="dxa"/>
          </w:tcPr>
          <w:p w14:paraId="73E536E8" w14:textId="521B3518" w:rsidR="002B5992" w:rsidRPr="00414EF5" w:rsidRDefault="00A7216F" w:rsidP="002C47F1">
            <w:pPr>
              <w:jc w:val="right"/>
              <w:rPr>
                <w:szCs w:val="22"/>
              </w:rPr>
            </w:pPr>
            <w:r>
              <w:rPr>
                <w:szCs w:val="22"/>
              </w:rPr>
              <w:t>1</w:t>
            </w:r>
            <w:r w:rsidR="00E773E6">
              <w:rPr>
                <w:szCs w:val="22"/>
              </w:rPr>
              <w:t>,</w:t>
            </w:r>
            <w:r>
              <w:rPr>
                <w:szCs w:val="22"/>
              </w:rPr>
              <w:t>136</w:t>
            </w:r>
          </w:p>
        </w:tc>
        <w:tc>
          <w:tcPr>
            <w:tcW w:w="2174" w:type="dxa"/>
          </w:tcPr>
          <w:p w14:paraId="3B785034" w14:textId="6D93F1E3" w:rsidR="002B5992" w:rsidRPr="00414EF5" w:rsidRDefault="00A7216F" w:rsidP="002C47F1">
            <w:pPr>
              <w:jc w:val="right"/>
              <w:rPr>
                <w:szCs w:val="22"/>
              </w:rPr>
            </w:pPr>
            <w:r>
              <w:rPr>
                <w:szCs w:val="22"/>
              </w:rPr>
              <w:t>1</w:t>
            </w:r>
            <w:r w:rsidR="00EE46F4">
              <w:rPr>
                <w:szCs w:val="22"/>
              </w:rPr>
              <w:t>2</w:t>
            </w:r>
          </w:p>
        </w:tc>
      </w:tr>
    </w:tbl>
    <w:p w14:paraId="33795EC8" w14:textId="6E2FD1F3" w:rsidR="002B5992" w:rsidRPr="005F1DE5" w:rsidRDefault="002B5992" w:rsidP="002B5992">
      <w:pPr>
        <w:pStyle w:val="Heading4"/>
      </w:pPr>
      <w:r w:rsidRPr="006973CA">
        <w:t xml:space="preserve">Criminal Law Program </w:t>
      </w:r>
      <w:r w:rsidRPr="005F1DE5">
        <w:t xml:space="preserve">operating expenditure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2093"/>
        <w:gridCol w:w="1828"/>
        <w:gridCol w:w="1463"/>
        <w:gridCol w:w="1766"/>
        <w:gridCol w:w="1463"/>
        <w:gridCol w:w="1463"/>
      </w:tblGrid>
      <w:tr w:rsidR="00EC795B" w:rsidRPr="00E9367A" w14:paraId="54DE5D4C" w14:textId="77777777" w:rsidTr="008F2D9D">
        <w:trPr>
          <w:cnfStyle w:val="100000000000" w:firstRow="1" w:lastRow="0" w:firstColumn="0" w:lastColumn="0" w:oddVBand="0" w:evenVBand="0" w:oddHBand="0" w:evenHBand="0" w:firstRowFirstColumn="0" w:firstRowLastColumn="0" w:lastRowFirstColumn="0" w:lastRowLastColumn="0"/>
        </w:trPr>
        <w:tc>
          <w:tcPr>
            <w:tcW w:w="2093" w:type="dxa"/>
            <w:shd w:val="clear" w:color="auto" w:fill="BFBFBF" w:themeFill="background1" w:themeFillShade="BF"/>
          </w:tcPr>
          <w:p w14:paraId="52360070" w14:textId="77777777" w:rsidR="002B5992" w:rsidRPr="00C07559" w:rsidRDefault="002B5992" w:rsidP="002C47F1">
            <w:pPr>
              <w:rPr>
                <w:color w:val="000000" w:themeColor="text1"/>
              </w:rPr>
            </w:pPr>
          </w:p>
        </w:tc>
        <w:tc>
          <w:tcPr>
            <w:tcW w:w="1828" w:type="dxa"/>
            <w:shd w:val="clear" w:color="auto" w:fill="BFBFBF" w:themeFill="background1" w:themeFillShade="BF"/>
          </w:tcPr>
          <w:p w14:paraId="7CBBA419" w14:textId="257A6A15" w:rsidR="002B5992" w:rsidRPr="00C07559" w:rsidRDefault="002B5992" w:rsidP="002C47F1">
            <w:pPr>
              <w:jc w:val="right"/>
              <w:rPr>
                <w:b/>
                <w:color w:val="000000" w:themeColor="text1"/>
              </w:rPr>
            </w:pPr>
            <w:r w:rsidRPr="00C07559">
              <w:rPr>
                <w:b/>
                <w:color w:val="000000" w:themeColor="text1"/>
              </w:rPr>
              <w:t>Expenditure ($)</w:t>
            </w:r>
            <w:r>
              <w:rPr>
                <w:b/>
                <w:color w:val="000000" w:themeColor="text1"/>
              </w:rPr>
              <w:t xml:space="preserve"> in </w:t>
            </w:r>
            <w:r w:rsidR="00D060EA">
              <w:rPr>
                <w:b/>
              </w:rPr>
              <w:t>2016–17</w:t>
            </w:r>
          </w:p>
        </w:tc>
        <w:tc>
          <w:tcPr>
            <w:tcW w:w="1463" w:type="dxa"/>
            <w:shd w:val="clear" w:color="auto" w:fill="BFBFBF" w:themeFill="background1" w:themeFillShade="BF"/>
          </w:tcPr>
          <w:p w14:paraId="45934400" w14:textId="31A69299" w:rsidR="002B5992" w:rsidRPr="00C07559" w:rsidRDefault="002B5992" w:rsidP="002C47F1">
            <w:pPr>
              <w:jc w:val="right"/>
              <w:rPr>
                <w:b/>
                <w:color w:val="000000" w:themeColor="text1"/>
              </w:rPr>
            </w:pPr>
            <w:r w:rsidRPr="00C07559">
              <w:rPr>
                <w:b/>
                <w:color w:val="000000" w:themeColor="text1"/>
              </w:rPr>
              <w:t>% of total expenditure</w:t>
            </w:r>
            <w:r w:rsidR="002C47F1">
              <w:rPr>
                <w:b/>
                <w:color w:val="000000" w:themeColor="text1"/>
              </w:rPr>
              <w:t xml:space="preserve"> in </w:t>
            </w:r>
            <w:r w:rsidR="00D060EA">
              <w:rPr>
                <w:b/>
              </w:rPr>
              <w:t>2016–17</w:t>
            </w:r>
          </w:p>
        </w:tc>
        <w:tc>
          <w:tcPr>
            <w:tcW w:w="1766" w:type="dxa"/>
            <w:shd w:val="clear" w:color="auto" w:fill="BFBFBF" w:themeFill="background1" w:themeFillShade="BF"/>
          </w:tcPr>
          <w:p w14:paraId="3DA483A6" w14:textId="1428AD08" w:rsidR="002B5992" w:rsidRPr="00C07559" w:rsidRDefault="002B5992" w:rsidP="002C47F1">
            <w:pPr>
              <w:jc w:val="right"/>
              <w:rPr>
                <w:b/>
                <w:color w:val="000000" w:themeColor="text1"/>
              </w:rPr>
            </w:pPr>
            <w:r w:rsidRPr="00C07559">
              <w:rPr>
                <w:b/>
                <w:color w:val="000000" w:themeColor="text1"/>
              </w:rPr>
              <w:t>Expenditure ($)</w:t>
            </w:r>
            <w:r>
              <w:rPr>
                <w:b/>
                <w:color w:val="000000" w:themeColor="text1"/>
              </w:rPr>
              <w:t xml:space="preserve"> in </w:t>
            </w:r>
            <w:r w:rsidR="00F665BB">
              <w:rPr>
                <w:b/>
              </w:rPr>
              <w:t>2017</w:t>
            </w:r>
            <w:r w:rsidR="00F665BB">
              <w:rPr>
                <w:rFonts w:cs="Arial"/>
                <w:b/>
              </w:rPr>
              <w:t>–</w:t>
            </w:r>
            <w:r w:rsidR="00F665BB">
              <w:rPr>
                <w:b/>
              </w:rPr>
              <w:t>18</w:t>
            </w:r>
          </w:p>
        </w:tc>
        <w:tc>
          <w:tcPr>
            <w:tcW w:w="1463" w:type="dxa"/>
            <w:shd w:val="clear" w:color="auto" w:fill="BFBFBF" w:themeFill="background1" w:themeFillShade="BF"/>
          </w:tcPr>
          <w:p w14:paraId="6B5B545D" w14:textId="6D11CE7D" w:rsidR="002B5992" w:rsidRPr="00C07559" w:rsidRDefault="002B5992" w:rsidP="002C47F1">
            <w:pPr>
              <w:jc w:val="right"/>
              <w:rPr>
                <w:b/>
                <w:color w:val="000000" w:themeColor="text1"/>
              </w:rPr>
            </w:pPr>
            <w:r w:rsidRPr="00C07559">
              <w:rPr>
                <w:b/>
                <w:color w:val="000000" w:themeColor="text1"/>
              </w:rPr>
              <w:t>% of total expenditure</w:t>
            </w:r>
            <w:r>
              <w:rPr>
                <w:b/>
                <w:color w:val="000000" w:themeColor="text1"/>
              </w:rPr>
              <w:t xml:space="preserve"> in </w:t>
            </w:r>
            <w:r w:rsidR="00F665BB">
              <w:rPr>
                <w:b/>
              </w:rPr>
              <w:t>2017</w:t>
            </w:r>
            <w:r w:rsidR="00F665BB">
              <w:rPr>
                <w:rFonts w:cs="Arial"/>
                <w:b/>
              </w:rPr>
              <w:t>–</w:t>
            </w:r>
            <w:r w:rsidR="00F665BB">
              <w:rPr>
                <w:b/>
              </w:rPr>
              <w:t>18</w:t>
            </w:r>
          </w:p>
        </w:tc>
        <w:tc>
          <w:tcPr>
            <w:tcW w:w="1463" w:type="dxa"/>
            <w:shd w:val="clear" w:color="auto" w:fill="BFBFBF" w:themeFill="background1" w:themeFillShade="BF"/>
          </w:tcPr>
          <w:p w14:paraId="29C0648E" w14:textId="520521C3" w:rsidR="002B5992" w:rsidRPr="00C07559" w:rsidRDefault="00A73B92" w:rsidP="002C47F1">
            <w:pPr>
              <w:jc w:val="right"/>
              <w:rPr>
                <w:b/>
                <w:color w:val="000000" w:themeColor="text1"/>
              </w:rPr>
            </w:pPr>
            <w:r>
              <w:rPr>
                <w:b/>
                <w:color w:val="000000" w:themeColor="text1"/>
              </w:rPr>
              <w:t>Variance of expenditure</w:t>
            </w:r>
            <w:r w:rsidR="003111FA">
              <w:rPr>
                <w:b/>
                <w:color w:val="000000" w:themeColor="text1"/>
              </w:rPr>
              <w:t xml:space="preserve"> </w:t>
            </w:r>
          </w:p>
        </w:tc>
      </w:tr>
      <w:tr w:rsidR="008F2D9D" w:rsidRPr="00E9367A" w14:paraId="3ED5C87A" w14:textId="77777777" w:rsidTr="00EC795B">
        <w:trPr>
          <w:cnfStyle w:val="000000100000" w:firstRow="0" w:lastRow="0" w:firstColumn="0" w:lastColumn="0" w:oddVBand="0" w:evenVBand="0" w:oddHBand="1" w:evenHBand="0" w:firstRowFirstColumn="0" w:firstRowLastColumn="0" w:lastRowFirstColumn="0" w:lastRowLastColumn="0"/>
        </w:trPr>
        <w:tc>
          <w:tcPr>
            <w:tcW w:w="2093" w:type="dxa"/>
          </w:tcPr>
          <w:p w14:paraId="71AE11E9" w14:textId="01436017" w:rsidR="008F2D9D" w:rsidRPr="00E9367A" w:rsidRDefault="008F2D9D" w:rsidP="008F2D9D">
            <w:r w:rsidRPr="00903F3F">
              <w:t>Summary Crime</w:t>
            </w:r>
          </w:p>
        </w:tc>
        <w:tc>
          <w:tcPr>
            <w:tcW w:w="1828" w:type="dxa"/>
          </w:tcPr>
          <w:p w14:paraId="3DF207AA" w14:textId="4CDF1213" w:rsidR="008F2D9D" w:rsidRPr="008F2D9D" w:rsidRDefault="008F2D9D" w:rsidP="008F2D9D">
            <w:pPr>
              <w:jc w:val="right"/>
            </w:pPr>
            <w:r w:rsidRPr="008F2D9D">
              <w:t>40.</w:t>
            </w:r>
            <w:r w:rsidR="00EB5CF9">
              <w:t>9</w:t>
            </w:r>
            <w:r>
              <w:t xml:space="preserve"> million</w:t>
            </w:r>
          </w:p>
        </w:tc>
        <w:tc>
          <w:tcPr>
            <w:tcW w:w="1463" w:type="dxa"/>
          </w:tcPr>
          <w:p w14:paraId="091CCD84" w14:textId="24C52E95" w:rsidR="008F2D9D" w:rsidRPr="008F2D9D" w:rsidRDefault="008F2D9D" w:rsidP="008F2D9D">
            <w:pPr>
              <w:jc w:val="right"/>
            </w:pPr>
            <w:r w:rsidRPr="008F2D9D">
              <w:t>2</w:t>
            </w:r>
            <w:r w:rsidR="00EB5CF9">
              <w:t>4.2</w:t>
            </w:r>
          </w:p>
        </w:tc>
        <w:tc>
          <w:tcPr>
            <w:tcW w:w="1766" w:type="dxa"/>
          </w:tcPr>
          <w:p w14:paraId="310502BE" w14:textId="3B98CF23" w:rsidR="008F2D9D" w:rsidRPr="008F2D9D" w:rsidRDefault="008F2D9D" w:rsidP="008F2D9D">
            <w:pPr>
              <w:jc w:val="right"/>
            </w:pPr>
            <w:r w:rsidRPr="008F2D9D">
              <w:t>46.</w:t>
            </w:r>
            <w:r w:rsidR="00660BA3">
              <w:t>9</w:t>
            </w:r>
            <w:r>
              <w:t xml:space="preserve"> million</w:t>
            </w:r>
          </w:p>
        </w:tc>
        <w:tc>
          <w:tcPr>
            <w:tcW w:w="1463" w:type="dxa"/>
          </w:tcPr>
          <w:p w14:paraId="2846F8EF" w14:textId="704F56B7" w:rsidR="008F2D9D" w:rsidRPr="008F2D9D" w:rsidRDefault="008F2D9D" w:rsidP="008F2D9D">
            <w:pPr>
              <w:jc w:val="right"/>
            </w:pPr>
            <w:r w:rsidRPr="008F2D9D">
              <w:t>24.</w:t>
            </w:r>
            <w:r w:rsidR="00660BA3">
              <w:t>6</w:t>
            </w:r>
          </w:p>
        </w:tc>
        <w:tc>
          <w:tcPr>
            <w:tcW w:w="1463" w:type="dxa"/>
          </w:tcPr>
          <w:p w14:paraId="45C8AE5C" w14:textId="2A9FE139" w:rsidR="008F2D9D" w:rsidRPr="008F2D9D" w:rsidRDefault="00D17B82" w:rsidP="008F2D9D">
            <w:pPr>
              <w:jc w:val="right"/>
            </w:pPr>
            <w:r>
              <w:t>6.0</w:t>
            </w:r>
            <w:r w:rsidR="008F2D9D">
              <w:t xml:space="preserve"> million</w:t>
            </w:r>
          </w:p>
        </w:tc>
      </w:tr>
      <w:tr w:rsidR="008F2D9D" w:rsidRPr="00E9367A" w14:paraId="1C95C805" w14:textId="77777777" w:rsidTr="00EC795B">
        <w:trPr>
          <w:cnfStyle w:val="000000010000" w:firstRow="0" w:lastRow="0" w:firstColumn="0" w:lastColumn="0" w:oddVBand="0" w:evenVBand="0" w:oddHBand="0" w:evenHBand="1" w:firstRowFirstColumn="0" w:firstRowLastColumn="0" w:lastRowFirstColumn="0" w:lastRowLastColumn="0"/>
        </w:trPr>
        <w:tc>
          <w:tcPr>
            <w:tcW w:w="2093" w:type="dxa"/>
          </w:tcPr>
          <w:p w14:paraId="2A78CDFB" w14:textId="5CF2620E" w:rsidR="008F2D9D" w:rsidRPr="00E9367A" w:rsidRDefault="008F2D9D" w:rsidP="008F2D9D">
            <w:r w:rsidRPr="00903F3F">
              <w:t>Youth Crime</w:t>
            </w:r>
          </w:p>
        </w:tc>
        <w:tc>
          <w:tcPr>
            <w:tcW w:w="1828" w:type="dxa"/>
          </w:tcPr>
          <w:p w14:paraId="7782F1F8" w14:textId="2EBEA4FD" w:rsidR="008F2D9D" w:rsidRPr="008F2D9D" w:rsidRDefault="008F2D9D" w:rsidP="008F2D9D">
            <w:pPr>
              <w:jc w:val="right"/>
            </w:pPr>
            <w:r w:rsidRPr="008F2D9D">
              <w:t>12.</w:t>
            </w:r>
            <w:r w:rsidR="00EB5CF9">
              <w:t>4</w:t>
            </w:r>
            <w:r>
              <w:t xml:space="preserve"> million</w:t>
            </w:r>
          </w:p>
        </w:tc>
        <w:tc>
          <w:tcPr>
            <w:tcW w:w="1463" w:type="dxa"/>
          </w:tcPr>
          <w:p w14:paraId="7589A47C" w14:textId="38820C6B" w:rsidR="008F2D9D" w:rsidRPr="008F2D9D" w:rsidRDefault="008F2D9D" w:rsidP="008F2D9D">
            <w:pPr>
              <w:jc w:val="right"/>
            </w:pPr>
            <w:r w:rsidRPr="008F2D9D">
              <w:t>7.3</w:t>
            </w:r>
          </w:p>
        </w:tc>
        <w:tc>
          <w:tcPr>
            <w:tcW w:w="1766" w:type="dxa"/>
          </w:tcPr>
          <w:p w14:paraId="3C7830BE" w14:textId="62CC5726" w:rsidR="008F2D9D" w:rsidRPr="008F2D9D" w:rsidRDefault="008F2D9D" w:rsidP="008F2D9D">
            <w:pPr>
              <w:jc w:val="right"/>
            </w:pPr>
            <w:r w:rsidRPr="008F2D9D">
              <w:t>12.</w:t>
            </w:r>
            <w:r w:rsidR="00660BA3">
              <w:t>9</w:t>
            </w:r>
            <w:r>
              <w:t xml:space="preserve"> million</w:t>
            </w:r>
          </w:p>
        </w:tc>
        <w:tc>
          <w:tcPr>
            <w:tcW w:w="1463" w:type="dxa"/>
          </w:tcPr>
          <w:p w14:paraId="69F2C110" w14:textId="54383375" w:rsidR="008F2D9D" w:rsidRPr="008F2D9D" w:rsidRDefault="008F2D9D" w:rsidP="008F2D9D">
            <w:pPr>
              <w:jc w:val="right"/>
            </w:pPr>
            <w:r w:rsidRPr="008F2D9D">
              <w:t>6.</w:t>
            </w:r>
            <w:r w:rsidR="00660BA3">
              <w:t>8</w:t>
            </w:r>
          </w:p>
        </w:tc>
        <w:tc>
          <w:tcPr>
            <w:tcW w:w="1463" w:type="dxa"/>
          </w:tcPr>
          <w:p w14:paraId="20E56D10" w14:textId="7607C6F3" w:rsidR="008F2D9D" w:rsidRPr="008F2D9D" w:rsidRDefault="008F2D9D" w:rsidP="008F2D9D">
            <w:pPr>
              <w:jc w:val="center"/>
            </w:pPr>
            <w:r>
              <w:t xml:space="preserve">    </w:t>
            </w:r>
            <w:r w:rsidRPr="008F2D9D">
              <w:t>0.5</w:t>
            </w:r>
            <w:r>
              <w:t xml:space="preserve"> million</w:t>
            </w:r>
          </w:p>
        </w:tc>
      </w:tr>
      <w:tr w:rsidR="008F2D9D" w:rsidRPr="00E9367A" w14:paraId="5944F111" w14:textId="77777777" w:rsidTr="00EC795B">
        <w:trPr>
          <w:cnfStyle w:val="000000100000" w:firstRow="0" w:lastRow="0" w:firstColumn="0" w:lastColumn="0" w:oddVBand="0" w:evenVBand="0" w:oddHBand="1" w:evenHBand="0" w:firstRowFirstColumn="0" w:firstRowLastColumn="0" w:lastRowFirstColumn="0" w:lastRowLastColumn="0"/>
        </w:trPr>
        <w:tc>
          <w:tcPr>
            <w:tcW w:w="2093" w:type="dxa"/>
          </w:tcPr>
          <w:p w14:paraId="39272D0D" w14:textId="252C9ABF" w:rsidR="008F2D9D" w:rsidRPr="00E9367A" w:rsidRDefault="008F2D9D" w:rsidP="008F2D9D">
            <w:r w:rsidRPr="00903F3F">
              <w:t>Indictable Crime (includes sexual offences)</w:t>
            </w:r>
          </w:p>
        </w:tc>
        <w:tc>
          <w:tcPr>
            <w:tcW w:w="1828" w:type="dxa"/>
          </w:tcPr>
          <w:p w14:paraId="2EF81F45" w14:textId="0B1AE381" w:rsidR="008F2D9D" w:rsidRPr="008F2D9D" w:rsidRDefault="008F2D9D" w:rsidP="008F2D9D">
            <w:pPr>
              <w:jc w:val="right"/>
            </w:pPr>
            <w:r w:rsidRPr="008F2D9D">
              <w:t>26.</w:t>
            </w:r>
            <w:r w:rsidR="00EB5CF9">
              <w:t>9</w:t>
            </w:r>
            <w:r>
              <w:t xml:space="preserve"> million</w:t>
            </w:r>
          </w:p>
        </w:tc>
        <w:tc>
          <w:tcPr>
            <w:tcW w:w="1463" w:type="dxa"/>
          </w:tcPr>
          <w:p w14:paraId="7FD461D8" w14:textId="219670BB" w:rsidR="008F2D9D" w:rsidRPr="008F2D9D" w:rsidRDefault="008F2D9D" w:rsidP="008F2D9D">
            <w:pPr>
              <w:jc w:val="right"/>
            </w:pPr>
            <w:r w:rsidRPr="008F2D9D">
              <w:t>15.</w:t>
            </w:r>
            <w:r w:rsidR="00660BA3">
              <w:t>9</w:t>
            </w:r>
          </w:p>
        </w:tc>
        <w:tc>
          <w:tcPr>
            <w:tcW w:w="1766" w:type="dxa"/>
          </w:tcPr>
          <w:p w14:paraId="11BA9C20" w14:textId="172D98C3" w:rsidR="008F2D9D" w:rsidRPr="008F2D9D" w:rsidRDefault="008F2D9D" w:rsidP="008F2D9D">
            <w:pPr>
              <w:jc w:val="right"/>
            </w:pPr>
            <w:r w:rsidRPr="008F2D9D">
              <w:t>3</w:t>
            </w:r>
            <w:r w:rsidR="00660BA3">
              <w:t>1.8</w:t>
            </w:r>
            <w:r>
              <w:t xml:space="preserve"> million</w:t>
            </w:r>
          </w:p>
        </w:tc>
        <w:tc>
          <w:tcPr>
            <w:tcW w:w="1463" w:type="dxa"/>
          </w:tcPr>
          <w:p w14:paraId="3F042675" w14:textId="4B4A38C5" w:rsidR="008F2D9D" w:rsidRPr="008F2D9D" w:rsidRDefault="008F2D9D" w:rsidP="008F2D9D">
            <w:pPr>
              <w:jc w:val="right"/>
            </w:pPr>
            <w:r w:rsidRPr="008F2D9D">
              <w:t>16.</w:t>
            </w:r>
            <w:r w:rsidR="00660BA3">
              <w:t>7</w:t>
            </w:r>
          </w:p>
        </w:tc>
        <w:tc>
          <w:tcPr>
            <w:tcW w:w="1463" w:type="dxa"/>
          </w:tcPr>
          <w:p w14:paraId="1D441E23" w14:textId="52900D77" w:rsidR="008F2D9D" w:rsidRPr="008F2D9D" w:rsidRDefault="008F2D9D" w:rsidP="008F2D9D">
            <w:pPr>
              <w:jc w:val="right"/>
            </w:pPr>
            <w:r w:rsidRPr="008F2D9D">
              <w:t>4.</w:t>
            </w:r>
            <w:r w:rsidR="00D17B82">
              <w:t>9</w:t>
            </w:r>
            <w:r>
              <w:t xml:space="preserve"> million</w:t>
            </w:r>
          </w:p>
        </w:tc>
      </w:tr>
      <w:tr w:rsidR="008F2D9D" w:rsidRPr="00E9367A" w14:paraId="35214AE6" w14:textId="77777777" w:rsidTr="00EC795B">
        <w:trPr>
          <w:cnfStyle w:val="000000010000" w:firstRow="0" w:lastRow="0" w:firstColumn="0" w:lastColumn="0" w:oddVBand="0" w:evenVBand="0" w:oddHBand="0" w:evenHBand="1" w:firstRowFirstColumn="0" w:firstRowLastColumn="0" w:lastRowFirstColumn="0" w:lastRowLastColumn="0"/>
        </w:trPr>
        <w:tc>
          <w:tcPr>
            <w:tcW w:w="2093" w:type="dxa"/>
          </w:tcPr>
          <w:p w14:paraId="44E0F689" w14:textId="335586B7" w:rsidR="008F2D9D" w:rsidRPr="00E9367A" w:rsidRDefault="008F2D9D" w:rsidP="008F2D9D">
            <w:r w:rsidRPr="00903F3F">
              <w:t>Appellate Crime</w:t>
            </w:r>
          </w:p>
        </w:tc>
        <w:tc>
          <w:tcPr>
            <w:tcW w:w="1828" w:type="dxa"/>
          </w:tcPr>
          <w:p w14:paraId="055ECC0D" w14:textId="21E4D504" w:rsidR="008F2D9D" w:rsidRPr="008F2D9D" w:rsidRDefault="008F2D9D" w:rsidP="008F2D9D">
            <w:pPr>
              <w:jc w:val="right"/>
            </w:pPr>
            <w:r w:rsidRPr="008F2D9D">
              <w:t>4</w:t>
            </w:r>
            <w:r w:rsidR="00660BA3">
              <w:t>.1</w:t>
            </w:r>
            <w:r>
              <w:t xml:space="preserve"> million</w:t>
            </w:r>
          </w:p>
        </w:tc>
        <w:tc>
          <w:tcPr>
            <w:tcW w:w="1463" w:type="dxa"/>
          </w:tcPr>
          <w:p w14:paraId="20C6BFE1" w14:textId="45708185" w:rsidR="008F2D9D" w:rsidRPr="008F2D9D" w:rsidRDefault="008F2D9D" w:rsidP="008F2D9D">
            <w:pPr>
              <w:jc w:val="right"/>
            </w:pPr>
            <w:r w:rsidRPr="008F2D9D">
              <w:t>2.4</w:t>
            </w:r>
          </w:p>
        </w:tc>
        <w:tc>
          <w:tcPr>
            <w:tcW w:w="1766" w:type="dxa"/>
          </w:tcPr>
          <w:p w14:paraId="03BBD436" w14:textId="7970C5CA" w:rsidR="008F2D9D" w:rsidRPr="008F2D9D" w:rsidRDefault="008F2D9D" w:rsidP="008F2D9D">
            <w:pPr>
              <w:jc w:val="right"/>
            </w:pPr>
            <w:r w:rsidRPr="008F2D9D">
              <w:t>4.</w:t>
            </w:r>
            <w:r w:rsidR="00660BA3">
              <w:t>7</w:t>
            </w:r>
            <w:r>
              <w:t xml:space="preserve"> million</w:t>
            </w:r>
          </w:p>
        </w:tc>
        <w:tc>
          <w:tcPr>
            <w:tcW w:w="1463" w:type="dxa"/>
          </w:tcPr>
          <w:p w14:paraId="57C8DB4E" w14:textId="284BF50C" w:rsidR="008F2D9D" w:rsidRPr="008F2D9D" w:rsidRDefault="008F2D9D" w:rsidP="008F2D9D">
            <w:pPr>
              <w:jc w:val="right"/>
            </w:pPr>
            <w:r w:rsidRPr="008F2D9D">
              <w:t>2.4</w:t>
            </w:r>
          </w:p>
        </w:tc>
        <w:tc>
          <w:tcPr>
            <w:tcW w:w="1463" w:type="dxa"/>
          </w:tcPr>
          <w:p w14:paraId="4F92284F" w14:textId="708267DF" w:rsidR="008F2D9D" w:rsidRPr="008F2D9D" w:rsidRDefault="008F2D9D" w:rsidP="008F2D9D">
            <w:pPr>
              <w:jc w:val="right"/>
            </w:pPr>
            <w:r w:rsidRPr="008F2D9D">
              <w:t>0.6</w:t>
            </w:r>
            <w:r>
              <w:t xml:space="preserve"> million</w:t>
            </w:r>
          </w:p>
        </w:tc>
      </w:tr>
      <w:tr w:rsidR="008F2D9D" w:rsidRPr="00E9367A" w14:paraId="2E693517" w14:textId="77777777" w:rsidTr="00EC795B">
        <w:trPr>
          <w:cnfStyle w:val="010000000000" w:firstRow="0" w:lastRow="1" w:firstColumn="0" w:lastColumn="0" w:oddVBand="0" w:evenVBand="0" w:oddHBand="0" w:evenHBand="0" w:firstRowFirstColumn="0" w:firstRowLastColumn="0" w:lastRowFirstColumn="0" w:lastRowLastColumn="0"/>
        </w:trPr>
        <w:tc>
          <w:tcPr>
            <w:tcW w:w="2093" w:type="dxa"/>
          </w:tcPr>
          <w:p w14:paraId="5943181E" w14:textId="2C41CEF1" w:rsidR="008F2D9D" w:rsidRPr="00E9367A" w:rsidRDefault="008F2D9D" w:rsidP="008F2D9D">
            <w:r w:rsidRPr="00903F3F">
              <w:t>Total</w:t>
            </w:r>
          </w:p>
        </w:tc>
        <w:tc>
          <w:tcPr>
            <w:tcW w:w="1828" w:type="dxa"/>
          </w:tcPr>
          <w:p w14:paraId="7E012A6F" w14:textId="48A3F761" w:rsidR="008F2D9D" w:rsidRPr="008F2D9D" w:rsidRDefault="008F2D9D" w:rsidP="008F2D9D">
            <w:pPr>
              <w:jc w:val="right"/>
            </w:pPr>
            <w:r w:rsidRPr="008F2D9D">
              <w:t>8</w:t>
            </w:r>
            <w:r w:rsidR="00660BA3">
              <w:t>4.3</w:t>
            </w:r>
            <w:r>
              <w:t xml:space="preserve"> million</w:t>
            </w:r>
          </w:p>
        </w:tc>
        <w:tc>
          <w:tcPr>
            <w:tcW w:w="1463" w:type="dxa"/>
          </w:tcPr>
          <w:p w14:paraId="0DC5E7FA" w14:textId="55561D2D" w:rsidR="008F2D9D" w:rsidRPr="008F2D9D" w:rsidRDefault="008F2D9D" w:rsidP="008F2D9D">
            <w:pPr>
              <w:jc w:val="right"/>
            </w:pPr>
            <w:r w:rsidRPr="008F2D9D">
              <w:t>49.</w:t>
            </w:r>
            <w:r w:rsidR="00660BA3">
              <w:t>8</w:t>
            </w:r>
          </w:p>
        </w:tc>
        <w:tc>
          <w:tcPr>
            <w:tcW w:w="1766" w:type="dxa"/>
          </w:tcPr>
          <w:p w14:paraId="7C611AD6" w14:textId="63AA387D" w:rsidR="008F2D9D" w:rsidRPr="008F2D9D" w:rsidRDefault="008F2D9D" w:rsidP="008F2D9D">
            <w:pPr>
              <w:jc w:val="right"/>
            </w:pPr>
            <w:r w:rsidRPr="008F2D9D">
              <w:t>9</w:t>
            </w:r>
            <w:r w:rsidR="00660BA3">
              <w:t>6</w:t>
            </w:r>
            <w:r w:rsidRPr="008F2D9D">
              <w:t>.4</w:t>
            </w:r>
            <w:r>
              <w:t xml:space="preserve"> million</w:t>
            </w:r>
          </w:p>
        </w:tc>
        <w:tc>
          <w:tcPr>
            <w:tcW w:w="1463" w:type="dxa"/>
          </w:tcPr>
          <w:p w14:paraId="344F8CB6" w14:textId="5B43AF8E" w:rsidR="008F2D9D" w:rsidRPr="008F2D9D" w:rsidRDefault="00660BA3" w:rsidP="008F2D9D">
            <w:pPr>
              <w:jc w:val="right"/>
            </w:pPr>
            <w:r>
              <w:t>50</w:t>
            </w:r>
            <w:r w:rsidR="008F2D9D" w:rsidRPr="008F2D9D">
              <w:t>.6</w:t>
            </w:r>
          </w:p>
        </w:tc>
        <w:tc>
          <w:tcPr>
            <w:tcW w:w="1463" w:type="dxa"/>
          </w:tcPr>
          <w:p w14:paraId="6AD5FD74" w14:textId="636356F4" w:rsidR="008F2D9D" w:rsidRPr="008F2D9D" w:rsidRDefault="00D17B82" w:rsidP="008F2D9D">
            <w:pPr>
              <w:jc w:val="right"/>
            </w:pPr>
            <w:r>
              <w:t>12.</w:t>
            </w:r>
            <w:r w:rsidR="00AC6CF7">
              <w:t>0</w:t>
            </w:r>
            <w:r w:rsidR="008F2D9D">
              <w:t xml:space="preserve"> million</w:t>
            </w:r>
          </w:p>
        </w:tc>
      </w:tr>
    </w:tbl>
    <w:p w14:paraId="15268734" w14:textId="3D8E115E" w:rsidR="002B5992" w:rsidRDefault="002B5992" w:rsidP="002B5992">
      <w:pPr>
        <w:pStyle w:val="Heading5"/>
      </w:pPr>
      <w:r w:rsidRPr="003F2C69">
        <w:t xml:space="preserve">The top five matters dealt with by our Criminal Law Program </w:t>
      </w:r>
      <w:r>
        <w:t xml:space="preserve">in </w:t>
      </w:r>
      <w:r w:rsidR="008047E1" w:rsidRPr="008047E1">
        <w:t>2017</w:t>
      </w:r>
      <w:r w:rsidR="008047E1" w:rsidRPr="008047E1">
        <w:rPr>
          <w:rFonts w:cs="Arial"/>
        </w:rPr>
        <w:t>–</w:t>
      </w:r>
      <w:r w:rsidR="008047E1" w:rsidRPr="008047E1">
        <w:t>18</w:t>
      </w:r>
      <w:r>
        <w:t xml:space="preserve"> were: </w:t>
      </w:r>
    </w:p>
    <w:p w14:paraId="021D9330" w14:textId="1A450F6D" w:rsidR="002B5992" w:rsidRDefault="00A7216F" w:rsidP="002B5992">
      <w:pPr>
        <w:pStyle w:val="ListParagraph"/>
        <w:numPr>
          <w:ilvl w:val="0"/>
          <w:numId w:val="41"/>
        </w:numPr>
      </w:pPr>
      <w:proofErr w:type="gramStart"/>
      <w:r>
        <w:t>Assault ,</w:t>
      </w:r>
      <w:proofErr w:type="gramEnd"/>
      <w:r>
        <w:t xml:space="preserve"> 9</w:t>
      </w:r>
      <w:r w:rsidR="00E773E6">
        <w:t>,</w:t>
      </w:r>
      <w:r>
        <w:t>347</w:t>
      </w:r>
    </w:p>
    <w:p w14:paraId="43A43BE1" w14:textId="703CFE8E" w:rsidR="00304F5A" w:rsidRDefault="00A7216F" w:rsidP="00304F5A">
      <w:pPr>
        <w:pStyle w:val="ListParagraph"/>
        <w:numPr>
          <w:ilvl w:val="0"/>
          <w:numId w:val="41"/>
        </w:numPr>
      </w:pPr>
      <w:r>
        <w:t>Breach of Family Violence Protection Act, 8,348</w:t>
      </w:r>
    </w:p>
    <w:p w14:paraId="0E99FD5C" w14:textId="3B5AC9FF" w:rsidR="00304F5A" w:rsidRDefault="00A7216F" w:rsidP="00304F5A">
      <w:pPr>
        <w:pStyle w:val="ListParagraph"/>
        <w:numPr>
          <w:ilvl w:val="0"/>
          <w:numId w:val="41"/>
        </w:numPr>
      </w:pPr>
      <w:r>
        <w:t>Other miscellaneous criminal offences</w:t>
      </w:r>
      <w:r w:rsidR="003B6D52">
        <w:t>, 8,276</w:t>
      </w:r>
    </w:p>
    <w:p w14:paraId="44997C00" w14:textId="5438E564" w:rsidR="00304F5A" w:rsidRDefault="003B6D52" w:rsidP="00304F5A">
      <w:pPr>
        <w:pStyle w:val="ListParagraph"/>
        <w:numPr>
          <w:ilvl w:val="0"/>
          <w:numId w:val="41"/>
        </w:numPr>
      </w:pPr>
      <w:proofErr w:type="gramStart"/>
      <w:r>
        <w:t>Theft ,</w:t>
      </w:r>
      <w:proofErr w:type="gramEnd"/>
      <w:r>
        <w:t xml:space="preserve"> 6,066</w:t>
      </w:r>
    </w:p>
    <w:p w14:paraId="4F36F413" w14:textId="0E21C049" w:rsidR="00304F5A" w:rsidRDefault="003B6D52" w:rsidP="00304F5A">
      <w:pPr>
        <w:pStyle w:val="ListParagraph"/>
        <w:numPr>
          <w:ilvl w:val="0"/>
          <w:numId w:val="41"/>
        </w:numPr>
      </w:pPr>
      <w:r>
        <w:t>Drive whilst license suspended, 5,360</w:t>
      </w:r>
    </w:p>
    <w:p w14:paraId="0A3E6236" w14:textId="77777777" w:rsidR="00C9586F" w:rsidRDefault="00C9586F">
      <w:pPr>
        <w:spacing w:after="0" w:line="240" w:lineRule="auto"/>
        <w:rPr>
          <w:rFonts w:cs="Arial"/>
          <w:b/>
          <w:bCs/>
          <w:sz w:val="26"/>
          <w:szCs w:val="26"/>
          <w:lang w:eastAsia="en-AU"/>
        </w:rPr>
      </w:pPr>
      <w:r>
        <w:br w:type="page"/>
      </w:r>
    </w:p>
    <w:p w14:paraId="164A54E9" w14:textId="77777777" w:rsidR="00304F5A" w:rsidRDefault="00304F5A" w:rsidP="00304F5A">
      <w:pPr>
        <w:pStyle w:val="Heading3"/>
      </w:pPr>
      <w:r w:rsidRPr="008B642A">
        <w:lastRenderedPageBreak/>
        <w:t>Family, Youth and Children’s Law Program</w:t>
      </w:r>
    </w:p>
    <w:p w14:paraId="3CA83753" w14:textId="77777777" w:rsidR="00304F5A" w:rsidRPr="00CE68F2" w:rsidRDefault="00304F5A" w:rsidP="00304F5A">
      <w:r w:rsidRPr="00CE68F2">
        <w:t>We assist people to resolve their family disputes to achieve safe, workable and child-focused parenting and care arrangements. We also assist parents to build their capacity to resolve future disputes without legal assistance. We contribute to the safety of adults and children impacted by family violence and assist in reducing the incidence of family violence by providing legal information, advice and representation to affected adults and children.</w:t>
      </w:r>
    </w:p>
    <w:p w14:paraId="1C5F4C56" w14:textId="77777777" w:rsidR="00304F5A" w:rsidRPr="00393169" w:rsidRDefault="00304F5A" w:rsidP="00304F5A">
      <w:pPr>
        <w:pStyle w:val="Heading4"/>
      </w:pPr>
      <w:r w:rsidRPr="0047677D">
        <w:t>Clients</w:t>
      </w:r>
      <w:r>
        <w:t xml:space="preserve"> numbers and service outcomes</w:t>
      </w:r>
    </w:p>
    <w:tbl>
      <w:tblPr>
        <w:tblStyle w:val="TableGrid"/>
        <w:tblW w:w="5000" w:type="pct"/>
        <w:tblLook w:val="04A0" w:firstRow="1" w:lastRow="0" w:firstColumn="1" w:lastColumn="0" w:noHBand="0" w:noVBand="1"/>
      </w:tblPr>
      <w:tblGrid>
        <w:gridCol w:w="5664"/>
        <w:gridCol w:w="1560"/>
        <w:gridCol w:w="1560"/>
        <w:gridCol w:w="1292"/>
      </w:tblGrid>
      <w:tr w:rsidR="00304F5A" w:rsidRPr="0047677D" w14:paraId="3202F8FC" w14:textId="77777777" w:rsidTr="00633BDC">
        <w:trPr>
          <w:tblHeader/>
        </w:trPr>
        <w:tc>
          <w:tcPr>
            <w:tcW w:w="2811" w:type="pct"/>
            <w:shd w:val="clear" w:color="auto" w:fill="D9D9D9" w:themeFill="background1" w:themeFillShade="D9"/>
          </w:tcPr>
          <w:p w14:paraId="0F004946" w14:textId="77777777" w:rsidR="00304F5A" w:rsidRPr="0047677D" w:rsidRDefault="00304F5A" w:rsidP="002C47F1">
            <w:pPr>
              <w:rPr>
                <w:b/>
              </w:rPr>
            </w:pPr>
          </w:p>
        </w:tc>
        <w:tc>
          <w:tcPr>
            <w:tcW w:w="774" w:type="pct"/>
            <w:shd w:val="clear" w:color="auto" w:fill="D9D9D9" w:themeFill="background1" w:themeFillShade="D9"/>
          </w:tcPr>
          <w:p w14:paraId="1907C797" w14:textId="2B108435" w:rsidR="00304F5A" w:rsidRPr="0047677D" w:rsidRDefault="00D060EA" w:rsidP="00EC795B">
            <w:pPr>
              <w:jc w:val="right"/>
              <w:rPr>
                <w:b/>
              </w:rPr>
            </w:pPr>
            <w:r>
              <w:rPr>
                <w:b/>
              </w:rPr>
              <w:t>2016–17</w:t>
            </w:r>
          </w:p>
        </w:tc>
        <w:tc>
          <w:tcPr>
            <w:tcW w:w="774" w:type="pct"/>
            <w:shd w:val="clear" w:color="auto" w:fill="D9D9D9" w:themeFill="background1" w:themeFillShade="D9"/>
          </w:tcPr>
          <w:p w14:paraId="5A80B86E" w14:textId="08ECBBAB" w:rsidR="00304F5A" w:rsidRPr="0047677D" w:rsidRDefault="00F665BB" w:rsidP="00EC795B">
            <w:pPr>
              <w:jc w:val="right"/>
              <w:rPr>
                <w:b/>
              </w:rPr>
            </w:pPr>
            <w:r>
              <w:rPr>
                <w:b/>
              </w:rPr>
              <w:t>2017</w:t>
            </w:r>
            <w:r>
              <w:rPr>
                <w:rFonts w:cs="Arial"/>
                <w:b/>
              </w:rPr>
              <w:t>–</w:t>
            </w:r>
            <w:r>
              <w:rPr>
                <w:b/>
              </w:rPr>
              <w:t>18</w:t>
            </w:r>
          </w:p>
        </w:tc>
        <w:tc>
          <w:tcPr>
            <w:tcW w:w="641" w:type="pct"/>
            <w:shd w:val="clear" w:color="auto" w:fill="D9D9D9" w:themeFill="background1" w:themeFillShade="D9"/>
          </w:tcPr>
          <w:p w14:paraId="1730463B" w14:textId="4AF435E7" w:rsidR="00304F5A" w:rsidRPr="0047677D" w:rsidRDefault="005A3FC5" w:rsidP="00EC795B">
            <w:pPr>
              <w:jc w:val="right"/>
              <w:rPr>
                <w:b/>
              </w:rPr>
            </w:pPr>
            <w:r>
              <w:rPr>
                <w:b/>
              </w:rPr>
              <w:t>% Change</w:t>
            </w:r>
          </w:p>
        </w:tc>
      </w:tr>
      <w:tr w:rsidR="00304F5A" w:rsidRPr="00117A64" w14:paraId="78AEA37C" w14:textId="77777777" w:rsidTr="005A3FC5">
        <w:tc>
          <w:tcPr>
            <w:tcW w:w="2811" w:type="pct"/>
          </w:tcPr>
          <w:p w14:paraId="3716B430" w14:textId="77777777" w:rsidR="00304F5A" w:rsidRDefault="00304F5A" w:rsidP="002C47F1">
            <w:r>
              <w:t>Unique clients</w:t>
            </w:r>
          </w:p>
        </w:tc>
        <w:tc>
          <w:tcPr>
            <w:tcW w:w="774" w:type="pct"/>
            <w:vAlign w:val="center"/>
          </w:tcPr>
          <w:p w14:paraId="7D0B6AB4" w14:textId="74F4B7B7" w:rsidR="00304F5A" w:rsidRPr="008708CC" w:rsidRDefault="00925E57" w:rsidP="002C47F1">
            <w:pPr>
              <w:jc w:val="right"/>
            </w:pPr>
            <w:r>
              <w:t>32,965</w:t>
            </w:r>
          </w:p>
        </w:tc>
        <w:tc>
          <w:tcPr>
            <w:tcW w:w="774" w:type="pct"/>
            <w:vAlign w:val="center"/>
          </w:tcPr>
          <w:p w14:paraId="3A09705B" w14:textId="231851E5" w:rsidR="00304F5A" w:rsidRPr="008708CC" w:rsidRDefault="003B6D52" w:rsidP="002C47F1">
            <w:pPr>
              <w:jc w:val="right"/>
            </w:pPr>
            <w:r>
              <w:t>37,392</w:t>
            </w:r>
          </w:p>
        </w:tc>
        <w:tc>
          <w:tcPr>
            <w:tcW w:w="641" w:type="pct"/>
            <w:vAlign w:val="center"/>
          </w:tcPr>
          <w:p w14:paraId="17281B5E" w14:textId="5FB38839" w:rsidR="00304F5A" w:rsidRPr="008708CC" w:rsidRDefault="003B6D52" w:rsidP="002C47F1">
            <w:pPr>
              <w:jc w:val="right"/>
            </w:pPr>
            <w:r>
              <w:t>13</w:t>
            </w:r>
          </w:p>
        </w:tc>
      </w:tr>
      <w:tr w:rsidR="00304F5A" w:rsidRPr="00117A64" w14:paraId="3112B682" w14:textId="77777777" w:rsidTr="005A3FC5">
        <w:tc>
          <w:tcPr>
            <w:tcW w:w="2811" w:type="pct"/>
          </w:tcPr>
          <w:p w14:paraId="5EC2D10B" w14:textId="77777777" w:rsidR="00304F5A" w:rsidRDefault="00304F5A" w:rsidP="002C47F1">
            <w:r w:rsidRPr="00EA6138">
              <w:t>Family Dispute Resolution Conferences</w:t>
            </w:r>
          </w:p>
        </w:tc>
        <w:tc>
          <w:tcPr>
            <w:tcW w:w="774" w:type="pct"/>
            <w:vAlign w:val="center"/>
          </w:tcPr>
          <w:p w14:paraId="72DA7CB8" w14:textId="217F3115" w:rsidR="00304F5A" w:rsidRPr="008708CC" w:rsidRDefault="00925E57" w:rsidP="002C47F1">
            <w:pPr>
              <w:jc w:val="right"/>
            </w:pPr>
            <w:r>
              <w:t>1,044</w:t>
            </w:r>
          </w:p>
        </w:tc>
        <w:tc>
          <w:tcPr>
            <w:tcW w:w="774" w:type="pct"/>
            <w:vAlign w:val="center"/>
          </w:tcPr>
          <w:p w14:paraId="42EF83FF" w14:textId="7F624C29" w:rsidR="00304F5A" w:rsidRPr="008708CC" w:rsidRDefault="003B6D52" w:rsidP="002C47F1">
            <w:pPr>
              <w:jc w:val="right"/>
            </w:pPr>
            <w:r>
              <w:t>1,009</w:t>
            </w:r>
          </w:p>
        </w:tc>
        <w:tc>
          <w:tcPr>
            <w:tcW w:w="641" w:type="pct"/>
            <w:vAlign w:val="center"/>
          </w:tcPr>
          <w:p w14:paraId="79A7AFDD" w14:textId="4B4CECC8" w:rsidR="00304F5A" w:rsidRPr="008708CC" w:rsidRDefault="003B6D52" w:rsidP="002C47F1">
            <w:pPr>
              <w:jc w:val="right"/>
            </w:pPr>
            <w:r>
              <w:t>-3</w:t>
            </w:r>
          </w:p>
        </w:tc>
      </w:tr>
      <w:tr w:rsidR="00304F5A" w:rsidRPr="00117A64" w14:paraId="65FD4332" w14:textId="77777777" w:rsidTr="005A3FC5">
        <w:tc>
          <w:tcPr>
            <w:tcW w:w="2811" w:type="pct"/>
          </w:tcPr>
          <w:p w14:paraId="35F07191" w14:textId="77777777" w:rsidR="00304F5A" w:rsidRPr="00DC1D85" w:rsidRDefault="00304F5A" w:rsidP="002C47F1">
            <w:r w:rsidRPr="00DC1D85">
              <w:t>Legal advice, minor assistance and advocacy services</w:t>
            </w:r>
          </w:p>
        </w:tc>
        <w:tc>
          <w:tcPr>
            <w:tcW w:w="774" w:type="pct"/>
            <w:vAlign w:val="center"/>
          </w:tcPr>
          <w:p w14:paraId="6441A76F" w14:textId="5DF3E9B1" w:rsidR="00304F5A" w:rsidRPr="008708CC" w:rsidRDefault="00925E57" w:rsidP="002C47F1">
            <w:pPr>
              <w:jc w:val="right"/>
            </w:pPr>
            <w:r>
              <w:t>11,238</w:t>
            </w:r>
          </w:p>
        </w:tc>
        <w:tc>
          <w:tcPr>
            <w:tcW w:w="774" w:type="pct"/>
            <w:vAlign w:val="center"/>
          </w:tcPr>
          <w:p w14:paraId="45C12C68" w14:textId="0B39F67D" w:rsidR="00304F5A" w:rsidRPr="008708CC" w:rsidRDefault="003B6D52" w:rsidP="002C47F1">
            <w:pPr>
              <w:jc w:val="right"/>
            </w:pPr>
            <w:r>
              <w:t>14,938</w:t>
            </w:r>
          </w:p>
        </w:tc>
        <w:tc>
          <w:tcPr>
            <w:tcW w:w="641" w:type="pct"/>
            <w:vAlign w:val="center"/>
          </w:tcPr>
          <w:p w14:paraId="1ED17EE1" w14:textId="548C5803" w:rsidR="00304F5A" w:rsidRPr="008708CC" w:rsidRDefault="003B6D52" w:rsidP="002C47F1">
            <w:pPr>
              <w:jc w:val="right"/>
            </w:pPr>
            <w:r>
              <w:t>3</w:t>
            </w:r>
            <w:r w:rsidR="00EE46F4">
              <w:t>3</w:t>
            </w:r>
          </w:p>
        </w:tc>
      </w:tr>
      <w:tr w:rsidR="00304F5A" w:rsidRPr="00117A64" w14:paraId="0327A279" w14:textId="77777777" w:rsidTr="005A3FC5">
        <w:tc>
          <w:tcPr>
            <w:tcW w:w="2811" w:type="pct"/>
          </w:tcPr>
          <w:p w14:paraId="4007BD9D" w14:textId="77777777" w:rsidR="00304F5A" w:rsidRDefault="00304F5A" w:rsidP="002C47F1">
            <w:r>
              <w:t>Duty</w:t>
            </w:r>
            <w:r w:rsidRPr="00DC1D85">
              <w:t xml:space="preserve"> lawyer services</w:t>
            </w:r>
          </w:p>
        </w:tc>
        <w:tc>
          <w:tcPr>
            <w:tcW w:w="774" w:type="pct"/>
            <w:vAlign w:val="center"/>
          </w:tcPr>
          <w:p w14:paraId="040211D2" w14:textId="38CF6165" w:rsidR="00304F5A" w:rsidRPr="008708CC" w:rsidRDefault="00925E57" w:rsidP="002C47F1">
            <w:pPr>
              <w:jc w:val="right"/>
            </w:pPr>
            <w:r>
              <w:t>17,336</w:t>
            </w:r>
          </w:p>
        </w:tc>
        <w:tc>
          <w:tcPr>
            <w:tcW w:w="774" w:type="pct"/>
            <w:vAlign w:val="center"/>
          </w:tcPr>
          <w:p w14:paraId="5E725A56" w14:textId="7434FD51" w:rsidR="00304F5A" w:rsidRPr="008708CC" w:rsidRDefault="003B6D52" w:rsidP="002C47F1">
            <w:pPr>
              <w:jc w:val="right"/>
            </w:pPr>
            <w:r>
              <w:t>18,783</w:t>
            </w:r>
          </w:p>
        </w:tc>
        <w:tc>
          <w:tcPr>
            <w:tcW w:w="641" w:type="pct"/>
            <w:vAlign w:val="center"/>
          </w:tcPr>
          <w:p w14:paraId="64008628" w14:textId="10BDE165" w:rsidR="00304F5A" w:rsidRPr="008708CC" w:rsidRDefault="003B6D52" w:rsidP="002C47F1">
            <w:pPr>
              <w:jc w:val="right"/>
            </w:pPr>
            <w:r>
              <w:t>8</w:t>
            </w:r>
          </w:p>
        </w:tc>
      </w:tr>
      <w:tr w:rsidR="00304F5A" w:rsidRPr="00117A64" w14:paraId="0F701D4E" w14:textId="77777777" w:rsidTr="005A3FC5">
        <w:tc>
          <w:tcPr>
            <w:tcW w:w="2811" w:type="pct"/>
          </w:tcPr>
          <w:p w14:paraId="2290ABB0" w14:textId="77777777" w:rsidR="00304F5A" w:rsidRDefault="00304F5A" w:rsidP="002C47F1">
            <w:r w:rsidRPr="00DC1D85">
              <w:t>Grants of legal assistance</w:t>
            </w:r>
          </w:p>
        </w:tc>
        <w:tc>
          <w:tcPr>
            <w:tcW w:w="774" w:type="pct"/>
            <w:vAlign w:val="center"/>
          </w:tcPr>
          <w:p w14:paraId="23174D77" w14:textId="06344C07" w:rsidR="00304F5A" w:rsidRPr="008708CC" w:rsidRDefault="00925E57" w:rsidP="002C47F1">
            <w:pPr>
              <w:jc w:val="right"/>
            </w:pPr>
            <w:r>
              <w:t>15,178</w:t>
            </w:r>
          </w:p>
        </w:tc>
        <w:tc>
          <w:tcPr>
            <w:tcW w:w="774" w:type="pct"/>
            <w:vAlign w:val="center"/>
          </w:tcPr>
          <w:p w14:paraId="5003A67F" w14:textId="49DBFC4E" w:rsidR="00304F5A" w:rsidRPr="008708CC" w:rsidRDefault="003B6D52" w:rsidP="002C47F1">
            <w:pPr>
              <w:jc w:val="right"/>
            </w:pPr>
            <w:r>
              <w:t>15,658</w:t>
            </w:r>
          </w:p>
        </w:tc>
        <w:tc>
          <w:tcPr>
            <w:tcW w:w="641" w:type="pct"/>
            <w:vAlign w:val="center"/>
          </w:tcPr>
          <w:p w14:paraId="37172EED" w14:textId="5F7C8946" w:rsidR="00304F5A" w:rsidRPr="008708CC" w:rsidRDefault="003B6D52" w:rsidP="002C47F1">
            <w:pPr>
              <w:jc w:val="right"/>
            </w:pPr>
            <w:r>
              <w:t>3</w:t>
            </w:r>
          </w:p>
        </w:tc>
      </w:tr>
    </w:tbl>
    <w:p w14:paraId="72DB43FD" w14:textId="0A61104E" w:rsidR="005A2C42" w:rsidRDefault="005A2C42" w:rsidP="002B0044">
      <w:r w:rsidRPr="00643590">
        <w:t xml:space="preserve">The strong growth in </w:t>
      </w:r>
      <w:r>
        <w:t xml:space="preserve">our early intervention services of legal advice, minor assistance and advocacy services reflects </w:t>
      </w:r>
      <w:r w:rsidRPr="00643590">
        <w:t xml:space="preserve">the </w:t>
      </w:r>
      <w:r>
        <w:t xml:space="preserve">significant </w:t>
      </w:r>
      <w:r w:rsidRPr="00643590">
        <w:t xml:space="preserve">increase in early </w:t>
      </w:r>
      <w:r>
        <w:t>support provided</w:t>
      </w:r>
      <w:r w:rsidRPr="00643590">
        <w:t xml:space="preserve"> for family violence </w:t>
      </w:r>
      <w:r>
        <w:t xml:space="preserve">and child protection </w:t>
      </w:r>
      <w:r w:rsidRPr="00643590">
        <w:t>related legal problems.</w:t>
      </w:r>
      <w:r>
        <w:t xml:space="preserve"> See page xx for more about our family violence legal services and our contribution to the reforms arising from the Royal Commission into Family Violence. </w:t>
      </w:r>
    </w:p>
    <w:p w14:paraId="5B20FFB1" w14:textId="1D83189C" w:rsidR="00304F5A" w:rsidRDefault="00304F5A" w:rsidP="00304F5A">
      <w:r w:rsidRPr="004D4E65">
        <w:t xml:space="preserve">We are progressively implementing </w:t>
      </w:r>
      <w:r w:rsidR="004D4E65">
        <w:t>the</w:t>
      </w:r>
      <w:r w:rsidRPr="004D4E65">
        <w:t xml:space="preserve"> actions </w:t>
      </w:r>
      <w:r w:rsidR="004D4E65">
        <w:t>identified in</w:t>
      </w:r>
      <w:r w:rsidR="004D4E65" w:rsidRPr="004D4E65">
        <w:t xml:space="preserve"> </w:t>
      </w:r>
      <w:r w:rsidRPr="004D4E65">
        <w:t>our Child Protection Legal Aid Services Review</w:t>
      </w:r>
      <w:r w:rsidR="004D4E65">
        <w:t>,</w:t>
      </w:r>
      <w:r w:rsidRPr="004D4E65">
        <w:t xml:space="preserve"> released in September 2017. </w:t>
      </w:r>
      <w:r w:rsidR="004D4E65">
        <w:t>We are working to</w:t>
      </w:r>
      <w:r w:rsidR="004D4E65" w:rsidRPr="00380F65">
        <w:t xml:space="preserve"> improv</w:t>
      </w:r>
      <w:r w:rsidR="004D4E65">
        <w:t xml:space="preserve">e </w:t>
      </w:r>
      <w:r w:rsidR="004D4E65" w:rsidRPr="00380F65">
        <w:t>the provision of legal assistance and support to families at all stages of child protection involvement</w:t>
      </w:r>
      <w:r w:rsidR="004D4E65" w:rsidRPr="00380F65">
        <w:rPr>
          <w:rFonts w:cs="Arial"/>
        </w:rPr>
        <w:t>—</w:t>
      </w:r>
      <w:r w:rsidR="004D4E65" w:rsidRPr="00380F65">
        <w:t>not just at court. We are working with others, including people with experience of the child protection system, to implement the actions.</w:t>
      </w:r>
      <w:r w:rsidR="004D4E65">
        <w:t xml:space="preserve"> Our vision is that the child protection system promotes the best interests of children. </w:t>
      </w:r>
      <w:r w:rsidRPr="004D4E65">
        <w:t> </w:t>
      </w:r>
    </w:p>
    <w:p w14:paraId="4953CE78" w14:textId="5644988B" w:rsidR="00A3608C" w:rsidRPr="004D4E65" w:rsidRDefault="00A3608C" w:rsidP="00304F5A">
      <w:r>
        <w:rPr>
          <w:lang w:eastAsia="en-AU"/>
        </w:rPr>
        <w:t xml:space="preserve">We also made a submission to the first stage of the Australian Law Reform Commission’s inquiry into the family law system, setting out our vision for a system that is safe, accessible and inclusive, and offering an equivalent service, no matter where someone lives. </w:t>
      </w:r>
    </w:p>
    <w:p w14:paraId="397CF1C0" w14:textId="77777777" w:rsidR="00304F5A" w:rsidRDefault="00304F5A" w:rsidP="00304F5A">
      <w:pPr>
        <w:pStyle w:val="Heading4"/>
      </w:pPr>
      <w:r w:rsidRPr="008B642A">
        <w:t>Family, Youth and Children’s Law Program</w:t>
      </w:r>
      <w:r>
        <w:t xml:space="preserve"> grants of legal assistance </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819"/>
        <w:gridCol w:w="1960"/>
        <w:gridCol w:w="2254"/>
        <w:gridCol w:w="2043"/>
      </w:tblGrid>
      <w:tr w:rsidR="00304F5A" w:rsidRPr="00E76BA9" w14:paraId="292AC043" w14:textId="77777777" w:rsidTr="002C47F1">
        <w:trPr>
          <w:cnfStyle w:val="100000000000" w:firstRow="1" w:lastRow="0" w:firstColumn="0" w:lastColumn="0" w:oddVBand="0" w:evenVBand="0" w:oddHBand="0" w:evenHBand="0" w:firstRowFirstColumn="0" w:firstRowLastColumn="0" w:lastRowFirstColumn="0" w:lastRowLastColumn="0"/>
        </w:trPr>
        <w:tc>
          <w:tcPr>
            <w:tcW w:w="3819" w:type="dxa"/>
            <w:shd w:val="clear" w:color="auto" w:fill="BFBFBF" w:themeFill="background1" w:themeFillShade="BF"/>
          </w:tcPr>
          <w:p w14:paraId="09532F4A" w14:textId="77777777" w:rsidR="00304F5A" w:rsidRPr="003C6849" w:rsidRDefault="00304F5A" w:rsidP="002C47F1">
            <w:pPr>
              <w:rPr>
                <w:b/>
                <w:color w:val="000000" w:themeColor="text1"/>
              </w:rPr>
            </w:pPr>
          </w:p>
        </w:tc>
        <w:tc>
          <w:tcPr>
            <w:tcW w:w="1960" w:type="dxa"/>
            <w:shd w:val="clear" w:color="auto" w:fill="BFBFBF" w:themeFill="background1" w:themeFillShade="BF"/>
          </w:tcPr>
          <w:p w14:paraId="5749E9DF" w14:textId="04C731EC" w:rsidR="00304F5A" w:rsidRPr="00B32B83" w:rsidRDefault="00D060EA" w:rsidP="002C47F1">
            <w:pPr>
              <w:jc w:val="right"/>
              <w:rPr>
                <w:b/>
                <w:color w:val="000000" w:themeColor="text1"/>
              </w:rPr>
            </w:pPr>
            <w:r>
              <w:rPr>
                <w:b/>
              </w:rPr>
              <w:t>2016–17</w:t>
            </w:r>
          </w:p>
        </w:tc>
        <w:tc>
          <w:tcPr>
            <w:tcW w:w="2254" w:type="dxa"/>
            <w:shd w:val="clear" w:color="auto" w:fill="BFBFBF" w:themeFill="background1" w:themeFillShade="BF"/>
          </w:tcPr>
          <w:p w14:paraId="499DEE7F" w14:textId="77EA9B3F" w:rsidR="00304F5A" w:rsidRPr="00B32B83" w:rsidRDefault="00F665BB" w:rsidP="002C47F1">
            <w:pPr>
              <w:jc w:val="right"/>
              <w:rPr>
                <w:b/>
                <w:color w:val="000000" w:themeColor="text1"/>
              </w:rPr>
            </w:pPr>
            <w:r>
              <w:rPr>
                <w:b/>
              </w:rPr>
              <w:t>2017</w:t>
            </w:r>
            <w:r>
              <w:rPr>
                <w:rFonts w:cs="Arial"/>
                <w:b/>
              </w:rPr>
              <w:t>–</w:t>
            </w:r>
            <w:r>
              <w:rPr>
                <w:b/>
              </w:rPr>
              <w:t>18</w:t>
            </w:r>
          </w:p>
        </w:tc>
        <w:tc>
          <w:tcPr>
            <w:tcW w:w="2043" w:type="dxa"/>
            <w:shd w:val="clear" w:color="auto" w:fill="BFBFBF" w:themeFill="background1" w:themeFillShade="BF"/>
          </w:tcPr>
          <w:p w14:paraId="4AD359D9" w14:textId="2902391E" w:rsidR="00304F5A" w:rsidRPr="00B32B83" w:rsidRDefault="005A3FC5" w:rsidP="002C47F1">
            <w:pPr>
              <w:jc w:val="right"/>
              <w:rPr>
                <w:b/>
                <w:color w:val="000000" w:themeColor="text1"/>
              </w:rPr>
            </w:pPr>
            <w:r>
              <w:rPr>
                <w:b/>
              </w:rPr>
              <w:t>% Change</w:t>
            </w:r>
          </w:p>
        </w:tc>
      </w:tr>
      <w:tr w:rsidR="00304F5A" w:rsidRPr="00E76BA9" w14:paraId="23DA8386" w14:textId="77777777" w:rsidTr="002C47F1">
        <w:trPr>
          <w:cnfStyle w:val="000000100000" w:firstRow="0" w:lastRow="0" w:firstColumn="0" w:lastColumn="0" w:oddVBand="0" w:evenVBand="0" w:oddHBand="1" w:evenHBand="0" w:firstRowFirstColumn="0" w:firstRowLastColumn="0" w:lastRowFirstColumn="0" w:lastRowLastColumn="0"/>
        </w:trPr>
        <w:tc>
          <w:tcPr>
            <w:tcW w:w="3819" w:type="dxa"/>
          </w:tcPr>
          <w:p w14:paraId="681E896D" w14:textId="77777777" w:rsidR="00304F5A" w:rsidRPr="00E76BA9" w:rsidRDefault="00304F5A" w:rsidP="002C47F1">
            <w:r w:rsidRPr="00E76BA9">
              <w:t>Child Protection</w:t>
            </w:r>
          </w:p>
        </w:tc>
        <w:tc>
          <w:tcPr>
            <w:tcW w:w="1960" w:type="dxa"/>
          </w:tcPr>
          <w:p w14:paraId="768B188D" w14:textId="748CE0FE" w:rsidR="00304F5A" w:rsidRPr="008708CC" w:rsidRDefault="00C82E61" w:rsidP="002C47F1">
            <w:pPr>
              <w:jc w:val="right"/>
            </w:pPr>
            <w:r>
              <w:t>8,172</w:t>
            </w:r>
          </w:p>
        </w:tc>
        <w:tc>
          <w:tcPr>
            <w:tcW w:w="2254" w:type="dxa"/>
          </w:tcPr>
          <w:p w14:paraId="5139C006" w14:textId="531D1A78" w:rsidR="00304F5A" w:rsidRPr="008708CC" w:rsidRDefault="003B6D52" w:rsidP="002C47F1">
            <w:pPr>
              <w:jc w:val="right"/>
            </w:pPr>
            <w:r>
              <w:t>8,829</w:t>
            </w:r>
          </w:p>
        </w:tc>
        <w:tc>
          <w:tcPr>
            <w:tcW w:w="2043" w:type="dxa"/>
          </w:tcPr>
          <w:p w14:paraId="2F88881D" w14:textId="47AB3B5D" w:rsidR="00304F5A" w:rsidRPr="008708CC" w:rsidRDefault="003B6D52" w:rsidP="002C47F1">
            <w:pPr>
              <w:jc w:val="right"/>
            </w:pPr>
            <w:r>
              <w:t>8</w:t>
            </w:r>
          </w:p>
        </w:tc>
      </w:tr>
      <w:tr w:rsidR="00304F5A" w:rsidRPr="00E76BA9" w14:paraId="2385A96B" w14:textId="77777777" w:rsidTr="002C47F1">
        <w:trPr>
          <w:cnfStyle w:val="000000010000" w:firstRow="0" w:lastRow="0" w:firstColumn="0" w:lastColumn="0" w:oddVBand="0" w:evenVBand="0" w:oddHBand="0" w:evenHBand="1" w:firstRowFirstColumn="0" w:firstRowLastColumn="0" w:lastRowFirstColumn="0" w:lastRowLastColumn="0"/>
        </w:trPr>
        <w:tc>
          <w:tcPr>
            <w:tcW w:w="3819" w:type="dxa"/>
          </w:tcPr>
          <w:p w14:paraId="10F46DFF" w14:textId="77777777" w:rsidR="00304F5A" w:rsidRPr="00E76BA9" w:rsidRDefault="00304F5A" w:rsidP="002C47F1">
            <w:r w:rsidRPr="00E76BA9">
              <w:t>Family Dispute Resolution</w:t>
            </w:r>
          </w:p>
        </w:tc>
        <w:tc>
          <w:tcPr>
            <w:tcW w:w="1960" w:type="dxa"/>
          </w:tcPr>
          <w:p w14:paraId="0C2C799A" w14:textId="0DFC281A" w:rsidR="00304F5A" w:rsidRPr="008708CC" w:rsidRDefault="00C82E61" w:rsidP="002C47F1">
            <w:pPr>
              <w:jc w:val="right"/>
            </w:pPr>
            <w:r>
              <w:t>1,701</w:t>
            </w:r>
          </w:p>
        </w:tc>
        <w:tc>
          <w:tcPr>
            <w:tcW w:w="2254" w:type="dxa"/>
          </w:tcPr>
          <w:p w14:paraId="2141B1A2" w14:textId="338B308A" w:rsidR="00304F5A" w:rsidRPr="008708CC" w:rsidRDefault="003B6D52" w:rsidP="002C47F1">
            <w:pPr>
              <w:jc w:val="right"/>
            </w:pPr>
            <w:r>
              <w:t>1,474</w:t>
            </w:r>
          </w:p>
        </w:tc>
        <w:tc>
          <w:tcPr>
            <w:tcW w:w="2043" w:type="dxa"/>
          </w:tcPr>
          <w:p w14:paraId="70485F87" w14:textId="23AD58AD" w:rsidR="00304F5A" w:rsidRPr="008708CC" w:rsidRDefault="003B6D52" w:rsidP="002C47F1">
            <w:pPr>
              <w:jc w:val="right"/>
            </w:pPr>
            <w:r>
              <w:t>-13</w:t>
            </w:r>
          </w:p>
        </w:tc>
      </w:tr>
      <w:tr w:rsidR="00304F5A" w:rsidRPr="00E76BA9" w14:paraId="2D4988B5" w14:textId="77777777" w:rsidTr="002C47F1">
        <w:trPr>
          <w:cnfStyle w:val="000000100000" w:firstRow="0" w:lastRow="0" w:firstColumn="0" w:lastColumn="0" w:oddVBand="0" w:evenVBand="0" w:oddHBand="1" w:evenHBand="0" w:firstRowFirstColumn="0" w:firstRowLastColumn="0" w:lastRowFirstColumn="0" w:lastRowLastColumn="0"/>
        </w:trPr>
        <w:tc>
          <w:tcPr>
            <w:tcW w:w="3819" w:type="dxa"/>
          </w:tcPr>
          <w:p w14:paraId="59C12C96" w14:textId="77777777" w:rsidR="00304F5A" w:rsidRPr="00E76BA9" w:rsidRDefault="00304F5A" w:rsidP="002C47F1">
            <w:r w:rsidRPr="00E76BA9">
              <w:t>Child Support</w:t>
            </w:r>
          </w:p>
        </w:tc>
        <w:tc>
          <w:tcPr>
            <w:tcW w:w="1960" w:type="dxa"/>
          </w:tcPr>
          <w:p w14:paraId="62D8519A" w14:textId="779AD569" w:rsidR="00304F5A" w:rsidRPr="008708CC" w:rsidRDefault="00C82E61" w:rsidP="002C47F1">
            <w:pPr>
              <w:jc w:val="right"/>
            </w:pPr>
            <w:r>
              <w:t>469</w:t>
            </w:r>
          </w:p>
        </w:tc>
        <w:tc>
          <w:tcPr>
            <w:tcW w:w="2254" w:type="dxa"/>
          </w:tcPr>
          <w:p w14:paraId="1FBF7C5B" w14:textId="704DCD0C" w:rsidR="00304F5A" w:rsidRPr="008708CC" w:rsidRDefault="003B6D52" w:rsidP="002C47F1">
            <w:pPr>
              <w:jc w:val="right"/>
            </w:pPr>
            <w:r>
              <w:t>373</w:t>
            </w:r>
          </w:p>
        </w:tc>
        <w:tc>
          <w:tcPr>
            <w:tcW w:w="2043" w:type="dxa"/>
          </w:tcPr>
          <w:p w14:paraId="101268C2" w14:textId="5D434829" w:rsidR="00304F5A" w:rsidRPr="008708CC" w:rsidRDefault="003B6D52" w:rsidP="002C47F1">
            <w:pPr>
              <w:jc w:val="right"/>
            </w:pPr>
            <w:r>
              <w:t>-2</w:t>
            </w:r>
            <w:r w:rsidR="00EE46F4">
              <w:t>1</w:t>
            </w:r>
          </w:p>
        </w:tc>
      </w:tr>
      <w:tr w:rsidR="00304F5A" w:rsidRPr="00E76BA9" w14:paraId="60DBAE55" w14:textId="77777777" w:rsidTr="002C47F1">
        <w:trPr>
          <w:cnfStyle w:val="000000010000" w:firstRow="0" w:lastRow="0" w:firstColumn="0" w:lastColumn="0" w:oddVBand="0" w:evenVBand="0" w:oddHBand="0" w:evenHBand="1" w:firstRowFirstColumn="0" w:firstRowLastColumn="0" w:lastRowFirstColumn="0" w:lastRowLastColumn="0"/>
        </w:trPr>
        <w:tc>
          <w:tcPr>
            <w:tcW w:w="3819" w:type="dxa"/>
          </w:tcPr>
          <w:p w14:paraId="790E645D" w14:textId="77777777" w:rsidR="00304F5A" w:rsidRPr="00E76BA9" w:rsidRDefault="00304F5A" w:rsidP="002C47F1">
            <w:r w:rsidRPr="00E76BA9">
              <w:t>Family Violence</w:t>
            </w:r>
          </w:p>
        </w:tc>
        <w:tc>
          <w:tcPr>
            <w:tcW w:w="1960" w:type="dxa"/>
          </w:tcPr>
          <w:p w14:paraId="382D311B" w14:textId="4E0BD24C" w:rsidR="00304F5A" w:rsidRPr="008708CC" w:rsidRDefault="00C82E61" w:rsidP="002C47F1">
            <w:pPr>
              <w:jc w:val="right"/>
            </w:pPr>
            <w:r>
              <w:t>1,819</w:t>
            </w:r>
          </w:p>
        </w:tc>
        <w:tc>
          <w:tcPr>
            <w:tcW w:w="2254" w:type="dxa"/>
          </w:tcPr>
          <w:p w14:paraId="38C1B33F" w14:textId="040BABF8" w:rsidR="00304F5A" w:rsidRPr="008708CC" w:rsidRDefault="003B6D52" w:rsidP="002C47F1">
            <w:pPr>
              <w:jc w:val="right"/>
            </w:pPr>
            <w:r>
              <w:t>1,977</w:t>
            </w:r>
          </w:p>
        </w:tc>
        <w:tc>
          <w:tcPr>
            <w:tcW w:w="2043" w:type="dxa"/>
          </w:tcPr>
          <w:p w14:paraId="7A065AF0" w14:textId="7934430E" w:rsidR="00304F5A" w:rsidRPr="008708CC" w:rsidRDefault="00EE46F4" w:rsidP="002C47F1">
            <w:pPr>
              <w:jc w:val="right"/>
            </w:pPr>
            <w:r>
              <w:t>9</w:t>
            </w:r>
          </w:p>
        </w:tc>
      </w:tr>
      <w:tr w:rsidR="00304F5A" w:rsidRPr="00E76BA9" w14:paraId="10134DEE" w14:textId="77777777" w:rsidTr="002C47F1">
        <w:trPr>
          <w:cnfStyle w:val="000000100000" w:firstRow="0" w:lastRow="0" w:firstColumn="0" w:lastColumn="0" w:oddVBand="0" w:evenVBand="0" w:oddHBand="1" w:evenHBand="0" w:firstRowFirstColumn="0" w:firstRowLastColumn="0" w:lastRowFirstColumn="0" w:lastRowLastColumn="0"/>
        </w:trPr>
        <w:tc>
          <w:tcPr>
            <w:tcW w:w="3819" w:type="dxa"/>
          </w:tcPr>
          <w:p w14:paraId="66BBEA8A" w14:textId="77777777" w:rsidR="00304F5A" w:rsidRPr="00E76BA9" w:rsidRDefault="00304F5A" w:rsidP="002C47F1">
            <w:r w:rsidRPr="00E76BA9">
              <w:t>Independent Children’s Lawyers</w:t>
            </w:r>
          </w:p>
        </w:tc>
        <w:tc>
          <w:tcPr>
            <w:tcW w:w="1960" w:type="dxa"/>
          </w:tcPr>
          <w:p w14:paraId="52218D0B" w14:textId="1ACCB7E8" w:rsidR="00304F5A" w:rsidRPr="008708CC" w:rsidRDefault="00C82E61" w:rsidP="002C47F1">
            <w:pPr>
              <w:jc w:val="right"/>
            </w:pPr>
            <w:r>
              <w:t>1,345</w:t>
            </w:r>
          </w:p>
        </w:tc>
        <w:tc>
          <w:tcPr>
            <w:tcW w:w="2254" w:type="dxa"/>
          </w:tcPr>
          <w:p w14:paraId="6C2CC1D3" w14:textId="5F1BABBE" w:rsidR="00304F5A" w:rsidRPr="008708CC" w:rsidRDefault="003B6D52" w:rsidP="002C47F1">
            <w:pPr>
              <w:jc w:val="right"/>
            </w:pPr>
            <w:r>
              <w:t>1,434</w:t>
            </w:r>
          </w:p>
        </w:tc>
        <w:tc>
          <w:tcPr>
            <w:tcW w:w="2043" w:type="dxa"/>
          </w:tcPr>
          <w:p w14:paraId="0C14ABE6" w14:textId="0E1749EC" w:rsidR="00304F5A" w:rsidRPr="008708CC" w:rsidRDefault="00EE46F4" w:rsidP="002C47F1">
            <w:pPr>
              <w:jc w:val="right"/>
            </w:pPr>
            <w:r>
              <w:t>7</w:t>
            </w:r>
          </w:p>
        </w:tc>
      </w:tr>
      <w:tr w:rsidR="00304F5A" w:rsidRPr="00E76BA9" w14:paraId="77CAF58B" w14:textId="77777777" w:rsidTr="002C47F1">
        <w:trPr>
          <w:cnfStyle w:val="000000010000" w:firstRow="0" w:lastRow="0" w:firstColumn="0" w:lastColumn="0" w:oddVBand="0" w:evenVBand="0" w:oddHBand="0" w:evenHBand="1" w:firstRowFirstColumn="0" w:firstRowLastColumn="0" w:lastRowFirstColumn="0" w:lastRowLastColumn="0"/>
        </w:trPr>
        <w:tc>
          <w:tcPr>
            <w:tcW w:w="3819" w:type="dxa"/>
          </w:tcPr>
          <w:p w14:paraId="4FA15FDA" w14:textId="77777777" w:rsidR="00304F5A" w:rsidRPr="00E76BA9" w:rsidRDefault="00304F5A" w:rsidP="002C47F1">
            <w:r w:rsidRPr="00E76BA9">
              <w:t>Parenting Disputes</w:t>
            </w:r>
          </w:p>
        </w:tc>
        <w:tc>
          <w:tcPr>
            <w:tcW w:w="1960" w:type="dxa"/>
          </w:tcPr>
          <w:p w14:paraId="7CE71777" w14:textId="463864F1" w:rsidR="00304F5A" w:rsidRPr="008708CC" w:rsidRDefault="00C82E61" w:rsidP="002C47F1">
            <w:pPr>
              <w:jc w:val="right"/>
            </w:pPr>
            <w:r>
              <w:t>1,529</w:t>
            </w:r>
          </w:p>
        </w:tc>
        <w:tc>
          <w:tcPr>
            <w:tcW w:w="2254" w:type="dxa"/>
          </w:tcPr>
          <w:p w14:paraId="487C384D" w14:textId="04D10515" w:rsidR="00304F5A" w:rsidRPr="008708CC" w:rsidRDefault="003B6D52" w:rsidP="002C47F1">
            <w:pPr>
              <w:jc w:val="right"/>
            </w:pPr>
            <w:r>
              <w:t>1,571</w:t>
            </w:r>
          </w:p>
        </w:tc>
        <w:tc>
          <w:tcPr>
            <w:tcW w:w="2043" w:type="dxa"/>
          </w:tcPr>
          <w:p w14:paraId="6088B66A" w14:textId="2E7B93AA" w:rsidR="00304F5A" w:rsidRPr="008708CC" w:rsidRDefault="00EE46F4" w:rsidP="002C47F1">
            <w:pPr>
              <w:jc w:val="right"/>
            </w:pPr>
            <w:r>
              <w:t>3</w:t>
            </w:r>
          </w:p>
        </w:tc>
      </w:tr>
    </w:tbl>
    <w:p w14:paraId="403ACB0F" w14:textId="51BC78DA" w:rsidR="00304F5A" w:rsidRPr="005F1DE5" w:rsidRDefault="00304F5A" w:rsidP="00304F5A">
      <w:pPr>
        <w:pStyle w:val="Heading4"/>
      </w:pPr>
      <w:r w:rsidRPr="008B642A">
        <w:lastRenderedPageBreak/>
        <w:t>Family, Youth and Children’s Law Program</w:t>
      </w:r>
      <w:r>
        <w:t xml:space="preserve"> </w:t>
      </w:r>
      <w:r w:rsidRPr="005F1DE5">
        <w:t xml:space="preserve">operating </w:t>
      </w:r>
      <w:r>
        <w:t xml:space="preserve">expenditure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60" w:firstRow="1" w:lastRow="1" w:firstColumn="0" w:lastColumn="0" w:noHBand="0" w:noVBand="1"/>
      </w:tblPr>
      <w:tblGrid>
        <w:gridCol w:w="2110"/>
        <w:gridCol w:w="1713"/>
        <w:gridCol w:w="1559"/>
        <w:gridCol w:w="1768"/>
        <w:gridCol w:w="1463"/>
        <w:gridCol w:w="1463"/>
      </w:tblGrid>
      <w:tr w:rsidR="00304F5A" w:rsidRPr="00E76BA9" w14:paraId="26E5175E" w14:textId="77777777" w:rsidTr="00F665BB">
        <w:trPr>
          <w:cnfStyle w:val="100000000000" w:firstRow="1" w:lastRow="0" w:firstColumn="0" w:lastColumn="0" w:oddVBand="0" w:evenVBand="0" w:oddHBand="0" w:evenHBand="0" w:firstRowFirstColumn="0" w:firstRowLastColumn="0" w:lastRowFirstColumn="0" w:lastRowLastColumn="0"/>
        </w:trPr>
        <w:tc>
          <w:tcPr>
            <w:tcW w:w="2110" w:type="dxa"/>
            <w:shd w:val="clear" w:color="auto" w:fill="BFBFBF" w:themeFill="background1" w:themeFillShade="BF"/>
          </w:tcPr>
          <w:p w14:paraId="2A8CD824" w14:textId="77777777" w:rsidR="00304F5A" w:rsidRPr="003C6849" w:rsidRDefault="00304F5A" w:rsidP="002C47F1">
            <w:pPr>
              <w:rPr>
                <w:b/>
                <w:color w:val="000000" w:themeColor="text1"/>
              </w:rPr>
            </w:pPr>
          </w:p>
        </w:tc>
        <w:tc>
          <w:tcPr>
            <w:tcW w:w="1713" w:type="dxa"/>
            <w:shd w:val="clear" w:color="auto" w:fill="BFBFBF" w:themeFill="background1" w:themeFillShade="BF"/>
          </w:tcPr>
          <w:p w14:paraId="784CA0CF" w14:textId="7B30BFF8" w:rsidR="00304F5A" w:rsidRPr="003C6849" w:rsidRDefault="00304F5A" w:rsidP="002C47F1">
            <w:pPr>
              <w:jc w:val="right"/>
              <w:rPr>
                <w:b/>
                <w:color w:val="000000" w:themeColor="text1"/>
              </w:rPr>
            </w:pPr>
            <w:r w:rsidRPr="00C07559">
              <w:rPr>
                <w:b/>
                <w:color w:val="000000" w:themeColor="text1"/>
              </w:rPr>
              <w:t>Expenditure ($)</w:t>
            </w:r>
            <w:r>
              <w:rPr>
                <w:b/>
                <w:color w:val="000000" w:themeColor="text1"/>
              </w:rPr>
              <w:t xml:space="preserve"> </w:t>
            </w:r>
            <w:r w:rsidR="002C47F1">
              <w:rPr>
                <w:b/>
                <w:color w:val="000000" w:themeColor="text1"/>
              </w:rPr>
              <w:t xml:space="preserve">in </w:t>
            </w:r>
            <w:r w:rsidR="00D060EA">
              <w:rPr>
                <w:b/>
              </w:rPr>
              <w:t>2016–17</w:t>
            </w:r>
          </w:p>
        </w:tc>
        <w:tc>
          <w:tcPr>
            <w:tcW w:w="1559" w:type="dxa"/>
            <w:shd w:val="clear" w:color="auto" w:fill="BFBFBF" w:themeFill="background1" w:themeFillShade="BF"/>
          </w:tcPr>
          <w:p w14:paraId="2EC22D32" w14:textId="24F35880" w:rsidR="00304F5A" w:rsidRPr="003C6849" w:rsidRDefault="00304F5A" w:rsidP="002C47F1">
            <w:pPr>
              <w:jc w:val="right"/>
              <w:rPr>
                <w:b/>
                <w:color w:val="000000" w:themeColor="text1"/>
              </w:rPr>
            </w:pPr>
            <w:r w:rsidRPr="00C07559">
              <w:rPr>
                <w:b/>
                <w:color w:val="000000" w:themeColor="text1"/>
              </w:rPr>
              <w:t>% of total expenditure</w:t>
            </w:r>
            <w:r>
              <w:rPr>
                <w:b/>
                <w:color w:val="000000" w:themeColor="text1"/>
              </w:rPr>
              <w:t xml:space="preserve"> </w:t>
            </w:r>
            <w:r w:rsidR="002A5029">
              <w:rPr>
                <w:b/>
                <w:color w:val="000000" w:themeColor="text1"/>
              </w:rPr>
              <w:t xml:space="preserve">in </w:t>
            </w:r>
            <w:r w:rsidR="00D060EA">
              <w:rPr>
                <w:b/>
              </w:rPr>
              <w:t>2016–17</w:t>
            </w:r>
          </w:p>
        </w:tc>
        <w:tc>
          <w:tcPr>
            <w:tcW w:w="1768" w:type="dxa"/>
            <w:shd w:val="clear" w:color="auto" w:fill="BFBFBF" w:themeFill="background1" w:themeFillShade="BF"/>
          </w:tcPr>
          <w:p w14:paraId="6A4CA4B6" w14:textId="4B6873DC" w:rsidR="00304F5A" w:rsidRPr="003C6849" w:rsidRDefault="00304F5A" w:rsidP="002C47F1">
            <w:pPr>
              <w:jc w:val="right"/>
              <w:rPr>
                <w:b/>
                <w:color w:val="000000" w:themeColor="text1"/>
              </w:rPr>
            </w:pPr>
            <w:r w:rsidRPr="00C07559">
              <w:rPr>
                <w:b/>
                <w:color w:val="000000" w:themeColor="text1"/>
              </w:rPr>
              <w:t>Expenditure ($)</w:t>
            </w:r>
            <w:r>
              <w:rPr>
                <w:b/>
                <w:color w:val="000000" w:themeColor="text1"/>
              </w:rPr>
              <w:t xml:space="preserve"> </w:t>
            </w:r>
            <w:r w:rsidR="002A5029">
              <w:rPr>
                <w:b/>
                <w:color w:val="000000" w:themeColor="text1"/>
              </w:rPr>
              <w:t xml:space="preserve">in </w:t>
            </w:r>
            <w:r w:rsidR="00F665BB">
              <w:rPr>
                <w:b/>
              </w:rPr>
              <w:t>2017</w:t>
            </w:r>
            <w:r w:rsidR="00F665BB">
              <w:rPr>
                <w:rFonts w:cs="Arial"/>
                <w:b/>
              </w:rPr>
              <w:t>–</w:t>
            </w:r>
            <w:r w:rsidR="00F665BB">
              <w:rPr>
                <w:b/>
              </w:rPr>
              <w:t>18</w:t>
            </w:r>
          </w:p>
        </w:tc>
        <w:tc>
          <w:tcPr>
            <w:tcW w:w="1463" w:type="dxa"/>
            <w:shd w:val="clear" w:color="auto" w:fill="BFBFBF" w:themeFill="background1" w:themeFillShade="BF"/>
          </w:tcPr>
          <w:p w14:paraId="1957DA3F" w14:textId="7C75216D" w:rsidR="00304F5A" w:rsidRPr="003C6849" w:rsidRDefault="00304F5A" w:rsidP="002C47F1">
            <w:pPr>
              <w:jc w:val="right"/>
              <w:rPr>
                <w:b/>
                <w:color w:val="000000" w:themeColor="text1"/>
              </w:rPr>
            </w:pPr>
            <w:r w:rsidRPr="00C07559">
              <w:rPr>
                <w:b/>
                <w:color w:val="000000" w:themeColor="text1"/>
              </w:rPr>
              <w:t>% of total expenditure</w:t>
            </w:r>
            <w:r>
              <w:rPr>
                <w:b/>
                <w:color w:val="000000" w:themeColor="text1"/>
              </w:rPr>
              <w:t xml:space="preserve"> </w:t>
            </w:r>
            <w:r w:rsidR="00F665BB">
              <w:rPr>
                <w:b/>
                <w:color w:val="000000" w:themeColor="text1"/>
              </w:rPr>
              <w:t xml:space="preserve">in </w:t>
            </w:r>
            <w:r w:rsidR="00F665BB">
              <w:rPr>
                <w:b/>
              </w:rPr>
              <w:t>2017</w:t>
            </w:r>
            <w:r w:rsidR="00F665BB">
              <w:rPr>
                <w:rFonts w:cs="Arial"/>
                <w:b/>
              </w:rPr>
              <w:t>–</w:t>
            </w:r>
            <w:r w:rsidR="00F665BB">
              <w:rPr>
                <w:b/>
              </w:rPr>
              <w:t>18</w:t>
            </w:r>
          </w:p>
        </w:tc>
        <w:tc>
          <w:tcPr>
            <w:tcW w:w="1463" w:type="dxa"/>
            <w:shd w:val="clear" w:color="auto" w:fill="BFBFBF" w:themeFill="background1" w:themeFillShade="BF"/>
          </w:tcPr>
          <w:p w14:paraId="5A5C6D97" w14:textId="3F61098C" w:rsidR="00304F5A" w:rsidRPr="003C6849" w:rsidRDefault="00A73B92" w:rsidP="002C47F1">
            <w:pPr>
              <w:jc w:val="right"/>
              <w:rPr>
                <w:b/>
                <w:color w:val="000000" w:themeColor="text1"/>
              </w:rPr>
            </w:pPr>
            <w:r>
              <w:rPr>
                <w:b/>
                <w:color w:val="000000" w:themeColor="text1"/>
              </w:rPr>
              <w:t>Variance in expenditure</w:t>
            </w:r>
            <w:r w:rsidR="003111FA">
              <w:rPr>
                <w:b/>
                <w:color w:val="000000" w:themeColor="text1"/>
              </w:rPr>
              <w:t xml:space="preserve"> </w:t>
            </w:r>
          </w:p>
        </w:tc>
      </w:tr>
      <w:tr w:rsidR="008F2D9D" w:rsidRPr="00E76BA9" w14:paraId="74CED23D" w14:textId="77777777" w:rsidTr="00F665BB">
        <w:trPr>
          <w:cnfStyle w:val="000000100000" w:firstRow="0" w:lastRow="0" w:firstColumn="0" w:lastColumn="0" w:oddVBand="0" w:evenVBand="0" w:oddHBand="1" w:evenHBand="0" w:firstRowFirstColumn="0" w:firstRowLastColumn="0" w:lastRowFirstColumn="0" w:lastRowLastColumn="0"/>
        </w:trPr>
        <w:tc>
          <w:tcPr>
            <w:tcW w:w="2110" w:type="dxa"/>
          </w:tcPr>
          <w:p w14:paraId="3DBE3F00" w14:textId="36E0960F" w:rsidR="008F2D9D" w:rsidRPr="00E76BA9" w:rsidRDefault="008F2D9D" w:rsidP="008F2D9D">
            <w:r w:rsidRPr="00903F3F">
              <w:t>Child Protection</w:t>
            </w:r>
          </w:p>
        </w:tc>
        <w:tc>
          <w:tcPr>
            <w:tcW w:w="1713" w:type="dxa"/>
          </w:tcPr>
          <w:p w14:paraId="4683B246" w14:textId="0F4BB6C6" w:rsidR="008F2D9D" w:rsidRPr="008F2D9D" w:rsidRDefault="008F2D9D" w:rsidP="008F2D9D">
            <w:pPr>
              <w:jc w:val="right"/>
            </w:pPr>
            <w:r w:rsidRPr="008F2D9D">
              <w:t>24.</w:t>
            </w:r>
            <w:r w:rsidR="00526673">
              <w:t>3</w:t>
            </w:r>
            <w:r>
              <w:t xml:space="preserve"> million</w:t>
            </w:r>
          </w:p>
        </w:tc>
        <w:tc>
          <w:tcPr>
            <w:tcW w:w="1559" w:type="dxa"/>
          </w:tcPr>
          <w:p w14:paraId="455B0803" w14:textId="66AF7A55" w:rsidR="008F2D9D" w:rsidRPr="008F2D9D" w:rsidRDefault="00526673" w:rsidP="008F2D9D">
            <w:pPr>
              <w:jc w:val="right"/>
            </w:pPr>
            <w:r>
              <w:t>14.4</w:t>
            </w:r>
          </w:p>
        </w:tc>
        <w:tc>
          <w:tcPr>
            <w:tcW w:w="1768" w:type="dxa"/>
          </w:tcPr>
          <w:p w14:paraId="504F3A19" w14:textId="686026C9" w:rsidR="008F2D9D" w:rsidRPr="008F2D9D" w:rsidRDefault="008F2D9D" w:rsidP="008F2D9D">
            <w:pPr>
              <w:jc w:val="right"/>
            </w:pPr>
            <w:r w:rsidRPr="008F2D9D">
              <w:t>26.</w:t>
            </w:r>
            <w:r w:rsidR="00660BA3">
              <w:t>7</w:t>
            </w:r>
            <w:r>
              <w:t xml:space="preserve"> million</w:t>
            </w:r>
          </w:p>
        </w:tc>
        <w:tc>
          <w:tcPr>
            <w:tcW w:w="1463" w:type="dxa"/>
          </w:tcPr>
          <w:p w14:paraId="0A74B736" w14:textId="4BBCDD43" w:rsidR="008F2D9D" w:rsidRPr="008F2D9D" w:rsidRDefault="00660BA3" w:rsidP="008F2D9D">
            <w:pPr>
              <w:jc w:val="right"/>
            </w:pPr>
            <w:r>
              <w:t>14.0</w:t>
            </w:r>
          </w:p>
        </w:tc>
        <w:tc>
          <w:tcPr>
            <w:tcW w:w="1463" w:type="dxa"/>
          </w:tcPr>
          <w:p w14:paraId="3AA55C33" w14:textId="1110EB62" w:rsidR="008F2D9D" w:rsidRPr="008F2D9D" w:rsidRDefault="008F2D9D" w:rsidP="008F2D9D">
            <w:pPr>
              <w:jc w:val="right"/>
            </w:pPr>
            <w:r w:rsidRPr="008F2D9D">
              <w:t>2.</w:t>
            </w:r>
            <w:r w:rsidR="00526673">
              <w:t>4</w:t>
            </w:r>
            <w:r>
              <w:t xml:space="preserve"> million</w:t>
            </w:r>
          </w:p>
        </w:tc>
      </w:tr>
      <w:tr w:rsidR="008F2D9D" w:rsidRPr="00E76BA9" w14:paraId="1C84E7E1" w14:textId="77777777" w:rsidTr="00F665BB">
        <w:trPr>
          <w:cnfStyle w:val="000000010000" w:firstRow="0" w:lastRow="0" w:firstColumn="0" w:lastColumn="0" w:oddVBand="0" w:evenVBand="0" w:oddHBand="0" w:evenHBand="1" w:firstRowFirstColumn="0" w:firstRowLastColumn="0" w:lastRowFirstColumn="0" w:lastRowLastColumn="0"/>
        </w:trPr>
        <w:tc>
          <w:tcPr>
            <w:tcW w:w="2110" w:type="dxa"/>
          </w:tcPr>
          <w:p w14:paraId="3D645377" w14:textId="72DBC7D9" w:rsidR="008F2D9D" w:rsidRPr="00E76BA9" w:rsidRDefault="008F2D9D" w:rsidP="008F2D9D">
            <w:r w:rsidRPr="00903F3F">
              <w:t>Family Dispute Resolution</w:t>
            </w:r>
          </w:p>
        </w:tc>
        <w:tc>
          <w:tcPr>
            <w:tcW w:w="1713" w:type="dxa"/>
          </w:tcPr>
          <w:p w14:paraId="4CE2C5E2" w14:textId="27131652" w:rsidR="008F2D9D" w:rsidRPr="008F2D9D" w:rsidRDefault="008F2D9D" w:rsidP="008F2D9D">
            <w:pPr>
              <w:jc w:val="right"/>
            </w:pPr>
            <w:r w:rsidRPr="008F2D9D">
              <w:t>1</w:t>
            </w:r>
            <w:r w:rsidR="00526673">
              <w:t>3.4</w:t>
            </w:r>
            <w:r>
              <w:t xml:space="preserve"> million</w:t>
            </w:r>
          </w:p>
        </w:tc>
        <w:tc>
          <w:tcPr>
            <w:tcW w:w="1559" w:type="dxa"/>
          </w:tcPr>
          <w:p w14:paraId="32CE5E25" w14:textId="224C0A8D" w:rsidR="008F2D9D" w:rsidRPr="008F2D9D" w:rsidRDefault="00526673" w:rsidP="008F2D9D">
            <w:pPr>
              <w:jc w:val="right"/>
            </w:pPr>
            <w:r>
              <w:t>7.9</w:t>
            </w:r>
          </w:p>
        </w:tc>
        <w:tc>
          <w:tcPr>
            <w:tcW w:w="1768" w:type="dxa"/>
          </w:tcPr>
          <w:p w14:paraId="31FE92A0" w14:textId="10D0B7A4" w:rsidR="008F2D9D" w:rsidRPr="008F2D9D" w:rsidRDefault="00526673" w:rsidP="008F2D9D">
            <w:pPr>
              <w:jc w:val="right"/>
            </w:pPr>
            <w:r>
              <w:t>12.8</w:t>
            </w:r>
            <w:r w:rsidR="008F2D9D">
              <w:t xml:space="preserve"> million</w:t>
            </w:r>
          </w:p>
        </w:tc>
        <w:tc>
          <w:tcPr>
            <w:tcW w:w="1463" w:type="dxa"/>
          </w:tcPr>
          <w:p w14:paraId="0E4BCE28" w14:textId="3221C3B4" w:rsidR="008F2D9D" w:rsidRPr="008F2D9D" w:rsidRDefault="00526673" w:rsidP="008F2D9D">
            <w:pPr>
              <w:jc w:val="right"/>
            </w:pPr>
            <w:r>
              <w:t>6.7</w:t>
            </w:r>
          </w:p>
        </w:tc>
        <w:tc>
          <w:tcPr>
            <w:tcW w:w="1463" w:type="dxa"/>
          </w:tcPr>
          <w:p w14:paraId="0D3099B2" w14:textId="5122CFDD" w:rsidR="008F2D9D" w:rsidRPr="008F2D9D" w:rsidRDefault="008F2D9D" w:rsidP="008F2D9D">
            <w:pPr>
              <w:jc w:val="right"/>
            </w:pPr>
            <w:r w:rsidRPr="008F2D9D">
              <w:t>-0.</w:t>
            </w:r>
            <w:r w:rsidR="00526673">
              <w:t>6</w:t>
            </w:r>
            <w:r>
              <w:t xml:space="preserve"> million</w:t>
            </w:r>
          </w:p>
        </w:tc>
      </w:tr>
      <w:tr w:rsidR="008F2D9D" w:rsidRPr="00E76BA9" w14:paraId="28A7D5F9" w14:textId="77777777" w:rsidTr="00F665BB">
        <w:trPr>
          <w:cnfStyle w:val="000000100000" w:firstRow="0" w:lastRow="0" w:firstColumn="0" w:lastColumn="0" w:oddVBand="0" w:evenVBand="0" w:oddHBand="1" w:evenHBand="0" w:firstRowFirstColumn="0" w:firstRowLastColumn="0" w:lastRowFirstColumn="0" w:lastRowLastColumn="0"/>
        </w:trPr>
        <w:tc>
          <w:tcPr>
            <w:tcW w:w="2110" w:type="dxa"/>
          </w:tcPr>
          <w:p w14:paraId="31C06EA4" w14:textId="3D83A2FC" w:rsidR="008F2D9D" w:rsidRPr="00E76BA9" w:rsidRDefault="008F2D9D" w:rsidP="008F2D9D">
            <w:r w:rsidRPr="00903F3F">
              <w:t>Child Support</w:t>
            </w:r>
          </w:p>
        </w:tc>
        <w:tc>
          <w:tcPr>
            <w:tcW w:w="1713" w:type="dxa"/>
          </w:tcPr>
          <w:p w14:paraId="3E61637E" w14:textId="5A3D96FE" w:rsidR="008F2D9D" w:rsidRPr="008F2D9D" w:rsidRDefault="008F2D9D" w:rsidP="008F2D9D">
            <w:pPr>
              <w:jc w:val="right"/>
            </w:pPr>
            <w:r w:rsidRPr="008F2D9D">
              <w:t>1.</w:t>
            </w:r>
            <w:r w:rsidR="00526673">
              <w:t>9</w:t>
            </w:r>
            <w:r>
              <w:t xml:space="preserve"> million</w:t>
            </w:r>
          </w:p>
        </w:tc>
        <w:tc>
          <w:tcPr>
            <w:tcW w:w="1559" w:type="dxa"/>
          </w:tcPr>
          <w:p w14:paraId="3932B16A" w14:textId="07D66AF7" w:rsidR="008F2D9D" w:rsidRPr="008F2D9D" w:rsidRDefault="00526673" w:rsidP="008F2D9D">
            <w:pPr>
              <w:jc w:val="right"/>
            </w:pPr>
            <w:r>
              <w:t>1.1</w:t>
            </w:r>
          </w:p>
        </w:tc>
        <w:tc>
          <w:tcPr>
            <w:tcW w:w="1768" w:type="dxa"/>
          </w:tcPr>
          <w:p w14:paraId="68CD04C6" w14:textId="27195976" w:rsidR="008F2D9D" w:rsidRPr="008F2D9D" w:rsidRDefault="00526673" w:rsidP="008F2D9D">
            <w:pPr>
              <w:jc w:val="right"/>
            </w:pPr>
            <w:r>
              <w:t>2.0 million</w:t>
            </w:r>
          </w:p>
        </w:tc>
        <w:tc>
          <w:tcPr>
            <w:tcW w:w="1463" w:type="dxa"/>
          </w:tcPr>
          <w:p w14:paraId="1C3D14E5" w14:textId="1289DA56" w:rsidR="008F2D9D" w:rsidRPr="008F2D9D" w:rsidRDefault="00526673" w:rsidP="008F2D9D">
            <w:pPr>
              <w:jc w:val="right"/>
            </w:pPr>
            <w:r>
              <w:t>1.0</w:t>
            </w:r>
          </w:p>
        </w:tc>
        <w:tc>
          <w:tcPr>
            <w:tcW w:w="1463" w:type="dxa"/>
          </w:tcPr>
          <w:p w14:paraId="6E575D6B" w14:textId="3F8D3324" w:rsidR="008F2D9D" w:rsidRPr="008F2D9D" w:rsidRDefault="008F2D9D" w:rsidP="008F2D9D">
            <w:pPr>
              <w:jc w:val="right"/>
            </w:pPr>
            <w:r w:rsidRPr="008F2D9D">
              <w:t>0.1</w:t>
            </w:r>
            <w:r>
              <w:t xml:space="preserve"> million</w:t>
            </w:r>
          </w:p>
        </w:tc>
      </w:tr>
      <w:tr w:rsidR="008F2D9D" w:rsidRPr="00E76BA9" w14:paraId="484C261F" w14:textId="77777777" w:rsidTr="00F665BB">
        <w:trPr>
          <w:cnfStyle w:val="000000010000" w:firstRow="0" w:lastRow="0" w:firstColumn="0" w:lastColumn="0" w:oddVBand="0" w:evenVBand="0" w:oddHBand="0" w:evenHBand="1" w:firstRowFirstColumn="0" w:firstRowLastColumn="0" w:lastRowFirstColumn="0" w:lastRowLastColumn="0"/>
        </w:trPr>
        <w:tc>
          <w:tcPr>
            <w:tcW w:w="2110" w:type="dxa"/>
          </w:tcPr>
          <w:p w14:paraId="49C86DED" w14:textId="15C49495" w:rsidR="008F2D9D" w:rsidRPr="00E76BA9" w:rsidRDefault="008F2D9D" w:rsidP="008F2D9D">
            <w:r w:rsidRPr="00903F3F">
              <w:t>Family Violence</w:t>
            </w:r>
          </w:p>
        </w:tc>
        <w:tc>
          <w:tcPr>
            <w:tcW w:w="1713" w:type="dxa"/>
          </w:tcPr>
          <w:p w14:paraId="292DE6FB" w14:textId="50AFFA43" w:rsidR="008F2D9D" w:rsidRPr="008F2D9D" w:rsidRDefault="008F2D9D" w:rsidP="008F2D9D">
            <w:pPr>
              <w:jc w:val="right"/>
            </w:pPr>
            <w:r w:rsidRPr="008F2D9D">
              <w:t>3.4</w:t>
            </w:r>
            <w:r>
              <w:t xml:space="preserve"> million</w:t>
            </w:r>
          </w:p>
        </w:tc>
        <w:tc>
          <w:tcPr>
            <w:tcW w:w="1559" w:type="dxa"/>
          </w:tcPr>
          <w:p w14:paraId="6102E267" w14:textId="276D4726" w:rsidR="008F2D9D" w:rsidRPr="008F2D9D" w:rsidRDefault="008F2D9D" w:rsidP="008F2D9D">
            <w:pPr>
              <w:jc w:val="right"/>
            </w:pPr>
            <w:r w:rsidRPr="008F2D9D">
              <w:t>2.0</w:t>
            </w:r>
          </w:p>
        </w:tc>
        <w:tc>
          <w:tcPr>
            <w:tcW w:w="1768" w:type="dxa"/>
          </w:tcPr>
          <w:p w14:paraId="46B4849A" w14:textId="6F91EAC5" w:rsidR="008F2D9D" w:rsidRPr="008F2D9D" w:rsidRDefault="008F2D9D" w:rsidP="008F2D9D">
            <w:pPr>
              <w:jc w:val="right"/>
            </w:pPr>
            <w:r w:rsidRPr="008F2D9D">
              <w:t>5.2</w:t>
            </w:r>
            <w:r>
              <w:t xml:space="preserve"> million</w:t>
            </w:r>
          </w:p>
        </w:tc>
        <w:tc>
          <w:tcPr>
            <w:tcW w:w="1463" w:type="dxa"/>
          </w:tcPr>
          <w:p w14:paraId="164FD31A" w14:textId="733C3942" w:rsidR="008F2D9D" w:rsidRPr="008F2D9D" w:rsidRDefault="008F2D9D" w:rsidP="008F2D9D">
            <w:pPr>
              <w:jc w:val="right"/>
            </w:pPr>
            <w:r w:rsidRPr="008F2D9D">
              <w:t>2.7</w:t>
            </w:r>
          </w:p>
        </w:tc>
        <w:tc>
          <w:tcPr>
            <w:tcW w:w="1463" w:type="dxa"/>
          </w:tcPr>
          <w:p w14:paraId="0F62470B" w14:textId="2F889CDA" w:rsidR="008F2D9D" w:rsidRPr="008F2D9D" w:rsidRDefault="008F2D9D" w:rsidP="008F2D9D">
            <w:pPr>
              <w:jc w:val="right"/>
            </w:pPr>
            <w:r w:rsidRPr="008F2D9D">
              <w:t>1.8</w:t>
            </w:r>
            <w:r>
              <w:t xml:space="preserve"> million</w:t>
            </w:r>
          </w:p>
        </w:tc>
      </w:tr>
      <w:tr w:rsidR="008F2D9D" w:rsidRPr="00E76BA9" w14:paraId="58495EB7" w14:textId="77777777" w:rsidTr="00F665BB">
        <w:trPr>
          <w:cnfStyle w:val="000000100000" w:firstRow="0" w:lastRow="0" w:firstColumn="0" w:lastColumn="0" w:oddVBand="0" w:evenVBand="0" w:oddHBand="1" w:evenHBand="0" w:firstRowFirstColumn="0" w:firstRowLastColumn="0" w:lastRowFirstColumn="0" w:lastRowLastColumn="0"/>
        </w:trPr>
        <w:tc>
          <w:tcPr>
            <w:tcW w:w="2110" w:type="dxa"/>
          </w:tcPr>
          <w:p w14:paraId="2C5F44C9" w14:textId="3A871DE5" w:rsidR="008F2D9D" w:rsidRPr="00E76BA9" w:rsidRDefault="008F2D9D" w:rsidP="008F2D9D">
            <w:r w:rsidRPr="00903F3F">
              <w:t>Independent Children’s Lawyers</w:t>
            </w:r>
          </w:p>
        </w:tc>
        <w:tc>
          <w:tcPr>
            <w:tcW w:w="1713" w:type="dxa"/>
          </w:tcPr>
          <w:p w14:paraId="5DDE9E79" w14:textId="27EED3E0" w:rsidR="008F2D9D" w:rsidRPr="008F2D9D" w:rsidRDefault="00526673" w:rsidP="008F2D9D">
            <w:pPr>
              <w:jc w:val="right"/>
            </w:pPr>
            <w:r>
              <w:t>11.5</w:t>
            </w:r>
            <w:r w:rsidR="008F2D9D">
              <w:t xml:space="preserve"> million</w:t>
            </w:r>
          </w:p>
        </w:tc>
        <w:tc>
          <w:tcPr>
            <w:tcW w:w="1559" w:type="dxa"/>
          </w:tcPr>
          <w:p w14:paraId="40725E6D" w14:textId="1042F166" w:rsidR="008F2D9D" w:rsidRPr="008F2D9D" w:rsidRDefault="00526673" w:rsidP="008F2D9D">
            <w:pPr>
              <w:jc w:val="right"/>
            </w:pPr>
            <w:r>
              <w:t>6.8</w:t>
            </w:r>
          </w:p>
        </w:tc>
        <w:tc>
          <w:tcPr>
            <w:tcW w:w="1768" w:type="dxa"/>
          </w:tcPr>
          <w:p w14:paraId="7E9D4699" w14:textId="19F046DD" w:rsidR="008F2D9D" w:rsidRPr="008F2D9D" w:rsidRDefault="00526673" w:rsidP="008F2D9D">
            <w:pPr>
              <w:jc w:val="right"/>
            </w:pPr>
            <w:r>
              <w:t>14.2</w:t>
            </w:r>
            <w:r w:rsidR="008F2D9D">
              <w:t xml:space="preserve"> million</w:t>
            </w:r>
          </w:p>
        </w:tc>
        <w:tc>
          <w:tcPr>
            <w:tcW w:w="1463" w:type="dxa"/>
          </w:tcPr>
          <w:p w14:paraId="72AA54F7" w14:textId="31DB5EC8" w:rsidR="008F2D9D" w:rsidRPr="008F2D9D" w:rsidRDefault="00526673" w:rsidP="008F2D9D">
            <w:pPr>
              <w:jc w:val="right"/>
            </w:pPr>
            <w:r>
              <w:t>7.4</w:t>
            </w:r>
          </w:p>
        </w:tc>
        <w:tc>
          <w:tcPr>
            <w:tcW w:w="1463" w:type="dxa"/>
          </w:tcPr>
          <w:p w14:paraId="0B8A6B77" w14:textId="26EFCE76" w:rsidR="008F2D9D" w:rsidRPr="008F2D9D" w:rsidRDefault="008F2D9D" w:rsidP="008F2D9D">
            <w:pPr>
              <w:jc w:val="right"/>
            </w:pPr>
            <w:r w:rsidRPr="008F2D9D">
              <w:t>2.</w:t>
            </w:r>
            <w:r w:rsidR="00D17B82">
              <w:t>7</w:t>
            </w:r>
            <w:r>
              <w:t xml:space="preserve"> million</w:t>
            </w:r>
          </w:p>
        </w:tc>
      </w:tr>
      <w:tr w:rsidR="008F2D9D" w:rsidRPr="00E76BA9" w14:paraId="671D7B7B" w14:textId="77777777" w:rsidTr="00F665BB">
        <w:trPr>
          <w:cnfStyle w:val="000000010000" w:firstRow="0" w:lastRow="0" w:firstColumn="0" w:lastColumn="0" w:oddVBand="0" w:evenVBand="0" w:oddHBand="0" w:evenHBand="1" w:firstRowFirstColumn="0" w:firstRowLastColumn="0" w:lastRowFirstColumn="0" w:lastRowLastColumn="0"/>
        </w:trPr>
        <w:tc>
          <w:tcPr>
            <w:tcW w:w="2110" w:type="dxa"/>
          </w:tcPr>
          <w:p w14:paraId="11C36BF3" w14:textId="5C861019" w:rsidR="008F2D9D" w:rsidRPr="00E76BA9" w:rsidRDefault="008F2D9D" w:rsidP="008F2D9D">
            <w:r w:rsidRPr="00903F3F">
              <w:t>Parenting Disputes</w:t>
            </w:r>
          </w:p>
        </w:tc>
        <w:tc>
          <w:tcPr>
            <w:tcW w:w="1713" w:type="dxa"/>
          </w:tcPr>
          <w:p w14:paraId="1110F81C" w14:textId="007B55F1" w:rsidR="008F2D9D" w:rsidRPr="008F2D9D" w:rsidRDefault="00526673" w:rsidP="008F2D9D">
            <w:pPr>
              <w:jc w:val="right"/>
            </w:pPr>
            <w:r>
              <w:t>11.2</w:t>
            </w:r>
            <w:r w:rsidR="008F2D9D">
              <w:t xml:space="preserve"> million</w:t>
            </w:r>
          </w:p>
        </w:tc>
        <w:tc>
          <w:tcPr>
            <w:tcW w:w="1559" w:type="dxa"/>
          </w:tcPr>
          <w:p w14:paraId="530B11CD" w14:textId="169CB2DB" w:rsidR="008F2D9D" w:rsidRPr="008F2D9D" w:rsidRDefault="00526673" w:rsidP="008F2D9D">
            <w:pPr>
              <w:jc w:val="right"/>
            </w:pPr>
            <w:r>
              <w:t>6.6</w:t>
            </w:r>
          </w:p>
        </w:tc>
        <w:tc>
          <w:tcPr>
            <w:tcW w:w="1768" w:type="dxa"/>
          </w:tcPr>
          <w:p w14:paraId="6AB6D830" w14:textId="47CFF7F8" w:rsidR="008F2D9D" w:rsidRPr="008F2D9D" w:rsidRDefault="008F2D9D" w:rsidP="008F2D9D">
            <w:pPr>
              <w:jc w:val="right"/>
            </w:pPr>
            <w:r w:rsidRPr="008F2D9D">
              <w:t>1</w:t>
            </w:r>
            <w:r w:rsidR="00526673">
              <w:t>2.4</w:t>
            </w:r>
            <w:r>
              <w:t xml:space="preserve"> million</w:t>
            </w:r>
          </w:p>
        </w:tc>
        <w:tc>
          <w:tcPr>
            <w:tcW w:w="1463" w:type="dxa"/>
          </w:tcPr>
          <w:p w14:paraId="039086CD" w14:textId="1068D2B8" w:rsidR="008F2D9D" w:rsidRPr="008F2D9D" w:rsidRDefault="00526673" w:rsidP="008F2D9D">
            <w:pPr>
              <w:jc w:val="right"/>
            </w:pPr>
            <w:r>
              <w:t>6.5</w:t>
            </w:r>
          </w:p>
        </w:tc>
        <w:tc>
          <w:tcPr>
            <w:tcW w:w="1463" w:type="dxa"/>
          </w:tcPr>
          <w:p w14:paraId="5A902663" w14:textId="0828684F" w:rsidR="008F2D9D" w:rsidRPr="008F2D9D" w:rsidRDefault="00D17B82" w:rsidP="008F2D9D">
            <w:pPr>
              <w:jc w:val="right"/>
            </w:pPr>
            <w:r>
              <w:t>1.2</w:t>
            </w:r>
            <w:r w:rsidR="008F2D9D">
              <w:t xml:space="preserve"> million</w:t>
            </w:r>
          </w:p>
        </w:tc>
      </w:tr>
      <w:tr w:rsidR="008F2D9D" w:rsidRPr="00E9367A" w14:paraId="4489CF6D" w14:textId="77777777" w:rsidTr="00F665BB">
        <w:trPr>
          <w:cnfStyle w:val="010000000000" w:firstRow="0" w:lastRow="1" w:firstColumn="0" w:lastColumn="0" w:oddVBand="0" w:evenVBand="0" w:oddHBand="0" w:evenHBand="0" w:firstRowFirstColumn="0" w:firstRowLastColumn="0" w:lastRowFirstColumn="0" w:lastRowLastColumn="0"/>
        </w:trPr>
        <w:tc>
          <w:tcPr>
            <w:tcW w:w="2110" w:type="dxa"/>
          </w:tcPr>
          <w:p w14:paraId="7116FD84" w14:textId="1C134618" w:rsidR="008F2D9D" w:rsidRPr="00E76BA9" w:rsidRDefault="008F2D9D" w:rsidP="008F2D9D">
            <w:r w:rsidRPr="00903F3F">
              <w:t>Total</w:t>
            </w:r>
          </w:p>
        </w:tc>
        <w:tc>
          <w:tcPr>
            <w:tcW w:w="1713" w:type="dxa"/>
          </w:tcPr>
          <w:p w14:paraId="1A089702" w14:textId="148626CC" w:rsidR="008F2D9D" w:rsidRPr="008F2D9D" w:rsidRDefault="00526673" w:rsidP="008F2D9D">
            <w:pPr>
              <w:jc w:val="right"/>
            </w:pPr>
            <w:r>
              <w:t>65.8</w:t>
            </w:r>
            <w:r w:rsidR="008F2D9D">
              <w:t xml:space="preserve"> million</w:t>
            </w:r>
          </w:p>
        </w:tc>
        <w:tc>
          <w:tcPr>
            <w:tcW w:w="1559" w:type="dxa"/>
          </w:tcPr>
          <w:p w14:paraId="5695EA7D" w14:textId="798B17AA" w:rsidR="008F2D9D" w:rsidRPr="008F2D9D" w:rsidRDefault="00526673" w:rsidP="008F2D9D">
            <w:pPr>
              <w:jc w:val="right"/>
            </w:pPr>
            <w:r>
              <w:t>38.8</w:t>
            </w:r>
          </w:p>
        </w:tc>
        <w:tc>
          <w:tcPr>
            <w:tcW w:w="1768" w:type="dxa"/>
          </w:tcPr>
          <w:p w14:paraId="5051912E" w14:textId="6817DC1D" w:rsidR="008F2D9D" w:rsidRPr="008F2D9D" w:rsidRDefault="00526673" w:rsidP="008F2D9D">
            <w:pPr>
              <w:jc w:val="right"/>
            </w:pPr>
            <w:r>
              <w:t>73.3</w:t>
            </w:r>
            <w:r w:rsidR="008F2D9D">
              <w:t xml:space="preserve"> million</w:t>
            </w:r>
          </w:p>
        </w:tc>
        <w:tc>
          <w:tcPr>
            <w:tcW w:w="1463" w:type="dxa"/>
          </w:tcPr>
          <w:p w14:paraId="643B6E65" w14:textId="766436CC" w:rsidR="008F2D9D" w:rsidRPr="008F2D9D" w:rsidRDefault="00526673" w:rsidP="008F2D9D">
            <w:pPr>
              <w:jc w:val="right"/>
            </w:pPr>
            <w:r>
              <w:t>38.5</w:t>
            </w:r>
          </w:p>
        </w:tc>
        <w:tc>
          <w:tcPr>
            <w:tcW w:w="1463" w:type="dxa"/>
          </w:tcPr>
          <w:p w14:paraId="57070CFB" w14:textId="750BCB0E" w:rsidR="008F2D9D" w:rsidRPr="008F2D9D" w:rsidRDefault="00D17B82" w:rsidP="008F2D9D">
            <w:pPr>
              <w:jc w:val="right"/>
            </w:pPr>
            <w:r>
              <w:t>7.</w:t>
            </w:r>
            <w:r w:rsidR="00AC6CF7">
              <w:t>6</w:t>
            </w:r>
            <w:r w:rsidR="008F2D9D">
              <w:t xml:space="preserve"> million</w:t>
            </w:r>
          </w:p>
        </w:tc>
      </w:tr>
    </w:tbl>
    <w:p w14:paraId="75E7650E" w14:textId="260E4A8A" w:rsidR="00304F5A" w:rsidRDefault="00304F5A" w:rsidP="00304F5A">
      <w:pPr>
        <w:pStyle w:val="Heading5"/>
      </w:pPr>
      <w:r>
        <w:t xml:space="preserve">The top five matters dealt with by our </w:t>
      </w:r>
      <w:r w:rsidRPr="008B642A">
        <w:t>Family, Youth and Children’s Law Program</w:t>
      </w:r>
      <w:r>
        <w:t xml:space="preserve"> </w:t>
      </w:r>
      <w:r w:rsidR="002A5029">
        <w:t xml:space="preserve">in </w:t>
      </w:r>
      <w:r w:rsidR="008047E1" w:rsidRPr="008047E1">
        <w:t>2017</w:t>
      </w:r>
      <w:r w:rsidR="008047E1" w:rsidRPr="008047E1">
        <w:rPr>
          <w:rFonts w:cs="Arial"/>
        </w:rPr>
        <w:t>–</w:t>
      </w:r>
      <w:r w:rsidR="008047E1" w:rsidRPr="008047E1">
        <w:t>18</w:t>
      </w:r>
      <w:r w:rsidR="008047E1">
        <w:rPr>
          <w:b w:val="0"/>
        </w:rPr>
        <w:t xml:space="preserve"> </w:t>
      </w:r>
      <w:r>
        <w:t xml:space="preserve">were: </w:t>
      </w:r>
    </w:p>
    <w:p w14:paraId="20B399A5" w14:textId="72BBCA74" w:rsidR="003B6D52" w:rsidRDefault="003B6D52" w:rsidP="002A5029">
      <w:pPr>
        <w:pStyle w:val="ListParagraph"/>
        <w:numPr>
          <w:ilvl w:val="0"/>
          <w:numId w:val="42"/>
        </w:numPr>
      </w:pPr>
      <w:r>
        <w:t>Family violence</w:t>
      </w:r>
      <w:r>
        <w:rPr>
          <w:rFonts w:cs="Arial"/>
        </w:rPr>
        <w:t>—</w:t>
      </w:r>
      <w:r>
        <w:t>respondent, 18,006</w:t>
      </w:r>
    </w:p>
    <w:p w14:paraId="715E010F" w14:textId="088795B0" w:rsidR="002A5029" w:rsidRDefault="003B6D52" w:rsidP="002A5029">
      <w:pPr>
        <w:pStyle w:val="ListParagraph"/>
        <w:numPr>
          <w:ilvl w:val="0"/>
          <w:numId w:val="42"/>
        </w:numPr>
      </w:pPr>
      <w:r>
        <w:t>Spending time with children, 12,924</w:t>
      </w:r>
    </w:p>
    <w:p w14:paraId="55CACED2" w14:textId="3B00DA33" w:rsidR="003B6D52" w:rsidRDefault="003B6D52" w:rsidP="002A5029">
      <w:pPr>
        <w:pStyle w:val="ListParagraph"/>
        <w:numPr>
          <w:ilvl w:val="0"/>
          <w:numId w:val="42"/>
        </w:numPr>
      </w:pPr>
      <w:r>
        <w:t>Family violence</w:t>
      </w:r>
      <w:r>
        <w:rPr>
          <w:rFonts w:cs="Arial"/>
        </w:rPr>
        <w:t>—</w:t>
      </w:r>
      <w:r>
        <w:t xml:space="preserve">applicant, 10,248 </w:t>
      </w:r>
    </w:p>
    <w:p w14:paraId="571A97F1" w14:textId="37A83EA6" w:rsidR="002A5029" w:rsidRDefault="003B6D52" w:rsidP="002A5029">
      <w:pPr>
        <w:pStyle w:val="ListParagraph"/>
        <w:numPr>
          <w:ilvl w:val="0"/>
          <w:numId w:val="42"/>
        </w:numPr>
      </w:pPr>
      <w:r>
        <w:t>Live with children, 6,561</w:t>
      </w:r>
    </w:p>
    <w:p w14:paraId="3243CC9F" w14:textId="170FDB74" w:rsidR="002A5029" w:rsidRDefault="003B6D52" w:rsidP="002A5029">
      <w:pPr>
        <w:pStyle w:val="ListParagraph"/>
        <w:numPr>
          <w:ilvl w:val="0"/>
          <w:numId w:val="42"/>
        </w:numPr>
      </w:pPr>
      <w:r>
        <w:t>Property settlement, 6,522</w:t>
      </w:r>
    </w:p>
    <w:p w14:paraId="6E0DC1F5" w14:textId="77777777" w:rsidR="00C9586F" w:rsidRDefault="00C9586F">
      <w:pPr>
        <w:spacing w:after="0" w:line="240" w:lineRule="auto"/>
        <w:rPr>
          <w:rFonts w:cs="Arial"/>
          <w:b/>
          <w:bCs/>
          <w:sz w:val="26"/>
          <w:szCs w:val="26"/>
          <w:lang w:eastAsia="en-AU"/>
        </w:rPr>
      </w:pPr>
      <w:r>
        <w:br w:type="page"/>
      </w:r>
    </w:p>
    <w:p w14:paraId="20D6B7D0" w14:textId="77777777" w:rsidR="004D4BFC" w:rsidRDefault="004D4BFC" w:rsidP="004D4BFC">
      <w:pPr>
        <w:pStyle w:val="Heading3"/>
      </w:pPr>
      <w:r w:rsidRPr="005F1DE5">
        <w:lastRenderedPageBreak/>
        <w:t>Civil Justice</w:t>
      </w:r>
      <w:r>
        <w:t xml:space="preserve"> Program </w:t>
      </w:r>
    </w:p>
    <w:p w14:paraId="685657F0" w14:textId="77777777" w:rsidR="004D4BFC" w:rsidRPr="00CE68F2" w:rsidRDefault="004D4BFC" w:rsidP="004D4BFC">
      <w:r>
        <w:t xml:space="preserve">Our work in civil law aims to contribute to contribute to a more inclusive and rights-respecting community. We help people with </w:t>
      </w:r>
      <w:r w:rsidRPr="00CE68F2">
        <w:t>social security, mental health, guardianship and administration, infringements, immigration, tenancy, debt, discrimination, sexual harassment and victims of crime</w:t>
      </w:r>
      <w:r>
        <w:t xml:space="preserve"> issues</w:t>
      </w:r>
      <w:r w:rsidRPr="00CE68F2">
        <w:t xml:space="preserve">. </w:t>
      </w:r>
    </w:p>
    <w:p w14:paraId="537886ED" w14:textId="77777777" w:rsidR="004D4BFC" w:rsidRPr="00393169" w:rsidRDefault="004D4BFC" w:rsidP="004D4BFC">
      <w:pPr>
        <w:pStyle w:val="Heading4"/>
      </w:pPr>
      <w:r w:rsidRPr="0047677D">
        <w:t>Clients</w:t>
      </w:r>
      <w:r>
        <w:t xml:space="preserve"> numbers and service outcomes</w:t>
      </w:r>
    </w:p>
    <w:tbl>
      <w:tblPr>
        <w:tblStyle w:val="TableGrid"/>
        <w:tblW w:w="5000" w:type="pct"/>
        <w:tblLook w:val="04A0" w:firstRow="1" w:lastRow="0" w:firstColumn="1" w:lastColumn="0" w:noHBand="0" w:noVBand="1"/>
      </w:tblPr>
      <w:tblGrid>
        <w:gridCol w:w="5664"/>
        <w:gridCol w:w="1560"/>
        <w:gridCol w:w="1560"/>
        <w:gridCol w:w="1292"/>
      </w:tblGrid>
      <w:tr w:rsidR="004D4BFC" w:rsidRPr="0047677D" w14:paraId="4E56EEE6" w14:textId="77777777" w:rsidTr="00633BDC">
        <w:trPr>
          <w:tblHeader/>
        </w:trPr>
        <w:tc>
          <w:tcPr>
            <w:tcW w:w="2811" w:type="pct"/>
            <w:shd w:val="clear" w:color="auto" w:fill="D9D9D9" w:themeFill="background1" w:themeFillShade="D9"/>
          </w:tcPr>
          <w:p w14:paraId="51DD0BC9" w14:textId="77777777" w:rsidR="004D4BFC" w:rsidRPr="0047677D" w:rsidRDefault="004D4BFC" w:rsidP="002C47F1">
            <w:pPr>
              <w:rPr>
                <w:b/>
              </w:rPr>
            </w:pPr>
          </w:p>
        </w:tc>
        <w:tc>
          <w:tcPr>
            <w:tcW w:w="774" w:type="pct"/>
            <w:shd w:val="clear" w:color="auto" w:fill="D9D9D9" w:themeFill="background1" w:themeFillShade="D9"/>
          </w:tcPr>
          <w:p w14:paraId="281A081F" w14:textId="06EF9E12" w:rsidR="004D4BFC" w:rsidRPr="0047677D" w:rsidRDefault="00D060EA" w:rsidP="00EC795B">
            <w:pPr>
              <w:jc w:val="right"/>
              <w:rPr>
                <w:b/>
              </w:rPr>
            </w:pPr>
            <w:r>
              <w:rPr>
                <w:b/>
              </w:rPr>
              <w:t>2016–17</w:t>
            </w:r>
          </w:p>
        </w:tc>
        <w:tc>
          <w:tcPr>
            <w:tcW w:w="774" w:type="pct"/>
            <w:shd w:val="clear" w:color="auto" w:fill="D9D9D9" w:themeFill="background1" w:themeFillShade="D9"/>
          </w:tcPr>
          <w:p w14:paraId="09B64889" w14:textId="20270FD3" w:rsidR="004D4BFC" w:rsidRPr="0047677D" w:rsidRDefault="00F665BB" w:rsidP="00EC795B">
            <w:pPr>
              <w:jc w:val="right"/>
              <w:rPr>
                <w:b/>
              </w:rPr>
            </w:pPr>
            <w:r>
              <w:rPr>
                <w:b/>
              </w:rPr>
              <w:t>2017</w:t>
            </w:r>
            <w:r>
              <w:rPr>
                <w:rFonts w:cs="Arial"/>
                <w:b/>
              </w:rPr>
              <w:t>–</w:t>
            </w:r>
            <w:r>
              <w:rPr>
                <w:b/>
              </w:rPr>
              <w:t>18</w:t>
            </w:r>
          </w:p>
        </w:tc>
        <w:tc>
          <w:tcPr>
            <w:tcW w:w="641" w:type="pct"/>
            <w:shd w:val="clear" w:color="auto" w:fill="D9D9D9" w:themeFill="background1" w:themeFillShade="D9"/>
          </w:tcPr>
          <w:p w14:paraId="310956E2" w14:textId="35CD7CEA" w:rsidR="004D4BFC" w:rsidRPr="0047677D" w:rsidRDefault="00E31A76" w:rsidP="00EC795B">
            <w:pPr>
              <w:jc w:val="right"/>
              <w:rPr>
                <w:b/>
              </w:rPr>
            </w:pPr>
            <w:r>
              <w:rPr>
                <w:b/>
              </w:rPr>
              <w:t>% Change</w:t>
            </w:r>
          </w:p>
        </w:tc>
      </w:tr>
      <w:tr w:rsidR="004D4BFC" w14:paraId="740279CD" w14:textId="77777777" w:rsidTr="00E31A76">
        <w:tc>
          <w:tcPr>
            <w:tcW w:w="2811" w:type="pct"/>
          </w:tcPr>
          <w:p w14:paraId="7817BC60" w14:textId="77777777" w:rsidR="004D4BFC" w:rsidRDefault="004D4BFC" w:rsidP="002C47F1">
            <w:r>
              <w:t>Unique clients</w:t>
            </w:r>
          </w:p>
        </w:tc>
        <w:tc>
          <w:tcPr>
            <w:tcW w:w="774" w:type="pct"/>
            <w:vAlign w:val="bottom"/>
          </w:tcPr>
          <w:p w14:paraId="41A2B260" w14:textId="32E8054A" w:rsidR="004D4BFC" w:rsidRDefault="00C82E61" w:rsidP="002C47F1">
            <w:pPr>
              <w:jc w:val="right"/>
            </w:pPr>
            <w:r>
              <w:t>12,811</w:t>
            </w:r>
          </w:p>
        </w:tc>
        <w:tc>
          <w:tcPr>
            <w:tcW w:w="774" w:type="pct"/>
            <w:vAlign w:val="bottom"/>
          </w:tcPr>
          <w:p w14:paraId="19A1DE53" w14:textId="01C74F6A" w:rsidR="004D4BFC" w:rsidRDefault="00E31A76" w:rsidP="002C47F1">
            <w:pPr>
              <w:jc w:val="right"/>
            </w:pPr>
            <w:r>
              <w:t>12,362</w:t>
            </w:r>
          </w:p>
        </w:tc>
        <w:tc>
          <w:tcPr>
            <w:tcW w:w="641" w:type="pct"/>
            <w:vAlign w:val="bottom"/>
          </w:tcPr>
          <w:p w14:paraId="71DADAA2" w14:textId="55DCABAF" w:rsidR="004D4BFC" w:rsidRDefault="00E31A76" w:rsidP="002C47F1">
            <w:pPr>
              <w:jc w:val="right"/>
            </w:pPr>
            <w:r>
              <w:t>-</w:t>
            </w:r>
            <w:r w:rsidR="00EE46F4">
              <w:t>4</w:t>
            </w:r>
          </w:p>
        </w:tc>
      </w:tr>
      <w:tr w:rsidR="004D4BFC" w14:paraId="47FC139A" w14:textId="77777777" w:rsidTr="00E31A76">
        <w:tc>
          <w:tcPr>
            <w:tcW w:w="2811" w:type="pct"/>
          </w:tcPr>
          <w:p w14:paraId="1E079E8B" w14:textId="77777777" w:rsidR="004D4BFC" w:rsidRDefault="004D4BFC" w:rsidP="002C47F1">
            <w:r w:rsidRPr="00393169">
              <w:t>Independent Mental Health Advocacy, high intensity occasions of servic</w:t>
            </w:r>
            <w:r>
              <w:t xml:space="preserve">e (advocacy and self-advocacy) </w:t>
            </w:r>
          </w:p>
        </w:tc>
        <w:tc>
          <w:tcPr>
            <w:tcW w:w="774" w:type="pct"/>
            <w:vAlign w:val="bottom"/>
          </w:tcPr>
          <w:p w14:paraId="2559F1B8" w14:textId="573B90CC" w:rsidR="004D4BFC" w:rsidRPr="007F098D" w:rsidRDefault="00C82E61" w:rsidP="002C47F1">
            <w:pPr>
              <w:jc w:val="right"/>
            </w:pPr>
            <w:r w:rsidRPr="00BC6766">
              <w:t>6,349</w:t>
            </w:r>
          </w:p>
        </w:tc>
        <w:tc>
          <w:tcPr>
            <w:tcW w:w="774" w:type="pct"/>
            <w:vAlign w:val="bottom"/>
          </w:tcPr>
          <w:p w14:paraId="069AF4AB" w14:textId="25FB5A55" w:rsidR="004D4BFC" w:rsidRPr="007F098D" w:rsidRDefault="00C82E61" w:rsidP="002C47F1">
            <w:pPr>
              <w:jc w:val="right"/>
            </w:pPr>
            <w:r>
              <w:t>8,399</w:t>
            </w:r>
          </w:p>
        </w:tc>
        <w:tc>
          <w:tcPr>
            <w:tcW w:w="641" w:type="pct"/>
            <w:vAlign w:val="bottom"/>
          </w:tcPr>
          <w:p w14:paraId="01A8E8EA" w14:textId="03FEB208" w:rsidR="004D4BFC" w:rsidRPr="007F098D" w:rsidRDefault="00C82E61" w:rsidP="002C47F1">
            <w:pPr>
              <w:jc w:val="right"/>
            </w:pPr>
            <w:r>
              <w:t>32</w:t>
            </w:r>
          </w:p>
        </w:tc>
      </w:tr>
      <w:tr w:rsidR="004D4BFC" w14:paraId="69B55702" w14:textId="77777777" w:rsidTr="00E31A76">
        <w:tc>
          <w:tcPr>
            <w:tcW w:w="2811" w:type="pct"/>
          </w:tcPr>
          <w:p w14:paraId="2C88D66F" w14:textId="77777777" w:rsidR="004D4BFC" w:rsidRDefault="004D4BFC" w:rsidP="002C47F1">
            <w:r w:rsidRPr="00393169">
              <w:t xml:space="preserve">Independent Mental Health Advocacy, </w:t>
            </w:r>
            <w:r>
              <w:t>l</w:t>
            </w:r>
            <w:r w:rsidRPr="00393169">
              <w:t>ow intensity occasions of serv</w:t>
            </w:r>
            <w:r>
              <w:t xml:space="preserve">ice (information and referral) </w:t>
            </w:r>
          </w:p>
        </w:tc>
        <w:tc>
          <w:tcPr>
            <w:tcW w:w="774" w:type="pct"/>
            <w:vAlign w:val="bottom"/>
          </w:tcPr>
          <w:p w14:paraId="18973D50" w14:textId="75694EF6" w:rsidR="004D4BFC" w:rsidRPr="007F098D" w:rsidRDefault="00C82E61" w:rsidP="002C47F1">
            <w:pPr>
              <w:jc w:val="right"/>
              <w:rPr>
                <w:sz w:val="18"/>
                <w:szCs w:val="18"/>
              </w:rPr>
            </w:pPr>
            <w:r w:rsidRPr="00BC6766">
              <w:t>11,281</w:t>
            </w:r>
          </w:p>
        </w:tc>
        <w:tc>
          <w:tcPr>
            <w:tcW w:w="774" w:type="pct"/>
            <w:vAlign w:val="bottom"/>
          </w:tcPr>
          <w:p w14:paraId="7D17E97F" w14:textId="5845D3FE" w:rsidR="004D4BFC" w:rsidRPr="007F098D" w:rsidRDefault="00C82E61" w:rsidP="002C47F1">
            <w:pPr>
              <w:jc w:val="right"/>
            </w:pPr>
            <w:r>
              <w:t>17,349</w:t>
            </w:r>
          </w:p>
        </w:tc>
        <w:tc>
          <w:tcPr>
            <w:tcW w:w="641" w:type="pct"/>
            <w:vAlign w:val="bottom"/>
          </w:tcPr>
          <w:p w14:paraId="19659943" w14:textId="781A8381" w:rsidR="004D4BFC" w:rsidRPr="007F098D" w:rsidRDefault="00C82E61" w:rsidP="002C47F1">
            <w:pPr>
              <w:jc w:val="right"/>
            </w:pPr>
            <w:r>
              <w:t>54</w:t>
            </w:r>
          </w:p>
        </w:tc>
      </w:tr>
      <w:tr w:rsidR="004D4BFC" w14:paraId="02BE2926" w14:textId="77777777" w:rsidTr="00E31A76">
        <w:tc>
          <w:tcPr>
            <w:tcW w:w="2811" w:type="pct"/>
          </w:tcPr>
          <w:p w14:paraId="6CD7E65A" w14:textId="77777777" w:rsidR="004D4BFC" w:rsidRDefault="004D4BFC" w:rsidP="002C47F1">
            <w:r w:rsidRPr="00DC1D85">
              <w:t>Referrals to external agencies</w:t>
            </w:r>
          </w:p>
        </w:tc>
        <w:tc>
          <w:tcPr>
            <w:tcW w:w="774" w:type="pct"/>
            <w:vAlign w:val="bottom"/>
          </w:tcPr>
          <w:p w14:paraId="31AD09DA" w14:textId="704A4FB2" w:rsidR="004D4BFC" w:rsidRPr="00025952" w:rsidRDefault="00C82E61" w:rsidP="002C47F1">
            <w:pPr>
              <w:jc w:val="right"/>
            </w:pPr>
            <w:r>
              <w:t>86,158</w:t>
            </w:r>
          </w:p>
        </w:tc>
        <w:tc>
          <w:tcPr>
            <w:tcW w:w="774" w:type="pct"/>
            <w:vAlign w:val="bottom"/>
          </w:tcPr>
          <w:p w14:paraId="565FAD1C" w14:textId="059CED19" w:rsidR="004D4BFC" w:rsidRPr="00680A29" w:rsidRDefault="00E31A76" w:rsidP="002C47F1">
            <w:pPr>
              <w:jc w:val="right"/>
            </w:pPr>
            <w:r>
              <w:t>100,334</w:t>
            </w:r>
          </w:p>
        </w:tc>
        <w:tc>
          <w:tcPr>
            <w:tcW w:w="641" w:type="pct"/>
            <w:vAlign w:val="bottom"/>
          </w:tcPr>
          <w:p w14:paraId="2F80FEDD" w14:textId="3250B3C3" w:rsidR="004D4BFC" w:rsidRPr="00680A29" w:rsidRDefault="00E31A76" w:rsidP="002C47F1">
            <w:pPr>
              <w:jc w:val="right"/>
            </w:pPr>
            <w:r>
              <w:t>16</w:t>
            </w:r>
          </w:p>
        </w:tc>
      </w:tr>
      <w:tr w:rsidR="004D4BFC" w14:paraId="0572C744" w14:textId="77777777" w:rsidTr="00E31A76">
        <w:tc>
          <w:tcPr>
            <w:tcW w:w="2811" w:type="pct"/>
          </w:tcPr>
          <w:p w14:paraId="543D4782" w14:textId="77777777" w:rsidR="004D4BFC" w:rsidRDefault="004D4BFC" w:rsidP="002C47F1">
            <w:r w:rsidRPr="00DC1D85">
              <w:t>Legal advice, minor assistance and advocacy services</w:t>
            </w:r>
          </w:p>
        </w:tc>
        <w:tc>
          <w:tcPr>
            <w:tcW w:w="774" w:type="pct"/>
            <w:vAlign w:val="bottom"/>
          </w:tcPr>
          <w:p w14:paraId="4DED229D" w14:textId="2F1250A3" w:rsidR="004D4BFC" w:rsidRDefault="00C82E61" w:rsidP="002C47F1">
            <w:pPr>
              <w:jc w:val="right"/>
            </w:pPr>
            <w:r>
              <w:t>15,327</w:t>
            </w:r>
          </w:p>
        </w:tc>
        <w:tc>
          <w:tcPr>
            <w:tcW w:w="774" w:type="pct"/>
            <w:vAlign w:val="bottom"/>
          </w:tcPr>
          <w:p w14:paraId="1D55D075" w14:textId="46C6CFCD" w:rsidR="004D4BFC" w:rsidRPr="00680A29" w:rsidRDefault="00E31A76" w:rsidP="002C47F1">
            <w:pPr>
              <w:jc w:val="right"/>
            </w:pPr>
            <w:r>
              <w:t>14,765</w:t>
            </w:r>
          </w:p>
        </w:tc>
        <w:tc>
          <w:tcPr>
            <w:tcW w:w="641" w:type="pct"/>
            <w:vAlign w:val="bottom"/>
          </w:tcPr>
          <w:p w14:paraId="002ACFCE" w14:textId="5D0D103D" w:rsidR="004D4BFC" w:rsidRPr="00680A29" w:rsidRDefault="002F64D9" w:rsidP="002C47F1">
            <w:pPr>
              <w:jc w:val="right"/>
            </w:pPr>
            <w:r>
              <w:t>-</w:t>
            </w:r>
            <w:r w:rsidR="00EE46F4">
              <w:t>4</w:t>
            </w:r>
          </w:p>
        </w:tc>
      </w:tr>
      <w:tr w:rsidR="004D4BFC" w14:paraId="32010CD9" w14:textId="77777777" w:rsidTr="00E31A76">
        <w:tc>
          <w:tcPr>
            <w:tcW w:w="2811" w:type="pct"/>
          </w:tcPr>
          <w:p w14:paraId="1F531C60" w14:textId="77777777" w:rsidR="004D4BFC" w:rsidRDefault="004D4BFC" w:rsidP="002C47F1">
            <w:r>
              <w:t>Duty</w:t>
            </w:r>
            <w:r w:rsidRPr="00DC1D85">
              <w:t xml:space="preserve"> lawyer services</w:t>
            </w:r>
          </w:p>
        </w:tc>
        <w:tc>
          <w:tcPr>
            <w:tcW w:w="774" w:type="pct"/>
            <w:vAlign w:val="bottom"/>
          </w:tcPr>
          <w:p w14:paraId="52745837" w14:textId="2A25C6C8" w:rsidR="004D4BFC" w:rsidRDefault="007C377F" w:rsidP="002C47F1">
            <w:pPr>
              <w:jc w:val="right"/>
            </w:pPr>
            <w:r>
              <w:t>5,669</w:t>
            </w:r>
          </w:p>
        </w:tc>
        <w:tc>
          <w:tcPr>
            <w:tcW w:w="774" w:type="pct"/>
            <w:vAlign w:val="bottom"/>
          </w:tcPr>
          <w:p w14:paraId="5469189F" w14:textId="517A4FAB" w:rsidR="004D4BFC" w:rsidRPr="00680A29" w:rsidRDefault="00E31A76" w:rsidP="002C47F1">
            <w:pPr>
              <w:jc w:val="right"/>
            </w:pPr>
            <w:r>
              <w:t>4,872</w:t>
            </w:r>
          </w:p>
        </w:tc>
        <w:tc>
          <w:tcPr>
            <w:tcW w:w="641" w:type="pct"/>
            <w:vAlign w:val="bottom"/>
          </w:tcPr>
          <w:p w14:paraId="5EE27DCD" w14:textId="593D0E44" w:rsidR="004D4BFC" w:rsidRPr="00680A29" w:rsidRDefault="00E31A76" w:rsidP="002C47F1">
            <w:pPr>
              <w:jc w:val="right"/>
            </w:pPr>
            <w:r>
              <w:t>-14</w:t>
            </w:r>
          </w:p>
        </w:tc>
      </w:tr>
      <w:tr w:rsidR="004D4BFC" w14:paraId="1CF2F038" w14:textId="77777777" w:rsidTr="00E31A76">
        <w:tc>
          <w:tcPr>
            <w:tcW w:w="2811" w:type="pct"/>
          </w:tcPr>
          <w:p w14:paraId="6D569F78" w14:textId="77777777" w:rsidR="004D4BFC" w:rsidRDefault="004D4BFC" w:rsidP="002C47F1">
            <w:r w:rsidRPr="00DC1D85">
              <w:t>Grants of legal assistance</w:t>
            </w:r>
          </w:p>
        </w:tc>
        <w:tc>
          <w:tcPr>
            <w:tcW w:w="774" w:type="pct"/>
            <w:vAlign w:val="bottom"/>
          </w:tcPr>
          <w:p w14:paraId="2F30B91A" w14:textId="18E0040E" w:rsidR="004D4BFC" w:rsidRDefault="007C377F" w:rsidP="002C47F1">
            <w:pPr>
              <w:jc w:val="right"/>
            </w:pPr>
            <w:r>
              <w:t>1,158</w:t>
            </w:r>
          </w:p>
        </w:tc>
        <w:tc>
          <w:tcPr>
            <w:tcW w:w="774" w:type="pct"/>
            <w:vAlign w:val="bottom"/>
          </w:tcPr>
          <w:p w14:paraId="7B39F3AE" w14:textId="0B655062" w:rsidR="004D4BFC" w:rsidRPr="00680A29" w:rsidRDefault="00E31A76" w:rsidP="002C47F1">
            <w:pPr>
              <w:jc w:val="right"/>
            </w:pPr>
            <w:r>
              <w:t>1,019</w:t>
            </w:r>
          </w:p>
        </w:tc>
        <w:tc>
          <w:tcPr>
            <w:tcW w:w="641" w:type="pct"/>
            <w:vAlign w:val="bottom"/>
          </w:tcPr>
          <w:p w14:paraId="79466739" w14:textId="2F1A703F" w:rsidR="004D4BFC" w:rsidRPr="00680A29" w:rsidRDefault="00E31A76" w:rsidP="002C47F1">
            <w:pPr>
              <w:jc w:val="right"/>
            </w:pPr>
            <w:r>
              <w:t>-12</w:t>
            </w:r>
          </w:p>
        </w:tc>
      </w:tr>
    </w:tbl>
    <w:p w14:paraId="2EDBDE8F" w14:textId="77777777" w:rsidR="00CE2267" w:rsidRDefault="006B21FE" w:rsidP="006B21FE">
      <w:r w:rsidRPr="0004486F">
        <w:t xml:space="preserve">A significant amount of work in the Civil Justice program is done by our in-house staff through work </w:t>
      </w:r>
      <w:r>
        <w:t>onsite at Courts and Tribunals, and through phone advice and direct casework</w:t>
      </w:r>
      <w:r w:rsidRPr="0004486F">
        <w:t xml:space="preserve">. </w:t>
      </w:r>
    </w:p>
    <w:p w14:paraId="607B38C8" w14:textId="0D37C060" w:rsidR="006B21FE" w:rsidRDefault="006B21FE" w:rsidP="006B21FE">
      <w:r>
        <w:t>We combined our Commonwealth Entitlements and Social Inclusion sub-programs to create a new Economic and Social Rights sub-program to help resolve legal problems relating to social security, tenancy, the National Disability Insurance Scheme</w:t>
      </w:r>
      <w:r w:rsidR="00CE2267">
        <w:t xml:space="preserve"> (NDIS)</w:t>
      </w:r>
      <w:r>
        <w:t xml:space="preserve"> and significant fines debt. </w:t>
      </w:r>
      <w:r w:rsidRPr="00A3608C">
        <w:t xml:space="preserve">We brought together a range of stakeholders to discuss solutions to the increasing burden that toll road infringements have on communities, the courts and the justice system and campaigned to reduce </w:t>
      </w:r>
      <w:r>
        <w:t>r</w:t>
      </w:r>
      <w:r w:rsidRPr="00A3608C">
        <w:t xml:space="preserve">eliance on the infringements system to enforce tolls. </w:t>
      </w:r>
      <w:r>
        <w:t>C</w:t>
      </w:r>
      <w:r w:rsidRPr="00A3608C">
        <w:t>hanges to the infringements system reducing the need for help with fines has contributed to reduced demand for grants of legal assistance</w:t>
      </w:r>
      <w:r>
        <w:t xml:space="preserve"> and duty lawyer services</w:t>
      </w:r>
      <w:r w:rsidRPr="00A3608C">
        <w:t>.</w:t>
      </w:r>
    </w:p>
    <w:p w14:paraId="6267474D" w14:textId="2F273D6D" w:rsidR="006B21FE" w:rsidRPr="00A3608C" w:rsidRDefault="006B21FE" w:rsidP="006B21FE">
      <w:r w:rsidRPr="00EF4C7B">
        <w:t>Our work in Migration continued its shift towards fewer, more targeted advice sessions, including in prisons, and an increase in legal challenges before courts, so that when helping individuals we are also clarifying new laws and procedures.</w:t>
      </w:r>
    </w:p>
    <w:p w14:paraId="2EF64739" w14:textId="04E62C22" w:rsidR="004D4BFC" w:rsidRPr="00A3608C" w:rsidRDefault="00A3608C" w:rsidP="004D4BFC">
      <w:r>
        <w:t>We use</w:t>
      </w:r>
      <w:r w:rsidR="004D4BFC" w:rsidRPr="00A3608C">
        <w:t xml:space="preserve"> our experience working with individuals to reform systems so that they work in a fairer way</w:t>
      </w:r>
      <w:r>
        <w:t xml:space="preserve"> for everybody</w:t>
      </w:r>
      <w:r w:rsidR="004D4BFC" w:rsidRPr="00A3608C">
        <w:t>.</w:t>
      </w:r>
      <w:r w:rsidRPr="00A3608C">
        <w:t xml:space="preserve"> In 2017</w:t>
      </w:r>
      <w:r w:rsidRPr="00A3608C">
        <w:rPr>
          <w:rFonts w:cs="Arial"/>
        </w:rPr>
        <w:t>–</w:t>
      </w:r>
      <w:r w:rsidRPr="00A3608C">
        <w:t xml:space="preserve">18 </w:t>
      </w:r>
      <w:r w:rsidR="004D4BFC" w:rsidRPr="00A3608C">
        <w:t xml:space="preserve">we </w:t>
      </w:r>
      <w:r>
        <w:t xml:space="preserve">raised awareness of the need for an enforceable provider of last resort for </w:t>
      </w:r>
      <w:r w:rsidR="00CE2267">
        <w:t>NDIS</w:t>
      </w:r>
      <w:r>
        <w:t xml:space="preserve"> participants. We advocated for </w:t>
      </w:r>
      <w:r w:rsidR="004D4BFC" w:rsidRPr="00A3608C">
        <w:t>fairer tenancy laws and safer housing</w:t>
      </w:r>
      <w:r>
        <w:t xml:space="preserve"> </w:t>
      </w:r>
      <w:r w:rsidR="004D4BFC" w:rsidRPr="00A3608C">
        <w:t>and ran important test cases to clarify laws relating to the administration of electroconvulsive treatment against a person’s will.</w:t>
      </w:r>
    </w:p>
    <w:p w14:paraId="45B3ABA2" w14:textId="24C7800C" w:rsidR="004D4BFC" w:rsidRPr="004D4BFC" w:rsidRDefault="004D4BFC" w:rsidP="004D4BFC">
      <w:pPr>
        <w:rPr>
          <w:highlight w:val="yellow"/>
        </w:rPr>
      </w:pPr>
      <w:r w:rsidRPr="00A3608C">
        <w:t xml:space="preserve">Our Independent Mental Health Advocacy </w:t>
      </w:r>
      <w:r w:rsidR="00EF4C7B">
        <w:t>program</w:t>
      </w:r>
      <w:r w:rsidR="00EF4C7B" w:rsidRPr="00A3608C">
        <w:t xml:space="preserve"> </w:t>
      </w:r>
      <w:r w:rsidR="00EF4C7B">
        <w:t xml:space="preserve">has delivered significantly more and better services in its second year of operation. </w:t>
      </w:r>
      <w:r w:rsidRPr="00A3608C">
        <w:t xml:space="preserve">Consumers who have used the IHMA service are now also encouraging other consumers to contact our service. </w:t>
      </w:r>
    </w:p>
    <w:p w14:paraId="18CC3115" w14:textId="6F8DF8AD" w:rsidR="004D4BFC" w:rsidRDefault="004D4BFC" w:rsidP="004D4BFC">
      <w:r>
        <w:br w:type="page"/>
      </w:r>
    </w:p>
    <w:p w14:paraId="6C83B430" w14:textId="77777777" w:rsidR="004D4BFC" w:rsidRDefault="004D4BFC" w:rsidP="004D4BFC">
      <w:pPr>
        <w:pStyle w:val="Heading4"/>
      </w:pPr>
      <w:r w:rsidRPr="005F1DE5">
        <w:lastRenderedPageBreak/>
        <w:t>Civil Justice</w:t>
      </w:r>
      <w:r>
        <w:t xml:space="preserve"> Program performance </w:t>
      </w:r>
    </w:p>
    <w:p w14:paraId="13A4932C" w14:textId="48D702F3" w:rsidR="002C47F1" w:rsidRDefault="0062475F" w:rsidP="00625A66">
      <w:pPr>
        <w:pStyle w:val="Heading5"/>
        <w:spacing w:before="0"/>
      </w:pPr>
      <w:r>
        <w:t xml:space="preserve">Economic and Social Rights </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819"/>
        <w:gridCol w:w="1960"/>
        <w:gridCol w:w="2254"/>
        <w:gridCol w:w="2043"/>
      </w:tblGrid>
      <w:tr w:rsidR="004D4BFC" w:rsidRPr="00E76BA9" w14:paraId="71CEA60D" w14:textId="77777777" w:rsidTr="002C47F1">
        <w:trPr>
          <w:cnfStyle w:val="100000000000" w:firstRow="1" w:lastRow="0" w:firstColumn="0" w:lastColumn="0" w:oddVBand="0" w:evenVBand="0" w:oddHBand="0" w:evenHBand="0" w:firstRowFirstColumn="0" w:firstRowLastColumn="0" w:lastRowFirstColumn="0" w:lastRowLastColumn="0"/>
        </w:trPr>
        <w:tc>
          <w:tcPr>
            <w:tcW w:w="3819" w:type="dxa"/>
            <w:shd w:val="clear" w:color="auto" w:fill="BFBFBF" w:themeFill="background1" w:themeFillShade="BF"/>
          </w:tcPr>
          <w:p w14:paraId="66D637FD" w14:textId="77777777" w:rsidR="004D4BFC" w:rsidRPr="003C6849" w:rsidRDefault="004D4BFC" w:rsidP="002C47F1">
            <w:pPr>
              <w:rPr>
                <w:b/>
                <w:color w:val="000000" w:themeColor="text1"/>
              </w:rPr>
            </w:pPr>
          </w:p>
        </w:tc>
        <w:tc>
          <w:tcPr>
            <w:tcW w:w="1960" w:type="dxa"/>
            <w:shd w:val="clear" w:color="auto" w:fill="BFBFBF" w:themeFill="background1" w:themeFillShade="BF"/>
          </w:tcPr>
          <w:p w14:paraId="432EC4E5" w14:textId="73E8EEC1" w:rsidR="004D4BFC" w:rsidRPr="00B32B83" w:rsidRDefault="00D060EA" w:rsidP="002C47F1">
            <w:pPr>
              <w:jc w:val="right"/>
              <w:rPr>
                <w:b/>
                <w:color w:val="000000" w:themeColor="text1"/>
              </w:rPr>
            </w:pPr>
            <w:r>
              <w:rPr>
                <w:b/>
              </w:rPr>
              <w:t>2016–17</w:t>
            </w:r>
          </w:p>
        </w:tc>
        <w:tc>
          <w:tcPr>
            <w:tcW w:w="2254" w:type="dxa"/>
            <w:shd w:val="clear" w:color="auto" w:fill="BFBFBF" w:themeFill="background1" w:themeFillShade="BF"/>
          </w:tcPr>
          <w:p w14:paraId="744452D0" w14:textId="570F1263" w:rsidR="004D4BFC" w:rsidRPr="00B32B83" w:rsidRDefault="00F665BB" w:rsidP="002C47F1">
            <w:pPr>
              <w:jc w:val="right"/>
              <w:rPr>
                <w:b/>
                <w:color w:val="000000" w:themeColor="text1"/>
              </w:rPr>
            </w:pPr>
            <w:r>
              <w:rPr>
                <w:b/>
              </w:rPr>
              <w:t>2017</w:t>
            </w:r>
            <w:r>
              <w:rPr>
                <w:rFonts w:cs="Arial"/>
                <w:b/>
              </w:rPr>
              <w:t>–</w:t>
            </w:r>
            <w:r>
              <w:rPr>
                <w:b/>
              </w:rPr>
              <w:t>18</w:t>
            </w:r>
          </w:p>
        </w:tc>
        <w:tc>
          <w:tcPr>
            <w:tcW w:w="2043" w:type="dxa"/>
            <w:shd w:val="clear" w:color="auto" w:fill="BFBFBF" w:themeFill="background1" w:themeFillShade="BF"/>
          </w:tcPr>
          <w:p w14:paraId="7C29FCA8" w14:textId="60B604B4" w:rsidR="004D4BFC" w:rsidRPr="00B32B83" w:rsidRDefault="005A3FC5" w:rsidP="002C47F1">
            <w:pPr>
              <w:jc w:val="right"/>
              <w:rPr>
                <w:b/>
                <w:color w:val="000000" w:themeColor="text1"/>
              </w:rPr>
            </w:pPr>
            <w:r>
              <w:rPr>
                <w:b/>
              </w:rPr>
              <w:t>% Change</w:t>
            </w:r>
          </w:p>
        </w:tc>
      </w:tr>
      <w:tr w:rsidR="004D4BFC" w:rsidRPr="00E76BA9" w14:paraId="5037C113" w14:textId="77777777" w:rsidTr="002C47F1">
        <w:trPr>
          <w:cnfStyle w:val="000000100000" w:firstRow="0" w:lastRow="0" w:firstColumn="0" w:lastColumn="0" w:oddVBand="0" w:evenVBand="0" w:oddHBand="1" w:evenHBand="0" w:firstRowFirstColumn="0" w:firstRowLastColumn="0" w:lastRowFirstColumn="0" w:lastRowLastColumn="0"/>
        </w:trPr>
        <w:tc>
          <w:tcPr>
            <w:tcW w:w="3819" w:type="dxa"/>
          </w:tcPr>
          <w:p w14:paraId="1FC525A7" w14:textId="77777777" w:rsidR="004D4BFC" w:rsidRPr="00E76BA9" w:rsidRDefault="004D4BFC" w:rsidP="002C47F1">
            <w:r>
              <w:t xml:space="preserve">Grants of legal assistance   </w:t>
            </w:r>
          </w:p>
        </w:tc>
        <w:tc>
          <w:tcPr>
            <w:tcW w:w="1960" w:type="dxa"/>
          </w:tcPr>
          <w:p w14:paraId="694244EB" w14:textId="3D399A96" w:rsidR="004D4BFC" w:rsidRPr="003410EE" w:rsidRDefault="002F64D9" w:rsidP="002C47F1">
            <w:pPr>
              <w:jc w:val="right"/>
            </w:pPr>
            <w:r>
              <w:rPr>
                <w:szCs w:val="22"/>
              </w:rPr>
              <w:t>827</w:t>
            </w:r>
          </w:p>
        </w:tc>
        <w:tc>
          <w:tcPr>
            <w:tcW w:w="2254" w:type="dxa"/>
          </w:tcPr>
          <w:p w14:paraId="2E5ACFA0" w14:textId="6C4AACC3" w:rsidR="004D4BFC" w:rsidRPr="003410EE" w:rsidRDefault="002F64D9" w:rsidP="002C47F1">
            <w:pPr>
              <w:jc w:val="right"/>
            </w:pPr>
            <w:r>
              <w:rPr>
                <w:szCs w:val="22"/>
              </w:rPr>
              <w:t>705</w:t>
            </w:r>
          </w:p>
        </w:tc>
        <w:tc>
          <w:tcPr>
            <w:tcW w:w="2043" w:type="dxa"/>
          </w:tcPr>
          <w:p w14:paraId="6CDC084F" w14:textId="16593274" w:rsidR="004D4BFC" w:rsidRPr="003410EE" w:rsidRDefault="002F64D9" w:rsidP="002C47F1">
            <w:pPr>
              <w:jc w:val="right"/>
            </w:pPr>
            <w:r>
              <w:t>-1</w:t>
            </w:r>
            <w:r w:rsidR="00EE46F4">
              <w:t>5</w:t>
            </w:r>
          </w:p>
        </w:tc>
      </w:tr>
      <w:tr w:rsidR="004D4BFC" w:rsidRPr="00E76BA9" w14:paraId="2CC0E926" w14:textId="77777777" w:rsidTr="002C47F1">
        <w:trPr>
          <w:cnfStyle w:val="000000010000" w:firstRow="0" w:lastRow="0" w:firstColumn="0" w:lastColumn="0" w:oddVBand="0" w:evenVBand="0" w:oddHBand="0" w:evenHBand="1" w:firstRowFirstColumn="0" w:firstRowLastColumn="0" w:lastRowFirstColumn="0" w:lastRowLastColumn="0"/>
        </w:trPr>
        <w:tc>
          <w:tcPr>
            <w:tcW w:w="3819" w:type="dxa"/>
          </w:tcPr>
          <w:p w14:paraId="05F6D1D8" w14:textId="77777777" w:rsidR="004D4BFC" w:rsidRPr="00E76BA9" w:rsidRDefault="004D4BFC" w:rsidP="002C47F1">
            <w:r>
              <w:t xml:space="preserve">Legal advice </w:t>
            </w:r>
          </w:p>
        </w:tc>
        <w:tc>
          <w:tcPr>
            <w:tcW w:w="1960" w:type="dxa"/>
          </w:tcPr>
          <w:p w14:paraId="68DCFA12" w14:textId="7CD98ECE" w:rsidR="004D4BFC" w:rsidRPr="008708CC" w:rsidRDefault="002F64D9" w:rsidP="002C47F1">
            <w:pPr>
              <w:jc w:val="right"/>
            </w:pPr>
            <w:r>
              <w:rPr>
                <w:szCs w:val="22"/>
              </w:rPr>
              <w:t>7,451</w:t>
            </w:r>
          </w:p>
        </w:tc>
        <w:tc>
          <w:tcPr>
            <w:tcW w:w="2254" w:type="dxa"/>
          </w:tcPr>
          <w:p w14:paraId="007283FF" w14:textId="01598C23" w:rsidR="004D4BFC" w:rsidRPr="008708CC" w:rsidRDefault="002F64D9" w:rsidP="002C47F1">
            <w:pPr>
              <w:jc w:val="right"/>
            </w:pPr>
            <w:r>
              <w:rPr>
                <w:szCs w:val="22"/>
              </w:rPr>
              <w:t>7,161</w:t>
            </w:r>
          </w:p>
        </w:tc>
        <w:tc>
          <w:tcPr>
            <w:tcW w:w="2043" w:type="dxa"/>
          </w:tcPr>
          <w:p w14:paraId="443E7FFD" w14:textId="522756C6" w:rsidR="004D4BFC" w:rsidRPr="008708CC" w:rsidRDefault="002F64D9" w:rsidP="002C47F1">
            <w:pPr>
              <w:jc w:val="right"/>
            </w:pPr>
            <w:r>
              <w:t>-</w:t>
            </w:r>
            <w:r w:rsidR="00EE46F4">
              <w:t>4</w:t>
            </w:r>
          </w:p>
        </w:tc>
      </w:tr>
      <w:tr w:rsidR="002C47F1" w:rsidRPr="00E76BA9" w14:paraId="6B5C7D25" w14:textId="77777777" w:rsidTr="002C47F1">
        <w:trPr>
          <w:cnfStyle w:val="000000100000" w:firstRow="0" w:lastRow="0" w:firstColumn="0" w:lastColumn="0" w:oddVBand="0" w:evenVBand="0" w:oddHBand="1" w:evenHBand="0" w:firstRowFirstColumn="0" w:firstRowLastColumn="0" w:lastRowFirstColumn="0" w:lastRowLastColumn="0"/>
        </w:trPr>
        <w:tc>
          <w:tcPr>
            <w:tcW w:w="3819" w:type="dxa"/>
          </w:tcPr>
          <w:p w14:paraId="7FBD2CBE" w14:textId="77777777" w:rsidR="002C47F1" w:rsidRDefault="002C47F1" w:rsidP="002C47F1">
            <w:r>
              <w:t>VCAT duty lawyer services</w:t>
            </w:r>
          </w:p>
        </w:tc>
        <w:tc>
          <w:tcPr>
            <w:tcW w:w="1960" w:type="dxa"/>
          </w:tcPr>
          <w:p w14:paraId="176A8257" w14:textId="36714F8F" w:rsidR="002C47F1" w:rsidRPr="008708CC" w:rsidRDefault="002F64D9" w:rsidP="002C47F1">
            <w:pPr>
              <w:jc w:val="right"/>
            </w:pPr>
            <w:r>
              <w:rPr>
                <w:szCs w:val="22"/>
              </w:rPr>
              <w:t>311</w:t>
            </w:r>
          </w:p>
        </w:tc>
        <w:tc>
          <w:tcPr>
            <w:tcW w:w="2254" w:type="dxa"/>
          </w:tcPr>
          <w:p w14:paraId="6C170D42" w14:textId="4AA91288" w:rsidR="002C47F1" w:rsidRPr="008708CC" w:rsidRDefault="002F64D9" w:rsidP="002C47F1">
            <w:pPr>
              <w:jc w:val="right"/>
            </w:pPr>
            <w:r>
              <w:rPr>
                <w:szCs w:val="22"/>
              </w:rPr>
              <w:t>280</w:t>
            </w:r>
          </w:p>
        </w:tc>
        <w:tc>
          <w:tcPr>
            <w:tcW w:w="2043" w:type="dxa"/>
          </w:tcPr>
          <w:p w14:paraId="4B648C05" w14:textId="72BBDA44" w:rsidR="002C47F1" w:rsidRPr="008708CC" w:rsidRDefault="002F64D9" w:rsidP="002C47F1">
            <w:pPr>
              <w:jc w:val="right"/>
            </w:pPr>
            <w:r>
              <w:t>-10</w:t>
            </w:r>
          </w:p>
        </w:tc>
      </w:tr>
    </w:tbl>
    <w:p w14:paraId="5639F2C5" w14:textId="77777777" w:rsidR="004D4BFC" w:rsidRDefault="004D4BFC" w:rsidP="004D4BFC">
      <w:pPr>
        <w:pStyle w:val="Heading5"/>
      </w:pPr>
      <w:r>
        <w:t xml:space="preserve">Equality Law  </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819"/>
        <w:gridCol w:w="1960"/>
        <w:gridCol w:w="2254"/>
        <w:gridCol w:w="2043"/>
      </w:tblGrid>
      <w:tr w:rsidR="004D4BFC" w:rsidRPr="00E76BA9" w14:paraId="6917C3D5" w14:textId="77777777" w:rsidTr="002C47F1">
        <w:trPr>
          <w:cnfStyle w:val="100000000000" w:firstRow="1" w:lastRow="0" w:firstColumn="0" w:lastColumn="0" w:oddVBand="0" w:evenVBand="0" w:oddHBand="0" w:evenHBand="0" w:firstRowFirstColumn="0" w:firstRowLastColumn="0" w:lastRowFirstColumn="0" w:lastRowLastColumn="0"/>
        </w:trPr>
        <w:tc>
          <w:tcPr>
            <w:tcW w:w="3819" w:type="dxa"/>
            <w:shd w:val="clear" w:color="auto" w:fill="BFBFBF" w:themeFill="background1" w:themeFillShade="BF"/>
          </w:tcPr>
          <w:p w14:paraId="08235300" w14:textId="77777777" w:rsidR="004D4BFC" w:rsidRPr="003C6849" w:rsidRDefault="004D4BFC" w:rsidP="002C47F1">
            <w:pPr>
              <w:rPr>
                <w:b/>
                <w:color w:val="000000" w:themeColor="text1"/>
              </w:rPr>
            </w:pPr>
          </w:p>
        </w:tc>
        <w:tc>
          <w:tcPr>
            <w:tcW w:w="1960" w:type="dxa"/>
            <w:shd w:val="clear" w:color="auto" w:fill="BFBFBF" w:themeFill="background1" w:themeFillShade="BF"/>
          </w:tcPr>
          <w:p w14:paraId="4E33DBE6" w14:textId="3A14DBDE" w:rsidR="004D4BFC" w:rsidRPr="00B32B83" w:rsidRDefault="00D060EA" w:rsidP="002C47F1">
            <w:pPr>
              <w:jc w:val="right"/>
              <w:rPr>
                <w:b/>
                <w:color w:val="000000" w:themeColor="text1"/>
              </w:rPr>
            </w:pPr>
            <w:r>
              <w:rPr>
                <w:b/>
              </w:rPr>
              <w:t>2016–17</w:t>
            </w:r>
          </w:p>
        </w:tc>
        <w:tc>
          <w:tcPr>
            <w:tcW w:w="2254" w:type="dxa"/>
            <w:shd w:val="clear" w:color="auto" w:fill="BFBFBF" w:themeFill="background1" w:themeFillShade="BF"/>
          </w:tcPr>
          <w:p w14:paraId="3687E989" w14:textId="7C52E2F9" w:rsidR="004D4BFC" w:rsidRPr="00B32B83" w:rsidRDefault="00F665BB" w:rsidP="002C47F1">
            <w:pPr>
              <w:jc w:val="right"/>
              <w:rPr>
                <w:b/>
                <w:color w:val="000000" w:themeColor="text1"/>
              </w:rPr>
            </w:pPr>
            <w:r>
              <w:rPr>
                <w:b/>
              </w:rPr>
              <w:t>2017</w:t>
            </w:r>
            <w:r>
              <w:rPr>
                <w:rFonts w:cs="Arial"/>
                <w:b/>
              </w:rPr>
              <w:t>–</w:t>
            </w:r>
            <w:r>
              <w:rPr>
                <w:b/>
              </w:rPr>
              <w:t>18</w:t>
            </w:r>
          </w:p>
        </w:tc>
        <w:tc>
          <w:tcPr>
            <w:tcW w:w="2043" w:type="dxa"/>
            <w:shd w:val="clear" w:color="auto" w:fill="BFBFBF" w:themeFill="background1" w:themeFillShade="BF"/>
          </w:tcPr>
          <w:p w14:paraId="17170497" w14:textId="2E604CBC" w:rsidR="004D4BFC" w:rsidRPr="00B32B83" w:rsidRDefault="005A3FC5" w:rsidP="002C47F1">
            <w:pPr>
              <w:jc w:val="right"/>
              <w:rPr>
                <w:b/>
                <w:color w:val="000000" w:themeColor="text1"/>
              </w:rPr>
            </w:pPr>
            <w:r>
              <w:rPr>
                <w:b/>
              </w:rPr>
              <w:t>% Change</w:t>
            </w:r>
          </w:p>
        </w:tc>
      </w:tr>
      <w:tr w:rsidR="004D4BFC" w:rsidRPr="00E76BA9" w14:paraId="664D294F" w14:textId="77777777" w:rsidTr="002C47F1">
        <w:trPr>
          <w:cnfStyle w:val="000000100000" w:firstRow="0" w:lastRow="0" w:firstColumn="0" w:lastColumn="0" w:oddVBand="0" w:evenVBand="0" w:oddHBand="1" w:evenHBand="0" w:firstRowFirstColumn="0" w:firstRowLastColumn="0" w:lastRowFirstColumn="0" w:lastRowLastColumn="0"/>
        </w:trPr>
        <w:tc>
          <w:tcPr>
            <w:tcW w:w="3819" w:type="dxa"/>
          </w:tcPr>
          <w:p w14:paraId="4FC0BE4F" w14:textId="77777777" w:rsidR="004D4BFC" w:rsidRPr="00E76BA9" w:rsidRDefault="004D4BFC" w:rsidP="002C47F1">
            <w:r>
              <w:t xml:space="preserve">Unique clients  </w:t>
            </w:r>
          </w:p>
        </w:tc>
        <w:tc>
          <w:tcPr>
            <w:tcW w:w="1960" w:type="dxa"/>
          </w:tcPr>
          <w:p w14:paraId="3051C72C" w14:textId="324D124A" w:rsidR="004D4BFC" w:rsidRPr="00C642F4" w:rsidRDefault="002F64D9" w:rsidP="002C47F1">
            <w:pPr>
              <w:jc w:val="right"/>
            </w:pPr>
            <w:r>
              <w:t>987</w:t>
            </w:r>
          </w:p>
        </w:tc>
        <w:tc>
          <w:tcPr>
            <w:tcW w:w="2254" w:type="dxa"/>
          </w:tcPr>
          <w:p w14:paraId="4C52C118" w14:textId="078C4BFF" w:rsidR="004D4BFC" w:rsidRPr="00C642F4" w:rsidRDefault="002F64D9" w:rsidP="002C47F1">
            <w:pPr>
              <w:jc w:val="right"/>
            </w:pPr>
            <w:r>
              <w:t>1,051</w:t>
            </w:r>
          </w:p>
        </w:tc>
        <w:tc>
          <w:tcPr>
            <w:tcW w:w="2043" w:type="dxa"/>
          </w:tcPr>
          <w:p w14:paraId="1DC694F4" w14:textId="4A38DE5E" w:rsidR="004D4BFC" w:rsidRPr="00C642F4" w:rsidRDefault="00EE46F4" w:rsidP="002C47F1">
            <w:pPr>
              <w:jc w:val="right"/>
            </w:pPr>
            <w:r>
              <w:t>7</w:t>
            </w:r>
          </w:p>
        </w:tc>
      </w:tr>
      <w:tr w:rsidR="004D4BFC" w:rsidRPr="00E76BA9" w14:paraId="0FFF2835" w14:textId="77777777" w:rsidTr="002C47F1">
        <w:trPr>
          <w:cnfStyle w:val="000000010000" w:firstRow="0" w:lastRow="0" w:firstColumn="0" w:lastColumn="0" w:oddVBand="0" w:evenVBand="0" w:oddHBand="0" w:evenHBand="1" w:firstRowFirstColumn="0" w:firstRowLastColumn="0" w:lastRowFirstColumn="0" w:lastRowLastColumn="0"/>
        </w:trPr>
        <w:tc>
          <w:tcPr>
            <w:tcW w:w="3819" w:type="dxa"/>
          </w:tcPr>
          <w:p w14:paraId="39369F48" w14:textId="77777777" w:rsidR="004D4BFC" w:rsidRPr="00E76BA9" w:rsidRDefault="004D4BFC" w:rsidP="002C47F1">
            <w:r>
              <w:t xml:space="preserve">Legal advice </w:t>
            </w:r>
          </w:p>
        </w:tc>
        <w:tc>
          <w:tcPr>
            <w:tcW w:w="1960" w:type="dxa"/>
          </w:tcPr>
          <w:p w14:paraId="7F894FFD" w14:textId="6E18CB30" w:rsidR="004D4BFC" w:rsidRPr="00C642F4" w:rsidRDefault="002F64D9" w:rsidP="002C47F1">
            <w:pPr>
              <w:jc w:val="right"/>
            </w:pPr>
            <w:r>
              <w:t>1,723</w:t>
            </w:r>
          </w:p>
        </w:tc>
        <w:tc>
          <w:tcPr>
            <w:tcW w:w="2254" w:type="dxa"/>
          </w:tcPr>
          <w:p w14:paraId="51CE9E03" w14:textId="25900CCC" w:rsidR="004D4BFC" w:rsidRPr="00C642F4" w:rsidRDefault="002F64D9" w:rsidP="002C47F1">
            <w:pPr>
              <w:jc w:val="right"/>
            </w:pPr>
            <w:r>
              <w:t>1,933</w:t>
            </w:r>
          </w:p>
        </w:tc>
        <w:tc>
          <w:tcPr>
            <w:tcW w:w="2043" w:type="dxa"/>
          </w:tcPr>
          <w:p w14:paraId="7E90B1BA" w14:textId="598E8ABC" w:rsidR="004D4BFC" w:rsidRPr="00C642F4" w:rsidRDefault="002F64D9" w:rsidP="002C47F1">
            <w:pPr>
              <w:jc w:val="right"/>
            </w:pPr>
            <w:r>
              <w:t>12</w:t>
            </w:r>
          </w:p>
        </w:tc>
      </w:tr>
    </w:tbl>
    <w:p w14:paraId="4AB621A4" w14:textId="77777777" w:rsidR="004D4BFC" w:rsidRDefault="004D4BFC" w:rsidP="004D4BFC">
      <w:pPr>
        <w:pStyle w:val="Heading5"/>
      </w:pPr>
      <w:r w:rsidRPr="003410EE">
        <w:t>Mental Health and Disability Advocacy</w:t>
      </w:r>
      <w:r>
        <w:t xml:space="preserv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792"/>
        <w:gridCol w:w="1957"/>
        <w:gridCol w:w="2231"/>
        <w:gridCol w:w="2096"/>
      </w:tblGrid>
      <w:tr w:rsidR="004D4BFC" w:rsidRPr="00E76BA9" w14:paraId="57D803F9" w14:textId="77777777" w:rsidTr="002C47F1">
        <w:trPr>
          <w:cnfStyle w:val="100000000000" w:firstRow="1" w:lastRow="0" w:firstColumn="0" w:lastColumn="0" w:oddVBand="0" w:evenVBand="0" w:oddHBand="0" w:evenHBand="0" w:firstRowFirstColumn="0" w:firstRowLastColumn="0" w:lastRowFirstColumn="0" w:lastRowLastColumn="0"/>
          <w:cantSplit w:val="0"/>
          <w:trHeight w:val="415"/>
        </w:trPr>
        <w:tc>
          <w:tcPr>
            <w:tcW w:w="3794" w:type="dxa"/>
            <w:shd w:val="clear" w:color="auto" w:fill="BFBFBF" w:themeFill="background1" w:themeFillShade="BF"/>
          </w:tcPr>
          <w:p w14:paraId="483566BF" w14:textId="77777777" w:rsidR="004D4BFC" w:rsidRPr="003C6849" w:rsidRDefault="004D4BFC" w:rsidP="002C47F1">
            <w:pPr>
              <w:rPr>
                <w:b/>
                <w:color w:val="000000" w:themeColor="text1"/>
              </w:rPr>
            </w:pPr>
          </w:p>
        </w:tc>
        <w:tc>
          <w:tcPr>
            <w:tcW w:w="1958" w:type="dxa"/>
            <w:shd w:val="clear" w:color="auto" w:fill="BFBFBF" w:themeFill="background1" w:themeFillShade="BF"/>
          </w:tcPr>
          <w:p w14:paraId="43B382E1" w14:textId="35022D03" w:rsidR="004D4BFC" w:rsidRPr="00B32B83" w:rsidRDefault="00D060EA" w:rsidP="002C47F1">
            <w:pPr>
              <w:jc w:val="right"/>
              <w:rPr>
                <w:b/>
                <w:color w:val="000000" w:themeColor="text1"/>
              </w:rPr>
            </w:pPr>
            <w:r>
              <w:rPr>
                <w:b/>
              </w:rPr>
              <w:t>2016–17</w:t>
            </w:r>
          </w:p>
        </w:tc>
        <w:tc>
          <w:tcPr>
            <w:tcW w:w="2232" w:type="dxa"/>
            <w:shd w:val="clear" w:color="auto" w:fill="BFBFBF" w:themeFill="background1" w:themeFillShade="BF"/>
          </w:tcPr>
          <w:p w14:paraId="58B0D53E" w14:textId="6200D2B5" w:rsidR="004D4BFC" w:rsidRPr="00B32B83" w:rsidRDefault="00F665BB" w:rsidP="002C47F1">
            <w:pPr>
              <w:jc w:val="right"/>
              <w:rPr>
                <w:b/>
                <w:color w:val="000000" w:themeColor="text1"/>
              </w:rPr>
            </w:pPr>
            <w:r>
              <w:rPr>
                <w:b/>
              </w:rPr>
              <w:t>2017</w:t>
            </w:r>
            <w:r>
              <w:rPr>
                <w:rFonts w:cs="Arial"/>
                <w:b/>
              </w:rPr>
              <w:t>–</w:t>
            </w:r>
            <w:r>
              <w:rPr>
                <w:b/>
              </w:rPr>
              <w:t>18</w:t>
            </w:r>
          </w:p>
        </w:tc>
        <w:tc>
          <w:tcPr>
            <w:tcW w:w="2097" w:type="dxa"/>
            <w:shd w:val="clear" w:color="auto" w:fill="BFBFBF" w:themeFill="background1" w:themeFillShade="BF"/>
          </w:tcPr>
          <w:p w14:paraId="12F18DC2" w14:textId="44CE934F" w:rsidR="004D4BFC" w:rsidRPr="00B32B83" w:rsidRDefault="005A3FC5" w:rsidP="002C47F1">
            <w:pPr>
              <w:jc w:val="right"/>
              <w:rPr>
                <w:b/>
                <w:color w:val="000000" w:themeColor="text1"/>
              </w:rPr>
            </w:pPr>
            <w:r>
              <w:rPr>
                <w:b/>
              </w:rPr>
              <w:t>% Change</w:t>
            </w:r>
          </w:p>
        </w:tc>
      </w:tr>
      <w:tr w:rsidR="004D4BFC" w:rsidRPr="00E76BA9" w14:paraId="0029AFA2" w14:textId="77777777" w:rsidTr="002C47F1">
        <w:trPr>
          <w:cnfStyle w:val="000000100000" w:firstRow="0" w:lastRow="0" w:firstColumn="0" w:lastColumn="0" w:oddVBand="0" w:evenVBand="0" w:oddHBand="1" w:evenHBand="0" w:firstRowFirstColumn="0" w:firstRowLastColumn="0" w:lastRowFirstColumn="0" w:lastRowLastColumn="0"/>
        </w:trPr>
        <w:tc>
          <w:tcPr>
            <w:tcW w:w="3794" w:type="dxa"/>
          </w:tcPr>
          <w:p w14:paraId="151D3FA7" w14:textId="77777777" w:rsidR="004D4BFC" w:rsidRDefault="004D4BFC" w:rsidP="002C47F1">
            <w:r w:rsidRPr="00A108F8">
              <w:t>Number of clients represented</w:t>
            </w:r>
            <w:r>
              <w:t xml:space="preserve"> before the Mental Health Tribunal </w:t>
            </w:r>
          </w:p>
        </w:tc>
        <w:tc>
          <w:tcPr>
            <w:tcW w:w="1958" w:type="dxa"/>
          </w:tcPr>
          <w:p w14:paraId="1E1F9521" w14:textId="7C3265A8" w:rsidR="004D4BFC" w:rsidRDefault="002F64D9" w:rsidP="002C47F1">
            <w:pPr>
              <w:jc w:val="right"/>
            </w:pPr>
            <w:r>
              <w:t>1,087</w:t>
            </w:r>
          </w:p>
        </w:tc>
        <w:tc>
          <w:tcPr>
            <w:tcW w:w="2232" w:type="dxa"/>
          </w:tcPr>
          <w:p w14:paraId="3CA8D3F4" w14:textId="7FF9BF8D" w:rsidR="004D4BFC" w:rsidRDefault="002F64D9" w:rsidP="002C47F1">
            <w:pPr>
              <w:jc w:val="right"/>
            </w:pPr>
            <w:r>
              <w:t>1,046</w:t>
            </w:r>
          </w:p>
        </w:tc>
        <w:tc>
          <w:tcPr>
            <w:tcW w:w="2097" w:type="dxa"/>
          </w:tcPr>
          <w:p w14:paraId="33D7FDA0" w14:textId="4C6D2E6F" w:rsidR="004D4BFC" w:rsidRDefault="002F64D9" w:rsidP="002C47F1">
            <w:pPr>
              <w:jc w:val="right"/>
            </w:pPr>
            <w:r>
              <w:t>-</w:t>
            </w:r>
            <w:r w:rsidR="00EE46F4">
              <w:t>4</w:t>
            </w:r>
          </w:p>
        </w:tc>
      </w:tr>
      <w:tr w:rsidR="004D4BFC" w:rsidRPr="00E76BA9" w14:paraId="2F5C2F69" w14:textId="77777777" w:rsidTr="002C47F1">
        <w:trPr>
          <w:cnfStyle w:val="000000010000" w:firstRow="0" w:lastRow="0" w:firstColumn="0" w:lastColumn="0" w:oddVBand="0" w:evenVBand="0" w:oddHBand="0" w:evenHBand="1" w:firstRowFirstColumn="0" w:firstRowLastColumn="0" w:lastRowFirstColumn="0" w:lastRowLastColumn="0"/>
        </w:trPr>
        <w:tc>
          <w:tcPr>
            <w:tcW w:w="3794" w:type="dxa"/>
          </w:tcPr>
          <w:p w14:paraId="5A43786C" w14:textId="77777777" w:rsidR="004D4BFC" w:rsidRPr="00E76BA9" w:rsidRDefault="004D4BFC" w:rsidP="002C47F1">
            <w:r>
              <w:t xml:space="preserve">Legal advice </w:t>
            </w:r>
          </w:p>
        </w:tc>
        <w:tc>
          <w:tcPr>
            <w:tcW w:w="1958" w:type="dxa"/>
          </w:tcPr>
          <w:p w14:paraId="696FA545" w14:textId="4196DA73" w:rsidR="004D4BFC" w:rsidRPr="008708CC" w:rsidRDefault="002F64D9" w:rsidP="002C47F1">
            <w:pPr>
              <w:jc w:val="right"/>
            </w:pPr>
            <w:r>
              <w:t>4,620</w:t>
            </w:r>
          </w:p>
        </w:tc>
        <w:tc>
          <w:tcPr>
            <w:tcW w:w="2232" w:type="dxa"/>
          </w:tcPr>
          <w:p w14:paraId="7B242EB7" w14:textId="38A337C4" w:rsidR="004D4BFC" w:rsidRPr="008708CC" w:rsidRDefault="002F64D9" w:rsidP="002C47F1">
            <w:pPr>
              <w:jc w:val="right"/>
            </w:pPr>
            <w:r>
              <w:t>4,348</w:t>
            </w:r>
          </w:p>
        </w:tc>
        <w:tc>
          <w:tcPr>
            <w:tcW w:w="2097" w:type="dxa"/>
          </w:tcPr>
          <w:p w14:paraId="36211CD7" w14:textId="27FEA9C0" w:rsidR="004D4BFC" w:rsidRPr="008708CC" w:rsidRDefault="002F64D9" w:rsidP="002C47F1">
            <w:pPr>
              <w:jc w:val="right"/>
            </w:pPr>
            <w:r>
              <w:t>-</w:t>
            </w:r>
            <w:r w:rsidR="00EE46F4">
              <w:t>6</w:t>
            </w:r>
          </w:p>
        </w:tc>
      </w:tr>
    </w:tbl>
    <w:p w14:paraId="7E9397AC" w14:textId="77777777" w:rsidR="004D4BFC" w:rsidRDefault="004D4BFC" w:rsidP="004D4BFC">
      <w:pPr>
        <w:pStyle w:val="Heading5"/>
      </w:pPr>
      <w:r>
        <w:t xml:space="preserve">Migration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783"/>
        <w:gridCol w:w="1955"/>
        <w:gridCol w:w="2233"/>
        <w:gridCol w:w="2105"/>
      </w:tblGrid>
      <w:tr w:rsidR="004D4BFC" w:rsidRPr="00E76BA9" w14:paraId="70BCD101" w14:textId="77777777" w:rsidTr="002F64D9">
        <w:trPr>
          <w:cnfStyle w:val="100000000000" w:firstRow="1" w:lastRow="0" w:firstColumn="0" w:lastColumn="0" w:oddVBand="0" w:evenVBand="0" w:oddHBand="0" w:evenHBand="0" w:firstRowFirstColumn="0" w:firstRowLastColumn="0" w:lastRowFirstColumn="0" w:lastRowLastColumn="0"/>
          <w:cantSplit w:val="0"/>
          <w:trHeight w:val="375"/>
        </w:trPr>
        <w:tc>
          <w:tcPr>
            <w:tcW w:w="3783" w:type="dxa"/>
            <w:shd w:val="clear" w:color="auto" w:fill="BFBFBF" w:themeFill="background1" w:themeFillShade="BF"/>
          </w:tcPr>
          <w:p w14:paraId="7F2E9B17" w14:textId="77777777" w:rsidR="004D4BFC" w:rsidRPr="003C6849" w:rsidRDefault="004D4BFC" w:rsidP="002C47F1">
            <w:pPr>
              <w:rPr>
                <w:b/>
                <w:color w:val="000000" w:themeColor="text1"/>
              </w:rPr>
            </w:pPr>
          </w:p>
        </w:tc>
        <w:tc>
          <w:tcPr>
            <w:tcW w:w="1955" w:type="dxa"/>
            <w:shd w:val="clear" w:color="auto" w:fill="BFBFBF" w:themeFill="background1" w:themeFillShade="BF"/>
          </w:tcPr>
          <w:p w14:paraId="3A00BA11" w14:textId="3155FA03" w:rsidR="004D4BFC" w:rsidRPr="00B32B83" w:rsidRDefault="00D060EA" w:rsidP="002C47F1">
            <w:pPr>
              <w:jc w:val="right"/>
              <w:rPr>
                <w:b/>
                <w:color w:val="000000" w:themeColor="text1"/>
              </w:rPr>
            </w:pPr>
            <w:r>
              <w:rPr>
                <w:b/>
              </w:rPr>
              <w:t>2016–17</w:t>
            </w:r>
          </w:p>
        </w:tc>
        <w:tc>
          <w:tcPr>
            <w:tcW w:w="2233" w:type="dxa"/>
            <w:shd w:val="clear" w:color="auto" w:fill="BFBFBF" w:themeFill="background1" w:themeFillShade="BF"/>
          </w:tcPr>
          <w:p w14:paraId="48EEE9A1" w14:textId="247042D5" w:rsidR="004D4BFC" w:rsidRPr="00B32B83" w:rsidRDefault="00F665BB" w:rsidP="002C47F1">
            <w:pPr>
              <w:jc w:val="right"/>
              <w:rPr>
                <w:b/>
                <w:color w:val="000000" w:themeColor="text1"/>
              </w:rPr>
            </w:pPr>
            <w:r>
              <w:rPr>
                <w:b/>
              </w:rPr>
              <w:t>2017</w:t>
            </w:r>
            <w:r>
              <w:rPr>
                <w:rFonts w:cs="Arial"/>
                <w:b/>
              </w:rPr>
              <w:t>–</w:t>
            </w:r>
            <w:r>
              <w:rPr>
                <w:b/>
              </w:rPr>
              <w:t>18</w:t>
            </w:r>
          </w:p>
        </w:tc>
        <w:tc>
          <w:tcPr>
            <w:tcW w:w="2105" w:type="dxa"/>
            <w:shd w:val="clear" w:color="auto" w:fill="BFBFBF" w:themeFill="background1" w:themeFillShade="BF"/>
          </w:tcPr>
          <w:p w14:paraId="10859BF5" w14:textId="553F204B" w:rsidR="004D4BFC" w:rsidRPr="00B32B83" w:rsidRDefault="005A3FC5" w:rsidP="002C47F1">
            <w:pPr>
              <w:jc w:val="right"/>
              <w:rPr>
                <w:b/>
                <w:color w:val="000000" w:themeColor="text1"/>
              </w:rPr>
            </w:pPr>
            <w:r>
              <w:rPr>
                <w:b/>
              </w:rPr>
              <w:t>% Change</w:t>
            </w:r>
          </w:p>
        </w:tc>
      </w:tr>
      <w:tr w:rsidR="004D4BFC" w:rsidRPr="00E76BA9" w14:paraId="6E52107F" w14:textId="77777777" w:rsidTr="002F64D9">
        <w:trPr>
          <w:cnfStyle w:val="000000100000" w:firstRow="0" w:lastRow="0" w:firstColumn="0" w:lastColumn="0" w:oddVBand="0" w:evenVBand="0" w:oddHBand="1" w:evenHBand="0" w:firstRowFirstColumn="0" w:firstRowLastColumn="0" w:lastRowFirstColumn="0" w:lastRowLastColumn="0"/>
          <w:trHeight w:val="375"/>
        </w:trPr>
        <w:tc>
          <w:tcPr>
            <w:tcW w:w="3783" w:type="dxa"/>
          </w:tcPr>
          <w:p w14:paraId="16AB0CC0" w14:textId="77777777" w:rsidR="004D4BFC" w:rsidRPr="00E76BA9" w:rsidRDefault="004D4BFC" w:rsidP="002C47F1">
            <w:r>
              <w:t xml:space="preserve">Grants of legal assistance   </w:t>
            </w:r>
          </w:p>
        </w:tc>
        <w:tc>
          <w:tcPr>
            <w:tcW w:w="1955" w:type="dxa"/>
          </w:tcPr>
          <w:p w14:paraId="3B14DF1E" w14:textId="1A52FE29" w:rsidR="004D4BFC" w:rsidRPr="003410EE" w:rsidRDefault="002F64D9" w:rsidP="002C47F1">
            <w:pPr>
              <w:jc w:val="right"/>
            </w:pPr>
            <w:r>
              <w:t>83</w:t>
            </w:r>
          </w:p>
        </w:tc>
        <w:tc>
          <w:tcPr>
            <w:tcW w:w="2233" w:type="dxa"/>
          </w:tcPr>
          <w:p w14:paraId="2AC052AC" w14:textId="5A2024A2" w:rsidR="004D4BFC" w:rsidRPr="003410EE" w:rsidRDefault="002F64D9" w:rsidP="002C47F1">
            <w:pPr>
              <w:jc w:val="right"/>
            </w:pPr>
            <w:r>
              <w:t>113</w:t>
            </w:r>
          </w:p>
        </w:tc>
        <w:tc>
          <w:tcPr>
            <w:tcW w:w="2105" w:type="dxa"/>
          </w:tcPr>
          <w:p w14:paraId="2F3062FB" w14:textId="271E0BD5" w:rsidR="004D4BFC" w:rsidRPr="003410EE" w:rsidRDefault="002F64D9" w:rsidP="002C47F1">
            <w:pPr>
              <w:jc w:val="right"/>
            </w:pPr>
            <w:r>
              <w:t>36</w:t>
            </w:r>
          </w:p>
        </w:tc>
      </w:tr>
      <w:tr w:rsidR="004D4BFC" w:rsidRPr="00E76BA9" w14:paraId="646A9B6A" w14:textId="77777777" w:rsidTr="002F64D9">
        <w:trPr>
          <w:cnfStyle w:val="000000010000" w:firstRow="0" w:lastRow="0" w:firstColumn="0" w:lastColumn="0" w:oddVBand="0" w:evenVBand="0" w:oddHBand="0" w:evenHBand="1" w:firstRowFirstColumn="0" w:firstRowLastColumn="0" w:lastRowFirstColumn="0" w:lastRowLastColumn="0"/>
          <w:trHeight w:val="375"/>
        </w:trPr>
        <w:tc>
          <w:tcPr>
            <w:tcW w:w="3783" w:type="dxa"/>
          </w:tcPr>
          <w:p w14:paraId="5D4FC5C1" w14:textId="77777777" w:rsidR="004D4BFC" w:rsidRPr="00E76BA9" w:rsidRDefault="004D4BFC" w:rsidP="002C47F1">
            <w:r>
              <w:t xml:space="preserve">Legal advice </w:t>
            </w:r>
          </w:p>
        </w:tc>
        <w:tc>
          <w:tcPr>
            <w:tcW w:w="1955" w:type="dxa"/>
          </w:tcPr>
          <w:p w14:paraId="5862736D" w14:textId="28B49B3D" w:rsidR="004D4BFC" w:rsidRPr="00C92515" w:rsidRDefault="002F64D9" w:rsidP="002C47F1">
            <w:pPr>
              <w:jc w:val="right"/>
            </w:pPr>
            <w:r>
              <w:t>1,654</w:t>
            </w:r>
          </w:p>
        </w:tc>
        <w:tc>
          <w:tcPr>
            <w:tcW w:w="2233" w:type="dxa"/>
          </w:tcPr>
          <w:p w14:paraId="53F2EF2B" w14:textId="19F052FB" w:rsidR="004D4BFC" w:rsidRPr="00C92515" w:rsidRDefault="002F64D9" w:rsidP="002C47F1">
            <w:pPr>
              <w:jc w:val="right"/>
            </w:pPr>
            <w:r>
              <w:t>1,320</w:t>
            </w:r>
          </w:p>
        </w:tc>
        <w:tc>
          <w:tcPr>
            <w:tcW w:w="2105" w:type="dxa"/>
          </w:tcPr>
          <w:p w14:paraId="29CE24E8" w14:textId="46B8ACFD" w:rsidR="004D4BFC" w:rsidRPr="00C92515" w:rsidRDefault="002F64D9" w:rsidP="002C47F1">
            <w:pPr>
              <w:jc w:val="right"/>
            </w:pPr>
            <w:r>
              <w:t>-20</w:t>
            </w:r>
          </w:p>
        </w:tc>
      </w:tr>
    </w:tbl>
    <w:p w14:paraId="29C9985D" w14:textId="77777777" w:rsidR="004D4BFC" w:rsidRDefault="004D4BFC" w:rsidP="004D4BFC">
      <w:pPr>
        <w:spacing w:after="0" w:line="240" w:lineRule="auto"/>
        <w:rPr>
          <w:rFonts w:cs="Arial"/>
          <w:b/>
          <w:bCs/>
          <w:sz w:val="24"/>
          <w:lang w:eastAsia="en-AU"/>
        </w:rPr>
      </w:pPr>
    </w:p>
    <w:p w14:paraId="35E6FF87" w14:textId="5CC4A890" w:rsidR="004D4BFC" w:rsidRDefault="004D4BFC" w:rsidP="004D4BFC">
      <w:pPr>
        <w:pStyle w:val="Heading4"/>
      </w:pPr>
      <w:r w:rsidRPr="005F1DE5">
        <w:t>Civil Justice</w:t>
      </w:r>
      <w:r>
        <w:t xml:space="preserve"> Program operating expenditure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2250"/>
        <w:gridCol w:w="1744"/>
        <w:gridCol w:w="1668"/>
        <w:gridCol w:w="1488"/>
        <w:gridCol w:w="1463"/>
        <w:gridCol w:w="1463"/>
      </w:tblGrid>
      <w:tr w:rsidR="004D4BFC" w:rsidRPr="00DC1D85" w14:paraId="5399ED41" w14:textId="77777777" w:rsidTr="002C47F1">
        <w:trPr>
          <w:cnfStyle w:val="100000000000" w:firstRow="1" w:lastRow="0" w:firstColumn="0" w:lastColumn="0" w:oddVBand="0" w:evenVBand="0" w:oddHBand="0" w:evenHBand="0" w:firstRowFirstColumn="0" w:firstRowLastColumn="0" w:lastRowFirstColumn="0" w:lastRowLastColumn="0"/>
        </w:trPr>
        <w:tc>
          <w:tcPr>
            <w:tcW w:w="2250" w:type="dxa"/>
            <w:shd w:val="clear" w:color="auto" w:fill="BFBFBF" w:themeFill="background1" w:themeFillShade="BF"/>
          </w:tcPr>
          <w:p w14:paraId="79E5AC6A" w14:textId="77777777" w:rsidR="004D4BFC" w:rsidRPr="00C07559" w:rsidRDefault="004D4BFC" w:rsidP="002C47F1">
            <w:pPr>
              <w:rPr>
                <w:b/>
              </w:rPr>
            </w:pPr>
          </w:p>
        </w:tc>
        <w:tc>
          <w:tcPr>
            <w:tcW w:w="1744" w:type="dxa"/>
            <w:shd w:val="clear" w:color="auto" w:fill="BFBFBF" w:themeFill="background1" w:themeFillShade="BF"/>
          </w:tcPr>
          <w:p w14:paraId="7B145E8F" w14:textId="2024B2E4" w:rsidR="004D4BFC" w:rsidRPr="00C07559" w:rsidRDefault="004D4BFC" w:rsidP="002C47F1">
            <w:pPr>
              <w:jc w:val="right"/>
              <w:rPr>
                <w:b/>
                <w:color w:val="000000" w:themeColor="text1"/>
              </w:rPr>
            </w:pPr>
            <w:r w:rsidRPr="00C07559">
              <w:rPr>
                <w:b/>
                <w:color w:val="000000" w:themeColor="text1"/>
              </w:rPr>
              <w:t>Expenditure ($)</w:t>
            </w:r>
            <w:r>
              <w:rPr>
                <w:b/>
                <w:color w:val="000000" w:themeColor="text1"/>
              </w:rPr>
              <w:t xml:space="preserve"> in </w:t>
            </w:r>
            <w:r w:rsidR="00D060EA">
              <w:rPr>
                <w:b/>
              </w:rPr>
              <w:t>2016–17</w:t>
            </w:r>
          </w:p>
        </w:tc>
        <w:tc>
          <w:tcPr>
            <w:tcW w:w="1668" w:type="dxa"/>
            <w:shd w:val="clear" w:color="auto" w:fill="BFBFBF" w:themeFill="background1" w:themeFillShade="BF"/>
          </w:tcPr>
          <w:p w14:paraId="577C7E1F" w14:textId="1518A9CF" w:rsidR="004D4BFC" w:rsidRPr="00C07559" w:rsidRDefault="004D4BFC" w:rsidP="002C47F1">
            <w:pPr>
              <w:jc w:val="right"/>
              <w:rPr>
                <w:b/>
                <w:color w:val="000000" w:themeColor="text1"/>
              </w:rPr>
            </w:pPr>
            <w:r w:rsidRPr="00C07559">
              <w:rPr>
                <w:b/>
                <w:color w:val="000000" w:themeColor="text1"/>
              </w:rPr>
              <w:t>% of total expenditure</w:t>
            </w:r>
            <w:r>
              <w:rPr>
                <w:b/>
                <w:color w:val="000000" w:themeColor="text1"/>
              </w:rPr>
              <w:t xml:space="preserve"> in </w:t>
            </w:r>
            <w:r w:rsidR="00D060EA">
              <w:rPr>
                <w:b/>
              </w:rPr>
              <w:t>2016–17</w:t>
            </w:r>
          </w:p>
        </w:tc>
        <w:tc>
          <w:tcPr>
            <w:tcW w:w="1488" w:type="dxa"/>
            <w:shd w:val="clear" w:color="auto" w:fill="BFBFBF" w:themeFill="background1" w:themeFillShade="BF"/>
          </w:tcPr>
          <w:p w14:paraId="5DFF53EF" w14:textId="5580F20C" w:rsidR="004D4BFC" w:rsidRPr="00C07559" w:rsidRDefault="004D4BFC" w:rsidP="002C47F1">
            <w:pPr>
              <w:jc w:val="right"/>
              <w:rPr>
                <w:b/>
                <w:color w:val="000000" w:themeColor="text1"/>
              </w:rPr>
            </w:pPr>
            <w:r w:rsidRPr="00C07559">
              <w:rPr>
                <w:b/>
                <w:color w:val="000000" w:themeColor="text1"/>
              </w:rPr>
              <w:t>Expenditure ($)</w:t>
            </w:r>
            <w:r w:rsidR="00F665BB">
              <w:rPr>
                <w:b/>
              </w:rPr>
              <w:t>2017</w:t>
            </w:r>
            <w:r w:rsidR="00F665BB">
              <w:rPr>
                <w:rFonts w:cs="Arial"/>
                <w:b/>
              </w:rPr>
              <w:t>–</w:t>
            </w:r>
            <w:r w:rsidR="00F665BB">
              <w:rPr>
                <w:b/>
              </w:rPr>
              <w:t>18</w:t>
            </w:r>
          </w:p>
        </w:tc>
        <w:tc>
          <w:tcPr>
            <w:tcW w:w="1463" w:type="dxa"/>
            <w:shd w:val="clear" w:color="auto" w:fill="BFBFBF" w:themeFill="background1" w:themeFillShade="BF"/>
          </w:tcPr>
          <w:p w14:paraId="2743EE83" w14:textId="0106A548" w:rsidR="004D4BFC" w:rsidRPr="00C07559" w:rsidRDefault="004D4BFC" w:rsidP="002C47F1">
            <w:pPr>
              <w:jc w:val="right"/>
              <w:rPr>
                <w:b/>
                <w:color w:val="000000" w:themeColor="text1"/>
              </w:rPr>
            </w:pPr>
            <w:r w:rsidRPr="00C07559">
              <w:rPr>
                <w:b/>
                <w:color w:val="000000" w:themeColor="text1"/>
              </w:rPr>
              <w:t>% of total expenditure</w:t>
            </w:r>
            <w:r>
              <w:rPr>
                <w:b/>
                <w:color w:val="000000" w:themeColor="text1"/>
              </w:rPr>
              <w:t xml:space="preserve"> </w:t>
            </w:r>
            <w:r w:rsidR="00F665BB">
              <w:rPr>
                <w:b/>
              </w:rPr>
              <w:t>2017</w:t>
            </w:r>
            <w:r w:rsidR="00F665BB">
              <w:rPr>
                <w:rFonts w:cs="Arial"/>
                <w:b/>
              </w:rPr>
              <w:t>–</w:t>
            </w:r>
            <w:r w:rsidR="00F665BB">
              <w:rPr>
                <w:b/>
              </w:rPr>
              <w:t>18</w:t>
            </w:r>
          </w:p>
        </w:tc>
        <w:tc>
          <w:tcPr>
            <w:tcW w:w="1463" w:type="dxa"/>
            <w:shd w:val="clear" w:color="auto" w:fill="BFBFBF" w:themeFill="background1" w:themeFillShade="BF"/>
          </w:tcPr>
          <w:p w14:paraId="7421E6A3" w14:textId="08B8120F" w:rsidR="004D4BFC" w:rsidRPr="00C07559" w:rsidRDefault="00A73B92" w:rsidP="002C47F1">
            <w:pPr>
              <w:jc w:val="right"/>
              <w:rPr>
                <w:b/>
                <w:color w:val="000000" w:themeColor="text1"/>
              </w:rPr>
            </w:pPr>
            <w:r>
              <w:rPr>
                <w:b/>
                <w:color w:val="000000" w:themeColor="text1"/>
              </w:rPr>
              <w:t>Variance in expenditure</w:t>
            </w:r>
            <w:r w:rsidR="003111FA">
              <w:rPr>
                <w:b/>
                <w:color w:val="000000" w:themeColor="text1"/>
              </w:rPr>
              <w:t xml:space="preserve"> </w:t>
            </w:r>
          </w:p>
        </w:tc>
      </w:tr>
      <w:tr w:rsidR="008F2D9D" w:rsidRPr="00DC1D85" w14:paraId="1E3EA82E" w14:textId="77777777" w:rsidTr="002C47F1">
        <w:trPr>
          <w:cnfStyle w:val="000000100000" w:firstRow="0" w:lastRow="0" w:firstColumn="0" w:lastColumn="0" w:oddVBand="0" w:evenVBand="0" w:oddHBand="1" w:evenHBand="0" w:firstRowFirstColumn="0" w:firstRowLastColumn="0" w:lastRowFirstColumn="0" w:lastRowLastColumn="0"/>
        </w:trPr>
        <w:tc>
          <w:tcPr>
            <w:tcW w:w="2250" w:type="dxa"/>
          </w:tcPr>
          <w:p w14:paraId="532FC222" w14:textId="18837DB9" w:rsidR="008F2D9D" w:rsidRPr="00DC1D85" w:rsidRDefault="008F2D9D" w:rsidP="008F2D9D">
            <w:r w:rsidRPr="00903F3F">
              <w:t>Economic and Social Rights</w:t>
            </w:r>
          </w:p>
        </w:tc>
        <w:tc>
          <w:tcPr>
            <w:tcW w:w="1744" w:type="dxa"/>
          </w:tcPr>
          <w:p w14:paraId="6A37854A" w14:textId="4F4793FC" w:rsidR="008F2D9D" w:rsidRPr="008F2D9D" w:rsidRDefault="008F2D9D" w:rsidP="008F2D9D">
            <w:pPr>
              <w:jc w:val="right"/>
            </w:pPr>
            <w:r w:rsidRPr="008F2D9D">
              <w:t>8.</w:t>
            </w:r>
            <w:r w:rsidR="00D17B82">
              <w:t>7</w:t>
            </w:r>
            <w:r>
              <w:t xml:space="preserve"> million</w:t>
            </w:r>
          </w:p>
        </w:tc>
        <w:tc>
          <w:tcPr>
            <w:tcW w:w="1668" w:type="dxa"/>
          </w:tcPr>
          <w:p w14:paraId="6F015A25" w14:textId="50E55A5B" w:rsidR="008F2D9D" w:rsidRPr="008F2D9D" w:rsidRDefault="0083306A" w:rsidP="008F2D9D">
            <w:pPr>
              <w:jc w:val="right"/>
            </w:pPr>
            <w:r>
              <w:t>5.1</w:t>
            </w:r>
          </w:p>
        </w:tc>
        <w:tc>
          <w:tcPr>
            <w:tcW w:w="1488" w:type="dxa"/>
          </w:tcPr>
          <w:p w14:paraId="21EC3DB9" w14:textId="0F5BE5D1" w:rsidR="008F2D9D" w:rsidRPr="008F2D9D" w:rsidRDefault="00D17B82" w:rsidP="008F2D9D">
            <w:pPr>
              <w:jc w:val="right"/>
            </w:pPr>
            <w:r>
              <w:t>10.0</w:t>
            </w:r>
            <w:r w:rsidR="008F2D9D">
              <w:t xml:space="preserve"> million</w:t>
            </w:r>
          </w:p>
        </w:tc>
        <w:tc>
          <w:tcPr>
            <w:tcW w:w="1463" w:type="dxa"/>
          </w:tcPr>
          <w:p w14:paraId="7F08947B" w14:textId="538C368D" w:rsidR="008F2D9D" w:rsidRPr="008F2D9D" w:rsidRDefault="00D17B82" w:rsidP="008F2D9D">
            <w:pPr>
              <w:jc w:val="right"/>
            </w:pPr>
            <w:r>
              <w:t>5.3</w:t>
            </w:r>
          </w:p>
        </w:tc>
        <w:tc>
          <w:tcPr>
            <w:tcW w:w="1463" w:type="dxa"/>
          </w:tcPr>
          <w:p w14:paraId="07352E52" w14:textId="00F04F5F" w:rsidR="008F2D9D" w:rsidRPr="008F2D9D" w:rsidRDefault="008F2D9D" w:rsidP="008F2D9D">
            <w:pPr>
              <w:jc w:val="right"/>
            </w:pPr>
            <w:r w:rsidRPr="008F2D9D">
              <w:t>1.</w:t>
            </w:r>
            <w:r w:rsidR="00AC6CF7">
              <w:t>3</w:t>
            </w:r>
            <w:r>
              <w:t xml:space="preserve"> million</w:t>
            </w:r>
          </w:p>
        </w:tc>
      </w:tr>
      <w:tr w:rsidR="008F2D9D" w:rsidRPr="00DC1D85" w14:paraId="3D9D4F41" w14:textId="77777777" w:rsidTr="002C47F1">
        <w:trPr>
          <w:cnfStyle w:val="000000010000" w:firstRow="0" w:lastRow="0" w:firstColumn="0" w:lastColumn="0" w:oddVBand="0" w:evenVBand="0" w:oddHBand="0" w:evenHBand="1" w:firstRowFirstColumn="0" w:firstRowLastColumn="0" w:lastRowFirstColumn="0" w:lastRowLastColumn="0"/>
        </w:trPr>
        <w:tc>
          <w:tcPr>
            <w:tcW w:w="2250" w:type="dxa"/>
          </w:tcPr>
          <w:p w14:paraId="64C69C83" w14:textId="16213A69" w:rsidR="008F2D9D" w:rsidRPr="00DC1D85" w:rsidRDefault="008F2D9D" w:rsidP="008F2D9D">
            <w:r w:rsidRPr="00903F3F">
              <w:t>Equality</w:t>
            </w:r>
          </w:p>
        </w:tc>
        <w:tc>
          <w:tcPr>
            <w:tcW w:w="1744" w:type="dxa"/>
          </w:tcPr>
          <w:p w14:paraId="326F4973" w14:textId="0804F841" w:rsidR="008F2D9D" w:rsidRPr="008F2D9D" w:rsidRDefault="008F2D9D" w:rsidP="008F2D9D">
            <w:pPr>
              <w:jc w:val="right"/>
            </w:pPr>
            <w:r w:rsidRPr="008F2D9D">
              <w:t>2.</w:t>
            </w:r>
            <w:r w:rsidR="00D17B82">
              <w:t>2</w:t>
            </w:r>
            <w:r>
              <w:t xml:space="preserve"> million</w:t>
            </w:r>
          </w:p>
        </w:tc>
        <w:tc>
          <w:tcPr>
            <w:tcW w:w="1668" w:type="dxa"/>
          </w:tcPr>
          <w:p w14:paraId="72617DEB" w14:textId="41B47C0D" w:rsidR="008F2D9D" w:rsidRPr="008F2D9D" w:rsidRDefault="00D17B82" w:rsidP="008F2D9D">
            <w:pPr>
              <w:jc w:val="right"/>
            </w:pPr>
            <w:r>
              <w:t>1.3</w:t>
            </w:r>
          </w:p>
        </w:tc>
        <w:tc>
          <w:tcPr>
            <w:tcW w:w="1488" w:type="dxa"/>
          </w:tcPr>
          <w:p w14:paraId="2128829B" w14:textId="33E86405" w:rsidR="008F2D9D" w:rsidRPr="008F2D9D" w:rsidRDefault="00D17B82" w:rsidP="008F2D9D">
            <w:pPr>
              <w:jc w:val="right"/>
            </w:pPr>
            <w:r>
              <w:t>2.1</w:t>
            </w:r>
            <w:r w:rsidR="008F2D9D">
              <w:t xml:space="preserve"> million</w:t>
            </w:r>
          </w:p>
        </w:tc>
        <w:tc>
          <w:tcPr>
            <w:tcW w:w="1463" w:type="dxa"/>
          </w:tcPr>
          <w:p w14:paraId="2A272CE2" w14:textId="7551D886" w:rsidR="008F2D9D" w:rsidRPr="008F2D9D" w:rsidRDefault="00D17B82" w:rsidP="008F2D9D">
            <w:pPr>
              <w:jc w:val="right"/>
            </w:pPr>
            <w:r>
              <w:t>1.1</w:t>
            </w:r>
          </w:p>
        </w:tc>
        <w:tc>
          <w:tcPr>
            <w:tcW w:w="1463" w:type="dxa"/>
          </w:tcPr>
          <w:p w14:paraId="3BF192E6" w14:textId="2C6D4759" w:rsidR="008F2D9D" w:rsidRPr="008F2D9D" w:rsidRDefault="008F2D9D" w:rsidP="008F2D9D">
            <w:pPr>
              <w:jc w:val="right"/>
            </w:pPr>
            <w:r w:rsidRPr="008F2D9D">
              <w:t>-0.1</w:t>
            </w:r>
            <w:r>
              <w:t xml:space="preserve"> million</w:t>
            </w:r>
          </w:p>
        </w:tc>
      </w:tr>
      <w:tr w:rsidR="008F2D9D" w:rsidRPr="00DC1D85" w14:paraId="44E7D40A" w14:textId="77777777" w:rsidTr="002C47F1">
        <w:trPr>
          <w:cnfStyle w:val="000000100000" w:firstRow="0" w:lastRow="0" w:firstColumn="0" w:lastColumn="0" w:oddVBand="0" w:evenVBand="0" w:oddHBand="1" w:evenHBand="0" w:firstRowFirstColumn="0" w:firstRowLastColumn="0" w:lastRowFirstColumn="0" w:lastRowLastColumn="0"/>
        </w:trPr>
        <w:tc>
          <w:tcPr>
            <w:tcW w:w="2250" w:type="dxa"/>
          </w:tcPr>
          <w:p w14:paraId="56F65850" w14:textId="331D2FD4" w:rsidR="008F2D9D" w:rsidRPr="00DC1D85" w:rsidRDefault="008F2D9D" w:rsidP="008F2D9D">
            <w:r w:rsidRPr="00903F3F">
              <w:t>Mental Health and Disability Advocacy</w:t>
            </w:r>
          </w:p>
        </w:tc>
        <w:tc>
          <w:tcPr>
            <w:tcW w:w="1744" w:type="dxa"/>
          </w:tcPr>
          <w:p w14:paraId="43A6DDE3" w14:textId="4407DF88" w:rsidR="008F2D9D" w:rsidRPr="008F2D9D" w:rsidRDefault="008F2D9D" w:rsidP="008F2D9D">
            <w:pPr>
              <w:jc w:val="right"/>
            </w:pPr>
            <w:r w:rsidRPr="008F2D9D">
              <w:t>3.</w:t>
            </w:r>
            <w:r w:rsidR="00D17B82">
              <w:t>6</w:t>
            </w:r>
            <w:r>
              <w:t xml:space="preserve"> million</w:t>
            </w:r>
          </w:p>
        </w:tc>
        <w:tc>
          <w:tcPr>
            <w:tcW w:w="1668" w:type="dxa"/>
          </w:tcPr>
          <w:p w14:paraId="739B2BB9" w14:textId="206512E6" w:rsidR="008F2D9D" w:rsidRPr="008F2D9D" w:rsidRDefault="008F2D9D" w:rsidP="008F2D9D">
            <w:pPr>
              <w:jc w:val="right"/>
            </w:pPr>
            <w:r w:rsidRPr="008F2D9D">
              <w:t>2.1</w:t>
            </w:r>
          </w:p>
        </w:tc>
        <w:tc>
          <w:tcPr>
            <w:tcW w:w="1488" w:type="dxa"/>
          </w:tcPr>
          <w:p w14:paraId="22E94561" w14:textId="5E661383" w:rsidR="008F2D9D" w:rsidRPr="008F2D9D" w:rsidRDefault="008F2D9D" w:rsidP="008F2D9D">
            <w:pPr>
              <w:jc w:val="right"/>
            </w:pPr>
            <w:r w:rsidRPr="008F2D9D">
              <w:t>3.7</w:t>
            </w:r>
            <w:r>
              <w:t xml:space="preserve"> million</w:t>
            </w:r>
          </w:p>
        </w:tc>
        <w:tc>
          <w:tcPr>
            <w:tcW w:w="1463" w:type="dxa"/>
          </w:tcPr>
          <w:p w14:paraId="6A1766BD" w14:textId="41D9C6B4" w:rsidR="008F2D9D" w:rsidRPr="008F2D9D" w:rsidRDefault="00D17B82" w:rsidP="008F2D9D">
            <w:pPr>
              <w:jc w:val="right"/>
            </w:pPr>
            <w:r>
              <w:t>2.0</w:t>
            </w:r>
          </w:p>
        </w:tc>
        <w:tc>
          <w:tcPr>
            <w:tcW w:w="1463" w:type="dxa"/>
          </w:tcPr>
          <w:p w14:paraId="1ECD4BF6" w14:textId="1E219E6B" w:rsidR="008F2D9D" w:rsidRPr="008F2D9D" w:rsidRDefault="008F2D9D" w:rsidP="008F2D9D">
            <w:pPr>
              <w:jc w:val="right"/>
            </w:pPr>
            <w:r w:rsidRPr="008F2D9D">
              <w:t>0.</w:t>
            </w:r>
            <w:r w:rsidR="00AC6CF7">
              <w:t>1</w:t>
            </w:r>
            <w:r>
              <w:t xml:space="preserve"> million</w:t>
            </w:r>
          </w:p>
        </w:tc>
      </w:tr>
      <w:tr w:rsidR="008F2D9D" w:rsidRPr="00DC1D85" w14:paraId="67CC1FB5" w14:textId="77777777" w:rsidTr="002C47F1">
        <w:trPr>
          <w:cnfStyle w:val="000000010000" w:firstRow="0" w:lastRow="0" w:firstColumn="0" w:lastColumn="0" w:oddVBand="0" w:evenVBand="0" w:oddHBand="0" w:evenHBand="1" w:firstRowFirstColumn="0" w:firstRowLastColumn="0" w:lastRowFirstColumn="0" w:lastRowLastColumn="0"/>
        </w:trPr>
        <w:tc>
          <w:tcPr>
            <w:tcW w:w="2250" w:type="dxa"/>
          </w:tcPr>
          <w:p w14:paraId="0CBE5BE7" w14:textId="2A4582EF" w:rsidR="008F2D9D" w:rsidRPr="00DC1D85" w:rsidRDefault="008F2D9D" w:rsidP="008F2D9D">
            <w:r w:rsidRPr="00903F3F">
              <w:t>Migration</w:t>
            </w:r>
          </w:p>
        </w:tc>
        <w:tc>
          <w:tcPr>
            <w:tcW w:w="1744" w:type="dxa"/>
          </w:tcPr>
          <w:p w14:paraId="7DD85F57" w14:textId="7D1731F4" w:rsidR="008F2D9D" w:rsidRPr="008F2D9D" w:rsidRDefault="008F2D9D" w:rsidP="008F2D9D">
            <w:pPr>
              <w:jc w:val="right"/>
            </w:pPr>
            <w:r w:rsidRPr="008F2D9D">
              <w:t>2.</w:t>
            </w:r>
            <w:r w:rsidR="00D17B82">
              <w:t>7</w:t>
            </w:r>
            <w:r>
              <w:t xml:space="preserve"> million</w:t>
            </w:r>
          </w:p>
        </w:tc>
        <w:tc>
          <w:tcPr>
            <w:tcW w:w="1668" w:type="dxa"/>
          </w:tcPr>
          <w:p w14:paraId="70CE962C" w14:textId="7DE45DC4" w:rsidR="008F2D9D" w:rsidRPr="008F2D9D" w:rsidRDefault="008F2D9D" w:rsidP="008F2D9D">
            <w:pPr>
              <w:jc w:val="right"/>
            </w:pPr>
            <w:r w:rsidRPr="008F2D9D">
              <w:t>1.</w:t>
            </w:r>
            <w:r w:rsidR="00D17B82">
              <w:t>6</w:t>
            </w:r>
          </w:p>
        </w:tc>
        <w:tc>
          <w:tcPr>
            <w:tcW w:w="1488" w:type="dxa"/>
          </w:tcPr>
          <w:p w14:paraId="406402B5" w14:textId="5AA8AECC" w:rsidR="008F2D9D" w:rsidRPr="008F2D9D" w:rsidRDefault="008F2D9D" w:rsidP="008F2D9D">
            <w:pPr>
              <w:jc w:val="right"/>
            </w:pPr>
            <w:r w:rsidRPr="008F2D9D">
              <w:t>2.</w:t>
            </w:r>
            <w:r w:rsidR="00D17B82">
              <w:t>8</w:t>
            </w:r>
            <w:r>
              <w:t xml:space="preserve"> million</w:t>
            </w:r>
          </w:p>
        </w:tc>
        <w:tc>
          <w:tcPr>
            <w:tcW w:w="1463" w:type="dxa"/>
          </w:tcPr>
          <w:p w14:paraId="57C8A2CF" w14:textId="1446A5EC" w:rsidR="008F2D9D" w:rsidRPr="008F2D9D" w:rsidRDefault="008F2D9D" w:rsidP="008F2D9D">
            <w:pPr>
              <w:jc w:val="right"/>
            </w:pPr>
            <w:r w:rsidRPr="008F2D9D">
              <w:t>1.</w:t>
            </w:r>
            <w:r w:rsidR="00D17B82">
              <w:t>5</w:t>
            </w:r>
          </w:p>
        </w:tc>
        <w:tc>
          <w:tcPr>
            <w:tcW w:w="1463" w:type="dxa"/>
          </w:tcPr>
          <w:p w14:paraId="471ABCDC" w14:textId="4148DD8F" w:rsidR="008F2D9D" w:rsidRPr="008F2D9D" w:rsidRDefault="008F2D9D" w:rsidP="008F2D9D">
            <w:pPr>
              <w:jc w:val="right"/>
            </w:pPr>
            <w:r w:rsidRPr="008F2D9D">
              <w:t>0.1</w:t>
            </w:r>
            <w:r>
              <w:t xml:space="preserve"> million</w:t>
            </w:r>
          </w:p>
        </w:tc>
      </w:tr>
      <w:tr w:rsidR="008F2D9D" w:rsidRPr="00DC1D85" w14:paraId="16F55B7B" w14:textId="77777777" w:rsidTr="002C47F1">
        <w:trPr>
          <w:cnfStyle w:val="000000100000" w:firstRow="0" w:lastRow="0" w:firstColumn="0" w:lastColumn="0" w:oddVBand="0" w:evenVBand="0" w:oddHBand="1" w:evenHBand="0" w:firstRowFirstColumn="0" w:firstRowLastColumn="0" w:lastRowFirstColumn="0" w:lastRowLastColumn="0"/>
        </w:trPr>
        <w:tc>
          <w:tcPr>
            <w:tcW w:w="2250" w:type="dxa"/>
          </w:tcPr>
          <w:p w14:paraId="1CE95027" w14:textId="5989EFE0" w:rsidR="008F2D9D" w:rsidRPr="00DC1D85" w:rsidRDefault="008F2D9D" w:rsidP="008F2D9D">
            <w:r w:rsidRPr="00903F3F">
              <w:t>Independent Mental Health Advocacy</w:t>
            </w:r>
          </w:p>
        </w:tc>
        <w:tc>
          <w:tcPr>
            <w:tcW w:w="1744" w:type="dxa"/>
          </w:tcPr>
          <w:p w14:paraId="3DB4A323" w14:textId="2728771E" w:rsidR="008F2D9D" w:rsidRPr="008F2D9D" w:rsidRDefault="008F2D9D" w:rsidP="008F2D9D">
            <w:pPr>
              <w:jc w:val="right"/>
            </w:pPr>
            <w:r w:rsidRPr="008F2D9D">
              <w:t>2.1</w:t>
            </w:r>
            <w:r>
              <w:t xml:space="preserve"> million</w:t>
            </w:r>
          </w:p>
        </w:tc>
        <w:tc>
          <w:tcPr>
            <w:tcW w:w="1668" w:type="dxa"/>
          </w:tcPr>
          <w:p w14:paraId="55E34DAE" w14:textId="5CEB5F3D" w:rsidR="008F2D9D" w:rsidRPr="008F2D9D" w:rsidRDefault="008F2D9D" w:rsidP="008F2D9D">
            <w:pPr>
              <w:jc w:val="right"/>
            </w:pPr>
            <w:r w:rsidRPr="008F2D9D">
              <w:t>1.2</w:t>
            </w:r>
          </w:p>
        </w:tc>
        <w:tc>
          <w:tcPr>
            <w:tcW w:w="1488" w:type="dxa"/>
          </w:tcPr>
          <w:p w14:paraId="0C27EF7F" w14:textId="75581218" w:rsidR="008F2D9D" w:rsidRPr="008F2D9D" w:rsidRDefault="008F2D9D" w:rsidP="008F2D9D">
            <w:pPr>
              <w:jc w:val="right"/>
            </w:pPr>
            <w:r w:rsidRPr="008F2D9D">
              <w:t>2.</w:t>
            </w:r>
            <w:r w:rsidR="00D17B82">
              <w:t>2</w:t>
            </w:r>
            <w:r>
              <w:t xml:space="preserve"> million</w:t>
            </w:r>
          </w:p>
        </w:tc>
        <w:tc>
          <w:tcPr>
            <w:tcW w:w="1463" w:type="dxa"/>
          </w:tcPr>
          <w:p w14:paraId="731B8219" w14:textId="3C59FFB3" w:rsidR="008F2D9D" w:rsidRPr="008F2D9D" w:rsidRDefault="008F2D9D" w:rsidP="008F2D9D">
            <w:pPr>
              <w:jc w:val="right"/>
            </w:pPr>
            <w:r w:rsidRPr="008F2D9D">
              <w:t>1.1</w:t>
            </w:r>
          </w:p>
        </w:tc>
        <w:tc>
          <w:tcPr>
            <w:tcW w:w="1463" w:type="dxa"/>
          </w:tcPr>
          <w:p w14:paraId="015AE44F" w14:textId="0AC73D7A" w:rsidR="008F2D9D" w:rsidRPr="008F2D9D" w:rsidRDefault="008F2D9D" w:rsidP="008F2D9D">
            <w:pPr>
              <w:jc w:val="right"/>
            </w:pPr>
            <w:r w:rsidRPr="008F2D9D">
              <w:t>0.</w:t>
            </w:r>
            <w:r w:rsidR="00AC6CF7">
              <w:t>1</w:t>
            </w:r>
            <w:r>
              <w:t xml:space="preserve"> million</w:t>
            </w:r>
          </w:p>
        </w:tc>
      </w:tr>
      <w:tr w:rsidR="008F2D9D" w:rsidRPr="00E914E3" w14:paraId="1E0E02B2" w14:textId="77777777" w:rsidTr="002C47F1">
        <w:trPr>
          <w:cnfStyle w:val="010000000000" w:firstRow="0" w:lastRow="1" w:firstColumn="0" w:lastColumn="0" w:oddVBand="0" w:evenVBand="0" w:oddHBand="0" w:evenHBand="0" w:firstRowFirstColumn="0" w:firstRowLastColumn="0" w:lastRowFirstColumn="0" w:lastRowLastColumn="0"/>
        </w:trPr>
        <w:tc>
          <w:tcPr>
            <w:tcW w:w="2250" w:type="dxa"/>
          </w:tcPr>
          <w:p w14:paraId="5DC33AAD" w14:textId="74AC842E" w:rsidR="008F2D9D" w:rsidRPr="00DC1D85" w:rsidRDefault="008F2D9D" w:rsidP="008F2D9D">
            <w:r w:rsidRPr="00903F3F">
              <w:t>Total</w:t>
            </w:r>
          </w:p>
        </w:tc>
        <w:tc>
          <w:tcPr>
            <w:tcW w:w="1744" w:type="dxa"/>
          </w:tcPr>
          <w:p w14:paraId="25AEDEA5" w14:textId="3CEE196C" w:rsidR="008F2D9D" w:rsidRPr="008F2D9D" w:rsidRDefault="00AC6CF7" w:rsidP="008F2D9D">
            <w:pPr>
              <w:jc w:val="right"/>
            </w:pPr>
            <w:r>
              <w:t>19.3</w:t>
            </w:r>
            <w:r w:rsidR="008F2D9D">
              <w:t xml:space="preserve"> million</w:t>
            </w:r>
          </w:p>
        </w:tc>
        <w:tc>
          <w:tcPr>
            <w:tcW w:w="1668" w:type="dxa"/>
          </w:tcPr>
          <w:p w14:paraId="40A02F5E" w14:textId="15520965" w:rsidR="008F2D9D" w:rsidRPr="008F2D9D" w:rsidRDefault="00AC6CF7" w:rsidP="008F2D9D">
            <w:pPr>
              <w:jc w:val="right"/>
            </w:pPr>
            <w:r>
              <w:t>11.4</w:t>
            </w:r>
          </w:p>
        </w:tc>
        <w:tc>
          <w:tcPr>
            <w:tcW w:w="1488" w:type="dxa"/>
          </w:tcPr>
          <w:p w14:paraId="5C45F14E" w14:textId="00D60AA0" w:rsidR="008F2D9D" w:rsidRPr="008F2D9D" w:rsidRDefault="0083306A" w:rsidP="008F2D9D">
            <w:pPr>
              <w:jc w:val="right"/>
            </w:pPr>
            <w:r>
              <w:t>20.8</w:t>
            </w:r>
            <w:r w:rsidR="008F2D9D">
              <w:t xml:space="preserve"> million</w:t>
            </w:r>
          </w:p>
        </w:tc>
        <w:tc>
          <w:tcPr>
            <w:tcW w:w="1463" w:type="dxa"/>
          </w:tcPr>
          <w:p w14:paraId="0247141B" w14:textId="2E623AC6" w:rsidR="008F2D9D" w:rsidRPr="008F2D9D" w:rsidRDefault="008F2D9D" w:rsidP="008F2D9D">
            <w:pPr>
              <w:jc w:val="right"/>
            </w:pPr>
            <w:r w:rsidRPr="008F2D9D">
              <w:t>10.</w:t>
            </w:r>
            <w:r w:rsidR="0083306A">
              <w:t>9</w:t>
            </w:r>
          </w:p>
        </w:tc>
        <w:tc>
          <w:tcPr>
            <w:tcW w:w="1463" w:type="dxa"/>
          </w:tcPr>
          <w:p w14:paraId="7BDB1052" w14:textId="71632E4D" w:rsidR="008F2D9D" w:rsidRPr="008F2D9D" w:rsidRDefault="008F2D9D" w:rsidP="008F2D9D">
            <w:pPr>
              <w:jc w:val="right"/>
            </w:pPr>
            <w:r w:rsidRPr="008F2D9D">
              <w:t>1.5</w:t>
            </w:r>
            <w:r w:rsidR="00985F14">
              <w:t xml:space="preserve"> million</w:t>
            </w:r>
          </w:p>
        </w:tc>
      </w:tr>
    </w:tbl>
    <w:p w14:paraId="1A8A163F" w14:textId="77777777" w:rsidR="004D4BFC" w:rsidRDefault="004D4BFC" w:rsidP="004D4BFC">
      <w:r w:rsidRPr="00EC795B">
        <w:lastRenderedPageBreak/>
        <w:t>Note: Rounding errors do occur with the above costs.</w:t>
      </w:r>
    </w:p>
    <w:p w14:paraId="3E842F7A" w14:textId="10E02E30" w:rsidR="004D4BFC" w:rsidRDefault="004D4BFC" w:rsidP="004D4BFC">
      <w:pPr>
        <w:pStyle w:val="Heading5"/>
      </w:pPr>
      <w:r>
        <w:t xml:space="preserve">The top five matters dealt with by our Civil Justice Program in </w:t>
      </w:r>
      <w:r w:rsidR="008047E1" w:rsidRPr="008047E1">
        <w:t>2017</w:t>
      </w:r>
      <w:r w:rsidR="008047E1" w:rsidRPr="008047E1">
        <w:rPr>
          <w:rFonts w:cs="Arial"/>
        </w:rPr>
        <w:t>–</w:t>
      </w:r>
      <w:r w:rsidR="008047E1" w:rsidRPr="008047E1">
        <w:t>18</w:t>
      </w:r>
      <w:r>
        <w:t xml:space="preserve"> were: </w:t>
      </w:r>
    </w:p>
    <w:p w14:paraId="701E24D3" w14:textId="2278C2C7" w:rsidR="004D4BFC" w:rsidRDefault="00A7216F" w:rsidP="004D4BFC">
      <w:pPr>
        <w:pStyle w:val="ListParagraph"/>
        <w:numPr>
          <w:ilvl w:val="0"/>
          <w:numId w:val="43"/>
        </w:numPr>
      </w:pPr>
      <w:r>
        <w:t>Infringements, 9,843</w:t>
      </w:r>
    </w:p>
    <w:p w14:paraId="4F7793C2" w14:textId="6282B003" w:rsidR="004D4BFC" w:rsidRDefault="003B6D52" w:rsidP="004D4BFC">
      <w:pPr>
        <w:pStyle w:val="ListParagraph"/>
        <w:numPr>
          <w:ilvl w:val="0"/>
          <w:numId w:val="43"/>
        </w:numPr>
      </w:pPr>
      <w:r>
        <w:t>Landlord and tenant</w:t>
      </w:r>
      <w:r>
        <w:rPr>
          <w:rFonts w:cs="Arial"/>
        </w:rPr>
        <w:t>—</w:t>
      </w:r>
      <w:r>
        <w:t>resident</w:t>
      </w:r>
      <w:r w:rsidR="00A7216F">
        <w:t>, 5,774</w:t>
      </w:r>
    </w:p>
    <w:p w14:paraId="396C62E7" w14:textId="25C5175B" w:rsidR="004D4BFC" w:rsidRDefault="00A7216F" w:rsidP="004D4BFC">
      <w:pPr>
        <w:pStyle w:val="ListParagraph"/>
        <w:numPr>
          <w:ilvl w:val="0"/>
          <w:numId w:val="43"/>
        </w:numPr>
      </w:pPr>
      <w:r>
        <w:t>The law in general</w:t>
      </w:r>
      <w:r w:rsidR="00B1328B">
        <w:rPr>
          <w:rStyle w:val="FootnoteReference"/>
        </w:rPr>
        <w:footnoteReference w:id="8"/>
      </w:r>
      <w:r>
        <w:t>, 3,494</w:t>
      </w:r>
    </w:p>
    <w:p w14:paraId="0E1B0134" w14:textId="5826B00A" w:rsidR="004D4BFC" w:rsidRDefault="00A7216F" w:rsidP="004D4BFC">
      <w:pPr>
        <w:pStyle w:val="ListParagraph"/>
        <w:numPr>
          <w:ilvl w:val="0"/>
          <w:numId w:val="43"/>
        </w:numPr>
      </w:pPr>
      <w:r>
        <w:t>Inpatient treatment order, 3,016</w:t>
      </w:r>
    </w:p>
    <w:p w14:paraId="3D09CDBB" w14:textId="4D11BB16" w:rsidR="004D4BFC" w:rsidRDefault="00A7216F" w:rsidP="004D4BFC">
      <w:pPr>
        <w:pStyle w:val="ListParagraph"/>
        <w:numPr>
          <w:ilvl w:val="0"/>
          <w:numId w:val="43"/>
        </w:numPr>
      </w:pPr>
      <w:r>
        <w:t>Centrelink (other), 2,651</w:t>
      </w:r>
    </w:p>
    <w:p w14:paraId="68B682F2" w14:textId="56A72D81" w:rsidR="003B6D52" w:rsidRPr="003B6D52" w:rsidRDefault="003B6D52" w:rsidP="003B6D52">
      <w:pPr>
        <w:spacing w:after="0"/>
        <w:rPr>
          <w:sz w:val="18"/>
          <w:szCs w:val="18"/>
        </w:rPr>
      </w:pPr>
      <w:r w:rsidRPr="003B6D52">
        <w:rPr>
          <w:sz w:val="18"/>
          <w:szCs w:val="18"/>
        </w:rPr>
        <w:t>*</w:t>
      </w:r>
    </w:p>
    <w:p w14:paraId="3C43253E" w14:textId="77777777" w:rsidR="003B6D52" w:rsidRDefault="003B6D52" w:rsidP="003B6D52"/>
    <w:p w14:paraId="3C264E5C" w14:textId="77777777" w:rsidR="00C9586F" w:rsidRDefault="00C9586F">
      <w:pPr>
        <w:spacing w:after="0" w:line="240" w:lineRule="auto"/>
        <w:rPr>
          <w:rFonts w:cs="Arial"/>
          <w:b/>
          <w:bCs/>
          <w:iCs/>
          <w:color w:val="971A4B"/>
          <w:sz w:val="28"/>
          <w:szCs w:val="28"/>
          <w:lang w:eastAsia="en-AU"/>
        </w:rPr>
      </w:pPr>
      <w:r>
        <w:br w:type="page"/>
      </w:r>
    </w:p>
    <w:p w14:paraId="2498E794" w14:textId="0D2AD923" w:rsidR="00304F5A" w:rsidRDefault="00411D67" w:rsidP="00411D67">
      <w:pPr>
        <w:pStyle w:val="Heading2"/>
      </w:pPr>
      <w:r>
        <w:lastRenderedPageBreak/>
        <w:t>Financial summary</w:t>
      </w:r>
    </w:p>
    <w:p w14:paraId="3FD8C159" w14:textId="7470DEE6" w:rsidR="0045604E" w:rsidRDefault="0045604E" w:rsidP="006F6A54">
      <w:pPr>
        <w:rPr>
          <w:lang w:eastAsia="en-AU"/>
        </w:rPr>
      </w:pPr>
      <w:r>
        <w:rPr>
          <w:lang w:eastAsia="en-AU"/>
        </w:rPr>
        <w:t>In 2017</w:t>
      </w:r>
      <w:r>
        <w:rPr>
          <w:rFonts w:cs="Arial"/>
          <w:lang w:eastAsia="en-AU"/>
        </w:rPr>
        <w:t>–</w:t>
      </w:r>
      <w:r>
        <w:rPr>
          <w:lang w:eastAsia="en-AU"/>
        </w:rPr>
        <w:t xml:space="preserve">18 we increased our expenditure as planned to meet increasing demand for our services. We finished the year with a </w:t>
      </w:r>
      <w:r w:rsidR="006F6A54" w:rsidRPr="002B77BD">
        <w:t>$6.2 million deficit from transactions, our day-to-day business</w:t>
      </w:r>
      <w:r w:rsidR="006F6A54">
        <w:t xml:space="preserve">. </w:t>
      </w:r>
      <w:r w:rsidR="006F6A54" w:rsidRPr="002B77BD">
        <w:t>This result is an improvement of $3.8 million on our prior year deficit of $9.9 million and reflects continued growth in operating expenditure which has resulted from increasing demand.</w:t>
      </w:r>
      <w:r w:rsidR="00384E52">
        <w:t xml:space="preserve"> The comprehensive deficit was $5.3 million compared to a $10.9 million deficit last year.</w:t>
      </w:r>
    </w:p>
    <w:p w14:paraId="2C41CA6A" w14:textId="60D5ABE5" w:rsidR="0045604E" w:rsidRDefault="0045604E" w:rsidP="006F6A54">
      <w:pPr>
        <w:rPr>
          <w:lang w:eastAsia="en-AU"/>
        </w:rPr>
      </w:pPr>
      <w:r>
        <w:rPr>
          <w:lang w:eastAsia="en-AU"/>
        </w:rPr>
        <w:t>Case related payments which include payments to private practitioners, barristers, medical experts and interpreters, as well as to third part</w:t>
      </w:r>
      <w:r w:rsidR="006F6A54">
        <w:rPr>
          <w:lang w:eastAsia="en-AU"/>
        </w:rPr>
        <w:t>i</w:t>
      </w:r>
      <w:r>
        <w:rPr>
          <w:lang w:eastAsia="en-AU"/>
        </w:rPr>
        <w:t xml:space="preserve">es for services provided for cases run by Victoria Legal Aid lawyers, increased by 15 per cent to </w:t>
      </w:r>
      <w:r w:rsidR="006F6A54">
        <w:rPr>
          <w:lang w:eastAsia="en-AU"/>
        </w:rPr>
        <w:t>or $12.4 million to $</w:t>
      </w:r>
      <w:r>
        <w:rPr>
          <w:lang w:eastAsia="en-AU"/>
        </w:rPr>
        <w:t>93 million</w:t>
      </w:r>
      <w:r w:rsidR="006F6A54">
        <w:rPr>
          <w:lang w:eastAsia="en-AU"/>
        </w:rPr>
        <w:t xml:space="preserve">. This growth can be attributed to increased demand relating to criminal, family and children’s law. </w:t>
      </w:r>
      <w:r w:rsidR="006F6A54" w:rsidRPr="002B77BD">
        <w:t>The growth in grants of assistance</w:t>
      </w:r>
      <w:r w:rsidR="006F6A54">
        <w:t xml:space="preserve"> also</w:t>
      </w:r>
      <w:r w:rsidR="006F6A54" w:rsidRPr="002B77BD">
        <w:t xml:space="preserve"> reflects two per cent annual indexation of fees and </w:t>
      </w:r>
      <w:r w:rsidR="006F6A54" w:rsidRPr="00D90760">
        <w:rPr>
          <w:lang w:eastAsia="en-AU"/>
        </w:rPr>
        <w:t xml:space="preserve">payments </w:t>
      </w:r>
      <w:r w:rsidR="006F6A54">
        <w:rPr>
          <w:lang w:eastAsia="en-AU"/>
        </w:rPr>
        <w:t xml:space="preserve">made </w:t>
      </w:r>
      <w:r w:rsidR="006F6A54" w:rsidRPr="00D90760">
        <w:rPr>
          <w:lang w:eastAsia="en-AU"/>
        </w:rPr>
        <w:t>to the profession for work commenced in prior years.</w:t>
      </w:r>
    </w:p>
    <w:p w14:paraId="201FF6C3" w14:textId="054A6764" w:rsidR="006F6A54" w:rsidRDefault="006F6A54" w:rsidP="006F6A54">
      <w:pPr>
        <w:rPr>
          <w:lang w:eastAsia="en-AU"/>
        </w:rPr>
      </w:pPr>
      <w:r w:rsidRPr="00D90760">
        <w:rPr>
          <w:lang w:eastAsia="en-AU"/>
        </w:rPr>
        <w:t xml:space="preserve">Expenditure on staff grew by nine per cent to $75.2 million </w:t>
      </w:r>
      <w:proofErr w:type="gramStart"/>
      <w:r w:rsidRPr="00D90760">
        <w:rPr>
          <w:lang w:eastAsia="en-AU"/>
        </w:rPr>
        <w:t>in order to</w:t>
      </w:r>
      <w:proofErr w:type="gramEnd"/>
      <w:r w:rsidRPr="00D90760">
        <w:rPr>
          <w:lang w:eastAsia="en-AU"/>
        </w:rPr>
        <w:t xml:space="preserve"> provide additional family violence and youth crime services, expand Legal Help, ease workloads across the state in summary crime and to support the expansion of the Assessment and Referral Court.</w:t>
      </w:r>
    </w:p>
    <w:p w14:paraId="407CBA29" w14:textId="0BFE9BC0" w:rsidR="0045604E" w:rsidRPr="006F6A54" w:rsidRDefault="0045604E" w:rsidP="006F6A54">
      <w:pPr>
        <w:rPr>
          <w:lang w:eastAsia="en-AU"/>
        </w:rPr>
      </w:pPr>
      <w:r w:rsidRPr="00D90760">
        <w:rPr>
          <w:lang w:eastAsia="en-AU"/>
        </w:rPr>
        <w:t>The combination of new laws with more serious consequences and increasing client complexity also means we are spending more time with clients and delivering more of our most intensive services. All these factors combined mean there is uneven pattern between expenditure and service growth.</w:t>
      </w:r>
      <w:r>
        <w:rPr>
          <w:lang w:eastAsia="en-AU"/>
        </w:rPr>
        <w:t xml:space="preserve">  </w:t>
      </w:r>
    </w:p>
    <w:p w14:paraId="1BC5820F" w14:textId="77777777" w:rsidR="00411D67" w:rsidRDefault="00411D67" w:rsidP="00411D67">
      <w:pPr>
        <w:pStyle w:val="Heading3"/>
      </w:pPr>
      <w:r>
        <w:t>Revenue</w:t>
      </w:r>
    </w:p>
    <w:tbl>
      <w:tblPr>
        <w:tblStyle w:val="TableGrid"/>
        <w:tblW w:w="10076" w:type="dxa"/>
        <w:tblLook w:val="04A0" w:firstRow="1" w:lastRow="0" w:firstColumn="1" w:lastColumn="0" w:noHBand="0" w:noVBand="1"/>
      </w:tblPr>
      <w:tblGrid>
        <w:gridCol w:w="3963"/>
        <w:gridCol w:w="2037"/>
        <w:gridCol w:w="2038"/>
        <w:gridCol w:w="2038"/>
      </w:tblGrid>
      <w:tr w:rsidR="00411D67" w14:paraId="57A9AFA5" w14:textId="77777777" w:rsidTr="00B1328B">
        <w:trPr>
          <w:tblHeader/>
        </w:trPr>
        <w:tc>
          <w:tcPr>
            <w:tcW w:w="3963" w:type="dxa"/>
            <w:shd w:val="clear" w:color="auto" w:fill="D9D9D9" w:themeFill="background1" w:themeFillShade="D9"/>
          </w:tcPr>
          <w:p w14:paraId="031B3851" w14:textId="77777777" w:rsidR="00411D67" w:rsidRPr="002312A1" w:rsidRDefault="00411D67" w:rsidP="002C47F1">
            <w:pPr>
              <w:rPr>
                <w:b/>
                <w:lang w:eastAsia="en-AU"/>
              </w:rPr>
            </w:pPr>
          </w:p>
        </w:tc>
        <w:tc>
          <w:tcPr>
            <w:tcW w:w="2037" w:type="dxa"/>
            <w:shd w:val="clear" w:color="auto" w:fill="D9D9D9" w:themeFill="background1" w:themeFillShade="D9"/>
          </w:tcPr>
          <w:p w14:paraId="464C3E1D" w14:textId="10EB7356" w:rsidR="00411D67" w:rsidRPr="002312A1" w:rsidRDefault="00D060EA" w:rsidP="00B1328B">
            <w:pPr>
              <w:jc w:val="right"/>
              <w:rPr>
                <w:b/>
                <w:lang w:eastAsia="en-AU"/>
              </w:rPr>
            </w:pPr>
            <w:r>
              <w:rPr>
                <w:b/>
              </w:rPr>
              <w:t>2016–17</w:t>
            </w:r>
            <w:r w:rsidRPr="002312A1">
              <w:rPr>
                <w:b/>
                <w:lang w:eastAsia="en-AU"/>
              </w:rPr>
              <w:t xml:space="preserve"> </w:t>
            </w:r>
            <w:r w:rsidR="00411D67" w:rsidRPr="002312A1">
              <w:rPr>
                <w:b/>
                <w:lang w:eastAsia="en-AU"/>
              </w:rPr>
              <w:t>($’m)</w:t>
            </w:r>
          </w:p>
        </w:tc>
        <w:tc>
          <w:tcPr>
            <w:tcW w:w="2038" w:type="dxa"/>
            <w:shd w:val="clear" w:color="auto" w:fill="D9D9D9" w:themeFill="background1" w:themeFillShade="D9"/>
          </w:tcPr>
          <w:p w14:paraId="75F7AB56" w14:textId="58E06A63" w:rsidR="00411D67" w:rsidRPr="002312A1" w:rsidRDefault="00F665BB" w:rsidP="00B1328B">
            <w:pPr>
              <w:jc w:val="right"/>
              <w:rPr>
                <w:b/>
                <w:lang w:eastAsia="en-AU"/>
              </w:rPr>
            </w:pPr>
            <w:r>
              <w:rPr>
                <w:b/>
              </w:rPr>
              <w:t>2017</w:t>
            </w:r>
            <w:r>
              <w:rPr>
                <w:rFonts w:cs="Arial"/>
                <w:b/>
              </w:rPr>
              <w:t>–</w:t>
            </w:r>
            <w:r>
              <w:rPr>
                <w:b/>
              </w:rPr>
              <w:t>18</w:t>
            </w:r>
            <w:r w:rsidRPr="002312A1">
              <w:rPr>
                <w:b/>
                <w:lang w:eastAsia="en-AU"/>
              </w:rPr>
              <w:t xml:space="preserve"> </w:t>
            </w:r>
            <w:r w:rsidR="00411D67" w:rsidRPr="002312A1">
              <w:rPr>
                <w:b/>
                <w:lang w:eastAsia="en-AU"/>
              </w:rPr>
              <w:t>($’m)</w:t>
            </w:r>
          </w:p>
        </w:tc>
        <w:tc>
          <w:tcPr>
            <w:tcW w:w="2038" w:type="dxa"/>
            <w:shd w:val="clear" w:color="auto" w:fill="D9D9D9" w:themeFill="background1" w:themeFillShade="D9"/>
          </w:tcPr>
          <w:p w14:paraId="3974FA0E" w14:textId="6F39BADC" w:rsidR="00411D67" w:rsidRPr="002312A1" w:rsidRDefault="005A3FC5" w:rsidP="00B1328B">
            <w:pPr>
              <w:jc w:val="right"/>
              <w:rPr>
                <w:b/>
                <w:lang w:eastAsia="en-AU"/>
              </w:rPr>
            </w:pPr>
            <w:r>
              <w:rPr>
                <w:b/>
              </w:rPr>
              <w:t>% Change</w:t>
            </w:r>
          </w:p>
        </w:tc>
      </w:tr>
      <w:tr w:rsidR="00DA7FB9" w14:paraId="66C9170F" w14:textId="77777777" w:rsidTr="002C47F1">
        <w:tc>
          <w:tcPr>
            <w:tcW w:w="3963" w:type="dxa"/>
            <w:vAlign w:val="bottom"/>
          </w:tcPr>
          <w:p w14:paraId="23C42E80" w14:textId="77777777" w:rsidR="00DA7FB9" w:rsidRDefault="00DA7FB9" w:rsidP="00DA7FB9">
            <w:pPr>
              <w:rPr>
                <w:lang w:eastAsia="en-AU"/>
              </w:rPr>
            </w:pPr>
            <w:r w:rsidRPr="008903A8">
              <w:t>Commonwealth grants</w:t>
            </w:r>
          </w:p>
        </w:tc>
        <w:tc>
          <w:tcPr>
            <w:tcW w:w="2037" w:type="dxa"/>
          </w:tcPr>
          <w:p w14:paraId="3838AB02" w14:textId="22B44271" w:rsidR="00DA7FB9" w:rsidRPr="00DA7FB9" w:rsidRDefault="00DA7FB9" w:rsidP="00DA7FB9">
            <w:pPr>
              <w:jc w:val="right"/>
              <w:rPr>
                <w:lang w:eastAsia="en-AU"/>
              </w:rPr>
            </w:pPr>
            <w:r w:rsidRPr="00DA7FB9">
              <w:t xml:space="preserve">50,423 </w:t>
            </w:r>
          </w:p>
        </w:tc>
        <w:tc>
          <w:tcPr>
            <w:tcW w:w="2038" w:type="dxa"/>
          </w:tcPr>
          <w:p w14:paraId="710542A4" w14:textId="5FC79BCA" w:rsidR="00DA7FB9" w:rsidRPr="00DA7FB9" w:rsidRDefault="00DA7FB9" w:rsidP="00DA7FB9">
            <w:pPr>
              <w:jc w:val="right"/>
              <w:rPr>
                <w:rFonts w:cs="Arial"/>
                <w:color w:val="000000"/>
                <w:szCs w:val="22"/>
              </w:rPr>
            </w:pPr>
            <w:r w:rsidRPr="00DA7FB9">
              <w:t>53,658</w:t>
            </w:r>
          </w:p>
        </w:tc>
        <w:tc>
          <w:tcPr>
            <w:tcW w:w="2038" w:type="dxa"/>
            <w:vAlign w:val="center"/>
          </w:tcPr>
          <w:p w14:paraId="71DA8263" w14:textId="3EE55CA0" w:rsidR="00DA7FB9" w:rsidRDefault="003E27EF" w:rsidP="00DA7FB9">
            <w:pPr>
              <w:jc w:val="right"/>
              <w:rPr>
                <w:lang w:eastAsia="en-AU"/>
              </w:rPr>
            </w:pPr>
            <w:r>
              <w:rPr>
                <w:lang w:eastAsia="en-AU"/>
              </w:rPr>
              <w:t>6</w:t>
            </w:r>
          </w:p>
        </w:tc>
      </w:tr>
      <w:tr w:rsidR="00DA7FB9" w14:paraId="20FA7A94" w14:textId="77777777" w:rsidTr="002C47F1">
        <w:tc>
          <w:tcPr>
            <w:tcW w:w="3963" w:type="dxa"/>
            <w:vAlign w:val="bottom"/>
          </w:tcPr>
          <w:p w14:paraId="4B868778" w14:textId="77777777" w:rsidR="00DA7FB9" w:rsidRDefault="00DA7FB9" w:rsidP="00DA7FB9">
            <w:pPr>
              <w:rPr>
                <w:lang w:eastAsia="en-AU"/>
              </w:rPr>
            </w:pPr>
            <w:r w:rsidRPr="008903A8">
              <w:t>State grants</w:t>
            </w:r>
          </w:p>
        </w:tc>
        <w:tc>
          <w:tcPr>
            <w:tcW w:w="2037" w:type="dxa"/>
          </w:tcPr>
          <w:p w14:paraId="0307EB74" w14:textId="7865A285" w:rsidR="00DA7FB9" w:rsidRPr="00DA7FB9" w:rsidRDefault="00DA7FB9" w:rsidP="00DA7FB9">
            <w:pPr>
              <w:jc w:val="right"/>
              <w:rPr>
                <w:lang w:eastAsia="en-AU"/>
              </w:rPr>
            </w:pPr>
            <w:r w:rsidRPr="00DA7FB9">
              <w:t xml:space="preserve">94,713 </w:t>
            </w:r>
          </w:p>
        </w:tc>
        <w:tc>
          <w:tcPr>
            <w:tcW w:w="2038" w:type="dxa"/>
          </w:tcPr>
          <w:p w14:paraId="61E060FC" w14:textId="07B0848E" w:rsidR="00DA7FB9" w:rsidRPr="00DA7FB9" w:rsidRDefault="00DA7FB9" w:rsidP="00DA7FB9">
            <w:pPr>
              <w:jc w:val="right"/>
              <w:rPr>
                <w:rFonts w:cs="Arial"/>
                <w:color w:val="000000"/>
                <w:szCs w:val="22"/>
              </w:rPr>
            </w:pPr>
            <w:r w:rsidRPr="00DA7FB9">
              <w:t>113,546</w:t>
            </w:r>
          </w:p>
        </w:tc>
        <w:tc>
          <w:tcPr>
            <w:tcW w:w="2038" w:type="dxa"/>
            <w:vAlign w:val="center"/>
          </w:tcPr>
          <w:p w14:paraId="77F584F4" w14:textId="46B27D43" w:rsidR="00DA7FB9" w:rsidRDefault="003E27EF" w:rsidP="00DA7FB9">
            <w:pPr>
              <w:jc w:val="right"/>
              <w:rPr>
                <w:lang w:eastAsia="en-AU"/>
              </w:rPr>
            </w:pPr>
            <w:r>
              <w:rPr>
                <w:lang w:eastAsia="en-AU"/>
              </w:rPr>
              <w:t>20</w:t>
            </w:r>
          </w:p>
        </w:tc>
      </w:tr>
      <w:tr w:rsidR="00DA7FB9" w14:paraId="502F7F2A" w14:textId="77777777" w:rsidTr="002C47F1">
        <w:tc>
          <w:tcPr>
            <w:tcW w:w="3963" w:type="dxa"/>
            <w:vAlign w:val="bottom"/>
          </w:tcPr>
          <w:p w14:paraId="443D5602" w14:textId="77777777" w:rsidR="00DA7FB9" w:rsidRDefault="00DA7FB9" w:rsidP="00DA7FB9">
            <w:pPr>
              <w:rPr>
                <w:lang w:eastAsia="en-AU"/>
              </w:rPr>
            </w:pPr>
            <w:r w:rsidRPr="008903A8">
              <w:t>Public Purpose Fund</w:t>
            </w:r>
          </w:p>
        </w:tc>
        <w:tc>
          <w:tcPr>
            <w:tcW w:w="2037" w:type="dxa"/>
          </w:tcPr>
          <w:p w14:paraId="00196731" w14:textId="6E18AE5E" w:rsidR="00DA7FB9" w:rsidRPr="00DA7FB9" w:rsidRDefault="00DA7FB9" w:rsidP="00DA7FB9">
            <w:pPr>
              <w:jc w:val="right"/>
              <w:rPr>
                <w:lang w:eastAsia="en-AU"/>
              </w:rPr>
            </w:pPr>
            <w:r w:rsidRPr="00DA7FB9">
              <w:t xml:space="preserve">31,162 </w:t>
            </w:r>
          </w:p>
        </w:tc>
        <w:tc>
          <w:tcPr>
            <w:tcW w:w="2038" w:type="dxa"/>
          </w:tcPr>
          <w:p w14:paraId="69987BD2" w14:textId="19D9EBD8" w:rsidR="00DA7FB9" w:rsidRPr="00DA7FB9" w:rsidRDefault="00DA7FB9" w:rsidP="00DA7FB9">
            <w:pPr>
              <w:jc w:val="right"/>
              <w:rPr>
                <w:rFonts w:cs="Arial"/>
                <w:color w:val="000000"/>
                <w:szCs w:val="22"/>
              </w:rPr>
            </w:pPr>
            <w:r w:rsidRPr="00DA7FB9">
              <w:t>30,037</w:t>
            </w:r>
          </w:p>
        </w:tc>
        <w:tc>
          <w:tcPr>
            <w:tcW w:w="2038" w:type="dxa"/>
            <w:vAlign w:val="center"/>
          </w:tcPr>
          <w:p w14:paraId="19D309E6" w14:textId="61623805" w:rsidR="00DA7FB9" w:rsidRDefault="003E27EF" w:rsidP="00DA7FB9">
            <w:pPr>
              <w:jc w:val="right"/>
              <w:rPr>
                <w:lang w:eastAsia="en-AU"/>
              </w:rPr>
            </w:pPr>
            <w:r>
              <w:rPr>
                <w:lang w:eastAsia="en-AU"/>
              </w:rPr>
              <w:t>-4</w:t>
            </w:r>
          </w:p>
        </w:tc>
      </w:tr>
      <w:tr w:rsidR="00DA7FB9" w14:paraId="3DAD5783" w14:textId="77777777" w:rsidTr="002C47F1">
        <w:tc>
          <w:tcPr>
            <w:tcW w:w="3963" w:type="dxa"/>
            <w:vAlign w:val="bottom"/>
          </w:tcPr>
          <w:p w14:paraId="492E5A74" w14:textId="77777777" w:rsidR="00DA7FB9" w:rsidRDefault="00DA7FB9" w:rsidP="00DA7FB9">
            <w:pPr>
              <w:rPr>
                <w:lang w:eastAsia="en-AU"/>
              </w:rPr>
            </w:pPr>
            <w:r w:rsidRPr="008903A8">
              <w:t>Client contributions</w:t>
            </w:r>
          </w:p>
        </w:tc>
        <w:tc>
          <w:tcPr>
            <w:tcW w:w="2037" w:type="dxa"/>
          </w:tcPr>
          <w:p w14:paraId="1250F912" w14:textId="43E63546" w:rsidR="00DA7FB9" w:rsidRPr="00DA7FB9" w:rsidRDefault="00DA7FB9" w:rsidP="00DA7FB9">
            <w:pPr>
              <w:jc w:val="right"/>
              <w:rPr>
                <w:lang w:eastAsia="en-AU"/>
              </w:rPr>
            </w:pPr>
            <w:r w:rsidRPr="00DA7FB9">
              <w:t xml:space="preserve">2,609 </w:t>
            </w:r>
          </w:p>
        </w:tc>
        <w:tc>
          <w:tcPr>
            <w:tcW w:w="2038" w:type="dxa"/>
          </w:tcPr>
          <w:p w14:paraId="476FF4B7" w14:textId="5839700B" w:rsidR="00DA7FB9" w:rsidRPr="00DA7FB9" w:rsidRDefault="00DA7FB9" w:rsidP="00DA7FB9">
            <w:pPr>
              <w:jc w:val="right"/>
              <w:rPr>
                <w:rFonts w:cs="Arial"/>
                <w:color w:val="000000"/>
                <w:szCs w:val="22"/>
              </w:rPr>
            </w:pPr>
            <w:r w:rsidRPr="00DA7FB9">
              <w:t>2,420</w:t>
            </w:r>
          </w:p>
        </w:tc>
        <w:tc>
          <w:tcPr>
            <w:tcW w:w="2038" w:type="dxa"/>
            <w:vAlign w:val="center"/>
          </w:tcPr>
          <w:p w14:paraId="2D0BEDC5" w14:textId="391C7F58" w:rsidR="00DA7FB9" w:rsidRDefault="003E27EF" w:rsidP="00DA7FB9">
            <w:pPr>
              <w:jc w:val="right"/>
              <w:rPr>
                <w:lang w:eastAsia="en-AU"/>
              </w:rPr>
            </w:pPr>
            <w:r>
              <w:rPr>
                <w:lang w:eastAsia="en-AU"/>
              </w:rPr>
              <w:t>-7</w:t>
            </w:r>
          </w:p>
        </w:tc>
      </w:tr>
      <w:tr w:rsidR="00DA7FB9" w14:paraId="72B4115B" w14:textId="77777777" w:rsidTr="00DA7FB9">
        <w:tc>
          <w:tcPr>
            <w:tcW w:w="3963" w:type="dxa"/>
            <w:tcBorders>
              <w:bottom w:val="single" w:sz="4" w:space="0" w:color="auto"/>
            </w:tcBorders>
            <w:vAlign w:val="bottom"/>
          </w:tcPr>
          <w:p w14:paraId="3E03183A" w14:textId="77777777" w:rsidR="00DA7FB9" w:rsidRDefault="00DA7FB9" w:rsidP="00DA7FB9">
            <w:pPr>
              <w:rPr>
                <w:lang w:eastAsia="en-AU"/>
              </w:rPr>
            </w:pPr>
            <w:r w:rsidRPr="008903A8">
              <w:t>Other income</w:t>
            </w:r>
          </w:p>
        </w:tc>
        <w:tc>
          <w:tcPr>
            <w:tcW w:w="2037" w:type="dxa"/>
          </w:tcPr>
          <w:p w14:paraId="17C54888" w14:textId="71969246" w:rsidR="00DA7FB9" w:rsidRPr="00DA7FB9" w:rsidRDefault="00DA7FB9" w:rsidP="00DA7FB9">
            <w:pPr>
              <w:jc w:val="right"/>
              <w:rPr>
                <w:lang w:eastAsia="en-AU"/>
              </w:rPr>
            </w:pPr>
            <w:r w:rsidRPr="00DA7FB9">
              <w:t xml:space="preserve">2,445 </w:t>
            </w:r>
          </w:p>
        </w:tc>
        <w:tc>
          <w:tcPr>
            <w:tcW w:w="2038" w:type="dxa"/>
          </w:tcPr>
          <w:p w14:paraId="067C4C9F" w14:textId="2E8C4724" w:rsidR="00DA7FB9" w:rsidRPr="00DA7FB9" w:rsidRDefault="00DA7FB9" w:rsidP="00DA7FB9">
            <w:pPr>
              <w:jc w:val="right"/>
              <w:rPr>
                <w:rFonts w:cs="Arial"/>
                <w:color w:val="000000"/>
                <w:szCs w:val="22"/>
              </w:rPr>
            </w:pPr>
            <w:r w:rsidRPr="00DA7FB9">
              <w:t>2,125</w:t>
            </w:r>
          </w:p>
        </w:tc>
        <w:tc>
          <w:tcPr>
            <w:tcW w:w="2038" w:type="dxa"/>
            <w:tcBorders>
              <w:bottom w:val="single" w:sz="4" w:space="0" w:color="auto"/>
            </w:tcBorders>
            <w:vAlign w:val="center"/>
          </w:tcPr>
          <w:p w14:paraId="6994209D" w14:textId="32CFC06C" w:rsidR="00DA7FB9" w:rsidRDefault="003E27EF" w:rsidP="00DA7FB9">
            <w:pPr>
              <w:jc w:val="right"/>
              <w:rPr>
                <w:lang w:eastAsia="en-AU"/>
              </w:rPr>
            </w:pPr>
            <w:r>
              <w:rPr>
                <w:lang w:eastAsia="en-AU"/>
              </w:rPr>
              <w:t>-13</w:t>
            </w:r>
          </w:p>
        </w:tc>
      </w:tr>
      <w:tr w:rsidR="00DA7FB9" w14:paraId="7718A063" w14:textId="77777777" w:rsidTr="003E27EF">
        <w:tc>
          <w:tcPr>
            <w:tcW w:w="3963" w:type="dxa"/>
            <w:shd w:val="clear" w:color="auto" w:fill="F2F2F2" w:themeFill="background1" w:themeFillShade="F2"/>
            <w:vAlign w:val="bottom"/>
          </w:tcPr>
          <w:p w14:paraId="010AC699" w14:textId="77777777" w:rsidR="00DA7FB9" w:rsidRPr="002312A1" w:rsidRDefault="00DA7FB9" w:rsidP="00DA7FB9">
            <w:pPr>
              <w:rPr>
                <w:b/>
                <w:lang w:eastAsia="en-AU"/>
              </w:rPr>
            </w:pPr>
            <w:r w:rsidRPr="00E4299E">
              <w:rPr>
                <w:b/>
              </w:rPr>
              <w:t>Total income from transactions</w:t>
            </w:r>
          </w:p>
        </w:tc>
        <w:tc>
          <w:tcPr>
            <w:tcW w:w="2037" w:type="dxa"/>
            <w:shd w:val="clear" w:color="auto" w:fill="F2F2F2" w:themeFill="background1" w:themeFillShade="F2"/>
          </w:tcPr>
          <w:p w14:paraId="15719CD9" w14:textId="38766B16" w:rsidR="00DA7FB9" w:rsidRPr="00DA7FB9" w:rsidRDefault="00DA7FB9" w:rsidP="00DA7FB9">
            <w:pPr>
              <w:jc w:val="right"/>
              <w:rPr>
                <w:lang w:eastAsia="en-AU"/>
              </w:rPr>
            </w:pPr>
            <w:r w:rsidRPr="00DA7FB9">
              <w:t xml:space="preserve">181,352 </w:t>
            </w:r>
          </w:p>
        </w:tc>
        <w:tc>
          <w:tcPr>
            <w:tcW w:w="2038" w:type="dxa"/>
            <w:shd w:val="clear" w:color="auto" w:fill="F2F2F2" w:themeFill="background1" w:themeFillShade="F2"/>
          </w:tcPr>
          <w:p w14:paraId="429AEC54" w14:textId="5691EE31" w:rsidR="00DA7FB9" w:rsidRPr="00DA7FB9" w:rsidRDefault="00DA7FB9" w:rsidP="00DA7FB9">
            <w:pPr>
              <w:jc w:val="right"/>
              <w:rPr>
                <w:rFonts w:cs="Arial"/>
                <w:color w:val="000000"/>
                <w:szCs w:val="22"/>
              </w:rPr>
            </w:pPr>
            <w:r w:rsidRPr="00DA7FB9">
              <w:t>201,786</w:t>
            </w:r>
          </w:p>
        </w:tc>
        <w:tc>
          <w:tcPr>
            <w:tcW w:w="2038" w:type="dxa"/>
            <w:shd w:val="clear" w:color="auto" w:fill="F2F2F2" w:themeFill="background1" w:themeFillShade="F2"/>
            <w:vAlign w:val="center"/>
          </w:tcPr>
          <w:p w14:paraId="4C691A09" w14:textId="4671565F" w:rsidR="00DA7FB9" w:rsidRDefault="003E27EF" w:rsidP="00DA7FB9">
            <w:pPr>
              <w:jc w:val="right"/>
            </w:pPr>
            <w:r>
              <w:t>11</w:t>
            </w:r>
          </w:p>
        </w:tc>
      </w:tr>
    </w:tbl>
    <w:p w14:paraId="06CDDCFF" w14:textId="77777777" w:rsidR="00411D67" w:rsidRDefault="00411D67" w:rsidP="00411D67">
      <w:pPr>
        <w:pStyle w:val="Heading3"/>
      </w:pPr>
      <w:r>
        <w:t>Expenditure</w:t>
      </w:r>
    </w:p>
    <w:tbl>
      <w:tblPr>
        <w:tblStyle w:val="TableGrid"/>
        <w:tblW w:w="10076" w:type="dxa"/>
        <w:tblLook w:val="04A0" w:firstRow="1" w:lastRow="0" w:firstColumn="1" w:lastColumn="0" w:noHBand="0" w:noVBand="1"/>
      </w:tblPr>
      <w:tblGrid>
        <w:gridCol w:w="3963"/>
        <w:gridCol w:w="2037"/>
        <w:gridCol w:w="2038"/>
        <w:gridCol w:w="2038"/>
      </w:tblGrid>
      <w:tr w:rsidR="00411D67" w14:paraId="27738116" w14:textId="77777777" w:rsidTr="00B1328B">
        <w:trPr>
          <w:tblHeader/>
        </w:trPr>
        <w:tc>
          <w:tcPr>
            <w:tcW w:w="3963" w:type="dxa"/>
            <w:shd w:val="clear" w:color="auto" w:fill="D9D9D9" w:themeFill="background1" w:themeFillShade="D9"/>
          </w:tcPr>
          <w:p w14:paraId="22A3CCD3" w14:textId="77777777" w:rsidR="00411D67" w:rsidRPr="002312A1" w:rsidRDefault="00411D67" w:rsidP="002C47F1">
            <w:pPr>
              <w:rPr>
                <w:b/>
                <w:lang w:eastAsia="en-AU"/>
              </w:rPr>
            </w:pPr>
          </w:p>
        </w:tc>
        <w:tc>
          <w:tcPr>
            <w:tcW w:w="2037" w:type="dxa"/>
            <w:shd w:val="clear" w:color="auto" w:fill="D9D9D9" w:themeFill="background1" w:themeFillShade="D9"/>
          </w:tcPr>
          <w:p w14:paraId="00F5783F" w14:textId="4531EFDC" w:rsidR="00411D67" w:rsidRPr="002312A1" w:rsidRDefault="00D060EA" w:rsidP="00B1328B">
            <w:pPr>
              <w:jc w:val="right"/>
              <w:rPr>
                <w:b/>
                <w:lang w:eastAsia="en-AU"/>
              </w:rPr>
            </w:pPr>
            <w:r>
              <w:rPr>
                <w:b/>
              </w:rPr>
              <w:t>2016–17</w:t>
            </w:r>
            <w:r w:rsidRPr="002312A1">
              <w:rPr>
                <w:b/>
                <w:lang w:eastAsia="en-AU"/>
              </w:rPr>
              <w:t xml:space="preserve"> </w:t>
            </w:r>
            <w:r w:rsidR="00411D67" w:rsidRPr="002312A1">
              <w:rPr>
                <w:b/>
                <w:lang w:eastAsia="en-AU"/>
              </w:rPr>
              <w:t>($’m)</w:t>
            </w:r>
          </w:p>
        </w:tc>
        <w:tc>
          <w:tcPr>
            <w:tcW w:w="2038" w:type="dxa"/>
            <w:shd w:val="clear" w:color="auto" w:fill="D9D9D9" w:themeFill="background1" w:themeFillShade="D9"/>
          </w:tcPr>
          <w:p w14:paraId="6412C833" w14:textId="64546402" w:rsidR="00411D67" w:rsidRPr="002312A1" w:rsidRDefault="00F665BB" w:rsidP="00B1328B">
            <w:pPr>
              <w:jc w:val="right"/>
              <w:rPr>
                <w:b/>
                <w:lang w:eastAsia="en-AU"/>
              </w:rPr>
            </w:pPr>
            <w:r>
              <w:rPr>
                <w:b/>
              </w:rPr>
              <w:t>2017</w:t>
            </w:r>
            <w:r>
              <w:rPr>
                <w:rFonts w:cs="Arial"/>
                <w:b/>
              </w:rPr>
              <w:t>–</w:t>
            </w:r>
            <w:r>
              <w:rPr>
                <w:b/>
              </w:rPr>
              <w:t>18</w:t>
            </w:r>
            <w:r w:rsidRPr="002312A1">
              <w:rPr>
                <w:b/>
                <w:lang w:eastAsia="en-AU"/>
              </w:rPr>
              <w:t xml:space="preserve"> </w:t>
            </w:r>
            <w:r w:rsidR="00411D67" w:rsidRPr="002312A1">
              <w:rPr>
                <w:b/>
                <w:lang w:eastAsia="en-AU"/>
              </w:rPr>
              <w:t>($’m)</w:t>
            </w:r>
          </w:p>
        </w:tc>
        <w:tc>
          <w:tcPr>
            <w:tcW w:w="2038" w:type="dxa"/>
            <w:shd w:val="clear" w:color="auto" w:fill="D9D9D9" w:themeFill="background1" w:themeFillShade="D9"/>
          </w:tcPr>
          <w:p w14:paraId="3F973906" w14:textId="052B8B88" w:rsidR="00411D67" w:rsidRPr="002312A1" w:rsidRDefault="005A3FC5" w:rsidP="00B1328B">
            <w:pPr>
              <w:jc w:val="right"/>
              <w:rPr>
                <w:b/>
                <w:lang w:eastAsia="en-AU"/>
              </w:rPr>
            </w:pPr>
            <w:r>
              <w:rPr>
                <w:b/>
              </w:rPr>
              <w:t>% Change</w:t>
            </w:r>
          </w:p>
        </w:tc>
      </w:tr>
      <w:tr w:rsidR="00DA7FB9" w14:paraId="03E50A93" w14:textId="77777777" w:rsidTr="002C47F1">
        <w:tc>
          <w:tcPr>
            <w:tcW w:w="3963" w:type="dxa"/>
            <w:vAlign w:val="bottom"/>
          </w:tcPr>
          <w:p w14:paraId="152BDDAB" w14:textId="77777777" w:rsidR="00DA7FB9" w:rsidRDefault="00DA7FB9" w:rsidP="00DA7FB9">
            <w:pPr>
              <w:rPr>
                <w:lang w:eastAsia="en-AU"/>
              </w:rPr>
            </w:pPr>
            <w:r w:rsidRPr="00320668">
              <w:t>Case-related payments</w:t>
            </w:r>
          </w:p>
        </w:tc>
        <w:tc>
          <w:tcPr>
            <w:tcW w:w="2037" w:type="dxa"/>
          </w:tcPr>
          <w:p w14:paraId="4EE3B732" w14:textId="3660A805" w:rsidR="00DA7FB9" w:rsidRPr="00DA7FB9" w:rsidRDefault="00DA7FB9" w:rsidP="00DA7FB9">
            <w:pPr>
              <w:jc w:val="right"/>
              <w:rPr>
                <w:lang w:eastAsia="en-AU"/>
              </w:rPr>
            </w:pPr>
            <w:r w:rsidRPr="00DA7FB9">
              <w:t xml:space="preserve">80,677 </w:t>
            </w:r>
          </w:p>
        </w:tc>
        <w:tc>
          <w:tcPr>
            <w:tcW w:w="2038" w:type="dxa"/>
          </w:tcPr>
          <w:p w14:paraId="10F7DD59" w14:textId="519B1703" w:rsidR="00DA7FB9" w:rsidRPr="00DA7FB9" w:rsidRDefault="00DA7FB9" w:rsidP="00DA7FB9">
            <w:pPr>
              <w:jc w:val="right"/>
              <w:rPr>
                <w:rFonts w:cs="Arial"/>
                <w:color w:val="000000"/>
                <w:szCs w:val="22"/>
              </w:rPr>
            </w:pPr>
            <w:r w:rsidRPr="00DA7FB9">
              <w:t>93,027</w:t>
            </w:r>
          </w:p>
        </w:tc>
        <w:tc>
          <w:tcPr>
            <w:tcW w:w="2038" w:type="dxa"/>
            <w:vAlign w:val="center"/>
          </w:tcPr>
          <w:p w14:paraId="0FF34D31" w14:textId="1FEC0425" w:rsidR="00DA7FB9" w:rsidRDefault="003E27EF" w:rsidP="00DA7FB9">
            <w:pPr>
              <w:jc w:val="right"/>
              <w:rPr>
                <w:lang w:eastAsia="en-AU"/>
              </w:rPr>
            </w:pPr>
            <w:r>
              <w:rPr>
                <w:lang w:eastAsia="en-AU"/>
              </w:rPr>
              <w:t>15</w:t>
            </w:r>
          </w:p>
        </w:tc>
      </w:tr>
      <w:tr w:rsidR="00DA7FB9" w14:paraId="585502E0" w14:textId="77777777" w:rsidTr="002C47F1">
        <w:tc>
          <w:tcPr>
            <w:tcW w:w="3963" w:type="dxa"/>
            <w:vAlign w:val="bottom"/>
          </w:tcPr>
          <w:p w14:paraId="04D35E9B" w14:textId="77777777" w:rsidR="00DA7FB9" w:rsidRDefault="00DA7FB9" w:rsidP="00DA7FB9">
            <w:pPr>
              <w:rPr>
                <w:lang w:eastAsia="en-AU"/>
              </w:rPr>
            </w:pPr>
            <w:r>
              <w:t>CLC payments</w:t>
            </w:r>
          </w:p>
        </w:tc>
        <w:tc>
          <w:tcPr>
            <w:tcW w:w="2037" w:type="dxa"/>
          </w:tcPr>
          <w:p w14:paraId="3BE11270" w14:textId="351A9B70" w:rsidR="00DA7FB9" w:rsidRPr="00DA7FB9" w:rsidRDefault="00DA7FB9" w:rsidP="00DA7FB9">
            <w:pPr>
              <w:jc w:val="right"/>
              <w:rPr>
                <w:lang w:eastAsia="en-AU"/>
              </w:rPr>
            </w:pPr>
            <w:r w:rsidRPr="00DA7FB9">
              <w:t xml:space="preserve">16,847 </w:t>
            </w:r>
          </w:p>
        </w:tc>
        <w:tc>
          <w:tcPr>
            <w:tcW w:w="2038" w:type="dxa"/>
          </w:tcPr>
          <w:p w14:paraId="448D1A05" w14:textId="45CEA11D" w:rsidR="00DA7FB9" w:rsidRPr="00DA7FB9" w:rsidRDefault="00DA7FB9" w:rsidP="00DA7FB9">
            <w:pPr>
              <w:jc w:val="right"/>
              <w:rPr>
                <w:rFonts w:cs="Arial"/>
                <w:color w:val="000000"/>
                <w:szCs w:val="22"/>
              </w:rPr>
            </w:pPr>
            <w:r w:rsidRPr="00DA7FB9">
              <w:t>17,312</w:t>
            </w:r>
          </w:p>
        </w:tc>
        <w:tc>
          <w:tcPr>
            <w:tcW w:w="2038" w:type="dxa"/>
            <w:vAlign w:val="center"/>
          </w:tcPr>
          <w:p w14:paraId="742C08A8" w14:textId="3C67B983" w:rsidR="00DA7FB9" w:rsidRDefault="003E27EF" w:rsidP="00DA7FB9">
            <w:pPr>
              <w:jc w:val="right"/>
              <w:rPr>
                <w:lang w:eastAsia="en-AU"/>
              </w:rPr>
            </w:pPr>
            <w:r>
              <w:rPr>
                <w:lang w:eastAsia="en-AU"/>
              </w:rPr>
              <w:t>3</w:t>
            </w:r>
          </w:p>
        </w:tc>
      </w:tr>
      <w:tr w:rsidR="00DA7FB9" w14:paraId="0DE73416" w14:textId="77777777" w:rsidTr="002C47F1">
        <w:tc>
          <w:tcPr>
            <w:tcW w:w="3963" w:type="dxa"/>
            <w:vAlign w:val="bottom"/>
          </w:tcPr>
          <w:p w14:paraId="505C304E" w14:textId="77777777" w:rsidR="00DA7FB9" w:rsidRDefault="00DA7FB9" w:rsidP="00DA7FB9">
            <w:pPr>
              <w:rPr>
                <w:lang w:eastAsia="en-AU"/>
              </w:rPr>
            </w:pPr>
            <w:r w:rsidRPr="00320668">
              <w:t>Employee benefits</w:t>
            </w:r>
          </w:p>
        </w:tc>
        <w:tc>
          <w:tcPr>
            <w:tcW w:w="2037" w:type="dxa"/>
          </w:tcPr>
          <w:p w14:paraId="7BB5ED82" w14:textId="58C9E670" w:rsidR="00DA7FB9" w:rsidRPr="00DA7FB9" w:rsidRDefault="00DA7FB9" w:rsidP="00DA7FB9">
            <w:pPr>
              <w:jc w:val="right"/>
              <w:rPr>
                <w:lang w:eastAsia="en-AU"/>
              </w:rPr>
            </w:pPr>
            <w:r w:rsidRPr="00DA7FB9">
              <w:t xml:space="preserve">68,781 </w:t>
            </w:r>
          </w:p>
        </w:tc>
        <w:tc>
          <w:tcPr>
            <w:tcW w:w="2038" w:type="dxa"/>
          </w:tcPr>
          <w:p w14:paraId="0D6597E1" w14:textId="23079E5E" w:rsidR="00DA7FB9" w:rsidRPr="00DA7FB9" w:rsidRDefault="00DA7FB9" w:rsidP="00DA7FB9">
            <w:pPr>
              <w:jc w:val="right"/>
              <w:rPr>
                <w:rFonts w:cs="Arial"/>
                <w:color w:val="000000"/>
                <w:szCs w:val="22"/>
              </w:rPr>
            </w:pPr>
            <w:r w:rsidRPr="00DA7FB9">
              <w:t>75,182</w:t>
            </w:r>
          </w:p>
        </w:tc>
        <w:tc>
          <w:tcPr>
            <w:tcW w:w="2038" w:type="dxa"/>
            <w:vAlign w:val="center"/>
          </w:tcPr>
          <w:p w14:paraId="0D804BC3" w14:textId="7244A7A9" w:rsidR="00DA7FB9" w:rsidRDefault="003E27EF" w:rsidP="00DA7FB9">
            <w:pPr>
              <w:jc w:val="right"/>
              <w:rPr>
                <w:lang w:eastAsia="en-AU"/>
              </w:rPr>
            </w:pPr>
            <w:r>
              <w:rPr>
                <w:lang w:eastAsia="en-AU"/>
              </w:rPr>
              <w:t>9</w:t>
            </w:r>
          </w:p>
        </w:tc>
      </w:tr>
      <w:tr w:rsidR="00DA7FB9" w14:paraId="7585F2D3" w14:textId="77777777" w:rsidTr="002C47F1">
        <w:tc>
          <w:tcPr>
            <w:tcW w:w="3963" w:type="dxa"/>
            <w:vAlign w:val="bottom"/>
          </w:tcPr>
          <w:p w14:paraId="79C5E4F7" w14:textId="77777777" w:rsidR="00DA7FB9" w:rsidRDefault="00DA7FB9" w:rsidP="00DA7FB9">
            <w:r w:rsidRPr="00320668">
              <w:t>Depreciation and amortisation</w:t>
            </w:r>
          </w:p>
        </w:tc>
        <w:tc>
          <w:tcPr>
            <w:tcW w:w="2037" w:type="dxa"/>
          </w:tcPr>
          <w:p w14:paraId="37EDC1AE" w14:textId="549A2CDB" w:rsidR="00DA7FB9" w:rsidRPr="00DA7FB9" w:rsidRDefault="00DA7FB9" w:rsidP="00DA7FB9">
            <w:pPr>
              <w:jc w:val="right"/>
              <w:rPr>
                <w:lang w:eastAsia="en-AU"/>
              </w:rPr>
            </w:pPr>
            <w:r w:rsidRPr="00DA7FB9">
              <w:t xml:space="preserve">3,219 </w:t>
            </w:r>
          </w:p>
        </w:tc>
        <w:tc>
          <w:tcPr>
            <w:tcW w:w="2038" w:type="dxa"/>
          </w:tcPr>
          <w:p w14:paraId="372C040E" w14:textId="765344E7" w:rsidR="00DA7FB9" w:rsidRPr="00DA7FB9" w:rsidRDefault="00DA7FB9" w:rsidP="00DA7FB9">
            <w:pPr>
              <w:jc w:val="right"/>
              <w:rPr>
                <w:rFonts w:cs="Arial"/>
                <w:color w:val="000000"/>
                <w:szCs w:val="22"/>
              </w:rPr>
            </w:pPr>
            <w:r w:rsidRPr="00DA7FB9">
              <w:t>2,986</w:t>
            </w:r>
          </w:p>
        </w:tc>
        <w:tc>
          <w:tcPr>
            <w:tcW w:w="2038" w:type="dxa"/>
            <w:vAlign w:val="center"/>
          </w:tcPr>
          <w:p w14:paraId="2EA470BE" w14:textId="25E7E41C" w:rsidR="00DA7FB9" w:rsidRDefault="003E27EF" w:rsidP="00DA7FB9">
            <w:pPr>
              <w:jc w:val="right"/>
              <w:rPr>
                <w:lang w:eastAsia="en-AU"/>
              </w:rPr>
            </w:pPr>
            <w:r>
              <w:rPr>
                <w:lang w:eastAsia="en-AU"/>
              </w:rPr>
              <w:t>-7</w:t>
            </w:r>
          </w:p>
        </w:tc>
      </w:tr>
      <w:tr w:rsidR="00DA7FB9" w14:paraId="1E40F9A0" w14:textId="77777777" w:rsidTr="00DA7FB9">
        <w:tc>
          <w:tcPr>
            <w:tcW w:w="3963" w:type="dxa"/>
            <w:shd w:val="clear" w:color="auto" w:fill="FFFFFF" w:themeFill="background1"/>
            <w:vAlign w:val="bottom"/>
          </w:tcPr>
          <w:p w14:paraId="2EC185A2" w14:textId="77777777" w:rsidR="00DA7FB9" w:rsidRPr="002312A1" w:rsidRDefault="00DA7FB9" w:rsidP="00DA7FB9">
            <w:pPr>
              <w:rPr>
                <w:b/>
                <w:lang w:eastAsia="en-AU"/>
              </w:rPr>
            </w:pPr>
            <w:r w:rsidRPr="00320668">
              <w:t xml:space="preserve">Other </w:t>
            </w:r>
            <w:r w:rsidRPr="00BF65AA">
              <w:t>expenditure</w:t>
            </w:r>
          </w:p>
        </w:tc>
        <w:tc>
          <w:tcPr>
            <w:tcW w:w="2037" w:type="dxa"/>
          </w:tcPr>
          <w:p w14:paraId="513070CA" w14:textId="39B7A30D" w:rsidR="00DA7FB9" w:rsidRPr="00DA7FB9" w:rsidRDefault="00DA7FB9" w:rsidP="00DA7FB9">
            <w:pPr>
              <w:jc w:val="right"/>
              <w:rPr>
                <w:lang w:eastAsia="en-AU"/>
              </w:rPr>
            </w:pPr>
            <w:r w:rsidRPr="00DA7FB9">
              <w:t xml:space="preserve">21,773 </w:t>
            </w:r>
          </w:p>
        </w:tc>
        <w:tc>
          <w:tcPr>
            <w:tcW w:w="2038" w:type="dxa"/>
          </w:tcPr>
          <w:p w14:paraId="4A63E686" w14:textId="73873A11" w:rsidR="00DA7FB9" w:rsidRPr="00DA7FB9" w:rsidRDefault="00DA7FB9" w:rsidP="00DA7FB9">
            <w:pPr>
              <w:jc w:val="right"/>
              <w:rPr>
                <w:rFonts w:cs="Arial"/>
                <w:color w:val="000000"/>
                <w:szCs w:val="22"/>
              </w:rPr>
            </w:pPr>
            <w:r w:rsidRPr="00DA7FB9">
              <w:t>19,452</w:t>
            </w:r>
          </w:p>
        </w:tc>
        <w:tc>
          <w:tcPr>
            <w:tcW w:w="2038" w:type="dxa"/>
            <w:shd w:val="clear" w:color="auto" w:fill="FFFFFF" w:themeFill="background1"/>
            <w:vAlign w:val="center"/>
          </w:tcPr>
          <w:p w14:paraId="758F8728" w14:textId="5DD7CEFD" w:rsidR="00DA7FB9" w:rsidRDefault="003E27EF" w:rsidP="00DA7FB9">
            <w:pPr>
              <w:jc w:val="right"/>
            </w:pPr>
            <w:r>
              <w:t>-11</w:t>
            </w:r>
          </w:p>
        </w:tc>
      </w:tr>
      <w:tr w:rsidR="00DA7FB9" w14:paraId="2EA0B70A" w14:textId="77777777" w:rsidTr="003E27EF">
        <w:tc>
          <w:tcPr>
            <w:tcW w:w="3963" w:type="dxa"/>
            <w:tcBorders>
              <w:bottom w:val="single" w:sz="4" w:space="0" w:color="auto"/>
            </w:tcBorders>
            <w:shd w:val="clear" w:color="auto" w:fill="F2F2F2" w:themeFill="background1" w:themeFillShade="F2"/>
            <w:vAlign w:val="bottom"/>
          </w:tcPr>
          <w:p w14:paraId="3DB53EC6" w14:textId="77777777" w:rsidR="00DA7FB9" w:rsidRPr="00320668" w:rsidRDefault="00DA7FB9" w:rsidP="00DA7FB9">
            <w:r w:rsidRPr="00E83534">
              <w:rPr>
                <w:b/>
              </w:rPr>
              <w:t>Total expenses from transactions</w:t>
            </w:r>
          </w:p>
        </w:tc>
        <w:tc>
          <w:tcPr>
            <w:tcW w:w="2037" w:type="dxa"/>
            <w:shd w:val="clear" w:color="auto" w:fill="F2F2F2" w:themeFill="background1" w:themeFillShade="F2"/>
          </w:tcPr>
          <w:p w14:paraId="6D360EFD" w14:textId="54F70D3A" w:rsidR="00DA7FB9" w:rsidRPr="00DA7FB9" w:rsidRDefault="00DA7FB9" w:rsidP="00DA7FB9">
            <w:pPr>
              <w:jc w:val="right"/>
              <w:rPr>
                <w:b/>
                <w:lang w:eastAsia="en-AU"/>
              </w:rPr>
            </w:pPr>
            <w:r w:rsidRPr="00DA7FB9">
              <w:t xml:space="preserve">191,297 </w:t>
            </w:r>
          </w:p>
        </w:tc>
        <w:tc>
          <w:tcPr>
            <w:tcW w:w="2038" w:type="dxa"/>
            <w:shd w:val="clear" w:color="auto" w:fill="F2F2F2" w:themeFill="background1" w:themeFillShade="F2"/>
          </w:tcPr>
          <w:p w14:paraId="4DE9F0AD" w14:textId="25CB8A99" w:rsidR="00DA7FB9" w:rsidRPr="00DA7FB9" w:rsidRDefault="00DA7FB9" w:rsidP="00DA7FB9">
            <w:pPr>
              <w:jc w:val="right"/>
              <w:rPr>
                <w:rFonts w:cs="Arial"/>
                <w:color w:val="000000"/>
                <w:szCs w:val="22"/>
              </w:rPr>
            </w:pPr>
            <w:r w:rsidRPr="00DA7FB9">
              <w:t>207,959</w:t>
            </w:r>
          </w:p>
        </w:tc>
        <w:tc>
          <w:tcPr>
            <w:tcW w:w="2038" w:type="dxa"/>
            <w:tcBorders>
              <w:bottom w:val="single" w:sz="4" w:space="0" w:color="auto"/>
            </w:tcBorders>
            <w:shd w:val="clear" w:color="auto" w:fill="F2F2F2" w:themeFill="background1" w:themeFillShade="F2"/>
            <w:vAlign w:val="center"/>
          </w:tcPr>
          <w:p w14:paraId="22C304ED" w14:textId="40F8436A" w:rsidR="00DA7FB9" w:rsidRDefault="003E27EF" w:rsidP="00DA7FB9">
            <w:pPr>
              <w:jc w:val="right"/>
            </w:pPr>
            <w:r>
              <w:t>9</w:t>
            </w:r>
          </w:p>
        </w:tc>
      </w:tr>
    </w:tbl>
    <w:p w14:paraId="7DC71403" w14:textId="77777777" w:rsidR="005D275B" w:rsidRDefault="005D275B" w:rsidP="00411D67">
      <w:pPr>
        <w:rPr>
          <w:lang w:eastAsia="en-AU"/>
        </w:rPr>
      </w:pPr>
    </w:p>
    <w:p w14:paraId="0C205C7F" w14:textId="77777777" w:rsidR="00411D67" w:rsidRDefault="00411D67" w:rsidP="00411D67">
      <w:pPr>
        <w:pStyle w:val="Heading3"/>
      </w:pPr>
      <w:r>
        <w:lastRenderedPageBreak/>
        <w:t xml:space="preserve">2017–18 Service and expenditure profile </w:t>
      </w:r>
    </w:p>
    <w:p w14:paraId="50893E2A" w14:textId="605F8E36" w:rsidR="00411D67" w:rsidRPr="00D80922" w:rsidRDefault="00411D67" w:rsidP="00411D67">
      <w:pPr>
        <w:rPr>
          <w:highlight w:val="yellow"/>
        </w:rPr>
      </w:pPr>
      <w:r w:rsidRPr="00BD5DA3">
        <w:t xml:space="preserve">The following information outlines full year service and expenditure details across Victoria Legal Aid and provides important context for our </w:t>
      </w:r>
      <w:r w:rsidR="00BD5DA3" w:rsidRPr="00BD5DA3">
        <w:t>annual</w:t>
      </w:r>
      <w:r w:rsidRPr="00BD5DA3">
        <w:t xml:space="preserve"> results. It shows where our funding comes from and how we allocated funds for the current financial year, in response to the different types of legal need in the community and our current eligibility guidelines. </w:t>
      </w:r>
      <w:r w:rsidRPr="00295065">
        <w:t xml:space="preserve">The data shows our criminal law program, the largest program in terms of services and expenditure, </w:t>
      </w:r>
      <w:r w:rsidR="00295065">
        <w:t xml:space="preserve">experienced </w:t>
      </w:r>
      <w:r w:rsidRPr="00295065">
        <w:t>the greatest growth this year due to unprecedented pressures on the criminal justice system.</w:t>
      </w:r>
    </w:p>
    <w:p w14:paraId="1BB1113C" w14:textId="0FD45FC2" w:rsidR="00411D67" w:rsidRDefault="00411D67" w:rsidP="00411D67">
      <w:pPr>
        <w:pStyle w:val="Heading4"/>
      </w:pPr>
      <w:bookmarkStart w:id="6" w:name="_Hlk523408462"/>
      <w:r w:rsidRPr="00C6585D">
        <w:t>2018 annual revenue by funding source</w:t>
      </w:r>
    </w:p>
    <w:tbl>
      <w:tblPr>
        <w:tblStyle w:val="TableGrid"/>
        <w:tblW w:w="5000" w:type="pct"/>
        <w:tblLook w:val="04A0" w:firstRow="1" w:lastRow="0" w:firstColumn="1" w:lastColumn="0" w:noHBand="0" w:noVBand="1"/>
      </w:tblPr>
      <w:tblGrid>
        <w:gridCol w:w="3404"/>
        <w:gridCol w:w="3336"/>
        <w:gridCol w:w="3336"/>
      </w:tblGrid>
      <w:tr w:rsidR="00411D67" w:rsidRPr="006D5FA0" w14:paraId="615E6511" w14:textId="77777777" w:rsidTr="00FC00DB">
        <w:tc>
          <w:tcPr>
            <w:tcW w:w="3404" w:type="dxa"/>
            <w:shd w:val="clear" w:color="auto" w:fill="D9D9D9" w:themeFill="background1" w:themeFillShade="D9"/>
            <w:vAlign w:val="center"/>
          </w:tcPr>
          <w:p w14:paraId="72EEF6B2" w14:textId="77777777" w:rsidR="00411D67" w:rsidRPr="006D5FA0" w:rsidRDefault="00411D67" w:rsidP="00614D43">
            <w:pPr>
              <w:jc w:val="right"/>
              <w:rPr>
                <w:rFonts w:cs="Arial"/>
                <w:b/>
                <w:szCs w:val="22"/>
              </w:rPr>
            </w:pPr>
          </w:p>
        </w:tc>
        <w:tc>
          <w:tcPr>
            <w:tcW w:w="3336" w:type="dxa"/>
            <w:shd w:val="clear" w:color="auto" w:fill="D9D9D9" w:themeFill="background1" w:themeFillShade="D9"/>
            <w:vAlign w:val="center"/>
          </w:tcPr>
          <w:p w14:paraId="547B0AF1" w14:textId="77777777" w:rsidR="00411D67" w:rsidRPr="006D5FA0" w:rsidRDefault="00411D67" w:rsidP="00614D43">
            <w:pPr>
              <w:jc w:val="right"/>
              <w:rPr>
                <w:rFonts w:cs="Arial"/>
                <w:b/>
                <w:szCs w:val="22"/>
              </w:rPr>
            </w:pPr>
            <w:r>
              <w:rPr>
                <w:b/>
              </w:rPr>
              <w:t>Funding ($millions)</w:t>
            </w:r>
          </w:p>
        </w:tc>
        <w:tc>
          <w:tcPr>
            <w:tcW w:w="3336" w:type="dxa"/>
            <w:shd w:val="clear" w:color="auto" w:fill="D9D9D9" w:themeFill="background1" w:themeFillShade="D9"/>
            <w:vAlign w:val="center"/>
          </w:tcPr>
          <w:p w14:paraId="0F5F9832" w14:textId="77777777" w:rsidR="00411D67" w:rsidRPr="009B6B08" w:rsidRDefault="00411D67" w:rsidP="00614D43">
            <w:pPr>
              <w:spacing w:after="0" w:line="240" w:lineRule="auto"/>
              <w:jc w:val="right"/>
              <w:rPr>
                <w:rFonts w:cs="Arial"/>
                <w:b/>
                <w:color w:val="000000"/>
                <w:sz w:val="24"/>
              </w:rPr>
            </w:pPr>
            <w:r w:rsidRPr="009B6B08">
              <w:rPr>
                <w:rFonts w:cs="Arial"/>
                <w:b/>
                <w:color w:val="000000"/>
              </w:rPr>
              <w:t>Share of annual funding</w:t>
            </w:r>
          </w:p>
        </w:tc>
      </w:tr>
      <w:tr w:rsidR="00FC00DB" w:rsidRPr="006D5FA0" w14:paraId="6D163814" w14:textId="77777777" w:rsidTr="00FC00DB">
        <w:tc>
          <w:tcPr>
            <w:tcW w:w="3404" w:type="dxa"/>
            <w:vAlign w:val="center"/>
          </w:tcPr>
          <w:p w14:paraId="7D583223" w14:textId="77777777" w:rsidR="00FC00DB" w:rsidRDefault="00FC00DB" w:rsidP="00FC00DB">
            <w:pPr>
              <w:spacing w:after="0" w:line="240" w:lineRule="auto"/>
              <w:rPr>
                <w:rFonts w:cs="Arial"/>
                <w:color w:val="000000"/>
                <w:sz w:val="24"/>
              </w:rPr>
            </w:pPr>
            <w:r>
              <w:rPr>
                <w:rFonts w:cs="Arial"/>
                <w:color w:val="000000"/>
              </w:rPr>
              <w:t>State Government</w:t>
            </w:r>
          </w:p>
        </w:tc>
        <w:tc>
          <w:tcPr>
            <w:tcW w:w="3336" w:type="dxa"/>
            <w:tcBorders>
              <w:top w:val="nil"/>
              <w:left w:val="nil"/>
              <w:bottom w:val="single" w:sz="8" w:space="0" w:color="auto"/>
              <w:right w:val="single" w:sz="8" w:space="0" w:color="auto"/>
            </w:tcBorders>
            <w:vAlign w:val="center"/>
          </w:tcPr>
          <w:p w14:paraId="3B88574F" w14:textId="522C2693" w:rsidR="00FC00DB" w:rsidRDefault="00FC00DB" w:rsidP="00FC00DB">
            <w:pPr>
              <w:spacing w:after="0" w:line="240" w:lineRule="auto"/>
              <w:jc w:val="right"/>
              <w:rPr>
                <w:rFonts w:cs="Arial"/>
                <w:color w:val="000000"/>
                <w:sz w:val="24"/>
              </w:rPr>
            </w:pPr>
            <w:r>
              <w:rPr>
                <w:rFonts w:cs="Arial"/>
              </w:rPr>
              <w:t>113.5</w:t>
            </w:r>
          </w:p>
        </w:tc>
        <w:tc>
          <w:tcPr>
            <w:tcW w:w="3336" w:type="dxa"/>
            <w:tcBorders>
              <w:top w:val="nil"/>
              <w:left w:val="nil"/>
              <w:bottom w:val="single" w:sz="8" w:space="0" w:color="auto"/>
              <w:right w:val="single" w:sz="8" w:space="0" w:color="auto"/>
            </w:tcBorders>
            <w:vAlign w:val="center"/>
          </w:tcPr>
          <w:p w14:paraId="788A4F6E" w14:textId="7810E5C7" w:rsidR="00FC00DB" w:rsidRDefault="00FC00DB" w:rsidP="00FC00DB">
            <w:pPr>
              <w:jc w:val="right"/>
              <w:rPr>
                <w:rFonts w:cs="Arial"/>
                <w:color w:val="000000"/>
              </w:rPr>
            </w:pPr>
            <w:r>
              <w:rPr>
                <w:rFonts w:cs="Arial"/>
              </w:rPr>
              <w:t>56%</w:t>
            </w:r>
          </w:p>
        </w:tc>
      </w:tr>
      <w:tr w:rsidR="00FC00DB" w:rsidRPr="006D5FA0" w14:paraId="104DDD32" w14:textId="77777777" w:rsidTr="00FC00DB">
        <w:tc>
          <w:tcPr>
            <w:tcW w:w="3404" w:type="dxa"/>
            <w:vAlign w:val="center"/>
          </w:tcPr>
          <w:p w14:paraId="087240B2" w14:textId="77777777" w:rsidR="00FC00DB" w:rsidRDefault="00FC00DB" w:rsidP="00FC00DB">
            <w:pPr>
              <w:rPr>
                <w:rFonts w:cs="Arial"/>
                <w:color w:val="000000"/>
              </w:rPr>
            </w:pPr>
            <w:r>
              <w:rPr>
                <w:rFonts w:cs="Arial"/>
                <w:color w:val="000000"/>
              </w:rPr>
              <w:t>Commonwealth Government</w:t>
            </w:r>
          </w:p>
        </w:tc>
        <w:tc>
          <w:tcPr>
            <w:tcW w:w="3336" w:type="dxa"/>
            <w:tcBorders>
              <w:top w:val="nil"/>
              <w:left w:val="nil"/>
              <w:bottom w:val="single" w:sz="8" w:space="0" w:color="auto"/>
              <w:right w:val="single" w:sz="8" w:space="0" w:color="auto"/>
            </w:tcBorders>
            <w:vAlign w:val="center"/>
          </w:tcPr>
          <w:p w14:paraId="22288FA8" w14:textId="02D0C25A" w:rsidR="00FC00DB" w:rsidRDefault="00FC00DB" w:rsidP="00FC00DB">
            <w:pPr>
              <w:jc w:val="right"/>
              <w:rPr>
                <w:rFonts w:cs="Arial"/>
                <w:color w:val="000000"/>
              </w:rPr>
            </w:pPr>
            <w:r>
              <w:rPr>
                <w:rFonts w:cs="Arial"/>
              </w:rPr>
              <w:t>53.7</w:t>
            </w:r>
          </w:p>
        </w:tc>
        <w:tc>
          <w:tcPr>
            <w:tcW w:w="3336" w:type="dxa"/>
            <w:tcBorders>
              <w:top w:val="nil"/>
              <w:left w:val="nil"/>
              <w:bottom w:val="single" w:sz="8" w:space="0" w:color="auto"/>
              <w:right w:val="single" w:sz="8" w:space="0" w:color="auto"/>
            </w:tcBorders>
            <w:vAlign w:val="center"/>
          </w:tcPr>
          <w:p w14:paraId="091BF335" w14:textId="3B4BF8B5" w:rsidR="00FC00DB" w:rsidRDefault="00FC00DB" w:rsidP="00FC00DB">
            <w:pPr>
              <w:jc w:val="right"/>
              <w:rPr>
                <w:rFonts w:cs="Arial"/>
                <w:color w:val="000000"/>
              </w:rPr>
            </w:pPr>
            <w:r>
              <w:rPr>
                <w:rFonts w:cs="Arial"/>
              </w:rPr>
              <w:t>27%</w:t>
            </w:r>
          </w:p>
        </w:tc>
      </w:tr>
      <w:tr w:rsidR="00FC00DB" w:rsidRPr="006D5FA0" w14:paraId="20C6C9C8" w14:textId="77777777" w:rsidTr="00FC00DB">
        <w:tc>
          <w:tcPr>
            <w:tcW w:w="3404" w:type="dxa"/>
            <w:vAlign w:val="center"/>
          </w:tcPr>
          <w:p w14:paraId="162B8FB3" w14:textId="77777777" w:rsidR="00FC00DB" w:rsidRDefault="00FC00DB" w:rsidP="00FC00DB">
            <w:pPr>
              <w:rPr>
                <w:rFonts w:cs="Arial"/>
                <w:color w:val="000000"/>
              </w:rPr>
            </w:pPr>
            <w:r>
              <w:rPr>
                <w:rFonts w:cs="Arial"/>
                <w:color w:val="000000"/>
              </w:rPr>
              <w:t>Legal Services Board</w:t>
            </w:r>
          </w:p>
        </w:tc>
        <w:tc>
          <w:tcPr>
            <w:tcW w:w="3336" w:type="dxa"/>
            <w:tcBorders>
              <w:top w:val="nil"/>
              <w:left w:val="nil"/>
              <w:bottom w:val="single" w:sz="8" w:space="0" w:color="auto"/>
              <w:right w:val="single" w:sz="8" w:space="0" w:color="auto"/>
            </w:tcBorders>
            <w:vAlign w:val="center"/>
          </w:tcPr>
          <w:p w14:paraId="203472E9" w14:textId="1DBCAE38" w:rsidR="00FC00DB" w:rsidRDefault="00FC00DB" w:rsidP="00FC00DB">
            <w:pPr>
              <w:jc w:val="right"/>
              <w:rPr>
                <w:rFonts w:cs="Arial"/>
                <w:color w:val="000000"/>
              </w:rPr>
            </w:pPr>
            <w:r>
              <w:rPr>
                <w:rFonts w:cs="Arial"/>
              </w:rPr>
              <w:t>30.0</w:t>
            </w:r>
          </w:p>
        </w:tc>
        <w:tc>
          <w:tcPr>
            <w:tcW w:w="3336" w:type="dxa"/>
            <w:tcBorders>
              <w:top w:val="nil"/>
              <w:left w:val="nil"/>
              <w:bottom w:val="single" w:sz="8" w:space="0" w:color="auto"/>
              <w:right w:val="single" w:sz="8" w:space="0" w:color="auto"/>
            </w:tcBorders>
            <w:vAlign w:val="center"/>
          </w:tcPr>
          <w:p w14:paraId="172926EB" w14:textId="6C910381" w:rsidR="00FC00DB" w:rsidRDefault="00FC00DB" w:rsidP="00FC00DB">
            <w:pPr>
              <w:jc w:val="right"/>
              <w:rPr>
                <w:rFonts w:cs="Arial"/>
                <w:color w:val="000000"/>
              </w:rPr>
            </w:pPr>
            <w:r>
              <w:rPr>
                <w:rFonts w:cs="Arial"/>
              </w:rPr>
              <w:t>15%</w:t>
            </w:r>
          </w:p>
        </w:tc>
      </w:tr>
      <w:tr w:rsidR="00FC00DB" w:rsidRPr="006D5FA0" w14:paraId="108EA841" w14:textId="77777777" w:rsidTr="00FC00DB">
        <w:tc>
          <w:tcPr>
            <w:tcW w:w="3404" w:type="dxa"/>
            <w:vAlign w:val="center"/>
          </w:tcPr>
          <w:p w14:paraId="0537D148" w14:textId="77777777" w:rsidR="00FC00DB" w:rsidRDefault="00FC00DB" w:rsidP="00FC00DB">
            <w:pPr>
              <w:rPr>
                <w:rFonts w:cs="Arial"/>
                <w:color w:val="000000"/>
              </w:rPr>
            </w:pPr>
            <w:r>
              <w:rPr>
                <w:rFonts w:cs="Arial"/>
                <w:color w:val="000000"/>
              </w:rPr>
              <w:t>Other</w:t>
            </w:r>
          </w:p>
        </w:tc>
        <w:tc>
          <w:tcPr>
            <w:tcW w:w="3336" w:type="dxa"/>
            <w:tcBorders>
              <w:top w:val="nil"/>
              <w:left w:val="nil"/>
              <w:bottom w:val="single" w:sz="8" w:space="0" w:color="auto"/>
              <w:right w:val="single" w:sz="8" w:space="0" w:color="auto"/>
            </w:tcBorders>
            <w:vAlign w:val="center"/>
          </w:tcPr>
          <w:p w14:paraId="49645F8B" w14:textId="6A7464AC" w:rsidR="00FC00DB" w:rsidRDefault="00FC00DB" w:rsidP="00FC00DB">
            <w:pPr>
              <w:jc w:val="right"/>
              <w:rPr>
                <w:rFonts w:cs="Arial"/>
                <w:color w:val="000000"/>
              </w:rPr>
            </w:pPr>
            <w:r>
              <w:rPr>
                <w:rFonts w:cs="Arial"/>
              </w:rPr>
              <w:t>4.5</w:t>
            </w:r>
          </w:p>
        </w:tc>
        <w:tc>
          <w:tcPr>
            <w:tcW w:w="3336" w:type="dxa"/>
            <w:tcBorders>
              <w:top w:val="nil"/>
              <w:left w:val="nil"/>
              <w:bottom w:val="single" w:sz="8" w:space="0" w:color="auto"/>
              <w:right w:val="single" w:sz="8" w:space="0" w:color="auto"/>
            </w:tcBorders>
            <w:vAlign w:val="center"/>
          </w:tcPr>
          <w:p w14:paraId="2AB22DAA" w14:textId="12405E35" w:rsidR="00FC00DB" w:rsidRDefault="00FC00DB" w:rsidP="00FC00DB">
            <w:pPr>
              <w:jc w:val="right"/>
              <w:rPr>
                <w:rFonts w:cs="Arial"/>
                <w:color w:val="000000"/>
              </w:rPr>
            </w:pPr>
            <w:r>
              <w:rPr>
                <w:rFonts w:cs="Arial"/>
              </w:rPr>
              <w:t>2%</w:t>
            </w:r>
          </w:p>
        </w:tc>
      </w:tr>
      <w:tr w:rsidR="00FC00DB" w:rsidRPr="006D5FA0" w14:paraId="436FFB5B" w14:textId="77777777" w:rsidTr="00FC00DB">
        <w:tc>
          <w:tcPr>
            <w:tcW w:w="3404" w:type="dxa"/>
            <w:vAlign w:val="center"/>
          </w:tcPr>
          <w:p w14:paraId="4BD982C1" w14:textId="77777777" w:rsidR="00FC00DB" w:rsidRDefault="00FC00DB" w:rsidP="00FC00DB">
            <w:pPr>
              <w:rPr>
                <w:rFonts w:cs="Arial"/>
                <w:color w:val="000000"/>
              </w:rPr>
            </w:pPr>
            <w:r>
              <w:rPr>
                <w:rFonts w:cs="Arial"/>
                <w:color w:val="000000"/>
              </w:rPr>
              <w:t xml:space="preserve">Total </w:t>
            </w:r>
          </w:p>
        </w:tc>
        <w:tc>
          <w:tcPr>
            <w:tcW w:w="3336" w:type="dxa"/>
            <w:tcBorders>
              <w:top w:val="nil"/>
              <w:left w:val="nil"/>
              <w:bottom w:val="single" w:sz="8" w:space="0" w:color="auto"/>
              <w:right w:val="single" w:sz="8" w:space="0" w:color="auto"/>
            </w:tcBorders>
            <w:vAlign w:val="center"/>
          </w:tcPr>
          <w:p w14:paraId="727A0857" w14:textId="0E471286" w:rsidR="00FC00DB" w:rsidRDefault="00FC00DB" w:rsidP="00FC00DB">
            <w:pPr>
              <w:jc w:val="right"/>
              <w:rPr>
                <w:rFonts w:cs="Arial"/>
                <w:color w:val="000000"/>
              </w:rPr>
            </w:pPr>
            <w:r>
              <w:rPr>
                <w:rFonts w:cs="Arial"/>
              </w:rPr>
              <w:t>201.8</w:t>
            </w:r>
          </w:p>
        </w:tc>
        <w:tc>
          <w:tcPr>
            <w:tcW w:w="3336" w:type="dxa"/>
            <w:tcBorders>
              <w:top w:val="nil"/>
              <w:left w:val="nil"/>
              <w:bottom w:val="single" w:sz="8" w:space="0" w:color="auto"/>
              <w:right w:val="single" w:sz="8" w:space="0" w:color="auto"/>
            </w:tcBorders>
            <w:vAlign w:val="center"/>
          </w:tcPr>
          <w:p w14:paraId="4E9EF6D4" w14:textId="4A6AD1EC" w:rsidR="00FC00DB" w:rsidRDefault="00FC00DB" w:rsidP="00FC00DB">
            <w:pPr>
              <w:jc w:val="right"/>
              <w:rPr>
                <w:rFonts w:cs="Arial"/>
                <w:color w:val="000000"/>
              </w:rPr>
            </w:pPr>
            <w:r>
              <w:rPr>
                <w:rFonts w:cs="Arial"/>
              </w:rPr>
              <w:t>100%</w:t>
            </w:r>
          </w:p>
        </w:tc>
      </w:tr>
    </w:tbl>
    <w:p w14:paraId="3A0AB1D1" w14:textId="6125A650" w:rsidR="00411D67" w:rsidRDefault="00411D67" w:rsidP="00411D67">
      <w:pPr>
        <w:pStyle w:val="Heading4"/>
      </w:pPr>
      <w:bookmarkStart w:id="7" w:name="_Hlk523233939"/>
      <w:bookmarkEnd w:id="6"/>
      <w:r w:rsidRPr="009B6B08">
        <w:t xml:space="preserve">Expenditure by program area </w:t>
      </w:r>
      <w:r w:rsidR="00F665BB" w:rsidRPr="00F665BB">
        <w:t>2017–</w:t>
      </w:r>
      <w:r w:rsidR="00F665BB">
        <w:t xml:space="preserve">18 </w:t>
      </w:r>
    </w:p>
    <w:tbl>
      <w:tblPr>
        <w:tblStyle w:val="TableGrid"/>
        <w:tblW w:w="5000" w:type="pct"/>
        <w:tblLook w:val="04A0" w:firstRow="1" w:lastRow="0" w:firstColumn="1" w:lastColumn="0" w:noHBand="0" w:noVBand="1"/>
      </w:tblPr>
      <w:tblGrid>
        <w:gridCol w:w="2498"/>
        <w:gridCol w:w="2233"/>
        <w:gridCol w:w="2073"/>
        <w:gridCol w:w="1636"/>
        <w:gridCol w:w="1636"/>
      </w:tblGrid>
      <w:tr w:rsidR="00A73B92" w:rsidRPr="009B6B08" w14:paraId="146DFDE9" w14:textId="77777777" w:rsidTr="002C47F1">
        <w:tc>
          <w:tcPr>
            <w:tcW w:w="2498" w:type="dxa"/>
            <w:shd w:val="clear" w:color="auto" w:fill="D9D9D9" w:themeFill="background1" w:themeFillShade="D9"/>
          </w:tcPr>
          <w:p w14:paraId="47547E02" w14:textId="77777777" w:rsidR="00411D67" w:rsidRPr="006D5FA0" w:rsidRDefault="00411D67" w:rsidP="002C47F1">
            <w:pPr>
              <w:jc w:val="right"/>
              <w:rPr>
                <w:rFonts w:cs="Arial"/>
                <w:b/>
                <w:szCs w:val="22"/>
              </w:rPr>
            </w:pPr>
          </w:p>
        </w:tc>
        <w:tc>
          <w:tcPr>
            <w:tcW w:w="2233" w:type="dxa"/>
            <w:shd w:val="clear" w:color="auto" w:fill="D9D9D9" w:themeFill="background1" w:themeFillShade="D9"/>
          </w:tcPr>
          <w:p w14:paraId="0F72FFD3" w14:textId="77777777" w:rsidR="00411D67" w:rsidRPr="00B757C2" w:rsidRDefault="00411D67" w:rsidP="002C47F1">
            <w:pPr>
              <w:spacing w:after="0" w:line="240" w:lineRule="auto"/>
              <w:jc w:val="right"/>
              <w:rPr>
                <w:rFonts w:cs="Arial"/>
                <w:b/>
                <w:color w:val="000000"/>
                <w:sz w:val="24"/>
              </w:rPr>
            </w:pPr>
            <w:r w:rsidRPr="00B757C2">
              <w:rPr>
                <w:rFonts w:cs="Arial"/>
                <w:b/>
                <w:color w:val="000000"/>
              </w:rPr>
              <w:t>State</w:t>
            </w:r>
            <w:r>
              <w:rPr>
                <w:rFonts w:cs="Arial"/>
                <w:b/>
                <w:color w:val="000000"/>
              </w:rPr>
              <w:t xml:space="preserve"> ($millions)</w:t>
            </w:r>
          </w:p>
        </w:tc>
        <w:tc>
          <w:tcPr>
            <w:tcW w:w="2073" w:type="dxa"/>
            <w:shd w:val="clear" w:color="auto" w:fill="D9D9D9" w:themeFill="background1" w:themeFillShade="D9"/>
          </w:tcPr>
          <w:p w14:paraId="49CD071C" w14:textId="77777777" w:rsidR="00411D67" w:rsidRPr="00B757C2" w:rsidRDefault="00411D67" w:rsidP="002C47F1">
            <w:pPr>
              <w:spacing w:after="0" w:line="240" w:lineRule="auto"/>
              <w:jc w:val="right"/>
              <w:rPr>
                <w:rFonts w:cs="Arial"/>
                <w:b/>
                <w:color w:val="000000"/>
                <w:sz w:val="24"/>
              </w:rPr>
            </w:pPr>
            <w:r w:rsidRPr="00B757C2">
              <w:rPr>
                <w:rFonts w:cs="Arial"/>
                <w:b/>
                <w:color w:val="000000"/>
              </w:rPr>
              <w:t>Commonwealth</w:t>
            </w:r>
            <w:r>
              <w:rPr>
                <w:rFonts w:cs="Arial"/>
                <w:b/>
                <w:color w:val="000000"/>
              </w:rPr>
              <w:t xml:space="preserve"> ($millions)</w:t>
            </w:r>
          </w:p>
        </w:tc>
        <w:tc>
          <w:tcPr>
            <w:tcW w:w="1636" w:type="dxa"/>
            <w:shd w:val="clear" w:color="auto" w:fill="D9D9D9" w:themeFill="background1" w:themeFillShade="D9"/>
          </w:tcPr>
          <w:p w14:paraId="5996A59F" w14:textId="77777777" w:rsidR="00411D67" w:rsidRPr="009B6B08" w:rsidRDefault="00411D67" w:rsidP="002C47F1">
            <w:pPr>
              <w:spacing w:after="0" w:line="240" w:lineRule="auto"/>
              <w:jc w:val="right"/>
              <w:rPr>
                <w:rFonts w:cs="Arial"/>
                <w:b/>
                <w:color w:val="000000"/>
              </w:rPr>
            </w:pPr>
            <w:r>
              <w:rPr>
                <w:rFonts w:cs="Arial"/>
                <w:b/>
                <w:color w:val="000000"/>
              </w:rPr>
              <w:t xml:space="preserve">Total ($millions) </w:t>
            </w:r>
          </w:p>
        </w:tc>
        <w:tc>
          <w:tcPr>
            <w:tcW w:w="1636" w:type="dxa"/>
            <w:shd w:val="clear" w:color="auto" w:fill="D9D9D9" w:themeFill="background1" w:themeFillShade="D9"/>
          </w:tcPr>
          <w:p w14:paraId="035CA68C" w14:textId="189986E5" w:rsidR="00411D67" w:rsidRPr="009B6B08" w:rsidRDefault="00A73B92" w:rsidP="002C47F1">
            <w:pPr>
              <w:spacing w:after="0" w:line="240" w:lineRule="auto"/>
              <w:jc w:val="right"/>
              <w:rPr>
                <w:rFonts w:cs="Arial"/>
                <w:b/>
                <w:color w:val="000000"/>
              </w:rPr>
            </w:pPr>
            <w:r>
              <w:rPr>
                <w:rFonts w:cs="Arial"/>
                <w:b/>
                <w:color w:val="000000"/>
              </w:rPr>
              <w:t>Variance</w:t>
            </w:r>
            <w:r w:rsidR="00411D67">
              <w:rPr>
                <w:rFonts w:cs="Arial"/>
                <w:b/>
                <w:color w:val="000000"/>
              </w:rPr>
              <w:t xml:space="preserve"> </w:t>
            </w:r>
            <w:r w:rsidR="00411D67" w:rsidRPr="00B757C2">
              <w:rPr>
                <w:rFonts w:cs="Arial"/>
                <w:b/>
                <w:color w:val="000000"/>
              </w:rPr>
              <w:t xml:space="preserve">from </w:t>
            </w:r>
            <w:r w:rsidR="00411D67">
              <w:rPr>
                <w:rFonts w:cs="Arial"/>
                <w:b/>
                <w:color w:val="000000"/>
              </w:rPr>
              <w:br/>
            </w:r>
            <w:r w:rsidR="00411D67" w:rsidRPr="00B757C2">
              <w:rPr>
                <w:rFonts w:cs="Arial"/>
                <w:b/>
                <w:color w:val="000000"/>
              </w:rPr>
              <w:t>2016–17</w:t>
            </w:r>
            <w:r w:rsidR="00411D67">
              <w:rPr>
                <w:rFonts w:cs="Arial"/>
                <w:b/>
                <w:color w:val="000000"/>
              </w:rPr>
              <w:br/>
              <w:t xml:space="preserve">($millions)  </w:t>
            </w:r>
          </w:p>
        </w:tc>
      </w:tr>
      <w:tr w:rsidR="00BC4296" w14:paraId="40F84FE3" w14:textId="77777777" w:rsidTr="002C47F1">
        <w:tc>
          <w:tcPr>
            <w:tcW w:w="2498" w:type="dxa"/>
          </w:tcPr>
          <w:p w14:paraId="5AB29E32" w14:textId="77777777" w:rsidR="00BC4296" w:rsidRDefault="00BC4296" w:rsidP="00BC4296">
            <w:pPr>
              <w:jc w:val="right"/>
            </w:pPr>
            <w:r w:rsidRPr="00BF5D6B">
              <w:t>Criminal law</w:t>
            </w:r>
          </w:p>
        </w:tc>
        <w:tc>
          <w:tcPr>
            <w:tcW w:w="2233" w:type="dxa"/>
          </w:tcPr>
          <w:p w14:paraId="116BDA1B" w14:textId="191C7463" w:rsidR="00BC4296" w:rsidRDefault="00AC6CF7" w:rsidP="00BC4296">
            <w:pPr>
              <w:jc w:val="right"/>
              <w:rPr>
                <w:rFonts w:cs="Arial"/>
                <w:color w:val="000000"/>
              </w:rPr>
            </w:pPr>
            <w:r>
              <w:rPr>
                <w:rFonts w:cs="Arial"/>
                <w:color w:val="000000"/>
              </w:rPr>
              <w:t>87.4</w:t>
            </w:r>
          </w:p>
        </w:tc>
        <w:tc>
          <w:tcPr>
            <w:tcW w:w="2073" w:type="dxa"/>
          </w:tcPr>
          <w:p w14:paraId="719AED89" w14:textId="73A9BEF9" w:rsidR="00BC4296" w:rsidRDefault="00AC6CF7" w:rsidP="00BC4296">
            <w:pPr>
              <w:jc w:val="right"/>
              <w:rPr>
                <w:rFonts w:cs="Arial"/>
                <w:color w:val="000000"/>
              </w:rPr>
            </w:pPr>
            <w:r>
              <w:rPr>
                <w:rFonts w:cs="Arial"/>
                <w:color w:val="000000"/>
              </w:rPr>
              <w:t>9.0</w:t>
            </w:r>
          </w:p>
        </w:tc>
        <w:tc>
          <w:tcPr>
            <w:tcW w:w="1636" w:type="dxa"/>
          </w:tcPr>
          <w:p w14:paraId="5F9795A8" w14:textId="52103B76" w:rsidR="00BC4296" w:rsidRDefault="00AC6CF7" w:rsidP="00BC4296">
            <w:pPr>
              <w:jc w:val="right"/>
              <w:rPr>
                <w:rFonts w:cs="Arial"/>
                <w:color w:val="000000"/>
              </w:rPr>
            </w:pPr>
            <w:r>
              <w:rPr>
                <w:rFonts w:cs="Arial"/>
                <w:color w:val="000000"/>
              </w:rPr>
              <w:t>96.4</w:t>
            </w:r>
          </w:p>
        </w:tc>
        <w:tc>
          <w:tcPr>
            <w:tcW w:w="1636" w:type="dxa"/>
          </w:tcPr>
          <w:p w14:paraId="555535A8" w14:textId="53C5F203" w:rsidR="00BC4296" w:rsidRDefault="00AC6CF7" w:rsidP="00BC4296">
            <w:pPr>
              <w:jc w:val="right"/>
              <w:rPr>
                <w:rFonts w:cs="Arial"/>
                <w:color w:val="000000"/>
              </w:rPr>
            </w:pPr>
            <w:r>
              <w:rPr>
                <w:rFonts w:cs="Arial"/>
                <w:color w:val="000000"/>
              </w:rPr>
              <w:t>12.1</w:t>
            </w:r>
          </w:p>
        </w:tc>
      </w:tr>
      <w:tr w:rsidR="00BC4296" w14:paraId="3AFE8D8D" w14:textId="77777777" w:rsidTr="002C47F1">
        <w:tc>
          <w:tcPr>
            <w:tcW w:w="2498" w:type="dxa"/>
          </w:tcPr>
          <w:p w14:paraId="111D99D9" w14:textId="77777777" w:rsidR="00BC4296" w:rsidRPr="00BF5D6B" w:rsidRDefault="00BC4296" w:rsidP="00BC4296">
            <w:pPr>
              <w:jc w:val="right"/>
            </w:pPr>
            <w:r w:rsidRPr="00BF5D6B">
              <w:t>Family, Youth, and Children's Law</w:t>
            </w:r>
          </w:p>
        </w:tc>
        <w:tc>
          <w:tcPr>
            <w:tcW w:w="2233" w:type="dxa"/>
          </w:tcPr>
          <w:p w14:paraId="37A3E044" w14:textId="6BE23641" w:rsidR="00BC4296" w:rsidRDefault="00BC4296" w:rsidP="00BC4296">
            <w:pPr>
              <w:jc w:val="right"/>
              <w:rPr>
                <w:rFonts w:cs="Arial"/>
                <w:color w:val="000000"/>
              </w:rPr>
            </w:pPr>
            <w:r>
              <w:rPr>
                <w:rFonts w:cs="Arial"/>
                <w:color w:val="000000"/>
              </w:rPr>
              <w:t>30.</w:t>
            </w:r>
            <w:r w:rsidR="00AC6CF7">
              <w:rPr>
                <w:rFonts w:cs="Arial"/>
                <w:color w:val="000000"/>
              </w:rPr>
              <w:t>9</w:t>
            </w:r>
          </w:p>
        </w:tc>
        <w:tc>
          <w:tcPr>
            <w:tcW w:w="2073" w:type="dxa"/>
          </w:tcPr>
          <w:p w14:paraId="24DF60A7" w14:textId="60483B4C" w:rsidR="00BC4296" w:rsidRDefault="00AC6CF7" w:rsidP="00BC4296">
            <w:pPr>
              <w:jc w:val="right"/>
              <w:rPr>
                <w:rFonts w:cs="Arial"/>
                <w:color w:val="000000"/>
              </w:rPr>
            </w:pPr>
            <w:r>
              <w:rPr>
                <w:rFonts w:cs="Arial"/>
                <w:color w:val="000000"/>
              </w:rPr>
              <w:t>42.4</w:t>
            </w:r>
          </w:p>
        </w:tc>
        <w:tc>
          <w:tcPr>
            <w:tcW w:w="1636" w:type="dxa"/>
          </w:tcPr>
          <w:p w14:paraId="288BB93E" w14:textId="4E17AACD" w:rsidR="00BC4296" w:rsidRDefault="00AC6CF7" w:rsidP="00BC4296">
            <w:pPr>
              <w:jc w:val="right"/>
              <w:rPr>
                <w:rFonts w:cs="Arial"/>
                <w:color w:val="000000"/>
              </w:rPr>
            </w:pPr>
            <w:r>
              <w:rPr>
                <w:rFonts w:cs="Arial"/>
                <w:color w:val="000000"/>
              </w:rPr>
              <w:t>73.3</w:t>
            </w:r>
          </w:p>
        </w:tc>
        <w:tc>
          <w:tcPr>
            <w:tcW w:w="1636" w:type="dxa"/>
          </w:tcPr>
          <w:p w14:paraId="134E3972" w14:textId="7D004C4A" w:rsidR="00BC4296" w:rsidRDefault="00AC6CF7" w:rsidP="00BC4296">
            <w:pPr>
              <w:jc w:val="right"/>
              <w:rPr>
                <w:rFonts w:cs="Arial"/>
                <w:color w:val="000000"/>
              </w:rPr>
            </w:pPr>
            <w:r>
              <w:rPr>
                <w:rFonts w:cs="Arial"/>
                <w:color w:val="000000"/>
              </w:rPr>
              <w:t>7.5</w:t>
            </w:r>
          </w:p>
        </w:tc>
      </w:tr>
      <w:tr w:rsidR="00BC4296" w14:paraId="36A4BD8E" w14:textId="77777777" w:rsidTr="002C47F1">
        <w:tc>
          <w:tcPr>
            <w:tcW w:w="2498" w:type="dxa"/>
          </w:tcPr>
          <w:p w14:paraId="52892A78" w14:textId="77777777" w:rsidR="00BC4296" w:rsidRPr="00BF5D6B" w:rsidRDefault="00BC4296" w:rsidP="00BC4296">
            <w:pPr>
              <w:jc w:val="right"/>
            </w:pPr>
            <w:r w:rsidRPr="00BF5D6B">
              <w:t>Civil Justice</w:t>
            </w:r>
          </w:p>
        </w:tc>
        <w:tc>
          <w:tcPr>
            <w:tcW w:w="2233" w:type="dxa"/>
          </w:tcPr>
          <w:p w14:paraId="732F2C09" w14:textId="792B6CEF" w:rsidR="00BC4296" w:rsidRDefault="00BC4296" w:rsidP="00BC4296">
            <w:pPr>
              <w:jc w:val="right"/>
              <w:rPr>
                <w:rFonts w:cs="Arial"/>
                <w:color w:val="000000"/>
              </w:rPr>
            </w:pPr>
            <w:r>
              <w:rPr>
                <w:rFonts w:cs="Arial"/>
                <w:color w:val="000000"/>
              </w:rPr>
              <w:t>12.6</w:t>
            </w:r>
          </w:p>
        </w:tc>
        <w:tc>
          <w:tcPr>
            <w:tcW w:w="2073" w:type="dxa"/>
          </w:tcPr>
          <w:p w14:paraId="73B94B6E" w14:textId="0F7BC093" w:rsidR="00BC4296" w:rsidRDefault="00AC6CF7" w:rsidP="00BC4296">
            <w:pPr>
              <w:jc w:val="right"/>
              <w:rPr>
                <w:rFonts w:cs="Arial"/>
                <w:color w:val="000000"/>
              </w:rPr>
            </w:pPr>
            <w:r>
              <w:rPr>
                <w:rFonts w:cs="Arial"/>
                <w:color w:val="000000"/>
              </w:rPr>
              <w:t>8.2</w:t>
            </w:r>
          </w:p>
        </w:tc>
        <w:tc>
          <w:tcPr>
            <w:tcW w:w="1636" w:type="dxa"/>
          </w:tcPr>
          <w:p w14:paraId="268FA609" w14:textId="19978D77" w:rsidR="00BC4296" w:rsidRDefault="00AC6CF7" w:rsidP="00BC4296">
            <w:pPr>
              <w:jc w:val="right"/>
              <w:rPr>
                <w:rFonts w:cs="Arial"/>
                <w:color w:val="000000"/>
              </w:rPr>
            </w:pPr>
            <w:r>
              <w:rPr>
                <w:rFonts w:cs="Arial"/>
                <w:color w:val="000000"/>
              </w:rPr>
              <w:t>20.8</w:t>
            </w:r>
          </w:p>
        </w:tc>
        <w:tc>
          <w:tcPr>
            <w:tcW w:w="1636" w:type="dxa"/>
          </w:tcPr>
          <w:p w14:paraId="6FE17079" w14:textId="5348DB7B" w:rsidR="00BC4296" w:rsidRDefault="00BC4296" w:rsidP="00BC4296">
            <w:pPr>
              <w:jc w:val="right"/>
              <w:rPr>
                <w:rFonts w:cs="Arial"/>
                <w:color w:val="000000"/>
              </w:rPr>
            </w:pPr>
            <w:r>
              <w:rPr>
                <w:rFonts w:cs="Arial"/>
                <w:color w:val="000000"/>
              </w:rPr>
              <w:t>1.5</w:t>
            </w:r>
          </w:p>
        </w:tc>
      </w:tr>
      <w:tr w:rsidR="00BC4296" w14:paraId="0E023345" w14:textId="77777777" w:rsidTr="002C47F1">
        <w:tc>
          <w:tcPr>
            <w:tcW w:w="2498" w:type="dxa"/>
          </w:tcPr>
          <w:p w14:paraId="35F95011" w14:textId="77777777" w:rsidR="00BC4296" w:rsidRPr="00BF5D6B" w:rsidRDefault="00BC4296" w:rsidP="00BC4296">
            <w:pPr>
              <w:jc w:val="right"/>
            </w:pPr>
            <w:r w:rsidRPr="00BF5D6B">
              <w:t>Community Legal Centres</w:t>
            </w:r>
          </w:p>
        </w:tc>
        <w:tc>
          <w:tcPr>
            <w:tcW w:w="2233" w:type="dxa"/>
          </w:tcPr>
          <w:p w14:paraId="38816D8C" w14:textId="7F70050D" w:rsidR="00BC4296" w:rsidRDefault="00BC4296" w:rsidP="00BC4296">
            <w:pPr>
              <w:jc w:val="right"/>
              <w:rPr>
                <w:rFonts w:cs="Arial"/>
                <w:color w:val="000000"/>
              </w:rPr>
            </w:pPr>
            <w:r>
              <w:rPr>
                <w:rFonts w:cs="Arial"/>
                <w:color w:val="000000"/>
              </w:rPr>
              <w:t>17.8</w:t>
            </w:r>
          </w:p>
        </w:tc>
        <w:tc>
          <w:tcPr>
            <w:tcW w:w="2073" w:type="dxa"/>
          </w:tcPr>
          <w:p w14:paraId="585477BD" w14:textId="1C7E78EF" w:rsidR="00BC4296" w:rsidRDefault="00BC4296" w:rsidP="00BC4296">
            <w:pPr>
              <w:jc w:val="right"/>
              <w:rPr>
                <w:rFonts w:cs="Arial"/>
                <w:color w:val="000000"/>
              </w:rPr>
            </w:pPr>
            <w:r>
              <w:rPr>
                <w:rFonts w:cs="Arial"/>
                <w:color w:val="000000"/>
              </w:rPr>
              <w:t>11.2</w:t>
            </w:r>
          </w:p>
        </w:tc>
        <w:tc>
          <w:tcPr>
            <w:tcW w:w="1636" w:type="dxa"/>
          </w:tcPr>
          <w:p w14:paraId="3B826C5F" w14:textId="120AEDB3" w:rsidR="00BC4296" w:rsidRDefault="00BC4296" w:rsidP="00BC4296">
            <w:pPr>
              <w:jc w:val="right"/>
              <w:rPr>
                <w:rFonts w:cs="Arial"/>
                <w:color w:val="000000"/>
              </w:rPr>
            </w:pPr>
            <w:r>
              <w:rPr>
                <w:rFonts w:cs="Arial"/>
                <w:color w:val="000000"/>
              </w:rPr>
              <w:t>29.0</w:t>
            </w:r>
          </w:p>
        </w:tc>
        <w:tc>
          <w:tcPr>
            <w:tcW w:w="1636" w:type="dxa"/>
          </w:tcPr>
          <w:p w14:paraId="158442C5" w14:textId="2BB53100" w:rsidR="00BC4296" w:rsidRDefault="00BC4296" w:rsidP="00BC4296">
            <w:pPr>
              <w:jc w:val="right"/>
              <w:rPr>
                <w:rFonts w:cs="Arial"/>
                <w:color w:val="000000"/>
              </w:rPr>
            </w:pPr>
            <w:r>
              <w:rPr>
                <w:rFonts w:cs="Arial"/>
                <w:color w:val="000000"/>
              </w:rPr>
              <w:t>0.8</w:t>
            </w:r>
          </w:p>
        </w:tc>
      </w:tr>
    </w:tbl>
    <w:p w14:paraId="05759E49" w14:textId="05421B2F" w:rsidR="00411D67" w:rsidRPr="006C50B6" w:rsidRDefault="00411D67" w:rsidP="00DA3F90">
      <w:pPr>
        <w:spacing w:before="120" w:line="240" w:lineRule="auto"/>
      </w:pPr>
      <w:r w:rsidRPr="00B1328B">
        <w:t>Total expenditure is $</w:t>
      </w:r>
      <w:r w:rsidR="00BC4296" w:rsidRPr="00B1328B">
        <w:t>2</w:t>
      </w:r>
      <w:r w:rsidR="00DA3F90" w:rsidRPr="00B1328B">
        <w:t>19.5</w:t>
      </w:r>
      <w:r w:rsidR="00BC4296" w:rsidRPr="00B1328B">
        <w:t xml:space="preserve"> </w:t>
      </w:r>
      <w:r w:rsidRPr="00B1328B">
        <w:t>million</w:t>
      </w:r>
      <w:r w:rsidR="002D5973" w:rsidRPr="00B1328B">
        <w:t>. This includes funds received from the Commonwealth for direct payment to community legal centres.</w:t>
      </w:r>
    </w:p>
    <w:p w14:paraId="20E16A48" w14:textId="544362A1" w:rsidR="00DA3F90" w:rsidRPr="006D25BF" w:rsidRDefault="00AC6CF7" w:rsidP="00DA3F90">
      <w:pPr>
        <w:spacing w:before="120" w:line="240" w:lineRule="auto"/>
      </w:pPr>
      <w:r w:rsidRPr="006D25BF">
        <w:t xml:space="preserve">The cost of delivering services under our Access and Equity program (Client Access, Community Legal Education and Legal Help) </w:t>
      </w:r>
      <w:r w:rsidR="00DA3F90" w:rsidRPr="006D25BF">
        <w:t xml:space="preserve">was </w:t>
      </w:r>
      <w:r w:rsidRPr="006D25BF">
        <w:t>$10.7 million</w:t>
      </w:r>
      <w:r w:rsidR="00DA3F90" w:rsidRPr="006D25BF">
        <w:t xml:space="preserve"> in 2017</w:t>
      </w:r>
      <w:r w:rsidR="00DA3F90" w:rsidRPr="006D25BF">
        <w:rPr>
          <w:rFonts w:cs="Arial"/>
        </w:rPr>
        <w:t>–</w:t>
      </w:r>
      <w:r w:rsidR="00DA3F90" w:rsidRPr="006D25BF">
        <w:t>18</w:t>
      </w:r>
      <w:r w:rsidRPr="006D25BF">
        <w:t xml:space="preserve">. These costs have been </w:t>
      </w:r>
      <w:r w:rsidR="00DA3F90" w:rsidRPr="006D25BF">
        <w:t xml:space="preserve">appropriately </w:t>
      </w:r>
      <w:r w:rsidRPr="006D25BF">
        <w:t xml:space="preserve">allocated to the relevant program </w:t>
      </w:r>
      <w:r w:rsidR="00DA3F90" w:rsidRPr="006D25BF">
        <w:t xml:space="preserve">area </w:t>
      </w:r>
      <w:r w:rsidRPr="006D25BF">
        <w:t>based on the</w:t>
      </w:r>
      <w:r w:rsidR="00DA3F90" w:rsidRPr="006D25BF">
        <w:t xml:space="preserve"> type of service and legal issue. </w:t>
      </w:r>
    </w:p>
    <w:p w14:paraId="6F61610E" w14:textId="77777777" w:rsidR="00411D67" w:rsidRDefault="00411D67" w:rsidP="00411D67">
      <w:pPr>
        <w:spacing w:after="0" w:line="240" w:lineRule="auto"/>
      </w:pPr>
      <w:r>
        <w:br w:type="page"/>
      </w:r>
    </w:p>
    <w:bookmarkEnd w:id="7"/>
    <w:p w14:paraId="05D5492E" w14:textId="77777777" w:rsidR="00411D67" w:rsidRDefault="00411D67" w:rsidP="00411D67">
      <w:pPr>
        <w:pStyle w:val="Heading2"/>
      </w:pPr>
      <w:r>
        <w:lastRenderedPageBreak/>
        <w:t xml:space="preserve">Performance against Victorian Government service targets </w:t>
      </w:r>
    </w:p>
    <w:p w14:paraId="62651D2F" w14:textId="37300A76" w:rsidR="00411D67" w:rsidRPr="00CE68F2" w:rsidRDefault="00411D67" w:rsidP="00411D67">
      <w:r w:rsidRPr="00CE68F2">
        <w:t xml:space="preserve">The Victorian Budget sets </w:t>
      </w:r>
      <w:proofErr w:type="gramStart"/>
      <w:r w:rsidRPr="00CE68F2">
        <w:t>a number of</w:t>
      </w:r>
      <w:proofErr w:type="gramEnd"/>
      <w:r w:rsidRPr="00CE68F2">
        <w:t xml:space="preserve"> output performance measures and targets for departments and their agencies and statutory bodies in </w:t>
      </w:r>
      <w:r w:rsidRPr="00734D8A">
        <w:rPr>
          <w:i/>
        </w:rPr>
        <w:t>Budget Paper 3.</w:t>
      </w:r>
      <w:r w:rsidRPr="00CE68F2">
        <w:t xml:space="preserve"> The follow table depicts our results against targets up to </w:t>
      </w:r>
      <w:r>
        <w:t>30 June</w:t>
      </w:r>
      <w:r w:rsidRPr="00CE68F2">
        <w:t xml:space="preserve"> 201</w:t>
      </w:r>
      <w:r>
        <w:t>8</w:t>
      </w:r>
      <w:r w:rsidRPr="00CE68F2">
        <w:t xml:space="preserve"> for Victoria Legal Aid’s output measures under </w:t>
      </w:r>
      <w:r w:rsidRPr="009C4FBC">
        <w:rPr>
          <w:i/>
        </w:rPr>
        <w:t>Budget Paper 3</w:t>
      </w:r>
      <w:r w:rsidRPr="00CE68F2">
        <w:t>.</w:t>
      </w:r>
    </w:p>
    <w:tbl>
      <w:tblPr>
        <w:tblStyle w:val="TableGrid"/>
        <w:tblW w:w="5000" w:type="pct"/>
        <w:tblLook w:val="04A0" w:firstRow="1" w:lastRow="0" w:firstColumn="1" w:lastColumn="0" w:noHBand="0" w:noVBand="1"/>
      </w:tblPr>
      <w:tblGrid>
        <w:gridCol w:w="3533"/>
        <w:gridCol w:w="2680"/>
        <w:gridCol w:w="2074"/>
        <w:gridCol w:w="1789"/>
      </w:tblGrid>
      <w:tr w:rsidR="001E1A16" w:rsidRPr="002312A1" w14:paraId="5959E1EF" w14:textId="77777777" w:rsidTr="00612D66">
        <w:trPr>
          <w:tblHeader/>
        </w:trPr>
        <w:tc>
          <w:tcPr>
            <w:tcW w:w="1753" w:type="pct"/>
            <w:shd w:val="clear" w:color="auto" w:fill="D9D9D9" w:themeFill="background1" w:themeFillShade="D9"/>
          </w:tcPr>
          <w:p w14:paraId="5C1D8C1C" w14:textId="77777777" w:rsidR="001E1A16" w:rsidRPr="002312A1" w:rsidRDefault="001E1A16" w:rsidP="002C47F1">
            <w:pPr>
              <w:rPr>
                <w:b/>
                <w:lang w:eastAsia="en-AU"/>
              </w:rPr>
            </w:pPr>
            <w:r w:rsidRPr="002312A1">
              <w:rPr>
                <w:b/>
              </w:rPr>
              <w:t>Output measure</w:t>
            </w:r>
          </w:p>
        </w:tc>
        <w:tc>
          <w:tcPr>
            <w:tcW w:w="1330" w:type="pct"/>
            <w:shd w:val="clear" w:color="auto" w:fill="D9D9D9" w:themeFill="background1" w:themeFillShade="D9"/>
          </w:tcPr>
          <w:p w14:paraId="7494E78F" w14:textId="77777777" w:rsidR="001E1A16" w:rsidRPr="007C6992" w:rsidRDefault="001E1A16" w:rsidP="002C47F1">
            <w:pPr>
              <w:rPr>
                <w:b/>
              </w:rPr>
            </w:pPr>
            <w:r w:rsidRPr="002312A1">
              <w:rPr>
                <w:b/>
              </w:rPr>
              <w:t>Annual Target</w:t>
            </w:r>
          </w:p>
        </w:tc>
        <w:tc>
          <w:tcPr>
            <w:tcW w:w="1029" w:type="pct"/>
            <w:shd w:val="clear" w:color="auto" w:fill="D9D9D9" w:themeFill="background1" w:themeFillShade="D9"/>
          </w:tcPr>
          <w:p w14:paraId="619F72E2" w14:textId="77777777" w:rsidR="001E1A16" w:rsidRPr="002312A1" w:rsidRDefault="001E1A16" w:rsidP="002C47F1">
            <w:pPr>
              <w:rPr>
                <w:b/>
                <w:lang w:eastAsia="en-AU"/>
              </w:rPr>
            </w:pPr>
            <w:r w:rsidRPr="002312A1">
              <w:rPr>
                <w:b/>
              </w:rPr>
              <w:t>Actual</w:t>
            </w:r>
          </w:p>
        </w:tc>
        <w:tc>
          <w:tcPr>
            <w:tcW w:w="888" w:type="pct"/>
            <w:shd w:val="clear" w:color="auto" w:fill="D9D9D9" w:themeFill="background1" w:themeFillShade="D9"/>
          </w:tcPr>
          <w:p w14:paraId="3D073A71" w14:textId="52C5C131" w:rsidR="001E1A16" w:rsidRPr="002312A1" w:rsidRDefault="001E1A16" w:rsidP="002C47F1">
            <w:pPr>
              <w:rPr>
                <w:b/>
                <w:lang w:eastAsia="en-AU"/>
              </w:rPr>
            </w:pPr>
            <w:r>
              <w:rPr>
                <w:b/>
              </w:rPr>
              <w:t>% Change on 2017</w:t>
            </w:r>
            <w:r>
              <w:rPr>
                <w:rFonts w:cs="Arial"/>
                <w:b/>
              </w:rPr>
              <w:t>–</w:t>
            </w:r>
            <w:r>
              <w:rPr>
                <w:b/>
              </w:rPr>
              <w:t>18 target</w:t>
            </w:r>
          </w:p>
        </w:tc>
      </w:tr>
      <w:tr w:rsidR="001E1A16" w14:paraId="01853709" w14:textId="77777777" w:rsidTr="00612D66">
        <w:tc>
          <w:tcPr>
            <w:tcW w:w="1753" w:type="pct"/>
          </w:tcPr>
          <w:p w14:paraId="683D6257" w14:textId="77777777" w:rsidR="001E1A16" w:rsidRDefault="001E1A16" w:rsidP="002C47F1">
            <w:pPr>
              <w:rPr>
                <w:lang w:eastAsia="en-AU"/>
              </w:rPr>
            </w:pPr>
            <w:r>
              <w:t>Community legal education and information services – excluding family violence related services</w:t>
            </w:r>
          </w:p>
        </w:tc>
        <w:tc>
          <w:tcPr>
            <w:tcW w:w="1330" w:type="pct"/>
            <w:vAlign w:val="bottom"/>
          </w:tcPr>
          <w:p w14:paraId="15F29F9D" w14:textId="77777777" w:rsidR="001E1A16" w:rsidRPr="00AB66DF" w:rsidRDefault="001E1A16" w:rsidP="002C47F1">
            <w:pPr>
              <w:jc w:val="right"/>
              <w:rPr>
                <w:lang w:eastAsia="en-AU"/>
              </w:rPr>
            </w:pPr>
            <w:r w:rsidRPr="00AB66DF">
              <w:rPr>
                <w:lang w:eastAsia="en-AU"/>
              </w:rPr>
              <w:t>123,500 – 128,500</w:t>
            </w:r>
          </w:p>
        </w:tc>
        <w:tc>
          <w:tcPr>
            <w:tcW w:w="1029" w:type="pct"/>
            <w:vAlign w:val="bottom"/>
          </w:tcPr>
          <w:p w14:paraId="5750D386" w14:textId="3D9ABEA5" w:rsidR="001E1A16" w:rsidRPr="00AB66DF" w:rsidRDefault="001E1A16" w:rsidP="002C47F1">
            <w:pPr>
              <w:jc w:val="right"/>
              <w:rPr>
                <w:lang w:eastAsia="en-AU"/>
              </w:rPr>
            </w:pPr>
            <w:r>
              <w:rPr>
                <w:rFonts w:cs="Arial"/>
                <w:szCs w:val="22"/>
              </w:rPr>
              <w:t>110,012</w:t>
            </w:r>
          </w:p>
        </w:tc>
        <w:tc>
          <w:tcPr>
            <w:tcW w:w="888" w:type="pct"/>
            <w:vAlign w:val="bottom"/>
          </w:tcPr>
          <w:p w14:paraId="52CF9B4A" w14:textId="6C4589DC" w:rsidR="001E1A16" w:rsidRPr="00AB66DF" w:rsidRDefault="001E1A16" w:rsidP="002C47F1">
            <w:pPr>
              <w:jc w:val="right"/>
              <w:rPr>
                <w:lang w:eastAsia="en-AU"/>
              </w:rPr>
            </w:pPr>
            <w:r>
              <w:rPr>
                <w:lang w:eastAsia="en-AU"/>
              </w:rPr>
              <w:t>-11</w:t>
            </w:r>
          </w:p>
        </w:tc>
      </w:tr>
      <w:tr w:rsidR="001E1A16" w14:paraId="56870ED3" w14:textId="77777777" w:rsidTr="00612D66">
        <w:tc>
          <w:tcPr>
            <w:tcW w:w="1753" w:type="pct"/>
          </w:tcPr>
          <w:p w14:paraId="6E9CFCE1" w14:textId="77777777" w:rsidR="001E1A16" w:rsidRDefault="001E1A16" w:rsidP="002C47F1">
            <w:pPr>
              <w:rPr>
                <w:lang w:eastAsia="en-AU"/>
              </w:rPr>
            </w:pPr>
            <w:r>
              <w:t>Community legal education and information services –family violence related services</w:t>
            </w:r>
          </w:p>
        </w:tc>
        <w:tc>
          <w:tcPr>
            <w:tcW w:w="1330" w:type="pct"/>
            <w:vAlign w:val="bottom"/>
          </w:tcPr>
          <w:p w14:paraId="179E2ED1" w14:textId="77777777" w:rsidR="001E1A16" w:rsidRPr="00AB66DF" w:rsidRDefault="001E1A16" w:rsidP="002C47F1">
            <w:pPr>
              <w:jc w:val="right"/>
              <w:rPr>
                <w:lang w:eastAsia="en-AU"/>
              </w:rPr>
            </w:pPr>
            <w:r w:rsidRPr="00AB66DF">
              <w:rPr>
                <w:lang w:eastAsia="en-AU"/>
              </w:rPr>
              <w:t>11,500</w:t>
            </w:r>
          </w:p>
        </w:tc>
        <w:tc>
          <w:tcPr>
            <w:tcW w:w="1029" w:type="pct"/>
            <w:vAlign w:val="bottom"/>
          </w:tcPr>
          <w:p w14:paraId="273CB8E3" w14:textId="73DB0A19" w:rsidR="001E1A16" w:rsidRPr="00AB66DF" w:rsidRDefault="001E1A16" w:rsidP="002C47F1">
            <w:pPr>
              <w:jc w:val="right"/>
              <w:rPr>
                <w:lang w:eastAsia="en-AU"/>
              </w:rPr>
            </w:pPr>
            <w:r>
              <w:rPr>
                <w:rFonts w:cs="Arial"/>
                <w:szCs w:val="22"/>
              </w:rPr>
              <w:t>25,595</w:t>
            </w:r>
          </w:p>
        </w:tc>
        <w:tc>
          <w:tcPr>
            <w:tcW w:w="888" w:type="pct"/>
            <w:vAlign w:val="bottom"/>
          </w:tcPr>
          <w:p w14:paraId="5F8D9B2E" w14:textId="351F52AD" w:rsidR="001E1A16" w:rsidRPr="00AB66DF" w:rsidRDefault="001E1A16" w:rsidP="002C47F1">
            <w:pPr>
              <w:jc w:val="right"/>
              <w:rPr>
                <w:lang w:eastAsia="en-AU"/>
              </w:rPr>
            </w:pPr>
            <w:r>
              <w:rPr>
                <w:lang w:eastAsia="en-AU"/>
              </w:rPr>
              <w:t>123</w:t>
            </w:r>
          </w:p>
        </w:tc>
      </w:tr>
      <w:tr w:rsidR="001E1A16" w14:paraId="55BC4C5A" w14:textId="77777777" w:rsidTr="00612D66">
        <w:tc>
          <w:tcPr>
            <w:tcW w:w="1753" w:type="pct"/>
          </w:tcPr>
          <w:p w14:paraId="77BD48D0" w14:textId="77777777" w:rsidR="001E1A16" w:rsidRDefault="001E1A16" w:rsidP="002C47F1">
            <w:pPr>
              <w:rPr>
                <w:lang w:eastAsia="en-AU"/>
              </w:rPr>
            </w:pPr>
            <w:r>
              <w:t>Duty lawyer services – excluding family violence related services</w:t>
            </w:r>
          </w:p>
        </w:tc>
        <w:tc>
          <w:tcPr>
            <w:tcW w:w="1330" w:type="pct"/>
            <w:vAlign w:val="bottom"/>
          </w:tcPr>
          <w:p w14:paraId="339F447B" w14:textId="77777777" w:rsidR="001E1A16" w:rsidRPr="00AB66DF" w:rsidRDefault="001E1A16" w:rsidP="002C47F1">
            <w:pPr>
              <w:jc w:val="right"/>
              <w:rPr>
                <w:lang w:eastAsia="en-AU"/>
              </w:rPr>
            </w:pPr>
            <w:r w:rsidRPr="00AB66DF">
              <w:rPr>
                <w:lang w:eastAsia="en-AU"/>
              </w:rPr>
              <w:t xml:space="preserve">57,400 – 59,400 </w:t>
            </w:r>
          </w:p>
        </w:tc>
        <w:tc>
          <w:tcPr>
            <w:tcW w:w="1029" w:type="pct"/>
            <w:vAlign w:val="bottom"/>
          </w:tcPr>
          <w:p w14:paraId="71E783F0" w14:textId="65D1697D" w:rsidR="001E1A16" w:rsidRPr="00AB66DF" w:rsidRDefault="001E1A16" w:rsidP="002C47F1">
            <w:pPr>
              <w:jc w:val="right"/>
              <w:rPr>
                <w:lang w:eastAsia="en-AU"/>
              </w:rPr>
            </w:pPr>
            <w:r>
              <w:t>70,939</w:t>
            </w:r>
          </w:p>
        </w:tc>
        <w:tc>
          <w:tcPr>
            <w:tcW w:w="888" w:type="pct"/>
            <w:vAlign w:val="bottom"/>
          </w:tcPr>
          <w:p w14:paraId="59BD7EF4" w14:textId="04922F2D" w:rsidR="001E1A16" w:rsidRPr="00AB66DF" w:rsidRDefault="001E1A16" w:rsidP="002C47F1">
            <w:pPr>
              <w:jc w:val="right"/>
              <w:rPr>
                <w:lang w:eastAsia="en-AU"/>
              </w:rPr>
            </w:pPr>
            <w:r>
              <w:rPr>
                <w:lang w:eastAsia="en-AU"/>
              </w:rPr>
              <w:t>24</w:t>
            </w:r>
          </w:p>
        </w:tc>
      </w:tr>
      <w:tr w:rsidR="001E1A16" w14:paraId="00A5EDB8" w14:textId="77777777" w:rsidTr="00612D66">
        <w:tc>
          <w:tcPr>
            <w:tcW w:w="1753" w:type="pct"/>
          </w:tcPr>
          <w:p w14:paraId="33CA003F" w14:textId="77777777" w:rsidR="001E1A16" w:rsidRDefault="001E1A16" w:rsidP="002C47F1">
            <w:pPr>
              <w:rPr>
                <w:lang w:eastAsia="en-AU"/>
              </w:rPr>
            </w:pPr>
            <w:r>
              <w:t>Grants of legal assistance – excluding family violence related grants of legal assistance</w:t>
            </w:r>
          </w:p>
        </w:tc>
        <w:tc>
          <w:tcPr>
            <w:tcW w:w="1330" w:type="pct"/>
            <w:vAlign w:val="bottom"/>
          </w:tcPr>
          <w:p w14:paraId="67784BC6" w14:textId="77777777" w:rsidR="001E1A16" w:rsidRPr="00AB66DF" w:rsidRDefault="001E1A16" w:rsidP="002C47F1">
            <w:pPr>
              <w:jc w:val="right"/>
              <w:rPr>
                <w:lang w:eastAsia="en-AU"/>
              </w:rPr>
            </w:pPr>
            <w:r w:rsidRPr="00AB66DF">
              <w:rPr>
                <w:lang w:eastAsia="en-AU"/>
              </w:rPr>
              <w:t>31,800</w:t>
            </w:r>
          </w:p>
        </w:tc>
        <w:tc>
          <w:tcPr>
            <w:tcW w:w="1029" w:type="pct"/>
            <w:vAlign w:val="bottom"/>
          </w:tcPr>
          <w:p w14:paraId="4D125562" w14:textId="18C823FA" w:rsidR="001E1A16" w:rsidRPr="00AB66DF" w:rsidRDefault="001E1A16" w:rsidP="002C47F1">
            <w:pPr>
              <w:jc w:val="right"/>
              <w:rPr>
                <w:lang w:eastAsia="en-AU"/>
              </w:rPr>
            </w:pPr>
            <w:r>
              <w:t>30,996</w:t>
            </w:r>
          </w:p>
        </w:tc>
        <w:tc>
          <w:tcPr>
            <w:tcW w:w="888" w:type="pct"/>
            <w:vAlign w:val="bottom"/>
          </w:tcPr>
          <w:p w14:paraId="53626412" w14:textId="2CEEF95E" w:rsidR="001E1A16" w:rsidRPr="00AB66DF" w:rsidRDefault="001E1A16" w:rsidP="002C47F1">
            <w:pPr>
              <w:jc w:val="right"/>
              <w:rPr>
                <w:lang w:eastAsia="en-AU"/>
              </w:rPr>
            </w:pPr>
            <w:r>
              <w:rPr>
                <w:lang w:eastAsia="en-AU"/>
              </w:rPr>
              <w:t>-3</w:t>
            </w:r>
          </w:p>
        </w:tc>
      </w:tr>
      <w:tr w:rsidR="001E1A16" w14:paraId="745BECA3" w14:textId="77777777" w:rsidTr="00612D66">
        <w:tc>
          <w:tcPr>
            <w:tcW w:w="1753" w:type="pct"/>
          </w:tcPr>
          <w:p w14:paraId="789D63E3" w14:textId="77777777" w:rsidR="001E1A16" w:rsidRDefault="001E1A16" w:rsidP="002C47F1">
            <w:pPr>
              <w:rPr>
                <w:lang w:eastAsia="en-AU"/>
              </w:rPr>
            </w:pPr>
            <w:r>
              <w:t>Legal advice and minor assistance – excluding family violence related services</w:t>
            </w:r>
          </w:p>
        </w:tc>
        <w:tc>
          <w:tcPr>
            <w:tcW w:w="1330" w:type="pct"/>
            <w:vAlign w:val="bottom"/>
          </w:tcPr>
          <w:p w14:paraId="490DF693" w14:textId="77777777" w:rsidR="001E1A16" w:rsidRPr="00AB66DF" w:rsidRDefault="001E1A16" w:rsidP="002C47F1">
            <w:pPr>
              <w:jc w:val="right"/>
              <w:rPr>
                <w:lang w:eastAsia="en-AU"/>
              </w:rPr>
            </w:pPr>
            <w:r w:rsidRPr="00AB66DF">
              <w:rPr>
                <w:lang w:eastAsia="en-AU"/>
              </w:rPr>
              <w:t>38,800</w:t>
            </w:r>
          </w:p>
        </w:tc>
        <w:tc>
          <w:tcPr>
            <w:tcW w:w="1029" w:type="pct"/>
            <w:vAlign w:val="bottom"/>
          </w:tcPr>
          <w:p w14:paraId="573AD086" w14:textId="5E3F535F" w:rsidR="001E1A16" w:rsidRPr="00AB66DF" w:rsidRDefault="001E1A16" w:rsidP="002C47F1">
            <w:pPr>
              <w:jc w:val="right"/>
              <w:rPr>
                <w:lang w:eastAsia="en-AU"/>
              </w:rPr>
            </w:pPr>
            <w:r w:rsidRPr="006831DD">
              <w:rPr>
                <w:rFonts w:cs="Arial"/>
                <w:szCs w:val="22"/>
              </w:rPr>
              <w:t>37,003</w:t>
            </w:r>
          </w:p>
        </w:tc>
        <w:tc>
          <w:tcPr>
            <w:tcW w:w="888" w:type="pct"/>
            <w:vAlign w:val="bottom"/>
          </w:tcPr>
          <w:p w14:paraId="065E8D35" w14:textId="3EEF7FD9" w:rsidR="001E1A16" w:rsidRPr="00AB66DF" w:rsidRDefault="001E1A16" w:rsidP="002C47F1">
            <w:pPr>
              <w:jc w:val="right"/>
              <w:rPr>
                <w:lang w:eastAsia="en-AU"/>
              </w:rPr>
            </w:pPr>
            <w:r>
              <w:rPr>
                <w:lang w:eastAsia="en-AU"/>
              </w:rPr>
              <w:t>-5</w:t>
            </w:r>
          </w:p>
        </w:tc>
      </w:tr>
      <w:tr w:rsidR="001E1A16" w14:paraId="6D320E49" w14:textId="77777777" w:rsidTr="00612D66">
        <w:tc>
          <w:tcPr>
            <w:tcW w:w="1753" w:type="pct"/>
          </w:tcPr>
          <w:p w14:paraId="08F29F63" w14:textId="77777777" w:rsidR="001E1A16" w:rsidRDefault="001E1A16" w:rsidP="005C4965">
            <w:r>
              <w:t>Family violence legal services</w:t>
            </w:r>
          </w:p>
        </w:tc>
        <w:tc>
          <w:tcPr>
            <w:tcW w:w="1330" w:type="pct"/>
            <w:vAlign w:val="bottom"/>
          </w:tcPr>
          <w:p w14:paraId="5ED95C8C" w14:textId="77777777" w:rsidR="001E1A16" w:rsidRPr="00AB66DF" w:rsidRDefault="001E1A16" w:rsidP="005C4965">
            <w:pPr>
              <w:jc w:val="right"/>
              <w:rPr>
                <w:lang w:eastAsia="en-AU"/>
              </w:rPr>
            </w:pPr>
            <w:r w:rsidRPr="00AB66DF">
              <w:rPr>
                <w:lang w:eastAsia="en-AU"/>
              </w:rPr>
              <w:t>32,000</w:t>
            </w:r>
          </w:p>
        </w:tc>
        <w:tc>
          <w:tcPr>
            <w:tcW w:w="1029" w:type="pct"/>
            <w:vAlign w:val="bottom"/>
          </w:tcPr>
          <w:p w14:paraId="1652ED18" w14:textId="77777777" w:rsidR="001E1A16" w:rsidRPr="00AB66DF" w:rsidRDefault="001E1A16" w:rsidP="005C4965">
            <w:pPr>
              <w:jc w:val="right"/>
              <w:rPr>
                <w:lang w:eastAsia="en-AU"/>
              </w:rPr>
            </w:pPr>
            <w:r>
              <w:rPr>
                <w:szCs w:val="22"/>
              </w:rPr>
              <w:t>39,086</w:t>
            </w:r>
          </w:p>
        </w:tc>
        <w:tc>
          <w:tcPr>
            <w:tcW w:w="888" w:type="pct"/>
            <w:vAlign w:val="bottom"/>
          </w:tcPr>
          <w:p w14:paraId="065E5D68" w14:textId="77777777" w:rsidR="001E1A16" w:rsidRDefault="001E1A16" w:rsidP="005C4965">
            <w:pPr>
              <w:jc w:val="right"/>
              <w:rPr>
                <w:lang w:eastAsia="en-AU"/>
              </w:rPr>
            </w:pPr>
            <w:r>
              <w:rPr>
                <w:lang w:eastAsia="en-AU"/>
              </w:rPr>
              <w:t>22</w:t>
            </w:r>
          </w:p>
        </w:tc>
      </w:tr>
      <w:tr w:rsidR="001E1A16" w14:paraId="16DFB57D" w14:textId="77777777" w:rsidTr="00612D66">
        <w:tc>
          <w:tcPr>
            <w:tcW w:w="1753" w:type="pct"/>
          </w:tcPr>
          <w:p w14:paraId="059226E0" w14:textId="77777777" w:rsidR="001E1A16" w:rsidRDefault="001E1A16" w:rsidP="002C47F1">
            <w:r>
              <w:t>Number of unique clients who accessed one or more of our legal services</w:t>
            </w:r>
          </w:p>
        </w:tc>
        <w:tc>
          <w:tcPr>
            <w:tcW w:w="1330" w:type="pct"/>
            <w:vAlign w:val="bottom"/>
          </w:tcPr>
          <w:p w14:paraId="52EA0404" w14:textId="77777777" w:rsidR="001E1A16" w:rsidRPr="00AB66DF" w:rsidRDefault="001E1A16" w:rsidP="002C47F1">
            <w:pPr>
              <w:jc w:val="right"/>
              <w:rPr>
                <w:lang w:eastAsia="en-AU"/>
              </w:rPr>
            </w:pPr>
            <w:r>
              <w:rPr>
                <w:lang w:eastAsia="en-AU"/>
              </w:rPr>
              <w:t>84,000</w:t>
            </w:r>
          </w:p>
        </w:tc>
        <w:tc>
          <w:tcPr>
            <w:tcW w:w="1029" w:type="pct"/>
            <w:vAlign w:val="bottom"/>
          </w:tcPr>
          <w:p w14:paraId="47B865B0" w14:textId="521BA14E" w:rsidR="001E1A16" w:rsidRPr="00AB66DF" w:rsidRDefault="001E1A16" w:rsidP="002C47F1">
            <w:pPr>
              <w:jc w:val="right"/>
              <w:rPr>
                <w:lang w:eastAsia="en-AU"/>
              </w:rPr>
            </w:pPr>
            <w:r>
              <w:rPr>
                <w:lang w:eastAsia="ja-JP"/>
              </w:rPr>
              <w:t>94,485</w:t>
            </w:r>
          </w:p>
        </w:tc>
        <w:tc>
          <w:tcPr>
            <w:tcW w:w="888" w:type="pct"/>
            <w:vAlign w:val="bottom"/>
          </w:tcPr>
          <w:p w14:paraId="0821E1CA" w14:textId="5AF0DF53" w:rsidR="001E1A16" w:rsidRPr="00AB66DF" w:rsidRDefault="001E1A16" w:rsidP="002C47F1">
            <w:pPr>
              <w:jc w:val="right"/>
              <w:rPr>
                <w:lang w:eastAsia="en-AU"/>
              </w:rPr>
            </w:pPr>
            <w:r>
              <w:rPr>
                <w:lang w:eastAsia="en-AU"/>
              </w:rPr>
              <w:t>12</w:t>
            </w:r>
          </w:p>
        </w:tc>
      </w:tr>
      <w:tr w:rsidR="001E1A16" w14:paraId="0F52CA09" w14:textId="77777777" w:rsidTr="00612D66">
        <w:tc>
          <w:tcPr>
            <w:tcW w:w="1753" w:type="pct"/>
          </w:tcPr>
          <w:p w14:paraId="1F422B3E" w14:textId="77777777" w:rsidR="001E1A16" w:rsidRDefault="001E1A16" w:rsidP="002C47F1">
            <w:r>
              <w:t>Applications for legal aid processed within 15 days (VLA)</w:t>
            </w:r>
          </w:p>
        </w:tc>
        <w:tc>
          <w:tcPr>
            <w:tcW w:w="1330" w:type="pct"/>
            <w:vAlign w:val="bottom"/>
          </w:tcPr>
          <w:p w14:paraId="4881B128" w14:textId="17FA9F6B" w:rsidR="001E1A16" w:rsidRPr="00AB66DF" w:rsidRDefault="001E1A16" w:rsidP="002C47F1">
            <w:pPr>
              <w:jc w:val="right"/>
              <w:rPr>
                <w:lang w:eastAsia="en-AU"/>
              </w:rPr>
            </w:pPr>
            <w:r>
              <w:rPr>
                <w:lang w:eastAsia="en-AU"/>
              </w:rPr>
              <w:t xml:space="preserve">95 per cent </w:t>
            </w:r>
          </w:p>
        </w:tc>
        <w:tc>
          <w:tcPr>
            <w:tcW w:w="1029" w:type="pct"/>
            <w:vAlign w:val="bottom"/>
          </w:tcPr>
          <w:p w14:paraId="777F1676" w14:textId="06D0EEB9" w:rsidR="001E1A16" w:rsidRPr="00AB66DF" w:rsidRDefault="001E1A16" w:rsidP="002C47F1">
            <w:pPr>
              <w:jc w:val="right"/>
              <w:rPr>
                <w:lang w:eastAsia="en-AU"/>
              </w:rPr>
            </w:pPr>
            <w:r>
              <w:rPr>
                <w:lang w:eastAsia="en-AU"/>
              </w:rPr>
              <w:t>93 per cent</w:t>
            </w:r>
          </w:p>
        </w:tc>
        <w:tc>
          <w:tcPr>
            <w:tcW w:w="888" w:type="pct"/>
            <w:vAlign w:val="bottom"/>
          </w:tcPr>
          <w:p w14:paraId="618D9325" w14:textId="22BDAAE9" w:rsidR="001E1A16" w:rsidRPr="00AB66DF" w:rsidRDefault="001E1A16" w:rsidP="002C47F1">
            <w:pPr>
              <w:jc w:val="right"/>
              <w:rPr>
                <w:lang w:eastAsia="en-AU"/>
              </w:rPr>
            </w:pPr>
            <w:r>
              <w:rPr>
                <w:lang w:eastAsia="en-AU"/>
              </w:rPr>
              <w:t>-2</w:t>
            </w:r>
          </w:p>
        </w:tc>
      </w:tr>
    </w:tbl>
    <w:p w14:paraId="761D7BB4" w14:textId="6D4B3CBE" w:rsidR="00411D67" w:rsidRPr="00BD5DA3" w:rsidRDefault="00411D67" w:rsidP="00411D67">
      <w:r w:rsidRPr="00BD5DA3">
        <w:t xml:space="preserve">We continue to experience demand for more intensive services, </w:t>
      </w:r>
      <w:r w:rsidR="00BA31B1">
        <w:t>including</w:t>
      </w:r>
      <w:r w:rsidRPr="00BD5DA3">
        <w:t xml:space="preserve"> duty lawyer services and grants of legal assistance.</w:t>
      </w:r>
      <w:r w:rsidR="00BA31B1">
        <w:t xml:space="preserve"> We expect this demand to increase in future. Our focus on providing at court services means we have shifted service delivery </w:t>
      </w:r>
      <w:r w:rsidRPr="00BD5DA3">
        <w:t>away from less intensive services, such as legal advice and minor assistance</w:t>
      </w:r>
      <w:r w:rsidR="009B55C9">
        <w:t>.</w:t>
      </w:r>
    </w:p>
    <w:p w14:paraId="641FB0AF" w14:textId="2DC6F614" w:rsidR="00411D67" w:rsidRPr="00411D67" w:rsidRDefault="00411D67" w:rsidP="00411D67">
      <w:pPr>
        <w:rPr>
          <w:lang w:eastAsia="en-AU"/>
        </w:rPr>
      </w:pPr>
      <w:r w:rsidRPr="00D43832">
        <w:t xml:space="preserve">The </w:t>
      </w:r>
      <w:r w:rsidR="00BD5DA3" w:rsidRPr="00D43832">
        <w:t xml:space="preserve">123 </w:t>
      </w:r>
      <w:r w:rsidRPr="00D43832">
        <w:t>per cent jump in family violence related community legal education and information services can be attributed to an increased focus on family violence legal services and the rollout of Family Advocacy and Support Services. The increase can also be attributed to data we have not captured previously.</w:t>
      </w:r>
      <w:r w:rsidRPr="00CE68F2">
        <w:t> </w:t>
      </w:r>
    </w:p>
    <w:sectPr w:rsidR="00411D67" w:rsidRPr="00411D67"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9868C" w14:textId="77777777" w:rsidR="00EB5CF9" w:rsidRDefault="00EB5CF9"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23690E1" w14:textId="77777777" w:rsidR="00EB5CF9" w:rsidRDefault="00EB5CF9"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3E5B0627" w14:textId="77777777" w:rsidR="00EB5CF9" w:rsidRDefault="00EB5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ngs">
    <w:altName w:val="Malgun Gothic Semilight"/>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163B" w14:textId="77777777" w:rsidR="00EB5CF9" w:rsidRDefault="00EB5CF9"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F39726" w14:textId="77777777" w:rsidR="00EB5CF9" w:rsidRDefault="00EB5CF9" w:rsidP="008074B3">
    <w:pPr>
      <w:pStyle w:val="Footer"/>
      <w:ind w:right="360" w:firstLine="360"/>
    </w:pPr>
  </w:p>
  <w:p w14:paraId="6CFA4BBE" w14:textId="77777777" w:rsidR="00EB5CF9" w:rsidRDefault="00EB5C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76C0" w14:textId="77777777" w:rsidR="00EB5CF9" w:rsidRDefault="00EB5CF9"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4024A9CE" wp14:editId="599323E5">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390C66"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E7DC" w14:textId="77777777" w:rsidR="00EB5CF9" w:rsidRPr="008636E1" w:rsidRDefault="00EB5CF9"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2890F8CF" wp14:editId="5CA5F790">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42D9F5"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F88D7" w14:textId="77777777" w:rsidR="00EB5CF9" w:rsidRPr="008E6B8F" w:rsidRDefault="00EB5CF9" w:rsidP="008E6B8F"/>
  </w:footnote>
  <w:footnote w:type="continuationSeparator" w:id="0">
    <w:p w14:paraId="3350D1AF" w14:textId="77777777" w:rsidR="00EB5CF9" w:rsidRDefault="00EB5CF9"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696D1692" w14:textId="77777777" w:rsidR="00EB5CF9" w:rsidRDefault="00EB5CF9">
      <w:pPr>
        <w:spacing w:after="0" w:line="240" w:lineRule="auto"/>
      </w:pPr>
    </w:p>
  </w:footnote>
  <w:footnote w:id="2">
    <w:p w14:paraId="66172B66" w14:textId="77777777" w:rsidR="00EB5CF9" w:rsidRPr="00B006A4" w:rsidRDefault="00EB5CF9" w:rsidP="00B006A4">
      <w:pPr>
        <w:pStyle w:val="FootnoteText"/>
        <w:spacing w:after="0"/>
      </w:pPr>
      <w:r>
        <w:rPr>
          <w:rStyle w:val="FootnoteReference"/>
        </w:rPr>
        <w:footnoteRef/>
      </w:r>
      <w:r>
        <w:t xml:space="preserve"> </w:t>
      </w:r>
      <w:r w:rsidRPr="00B006A4">
        <w:t>A unique client is an individual who accessed one or more of our legal services. This does not include people</w:t>
      </w:r>
    </w:p>
    <w:p w14:paraId="21E8CAF6" w14:textId="77777777" w:rsidR="00EB5CF9" w:rsidRPr="00B006A4" w:rsidRDefault="00EB5CF9" w:rsidP="00B006A4">
      <w:pPr>
        <w:spacing w:after="0"/>
        <w:ind w:left="284" w:hanging="284"/>
        <w:contextualSpacing/>
        <w:rPr>
          <w:sz w:val="18"/>
          <w:szCs w:val="20"/>
        </w:rPr>
      </w:pPr>
      <w:r w:rsidRPr="00B006A4">
        <w:rPr>
          <w:sz w:val="18"/>
          <w:szCs w:val="20"/>
        </w:rPr>
        <w:t>for whom a client-lawyer relationship was not formed, who received information via the telephone, website or</w:t>
      </w:r>
    </w:p>
    <w:p w14:paraId="7ABF1036" w14:textId="77777777" w:rsidR="00EB5CF9" w:rsidRPr="00B006A4" w:rsidRDefault="00EB5CF9" w:rsidP="00B006A4">
      <w:pPr>
        <w:spacing w:after="0"/>
        <w:ind w:left="284" w:hanging="284"/>
        <w:contextualSpacing/>
        <w:rPr>
          <w:sz w:val="18"/>
          <w:szCs w:val="20"/>
        </w:rPr>
      </w:pPr>
      <w:r w:rsidRPr="00B006A4">
        <w:rPr>
          <w:sz w:val="18"/>
          <w:szCs w:val="20"/>
        </w:rPr>
        <w:t>in-person at court or at a public counter, who participated in community legal education sessions, or clients</w:t>
      </w:r>
    </w:p>
    <w:p w14:paraId="0EDDE773" w14:textId="77777777" w:rsidR="00EB5CF9" w:rsidRDefault="00EB5CF9" w:rsidP="00B006A4">
      <w:pPr>
        <w:pStyle w:val="FootnoteText"/>
        <w:spacing w:after="0"/>
      </w:pPr>
      <w:r w:rsidRPr="00B006A4">
        <w:rPr>
          <w:szCs w:val="24"/>
        </w:rPr>
        <w:t>from community legal centres.</w:t>
      </w:r>
    </w:p>
  </w:footnote>
  <w:footnote w:id="3">
    <w:p w14:paraId="0C637063" w14:textId="650D404B" w:rsidR="00B1328B" w:rsidRDefault="00B1328B">
      <w:pPr>
        <w:pStyle w:val="FootnoteText"/>
      </w:pPr>
      <w:r>
        <w:rPr>
          <w:rStyle w:val="FootnoteReference"/>
        </w:rPr>
        <w:footnoteRef/>
      </w:r>
      <w:r>
        <w:t xml:space="preserve"> This does not include clients assisted by a private lawyer through VLA’s private practitioner duty lawyer scheme.</w:t>
      </w:r>
    </w:p>
  </w:footnote>
  <w:footnote w:id="4">
    <w:p w14:paraId="16D60087" w14:textId="3DB0F59F" w:rsidR="00B1328B" w:rsidRDefault="00B1328B" w:rsidP="00B1328B">
      <w:pPr>
        <w:pStyle w:val="FootnoteText"/>
        <w:ind w:left="0" w:firstLine="0"/>
      </w:pPr>
      <w:r>
        <w:rPr>
          <w:rStyle w:val="FootnoteReference"/>
        </w:rPr>
        <w:footnoteRef/>
      </w:r>
      <w:r>
        <w:t xml:space="preserve"> Examples include children and young people, people experiencing homelessness, people in custody and immigration detention and psychiatric patients.</w:t>
      </w:r>
    </w:p>
  </w:footnote>
  <w:footnote w:id="5">
    <w:p w14:paraId="47A2EAE1" w14:textId="6257DD91" w:rsidR="00B1328B" w:rsidRDefault="00B1328B" w:rsidP="00B1328B">
      <w:pPr>
        <w:pStyle w:val="FootnoteText"/>
        <w:ind w:left="0" w:firstLine="0"/>
      </w:pPr>
      <w:r>
        <w:rPr>
          <w:rStyle w:val="FootnoteReference"/>
        </w:rPr>
        <w:footnoteRef/>
      </w:r>
      <w:r>
        <w:t xml:space="preserve"> This is based on the Australian Bureau of Statistics definition of people from culturally and linguistically diverse backgrounds. It includes people who speak a language other than English at home and people who were born in a non-English speaking country.</w:t>
      </w:r>
    </w:p>
  </w:footnote>
  <w:footnote w:id="6">
    <w:p w14:paraId="3E89490C" w14:textId="156FDECE" w:rsidR="00EB5CF9" w:rsidRPr="004D4E65" w:rsidRDefault="00EB5CF9" w:rsidP="002B5992">
      <w:pPr>
        <w:pStyle w:val="FootnoteText"/>
      </w:pPr>
      <w:r w:rsidRPr="004D4E65">
        <w:rPr>
          <w:rStyle w:val="FootnoteReference"/>
        </w:rPr>
        <w:footnoteRef/>
      </w:r>
      <w:r w:rsidRPr="004D4E65">
        <w:t xml:space="preserve"> </w:t>
      </w:r>
      <w:r>
        <w:t>Approximately t</w:t>
      </w:r>
      <w:r w:rsidRPr="004D4E65">
        <w:t>hree per cent of indictable matters go on to receive a grant of aid for an appeal to the higher courts</w:t>
      </w:r>
    </w:p>
  </w:footnote>
  <w:footnote w:id="7">
    <w:p w14:paraId="33C4159F" w14:textId="7FC33F0D" w:rsidR="00EB5CF9" w:rsidRDefault="00EB5CF9" w:rsidP="002B5992">
      <w:pPr>
        <w:pStyle w:val="FootnoteText"/>
      </w:pPr>
      <w:r w:rsidRPr="004D4E65">
        <w:rPr>
          <w:rStyle w:val="FootnoteReference"/>
        </w:rPr>
        <w:footnoteRef/>
      </w:r>
      <w:r w:rsidRPr="004D4E65">
        <w:t xml:space="preserve"> </w:t>
      </w:r>
      <w:r>
        <w:t>Approximately f</w:t>
      </w:r>
      <w:r w:rsidRPr="004D4E65">
        <w:t>ive per cent of summary and youth crime matters go on to receive a grant of aid for appeal to the County Court</w:t>
      </w:r>
    </w:p>
  </w:footnote>
  <w:footnote w:id="8">
    <w:p w14:paraId="49C41EFB" w14:textId="7BB30AF7" w:rsidR="00B1328B" w:rsidRDefault="00B1328B" w:rsidP="00B1328B">
      <w:pPr>
        <w:pStyle w:val="FootnoteText"/>
        <w:ind w:left="0" w:firstLine="0"/>
      </w:pPr>
      <w:r>
        <w:rPr>
          <w:rStyle w:val="FootnoteReference"/>
        </w:rPr>
        <w:footnoteRef/>
      </w:r>
      <w:r>
        <w:t xml:space="preserve"> </w:t>
      </w:r>
      <w:r w:rsidRPr="003B6D52">
        <w:rPr>
          <w:szCs w:val="18"/>
        </w:rPr>
        <w:t>The law in general includes issues around commercial law, wills and trusts</w:t>
      </w:r>
      <w:r w:rsidRPr="003B6D52">
        <w:rPr>
          <w:rFonts w:cs="Arial"/>
          <w:szCs w:val="18"/>
        </w:rPr>
        <w:t>—</w:t>
      </w:r>
      <w:r w:rsidRPr="003B6D52">
        <w:rPr>
          <w:szCs w:val="18"/>
        </w:rPr>
        <w:t>we do not fund representation for these matters but receive requests for information and advice about 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91FF" w14:textId="77777777" w:rsidR="00EB5CF9" w:rsidRDefault="00EB5CF9"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B09DDC" w14:textId="77777777" w:rsidR="00EB5CF9" w:rsidRDefault="00EB5CF9" w:rsidP="00091AFC">
    <w:pPr>
      <w:pStyle w:val="Header"/>
      <w:ind w:right="360"/>
    </w:pPr>
  </w:p>
  <w:p w14:paraId="6FA4B991" w14:textId="77777777" w:rsidR="00EB5CF9" w:rsidRDefault="00EB5C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206B" w14:textId="77777777" w:rsidR="00EB5CF9" w:rsidRPr="006A6FC6" w:rsidRDefault="00EB5CF9"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106A87E2" w14:textId="77777777" w:rsidR="00EB5CF9" w:rsidRPr="00EF7C5C" w:rsidRDefault="00EB5CF9" w:rsidP="00EF7C5C">
    <w:pPr>
      <w:spacing w:line="240" w:lineRule="auto"/>
      <w:ind w:left="-330"/>
      <w:rPr>
        <w:rFonts w:ascii="Arial Bold" w:hAnsi="Arial Bold" w:cs="Arial"/>
        <w:color w:val="B1005D"/>
      </w:rPr>
    </w:pPr>
    <w:r>
      <w:rPr>
        <w:rFonts w:ascii="Arial Bold" w:hAnsi="Arial Bold" w:cs="Arial"/>
        <w:b/>
        <w:color w:val="B1005D"/>
        <w:sz w:val="18"/>
        <w:szCs w:val="18"/>
      </w:rPr>
      <w:t>2017</w:t>
    </w:r>
    <w:r>
      <w:rPr>
        <w:rFonts w:cs="Arial"/>
        <w:b/>
        <w:color w:val="B1005D"/>
        <w:sz w:val="18"/>
        <w:szCs w:val="18"/>
      </w:rPr>
      <w:t>–</w:t>
    </w:r>
    <w:r>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3942986A" wp14:editId="4ADDF59F">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DE6BE"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r>
      <w:rPr>
        <w:rFonts w:ascii="Arial Bold" w:hAnsi="Arial Bold" w:cs="Arial"/>
        <w:b/>
        <w:color w:val="B1005D"/>
        <w:sz w:val="18"/>
        <w:szCs w:val="18"/>
      </w:rPr>
      <w:t>18 End year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E2FB" w14:textId="77777777" w:rsidR="00EB5CF9" w:rsidRPr="00833658" w:rsidRDefault="00EB5CF9"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3360" behindDoc="1" locked="0" layoutInCell="1" allowOverlap="1" wp14:anchorId="7CD4DCC8" wp14:editId="0D26E7A2">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99E644A" w14:textId="42093A54" w:rsidR="00EB5CF9" w:rsidRPr="00D82005" w:rsidRDefault="00EB5CF9" w:rsidP="00D82005">
    <w:pPr>
      <w:pStyle w:val="VLAPublicationdate"/>
      <w:spacing w:before="240" w:after="1200"/>
    </w:pPr>
    <w:r>
      <w:t>2017</w:t>
    </w:r>
    <w:r>
      <w:rPr>
        <w:rFonts w:cs="Arial"/>
      </w:rPr>
      <w:t>–</w:t>
    </w:r>
    <w:r>
      <w:t>18 End year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5984B71"/>
    <w:multiLevelType w:val="hybridMultilevel"/>
    <w:tmpl w:val="EC0AB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6C76F6"/>
    <w:multiLevelType w:val="hybridMultilevel"/>
    <w:tmpl w:val="40821FBC"/>
    <w:lvl w:ilvl="0" w:tplc="5B16F576">
      <w:start w:val="2017"/>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0AC25500"/>
    <w:multiLevelType w:val="hybridMultilevel"/>
    <w:tmpl w:val="71264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246EEA"/>
    <w:multiLevelType w:val="hybridMultilevel"/>
    <w:tmpl w:val="A1E66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7F221DD"/>
    <w:multiLevelType w:val="hybridMultilevel"/>
    <w:tmpl w:val="32287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27F5A"/>
    <w:multiLevelType w:val="hybridMultilevel"/>
    <w:tmpl w:val="0DBE9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5F36246"/>
    <w:multiLevelType w:val="hybridMultilevel"/>
    <w:tmpl w:val="E1B2F8DA"/>
    <w:lvl w:ilvl="0" w:tplc="57188F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BD6170"/>
    <w:multiLevelType w:val="hybridMultilevel"/>
    <w:tmpl w:val="B2B43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DC0A04"/>
    <w:multiLevelType w:val="hybridMultilevel"/>
    <w:tmpl w:val="DDC2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542E8"/>
    <w:multiLevelType w:val="hybridMultilevel"/>
    <w:tmpl w:val="F22AD124"/>
    <w:lvl w:ilvl="0" w:tplc="F9CA404C">
      <w:start w:val="1"/>
      <w:numFmt w:val="bullet"/>
      <w:pStyle w:val="Bullet1"/>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22"/>
  </w:num>
  <w:num w:numId="4">
    <w:abstractNumId w:val="21"/>
  </w:num>
  <w:num w:numId="5">
    <w:abstractNumId w:val="22"/>
  </w:num>
  <w:num w:numId="6">
    <w:abstractNumId w:val="22"/>
  </w:num>
  <w:num w:numId="7">
    <w:abstractNumId w:val="23"/>
  </w:num>
  <w:num w:numId="8">
    <w:abstractNumId w:val="22"/>
  </w:num>
  <w:num w:numId="9">
    <w:abstractNumId w:val="20"/>
  </w:num>
  <w:num w:numId="10">
    <w:abstractNumId w:val="14"/>
  </w:num>
  <w:num w:numId="11">
    <w:abstractNumId w:val="20"/>
  </w:num>
  <w:num w:numId="12">
    <w:abstractNumId w:val="11"/>
  </w:num>
  <w:num w:numId="13">
    <w:abstractNumId w:val="11"/>
  </w:num>
  <w:num w:numId="14">
    <w:abstractNumId w:val="11"/>
  </w:num>
  <w:num w:numId="15">
    <w:abstractNumId w:val="11"/>
  </w:num>
  <w:num w:numId="16">
    <w:abstractNumId w:val="14"/>
  </w:num>
  <w:num w:numId="17">
    <w:abstractNumId w:val="22"/>
  </w:num>
  <w:num w:numId="18">
    <w:abstractNumId w:val="22"/>
  </w:num>
  <w:num w:numId="19">
    <w:abstractNumId w:val="21"/>
  </w:num>
  <w:num w:numId="20">
    <w:abstractNumId w:val="21"/>
  </w:num>
  <w:num w:numId="21">
    <w:abstractNumId w:val="21"/>
  </w:num>
  <w:num w:numId="22">
    <w:abstractNumId w:val="20"/>
  </w:num>
  <w:num w:numId="23">
    <w:abstractNumId w:val="14"/>
  </w:num>
  <w:num w:numId="24">
    <w:abstractNumId w:val="22"/>
  </w:num>
  <w:num w:numId="25">
    <w:abstractNumId w:val="22"/>
  </w:num>
  <w:num w:numId="26">
    <w:abstractNumId w:val="21"/>
  </w:num>
  <w:num w:numId="27">
    <w:abstractNumId w:val="21"/>
  </w:num>
  <w:num w:numId="28">
    <w:abstractNumId w:val="2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19"/>
  </w:num>
  <w:num w:numId="37">
    <w:abstractNumId w:val="18"/>
  </w:num>
  <w:num w:numId="38">
    <w:abstractNumId w:val="9"/>
  </w:num>
  <w:num w:numId="39">
    <w:abstractNumId w:val="12"/>
  </w:num>
  <w:num w:numId="40">
    <w:abstractNumId w:val="17"/>
  </w:num>
  <w:num w:numId="41">
    <w:abstractNumId w:val="7"/>
  </w:num>
  <w:num w:numId="42">
    <w:abstractNumId w:val="13"/>
  </w:num>
  <w:num w:numId="43">
    <w:abstractNumId w:val="10"/>
  </w:num>
  <w:num w:numId="44">
    <w:abstractNumId w:val="8"/>
  </w:num>
  <w:num w:numId="4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81">
      <o:colormru v:ext="edit" colors="#017165,#96004a,#b1005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E7A59"/>
    <w:rsid w:val="000078CE"/>
    <w:rsid w:val="000127A1"/>
    <w:rsid w:val="00014A3C"/>
    <w:rsid w:val="0002325D"/>
    <w:rsid w:val="000360EC"/>
    <w:rsid w:val="00036CF0"/>
    <w:rsid w:val="0004011C"/>
    <w:rsid w:val="00040F0B"/>
    <w:rsid w:val="00047654"/>
    <w:rsid w:val="00057FDC"/>
    <w:rsid w:val="00073E10"/>
    <w:rsid w:val="00074726"/>
    <w:rsid w:val="000757CE"/>
    <w:rsid w:val="000759A6"/>
    <w:rsid w:val="00091432"/>
    <w:rsid w:val="00091AFC"/>
    <w:rsid w:val="0009220A"/>
    <w:rsid w:val="00094FE1"/>
    <w:rsid w:val="000A1C94"/>
    <w:rsid w:val="000B296C"/>
    <w:rsid w:val="000C1761"/>
    <w:rsid w:val="000C67D6"/>
    <w:rsid w:val="000C6955"/>
    <w:rsid w:val="000E045E"/>
    <w:rsid w:val="000E1BEB"/>
    <w:rsid w:val="000F7758"/>
    <w:rsid w:val="00101D4B"/>
    <w:rsid w:val="0010364F"/>
    <w:rsid w:val="00151B7E"/>
    <w:rsid w:val="0015359B"/>
    <w:rsid w:val="00160C7E"/>
    <w:rsid w:val="00181303"/>
    <w:rsid w:val="001829A1"/>
    <w:rsid w:val="00184948"/>
    <w:rsid w:val="001A2999"/>
    <w:rsid w:val="001A611A"/>
    <w:rsid w:val="001B67EC"/>
    <w:rsid w:val="001C125E"/>
    <w:rsid w:val="001E1A16"/>
    <w:rsid w:val="002100E3"/>
    <w:rsid w:val="0021722B"/>
    <w:rsid w:val="00295065"/>
    <w:rsid w:val="002A5029"/>
    <w:rsid w:val="002B0044"/>
    <w:rsid w:val="002B5992"/>
    <w:rsid w:val="002B73A4"/>
    <w:rsid w:val="002C47F1"/>
    <w:rsid w:val="002C66EF"/>
    <w:rsid w:val="002D5973"/>
    <w:rsid w:val="002F2310"/>
    <w:rsid w:val="002F64D9"/>
    <w:rsid w:val="002F7860"/>
    <w:rsid w:val="00304F5A"/>
    <w:rsid w:val="00306C10"/>
    <w:rsid w:val="00310DD1"/>
    <w:rsid w:val="003111FA"/>
    <w:rsid w:val="00315C03"/>
    <w:rsid w:val="003224F8"/>
    <w:rsid w:val="003315F4"/>
    <w:rsid w:val="00345DB7"/>
    <w:rsid w:val="00360994"/>
    <w:rsid w:val="003655D7"/>
    <w:rsid w:val="0036720D"/>
    <w:rsid w:val="0037081E"/>
    <w:rsid w:val="00384E52"/>
    <w:rsid w:val="003B4FFB"/>
    <w:rsid w:val="003B6D52"/>
    <w:rsid w:val="003B7750"/>
    <w:rsid w:val="003E27EF"/>
    <w:rsid w:val="00401319"/>
    <w:rsid w:val="00402557"/>
    <w:rsid w:val="004025D4"/>
    <w:rsid w:val="00406B5A"/>
    <w:rsid w:val="00411D67"/>
    <w:rsid w:val="00413667"/>
    <w:rsid w:val="004158B6"/>
    <w:rsid w:val="00416FFC"/>
    <w:rsid w:val="00427C16"/>
    <w:rsid w:val="0043722F"/>
    <w:rsid w:val="004421BD"/>
    <w:rsid w:val="00443649"/>
    <w:rsid w:val="0045604E"/>
    <w:rsid w:val="00461287"/>
    <w:rsid w:val="004707EF"/>
    <w:rsid w:val="00475F2B"/>
    <w:rsid w:val="004A11DE"/>
    <w:rsid w:val="004C75B1"/>
    <w:rsid w:val="004D4BFC"/>
    <w:rsid w:val="004D4E65"/>
    <w:rsid w:val="004D7100"/>
    <w:rsid w:val="004E2F01"/>
    <w:rsid w:val="00501BBF"/>
    <w:rsid w:val="00504F13"/>
    <w:rsid w:val="0051489E"/>
    <w:rsid w:val="00526673"/>
    <w:rsid w:val="005317C2"/>
    <w:rsid w:val="00546C0D"/>
    <w:rsid w:val="00570295"/>
    <w:rsid w:val="00573639"/>
    <w:rsid w:val="005921F1"/>
    <w:rsid w:val="00594A42"/>
    <w:rsid w:val="005A2C42"/>
    <w:rsid w:val="005A2FCD"/>
    <w:rsid w:val="005A3FC5"/>
    <w:rsid w:val="005A5D9F"/>
    <w:rsid w:val="005B1640"/>
    <w:rsid w:val="005B3D02"/>
    <w:rsid w:val="005B76EA"/>
    <w:rsid w:val="005C1DFD"/>
    <w:rsid w:val="005C4965"/>
    <w:rsid w:val="005D19C7"/>
    <w:rsid w:val="005D275B"/>
    <w:rsid w:val="005D2F1E"/>
    <w:rsid w:val="005D4A19"/>
    <w:rsid w:val="005D5C9C"/>
    <w:rsid w:val="005F1EB0"/>
    <w:rsid w:val="005F5CB7"/>
    <w:rsid w:val="00612D66"/>
    <w:rsid w:val="00614D43"/>
    <w:rsid w:val="0062475F"/>
    <w:rsid w:val="006258EA"/>
    <w:rsid w:val="00625A66"/>
    <w:rsid w:val="006326BF"/>
    <w:rsid w:val="00633BDC"/>
    <w:rsid w:val="00640F2B"/>
    <w:rsid w:val="006469E1"/>
    <w:rsid w:val="0066019E"/>
    <w:rsid w:val="00660BA3"/>
    <w:rsid w:val="00660DC4"/>
    <w:rsid w:val="0066326A"/>
    <w:rsid w:val="006764E3"/>
    <w:rsid w:val="00680746"/>
    <w:rsid w:val="006A00A7"/>
    <w:rsid w:val="006A443C"/>
    <w:rsid w:val="006A6FC6"/>
    <w:rsid w:val="006B21FE"/>
    <w:rsid w:val="006B35B8"/>
    <w:rsid w:val="006B3F5E"/>
    <w:rsid w:val="006B612D"/>
    <w:rsid w:val="006B6E7E"/>
    <w:rsid w:val="006C50B6"/>
    <w:rsid w:val="006C752F"/>
    <w:rsid w:val="006D25BF"/>
    <w:rsid w:val="006F181A"/>
    <w:rsid w:val="006F2D6F"/>
    <w:rsid w:val="006F6A54"/>
    <w:rsid w:val="00714549"/>
    <w:rsid w:val="00724661"/>
    <w:rsid w:val="00731361"/>
    <w:rsid w:val="00736A76"/>
    <w:rsid w:val="00745B9B"/>
    <w:rsid w:val="0075601E"/>
    <w:rsid w:val="00763F07"/>
    <w:rsid w:val="00781FFA"/>
    <w:rsid w:val="0078739B"/>
    <w:rsid w:val="007B0612"/>
    <w:rsid w:val="007C377F"/>
    <w:rsid w:val="007D5BA7"/>
    <w:rsid w:val="008047E1"/>
    <w:rsid w:val="00806121"/>
    <w:rsid w:val="008074B3"/>
    <w:rsid w:val="0082595B"/>
    <w:rsid w:val="0083306A"/>
    <w:rsid w:val="00833658"/>
    <w:rsid w:val="00847377"/>
    <w:rsid w:val="00856DA8"/>
    <w:rsid w:val="008636E1"/>
    <w:rsid w:val="0086577E"/>
    <w:rsid w:val="00873937"/>
    <w:rsid w:val="008958CB"/>
    <w:rsid w:val="00896E60"/>
    <w:rsid w:val="008A1E5F"/>
    <w:rsid w:val="008B2419"/>
    <w:rsid w:val="008C388A"/>
    <w:rsid w:val="008E6B8F"/>
    <w:rsid w:val="008F2D9D"/>
    <w:rsid w:val="008F4DC6"/>
    <w:rsid w:val="008F75B4"/>
    <w:rsid w:val="00903A08"/>
    <w:rsid w:val="00925E57"/>
    <w:rsid w:val="00936212"/>
    <w:rsid w:val="00940793"/>
    <w:rsid w:val="00955963"/>
    <w:rsid w:val="0097116C"/>
    <w:rsid w:val="00985F14"/>
    <w:rsid w:val="0099270D"/>
    <w:rsid w:val="009A4B7F"/>
    <w:rsid w:val="009A66D4"/>
    <w:rsid w:val="009A74F1"/>
    <w:rsid w:val="009B0D09"/>
    <w:rsid w:val="009B2459"/>
    <w:rsid w:val="009B55C9"/>
    <w:rsid w:val="009B59BF"/>
    <w:rsid w:val="009B6FE2"/>
    <w:rsid w:val="009C4FBC"/>
    <w:rsid w:val="009D539D"/>
    <w:rsid w:val="009D6615"/>
    <w:rsid w:val="009E1AC3"/>
    <w:rsid w:val="009F0AA0"/>
    <w:rsid w:val="00A11120"/>
    <w:rsid w:val="00A23E42"/>
    <w:rsid w:val="00A3608C"/>
    <w:rsid w:val="00A4395A"/>
    <w:rsid w:val="00A50ECA"/>
    <w:rsid w:val="00A52F29"/>
    <w:rsid w:val="00A6081E"/>
    <w:rsid w:val="00A7216F"/>
    <w:rsid w:val="00A73B92"/>
    <w:rsid w:val="00A756E7"/>
    <w:rsid w:val="00A93509"/>
    <w:rsid w:val="00AB5376"/>
    <w:rsid w:val="00AC3D95"/>
    <w:rsid w:val="00AC60A4"/>
    <w:rsid w:val="00AC6CF7"/>
    <w:rsid w:val="00AD7A21"/>
    <w:rsid w:val="00AE7A59"/>
    <w:rsid w:val="00B006A4"/>
    <w:rsid w:val="00B044A6"/>
    <w:rsid w:val="00B1328B"/>
    <w:rsid w:val="00B363FD"/>
    <w:rsid w:val="00B6049A"/>
    <w:rsid w:val="00B85795"/>
    <w:rsid w:val="00B9461A"/>
    <w:rsid w:val="00B97273"/>
    <w:rsid w:val="00BA31B1"/>
    <w:rsid w:val="00BB122F"/>
    <w:rsid w:val="00BC4296"/>
    <w:rsid w:val="00BD3873"/>
    <w:rsid w:val="00BD5DA3"/>
    <w:rsid w:val="00BE29B1"/>
    <w:rsid w:val="00BE36EB"/>
    <w:rsid w:val="00BE6853"/>
    <w:rsid w:val="00C16B80"/>
    <w:rsid w:val="00C23872"/>
    <w:rsid w:val="00C33AEF"/>
    <w:rsid w:val="00C415B1"/>
    <w:rsid w:val="00C61CB5"/>
    <w:rsid w:val="00C64A61"/>
    <w:rsid w:val="00C81372"/>
    <w:rsid w:val="00C82E61"/>
    <w:rsid w:val="00C84D28"/>
    <w:rsid w:val="00C9586F"/>
    <w:rsid w:val="00CB1392"/>
    <w:rsid w:val="00CB48F9"/>
    <w:rsid w:val="00CC0626"/>
    <w:rsid w:val="00CC216F"/>
    <w:rsid w:val="00CE2267"/>
    <w:rsid w:val="00CE5D55"/>
    <w:rsid w:val="00CF2D05"/>
    <w:rsid w:val="00D060EA"/>
    <w:rsid w:val="00D063D2"/>
    <w:rsid w:val="00D17B82"/>
    <w:rsid w:val="00D27B0C"/>
    <w:rsid w:val="00D30775"/>
    <w:rsid w:val="00D30B8E"/>
    <w:rsid w:val="00D43832"/>
    <w:rsid w:val="00D75C29"/>
    <w:rsid w:val="00D80922"/>
    <w:rsid w:val="00D82005"/>
    <w:rsid w:val="00DA3F90"/>
    <w:rsid w:val="00DA7FB9"/>
    <w:rsid w:val="00DB07C5"/>
    <w:rsid w:val="00DC01DC"/>
    <w:rsid w:val="00DC7804"/>
    <w:rsid w:val="00DD5EE1"/>
    <w:rsid w:val="00DD6612"/>
    <w:rsid w:val="00DE037E"/>
    <w:rsid w:val="00DE0CDA"/>
    <w:rsid w:val="00DE3C33"/>
    <w:rsid w:val="00E31A76"/>
    <w:rsid w:val="00E3465D"/>
    <w:rsid w:val="00E55E93"/>
    <w:rsid w:val="00E773E6"/>
    <w:rsid w:val="00E80CEF"/>
    <w:rsid w:val="00E865F8"/>
    <w:rsid w:val="00E92D5D"/>
    <w:rsid w:val="00E9556F"/>
    <w:rsid w:val="00EB5CF9"/>
    <w:rsid w:val="00EC795B"/>
    <w:rsid w:val="00EE46F4"/>
    <w:rsid w:val="00EF4C7B"/>
    <w:rsid w:val="00EF4FC5"/>
    <w:rsid w:val="00EF7C5C"/>
    <w:rsid w:val="00EF7E50"/>
    <w:rsid w:val="00F0005B"/>
    <w:rsid w:val="00F10564"/>
    <w:rsid w:val="00F14EC8"/>
    <w:rsid w:val="00F160EA"/>
    <w:rsid w:val="00F431F3"/>
    <w:rsid w:val="00F63972"/>
    <w:rsid w:val="00F665BB"/>
    <w:rsid w:val="00F77E0F"/>
    <w:rsid w:val="00F825B6"/>
    <w:rsid w:val="00F912A7"/>
    <w:rsid w:val="00F94B39"/>
    <w:rsid w:val="00FA494C"/>
    <w:rsid w:val="00FA7D9E"/>
    <w:rsid w:val="00FB3760"/>
    <w:rsid w:val="00FC00DB"/>
    <w:rsid w:val="00FC1D9F"/>
    <w:rsid w:val="00FD3707"/>
    <w:rsid w:val="00FE2A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ru v:ext="edit" colors="#017165,#96004a,#b1005d"/>
    </o:shapedefaults>
    <o:shapelayout v:ext="edit">
      <o:idmap v:ext="edit" data="1"/>
    </o:shapelayout>
  </w:shapeDefaults>
  <w:decimalSymbol w:val="."/>
  <w:listSeparator w:val=","/>
  <w14:docId w14:val="63F0B133"/>
  <w15:docId w15:val="{F30ED40A-C7CC-4909-B9EC-D4F1841D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aliases w:val="Footnote,Footnotes refss,4_G,Footnote number,Stinking Styles,Nota a pie,NO,Style 30,Style 20"/>
    <w:uiPriority w:val="99"/>
    <w:qFormat/>
    <w:rsid w:val="00DB07C5"/>
    <w:rPr>
      <w:rFonts w:ascii="Arial" w:hAnsi="Arial"/>
      <w:sz w:val="18"/>
      <w:vertAlign w:val="superscript"/>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
    <w:basedOn w:val="Normal"/>
    <w:link w:val="FootnoteTextChar"/>
    <w:uiPriority w:val="99"/>
    <w:qFormat/>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FootnoteTextChar">
    <w:name w:val="Footnote Text Char"/>
    <w:aliases w:val="Footnote Text Char Char Char Char Char Char Char,Footnote Text Char Char Char Char Char Char Char Char Char Char Char Char Char Char Char Char Char Char,C Char"/>
    <w:basedOn w:val="DefaultParagraphFont"/>
    <w:link w:val="FootnoteText"/>
    <w:uiPriority w:val="99"/>
    <w:rsid w:val="00B006A4"/>
    <w:rPr>
      <w:rFonts w:ascii="Arial" w:eastAsia="Times New Roman" w:hAnsi="Arial"/>
      <w:sz w:val="18"/>
    </w:rPr>
  </w:style>
  <w:style w:type="paragraph" w:customStyle="1" w:styleId="Bullet1">
    <w:name w:val="Bullet 1"/>
    <w:basedOn w:val="Normal"/>
    <w:qFormat/>
    <w:rsid w:val="00B006A4"/>
    <w:pPr>
      <w:numPr>
        <w:numId w:val="36"/>
      </w:numPr>
      <w:ind w:left="170" w:hanging="170"/>
    </w:pPr>
  </w:style>
  <w:style w:type="table" w:styleId="PlainTable2">
    <w:name w:val="Plain Table 2"/>
    <w:basedOn w:val="TableNormal"/>
    <w:uiPriority w:val="42"/>
    <w:rsid w:val="00B006A4"/>
    <w:rPr>
      <w:rFonts w:ascii="Times New Roman" w:eastAsia="Times New Roman" w:hAnsi="Times New Roman"/>
      <w:lang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2B142D" w:themeColor="text2"/>
      </w:rPr>
      <w:tblPr/>
      <w:trPr>
        <w:cantSplit/>
        <w:tblHeader/>
      </w:trPr>
      <w:tcPr>
        <w:tcBorders>
          <w:top w:val="single" w:sz="4" w:space="0" w:color="2B142D" w:themeColor="text2"/>
          <w:bottom w:val="single" w:sz="4" w:space="0" w:color="2B142D" w:themeColor="text2"/>
        </w:tcBorders>
        <w:shd w:val="clear" w:color="auto" w:fill="C3AFCC"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ListParagraph">
    <w:name w:val="List Paragraph"/>
    <w:basedOn w:val="Normal"/>
    <w:link w:val="ListParagraphChar"/>
    <w:uiPriority w:val="34"/>
    <w:unhideWhenUsed/>
    <w:qFormat/>
    <w:rsid w:val="00B9461A"/>
    <w:pPr>
      <w:ind w:left="720"/>
      <w:contextualSpacing/>
    </w:pPr>
  </w:style>
  <w:style w:type="character" w:customStyle="1" w:styleId="ListParagraphChar">
    <w:name w:val="List Paragraph Char"/>
    <w:link w:val="ListParagraph"/>
    <w:uiPriority w:val="34"/>
    <w:locked/>
    <w:rsid w:val="002B5992"/>
    <w:rPr>
      <w:rFonts w:ascii="Arial" w:eastAsia="Times New Roman" w:hAnsi="Arial"/>
      <w:sz w:val="22"/>
      <w:szCs w:val="24"/>
    </w:rPr>
  </w:style>
  <w:style w:type="character" w:styleId="CommentReference">
    <w:name w:val="annotation reference"/>
    <w:basedOn w:val="DefaultParagraphFont"/>
    <w:semiHidden/>
    <w:unhideWhenUsed/>
    <w:rsid w:val="005D2F1E"/>
    <w:rPr>
      <w:sz w:val="16"/>
      <w:szCs w:val="16"/>
    </w:rPr>
  </w:style>
  <w:style w:type="paragraph" w:styleId="CommentText">
    <w:name w:val="annotation text"/>
    <w:basedOn w:val="Normal"/>
    <w:link w:val="CommentTextChar"/>
    <w:semiHidden/>
    <w:unhideWhenUsed/>
    <w:rsid w:val="005D2F1E"/>
    <w:pPr>
      <w:spacing w:line="240" w:lineRule="auto"/>
    </w:pPr>
    <w:rPr>
      <w:sz w:val="20"/>
      <w:szCs w:val="20"/>
    </w:rPr>
  </w:style>
  <w:style w:type="character" w:customStyle="1" w:styleId="CommentTextChar">
    <w:name w:val="Comment Text Char"/>
    <w:basedOn w:val="DefaultParagraphFont"/>
    <w:link w:val="CommentText"/>
    <w:semiHidden/>
    <w:rsid w:val="005D2F1E"/>
    <w:rPr>
      <w:rFonts w:ascii="Arial" w:eastAsia="Times New Roman" w:hAnsi="Arial"/>
    </w:rPr>
  </w:style>
  <w:style w:type="paragraph" w:styleId="CommentSubject">
    <w:name w:val="annotation subject"/>
    <w:basedOn w:val="CommentText"/>
    <w:next w:val="CommentText"/>
    <w:link w:val="CommentSubjectChar"/>
    <w:semiHidden/>
    <w:unhideWhenUsed/>
    <w:rsid w:val="005D2F1E"/>
    <w:rPr>
      <w:b/>
      <w:bCs/>
    </w:rPr>
  </w:style>
  <w:style w:type="character" w:customStyle="1" w:styleId="CommentSubjectChar">
    <w:name w:val="Comment Subject Char"/>
    <w:basedOn w:val="CommentTextChar"/>
    <w:link w:val="CommentSubject"/>
    <w:semiHidden/>
    <w:rsid w:val="005D2F1E"/>
    <w:rPr>
      <w:rFonts w:ascii="Arial" w:eastAsia="Times New Roman" w:hAnsi="Arial"/>
      <w:b/>
      <w:bCs/>
    </w:rPr>
  </w:style>
  <w:style w:type="paragraph" w:styleId="BalloonText">
    <w:name w:val="Balloon Text"/>
    <w:basedOn w:val="Normal"/>
    <w:link w:val="BalloonTextChar"/>
    <w:semiHidden/>
    <w:unhideWhenUsed/>
    <w:rsid w:val="005D2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D2F1E"/>
    <w:rPr>
      <w:rFonts w:ascii="Segoe UI" w:eastAsia="Times New Roman" w:hAnsi="Segoe UI" w:cs="Segoe UI"/>
      <w:sz w:val="18"/>
      <w:szCs w:val="18"/>
    </w:rPr>
  </w:style>
  <w:style w:type="paragraph" w:styleId="BodyText">
    <w:name w:val="Body Text"/>
    <w:basedOn w:val="Normal"/>
    <w:link w:val="BodyTextChar"/>
    <w:rsid w:val="00CE5D55"/>
  </w:style>
  <w:style w:type="character" w:customStyle="1" w:styleId="BodyTextChar">
    <w:name w:val="Body Text Char"/>
    <w:basedOn w:val="DefaultParagraphFont"/>
    <w:link w:val="BodyText"/>
    <w:rsid w:val="00CE5D55"/>
    <w:rPr>
      <w:rFonts w:ascii="Arial" w:eastAsia="Times New Roman" w:hAnsi="Arial"/>
      <w:sz w:val="22"/>
      <w:szCs w:val="24"/>
    </w:rPr>
  </w:style>
  <w:style w:type="table" w:customStyle="1" w:styleId="PlainTable27">
    <w:name w:val="Plain Table 27"/>
    <w:basedOn w:val="TableNormal"/>
    <w:next w:val="PlainTable2"/>
    <w:uiPriority w:val="42"/>
    <w:rsid w:val="008F2D9D"/>
    <w:rPr>
      <w:rFonts w:ascii="Times New Roman" w:eastAsia="Times New Roman" w:hAnsi="Times New Roman"/>
      <w:lang w:eastAsia="en-AU"/>
    </w:rPr>
    <w:tblPr>
      <w:tblStyleRowBandSize w:val="1"/>
      <w:tblStyleColBandSize w:val="1"/>
      <w:tblBorders>
        <w:bottom w:val="single" w:sz="4" w:space="0" w:color="000000"/>
        <w:insideH w:val="single" w:sz="4" w:space="0" w:color="000000"/>
      </w:tblBorders>
    </w:tblPr>
    <w:tblStylePr w:type="firstRow">
      <w:rPr>
        <w:b w:val="0"/>
        <w:bCs/>
        <w:color w:val="2B142D"/>
      </w:rPr>
      <w:tblPr/>
      <w:trPr>
        <w:cantSplit/>
        <w:tblHeader/>
      </w:trPr>
      <w:tcPr>
        <w:tcBorders>
          <w:top w:val="single" w:sz="4" w:space="0" w:color="2B142D"/>
          <w:bottom w:val="single" w:sz="4" w:space="0" w:color="2B142D"/>
        </w:tcBorders>
        <w:shd w:val="clear" w:color="auto" w:fill="C3AFCC"/>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000000"/>
          <w:insideH w:val="single" w:sz="4" w:space="0" w:color="000000"/>
        </w:tcBorders>
      </w:tcPr>
    </w:tblStylePr>
    <w:tblStylePr w:type="band2Horz">
      <w:tblPr/>
      <w:tcPr>
        <w:tcBorders>
          <w:bottom w:val="single" w:sz="4" w:space="0" w:color="000000"/>
          <w:insideH w:val="single" w:sz="4" w:space="0" w:color="000000"/>
        </w:tcBorders>
      </w:tcPr>
    </w:tblStylePr>
  </w:style>
  <w:style w:type="paragraph" w:styleId="EndnoteText">
    <w:name w:val="endnote text"/>
    <w:basedOn w:val="Normal"/>
    <w:link w:val="EndnoteTextChar"/>
    <w:semiHidden/>
    <w:unhideWhenUsed/>
    <w:rsid w:val="00B1328B"/>
    <w:pPr>
      <w:spacing w:after="0" w:line="240" w:lineRule="auto"/>
    </w:pPr>
    <w:rPr>
      <w:sz w:val="20"/>
      <w:szCs w:val="20"/>
    </w:rPr>
  </w:style>
  <w:style w:type="character" w:customStyle="1" w:styleId="EndnoteTextChar">
    <w:name w:val="Endnote Text Char"/>
    <w:basedOn w:val="DefaultParagraphFont"/>
    <w:link w:val="EndnoteText"/>
    <w:semiHidden/>
    <w:rsid w:val="00B1328B"/>
    <w:rPr>
      <w:rFonts w:ascii="Arial" w:eastAsia="Times New Roman" w:hAnsi="Arial"/>
    </w:rPr>
  </w:style>
  <w:style w:type="character" w:styleId="EndnoteReference">
    <w:name w:val="endnote reference"/>
    <w:basedOn w:val="DefaultParagraphFont"/>
    <w:semiHidden/>
    <w:unhideWhenUsed/>
    <w:rsid w:val="00B13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2D748-A8E9-4E8F-B65D-9AB3EC72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4660</Words>
  <Characters>25145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Factsheet_Generic</vt:lpstr>
    </vt:vector>
  </TitlesOfParts>
  <Company>Victoria Legal Aid</Company>
  <LinksUpToDate>false</LinksUpToDate>
  <CharactersWithSpaces>29746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Factsheet_Generic</dc:title>
  <dc:subject/>
  <dc:creator>Naomi Woodley</dc:creator>
  <cp:keywords/>
  <cp:lastModifiedBy/>
  <cp:revision>1</cp:revision>
  <dcterms:created xsi:type="dcterms:W3CDTF">2021-04-29T23:50:00Z</dcterms:created>
  <dcterms:modified xsi:type="dcterms:W3CDTF">2021-04-29T23:50:00Z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