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62148473e2c24852"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F8EA1" w14:textId="77777777" w:rsidR="000F4EBC" w:rsidRDefault="000F4EBC" w:rsidP="006E4FC5">
      <w:pPr>
        <w:pStyle w:val="Title"/>
        <w:spacing w:before="0" w:after="120" w:line="300" w:lineRule="atLeast"/>
      </w:pPr>
    </w:p>
    <w:p w14:paraId="7B13F867" w14:textId="29ED4CC2" w:rsidR="006E4FC5" w:rsidRPr="00D01C85" w:rsidRDefault="000F4EBC" w:rsidP="006E4FC5">
      <w:pPr>
        <w:pStyle w:val="Title"/>
        <w:spacing w:before="0" w:after="120" w:line="300" w:lineRule="atLeast"/>
      </w:pPr>
      <w:r>
        <w:rPr>
          <w:noProof/>
          <w:lang w:eastAsia="en-AU"/>
        </w:rPr>
        <w:drawing>
          <wp:anchor distT="0" distB="0" distL="114300" distR="114300" simplePos="0" relativeHeight="251658240" behindDoc="0" locked="0" layoutInCell="1" allowOverlap="1" wp14:anchorId="26220095" wp14:editId="30793932">
            <wp:simplePos x="0" y="0"/>
            <wp:positionH relativeFrom="page">
              <wp:posOffset>0</wp:posOffset>
            </wp:positionH>
            <wp:positionV relativeFrom="page">
              <wp:posOffset>360045</wp:posOffset>
            </wp:positionV>
            <wp:extent cx="7560000" cy="4158000"/>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tions_doc_oran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4158000"/>
                    </a:xfrm>
                    <a:prstGeom prst="rect">
                      <a:avLst/>
                    </a:prstGeom>
                  </pic:spPr>
                </pic:pic>
              </a:graphicData>
            </a:graphic>
            <wp14:sizeRelH relativeFrom="margin">
              <wp14:pctWidth>0</wp14:pctWidth>
            </wp14:sizeRelH>
            <wp14:sizeRelV relativeFrom="margin">
              <wp14:pctHeight>0</wp14:pctHeight>
            </wp14:sizeRelV>
          </wp:anchor>
        </w:drawing>
      </w:r>
      <w:r>
        <w:t>Part A:</w:t>
      </w:r>
      <w:r w:rsidR="006E4FC5" w:rsidRPr="00D01C85">
        <w:t xml:space="preserve"> How do we measure eligibility?</w:t>
      </w:r>
    </w:p>
    <w:p w14:paraId="482D87EB" w14:textId="77777777" w:rsidR="006E4FC5" w:rsidRPr="00D01C85" w:rsidRDefault="006E4FC5" w:rsidP="006E4FC5">
      <w:pPr>
        <w:rPr>
          <w:rFonts w:cs="Arial"/>
          <w:szCs w:val="22"/>
        </w:rPr>
      </w:pPr>
      <w:r w:rsidRPr="00D01C85">
        <w:rPr>
          <w:rFonts w:cs="Arial"/>
          <w:szCs w:val="22"/>
        </w:rPr>
        <w:t>This section will provide an overview of:</w:t>
      </w:r>
    </w:p>
    <w:p w14:paraId="15C42FFE" w14:textId="36C0C8BE" w:rsidR="006E4FC5" w:rsidRPr="00216908" w:rsidRDefault="0036785C" w:rsidP="006E4FC5">
      <w:pPr>
        <w:numPr>
          <w:ilvl w:val="0"/>
          <w:numId w:val="1"/>
        </w:numPr>
        <w:rPr>
          <w:rFonts w:cs="Arial"/>
          <w:szCs w:val="22"/>
        </w:rPr>
      </w:pPr>
      <w:hyperlink w:anchor="_Unmet_Legal_Need_1" w:history="1">
        <w:r w:rsidR="006E4FC5" w:rsidRPr="00216908">
          <w:rPr>
            <w:rStyle w:val="Hyperlink"/>
            <w:rFonts w:cs="Arial"/>
            <w:szCs w:val="22"/>
          </w:rPr>
          <w:t>Unmet legal need</w:t>
        </w:r>
      </w:hyperlink>
    </w:p>
    <w:p w14:paraId="2271F326" w14:textId="326DC650" w:rsidR="00FF4B9C" w:rsidRDefault="00FF4B9C" w:rsidP="006E4FC5">
      <w:pPr>
        <w:numPr>
          <w:ilvl w:val="1"/>
          <w:numId w:val="1"/>
        </w:numPr>
        <w:rPr>
          <w:rFonts w:cs="Arial"/>
          <w:szCs w:val="22"/>
        </w:rPr>
      </w:pPr>
      <w:r>
        <w:rPr>
          <w:rFonts w:cs="Arial"/>
          <w:szCs w:val="22"/>
        </w:rPr>
        <w:t>Why can’t people afford legal representation?</w:t>
      </w:r>
    </w:p>
    <w:p w14:paraId="0889C469" w14:textId="77777777" w:rsidR="006E4FC5" w:rsidRPr="00D01C85" w:rsidRDefault="00FF4B9C" w:rsidP="006E4FC5">
      <w:pPr>
        <w:numPr>
          <w:ilvl w:val="1"/>
          <w:numId w:val="1"/>
        </w:numPr>
        <w:rPr>
          <w:rFonts w:cs="Arial"/>
          <w:szCs w:val="22"/>
        </w:rPr>
      </w:pPr>
      <w:r>
        <w:rPr>
          <w:rFonts w:cs="Arial"/>
          <w:szCs w:val="22"/>
        </w:rPr>
        <w:t>D</w:t>
      </w:r>
      <w:r w:rsidR="006E4FC5" w:rsidRPr="00D01C85">
        <w:rPr>
          <w:rFonts w:cs="Arial"/>
          <w:szCs w:val="22"/>
        </w:rPr>
        <w:t>isadvantaged people missing out on legal help</w:t>
      </w:r>
    </w:p>
    <w:p w14:paraId="2840AE30" w14:textId="77777777" w:rsidR="006E4FC5" w:rsidRPr="00D01C85" w:rsidRDefault="008D3110" w:rsidP="006E4FC5">
      <w:pPr>
        <w:pStyle w:val="ListParagraph"/>
        <w:numPr>
          <w:ilvl w:val="1"/>
          <w:numId w:val="1"/>
        </w:numPr>
        <w:spacing w:after="120" w:line="300" w:lineRule="atLeast"/>
        <w:rPr>
          <w:rFonts w:ascii="Arial" w:hAnsi="Arial" w:cs="Arial"/>
          <w:sz w:val="22"/>
          <w:szCs w:val="22"/>
        </w:rPr>
      </w:pPr>
      <w:r>
        <w:rPr>
          <w:rFonts w:ascii="Arial" w:hAnsi="Arial" w:cs="Arial"/>
          <w:sz w:val="22"/>
          <w:szCs w:val="22"/>
        </w:rPr>
        <w:t>Disadvantaged people have complex legal needs</w:t>
      </w:r>
    </w:p>
    <w:p w14:paraId="54672A33" w14:textId="77777777" w:rsidR="006E4FC5" w:rsidRPr="00EE578E" w:rsidRDefault="0036785C" w:rsidP="006E4FC5">
      <w:pPr>
        <w:numPr>
          <w:ilvl w:val="0"/>
          <w:numId w:val="1"/>
        </w:numPr>
        <w:rPr>
          <w:rStyle w:val="Hyperlink"/>
          <w:rFonts w:cs="Arial"/>
          <w:color w:val="auto"/>
          <w:szCs w:val="22"/>
          <w:u w:val="none"/>
        </w:rPr>
      </w:pPr>
      <w:hyperlink w:anchor="_What_happens_to_1" w:history="1">
        <w:r w:rsidR="006E4FC5" w:rsidRPr="00D01C85">
          <w:rPr>
            <w:rStyle w:val="Hyperlink"/>
            <w:rFonts w:cs="Arial"/>
            <w:szCs w:val="22"/>
          </w:rPr>
          <w:t>What happens when people miss out on legal help and why it matters</w:t>
        </w:r>
      </w:hyperlink>
    </w:p>
    <w:p w14:paraId="14CABA4D" w14:textId="77777777" w:rsidR="00EE578E" w:rsidRDefault="00EE578E" w:rsidP="00EE578E">
      <w:pPr>
        <w:numPr>
          <w:ilvl w:val="1"/>
          <w:numId w:val="1"/>
        </w:numPr>
        <w:rPr>
          <w:rStyle w:val="Hyperlink"/>
          <w:rFonts w:cs="Arial"/>
          <w:color w:val="000000" w:themeColor="text1"/>
          <w:szCs w:val="22"/>
          <w:u w:val="none"/>
        </w:rPr>
      </w:pPr>
      <w:r w:rsidRPr="00EE578E">
        <w:rPr>
          <w:rStyle w:val="Hyperlink"/>
          <w:rFonts w:cs="Arial"/>
          <w:color w:val="000000" w:themeColor="text1"/>
          <w:szCs w:val="22"/>
          <w:u w:val="none"/>
        </w:rPr>
        <w:t>The impact of missing out on legal assistance</w:t>
      </w:r>
    </w:p>
    <w:p w14:paraId="4059D24C" w14:textId="77777777" w:rsidR="00EE578E" w:rsidRPr="00EE578E" w:rsidRDefault="00EE578E" w:rsidP="00EE578E">
      <w:pPr>
        <w:numPr>
          <w:ilvl w:val="1"/>
          <w:numId w:val="1"/>
        </w:numPr>
        <w:rPr>
          <w:rFonts w:cs="Arial"/>
          <w:color w:val="000000" w:themeColor="text1"/>
          <w:szCs w:val="22"/>
        </w:rPr>
      </w:pPr>
      <w:r>
        <w:rPr>
          <w:rStyle w:val="Hyperlink"/>
          <w:rFonts w:cs="Arial"/>
          <w:color w:val="000000" w:themeColor="text1"/>
          <w:szCs w:val="22"/>
          <w:u w:val="none"/>
        </w:rPr>
        <w:t xml:space="preserve">How lack of access to </w:t>
      </w:r>
      <w:r w:rsidR="00536A40">
        <w:rPr>
          <w:rStyle w:val="Hyperlink"/>
          <w:rFonts w:cs="Arial"/>
          <w:color w:val="000000" w:themeColor="text1"/>
          <w:szCs w:val="22"/>
          <w:u w:val="none"/>
        </w:rPr>
        <w:t>legal help impacts our community</w:t>
      </w:r>
    </w:p>
    <w:p w14:paraId="50E57B89" w14:textId="77777777" w:rsidR="006E4FC5" w:rsidRPr="00D01C85" w:rsidRDefault="0036785C" w:rsidP="006E4FC5">
      <w:pPr>
        <w:numPr>
          <w:ilvl w:val="0"/>
          <w:numId w:val="1"/>
        </w:numPr>
        <w:rPr>
          <w:rFonts w:cs="Arial"/>
          <w:szCs w:val="22"/>
        </w:rPr>
      </w:pPr>
      <w:hyperlink w:anchor="_Looking_beyond_the" w:history="1">
        <w:r w:rsidR="006E4FC5" w:rsidRPr="00D01C85">
          <w:rPr>
            <w:rStyle w:val="Hyperlink"/>
            <w:rFonts w:cs="Arial"/>
            <w:szCs w:val="22"/>
          </w:rPr>
          <w:t>Looking beyond the means test</w:t>
        </w:r>
      </w:hyperlink>
    </w:p>
    <w:p w14:paraId="0EC10D04" w14:textId="77777777" w:rsidR="006E4FC5" w:rsidRDefault="00FF4B9C" w:rsidP="006E4FC5">
      <w:pPr>
        <w:numPr>
          <w:ilvl w:val="1"/>
          <w:numId w:val="1"/>
        </w:numPr>
        <w:rPr>
          <w:rFonts w:cs="Arial"/>
          <w:szCs w:val="22"/>
        </w:rPr>
      </w:pPr>
      <w:r>
        <w:rPr>
          <w:rFonts w:cs="Arial"/>
          <w:szCs w:val="22"/>
        </w:rPr>
        <w:t>P</w:t>
      </w:r>
      <w:r w:rsidR="006E4FC5" w:rsidRPr="00D01C85">
        <w:rPr>
          <w:rFonts w:cs="Arial"/>
          <w:szCs w:val="22"/>
        </w:rPr>
        <w:t>riority client framework</w:t>
      </w:r>
    </w:p>
    <w:p w14:paraId="1F1D088E" w14:textId="77777777" w:rsidR="00092EBA" w:rsidRDefault="00092EBA" w:rsidP="006E4FC5">
      <w:pPr>
        <w:numPr>
          <w:ilvl w:val="1"/>
          <w:numId w:val="1"/>
        </w:numPr>
        <w:rPr>
          <w:rFonts w:cs="Arial"/>
          <w:szCs w:val="22"/>
        </w:rPr>
      </w:pPr>
      <w:r>
        <w:rPr>
          <w:rFonts w:cs="Arial"/>
          <w:szCs w:val="22"/>
        </w:rPr>
        <w:t>Who is missing out on legal assistance?</w:t>
      </w:r>
    </w:p>
    <w:p w14:paraId="37DDE89B" w14:textId="77777777" w:rsidR="006E4FC5" w:rsidRPr="00092EBA" w:rsidRDefault="00092EBA" w:rsidP="00092EBA">
      <w:pPr>
        <w:numPr>
          <w:ilvl w:val="1"/>
          <w:numId w:val="1"/>
        </w:numPr>
        <w:rPr>
          <w:rFonts w:cs="Arial"/>
          <w:szCs w:val="22"/>
        </w:rPr>
      </w:pPr>
      <w:r>
        <w:rPr>
          <w:rFonts w:cs="Arial"/>
          <w:szCs w:val="22"/>
        </w:rPr>
        <w:t>How can we consider factors of disadvantage when assessing relative need?</w:t>
      </w:r>
    </w:p>
    <w:p w14:paraId="573164EA" w14:textId="00C008D6" w:rsidR="006E4FC5" w:rsidRPr="00D01C85" w:rsidRDefault="0036785C" w:rsidP="00FF4B9C">
      <w:pPr>
        <w:pStyle w:val="ListParagraph"/>
        <w:numPr>
          <w:ilvl w:val="0"/>
          <w:numId w:val="1"/>
        </w:numPr>
        <w:spacing w:after="120" w:line="300" w:lineRule="atLeast"/>
        <w:ind w:left="714" w:hanging="357"/>
        <w:contextualSpacing w:val="0"/>
        <w:rPr>
          <w:rFonts w:ascii="Arial" w:hAnsi="Arial" w:cs="Arial"/>
          <w:sz w:val="22"/>
          <w:szCs w:val="22"/>
        </w:rPr>
      </w:pPr>
      <w:hyperlink w:anchor="_What_are_other" w:history="1">
        <w:r w:rsidR="00216908">
          <w:rPr>
            <w:rStyle w:val="Hyperlink"/>
            <w:rFonts w:cs="Arial"/>
            <w:sz w:val="22"/>
            <w:szCs w:val="22"/>
          </w:rPr>
          <w:t>What financial criteria do other agencies assess?</w:t>
        </w:r>
      </w:hyperlink>
    </w:p>
    <w:p w14:paraId="1CF94059" w14:textId="77777777" w:rsidR="006E4FC5" w:rsidRPr="00D01C85" w:rsidRDefault="00FF4B9C" w:rsidP="00F408CB">
      <w:pPr>
        <w:pStyle w:val="ListParagraph"/>
        <w:numPr>
          <w:ilvl w:val="1"/>
          <w:numId w:val="1"/>
        </w:numPr>
        <w:spacing w:after="120" w:line="360" w:lineRule="auto"/>
        <w:rPr>
          <w:rFonts w:ascii="Arial" w:hAnsi="Arial" w:cs="Arial"/>
          <w:sz w:val="22"/>
          <w:szCs w:val="22"/>
        </w:rPr>
      </w:pPr>
      <w:r>
        <w:rPr>
          <w:rFonts w:ascii="Arial" w:hAnsi="Arial" w:cs="Arial"/>
          <w:sz w:val="22"/>
          <w:szCs w:val="22"/>
        </w:rPr>
        <w:t>O</w:t>
      </w:r>
      <w:r w:rsidR="006E4FC5" w:rsidRPr="00D01C85">
        <w:rPr>
          <w:rFonts w:ascii="Arial" w:hAnsi="Arial" w:cs="Arial"/>
          <w:sz w:val="22"/>
          <w:szCs w:val="22"/>
        </w:rPr>
        <w:t>ther legal aid commissions</w:t>
      </w:r>
    </w:p>
    <w:p w14:paraId="212659EB" w14:textId="77777777" w:rsidR="006E4FC5" w:rsidRPr="00D01C85" w:rsidRDefault="00FF4B9C" w:rsidP="00F408CB">
      <w:pPr>
        <w:pStyle w:val="ListParagraph"/>
        <w:numPr>
          <w:ilvl w:val="1"/>
          <w:numId w:val="1"/>
        </w:numPr>
        <w:spacing w:after="120" w:line="360" w:lineRule="auto"/>
        <w:rPr>
          <w:rFonts w:ascii="Arial" w:hAnsi="Arial" w:cs="Arial"/>
          <w:sz w:val="22"/>
          <w:szCs w:val="22"/>
        </w:rPr>
      </w:pPr>
      <w:r>
        <w:rPr>
          <w:rFonts w:ascii="Arial" w:hAnsi="Arial" w:cs="Arial"/>
          <w:sz w:val="22"/>
          <w:szCs w:val="22"/>
        </w:rPr>
        <w:t>G</w:t>
      </w:r>
      <w:r w:rsidR="006E4FC5" w:rsidRPr="00D01C85">
        <w:rPr>
          <w:rFonts w:ascii="Arial" w:hAnsi="Arial" w:cs="Arial"/>
          <w:sz w:val="22"/>
          <w:szCs w:val="22"/>
        </w:rPr>
        <w:t>overnment agencies</w:t>
      </w:r>
    </w:p>
    <w:p w14:paraId="5AF641E4" w14:textId="0608888C" w:rsidR="00735BB3" w:rsidRPr="000F4EBC" w:rsidRDefault="00FF4B9C" w:rsidP="000F4EBC">
      <w:pPr>
        <w:pStyle w:val="ListParagraph"/>
        <w:numPr>
          <w:ilvl w:val="1"/>
          <w:numId w:val="1"/>
        </w:numPr>
        <w:spacing w:after="120" w:line="360" w:lineRule="auto"/>
        <w:rPr>
          <w:rFonts w:ascii="Arial" w:hAnsi="Arial" w:cs="Arial"/>
          <w:sz w:val="22"/>
          <w:szCs w:val="22"/>
        </w:rPr>
      </w:pPr>
      <w:r>
        <w:rPr>
          <w:rFonts w:ascii="Arial" w:hAnsi="Arial" w:cs="Arial"/>
          <w:sz w:val="22"/>
          <w:szCs w:val="22"/>
        </w:rPr>
        <w:t>I</w:t>
      </w:r>
      <w:r w:rsidR="006E4FC5" w:rsidRPr="00D01C85">
        <w:rPr>
          <w:rFonts w:ascii="Arial" w:hAnsi="Arial" w:cs="Arial"/>
          <w:sz w:val="22"/>
          <w:szCs w:val="22"/>
        </w:rPr>
        <w:t>nternational organ</w:t>
      </w:r>
      <w:bookmarkStart w:id="0" w:name="_Unmet_Legal_Need"/>
      <w:bookmarkStart w:id="1" w:name="_Toc459274873"/>
      <w:bookmarkStart w:id="2" w:name="_Toc479066445"/>
      <w:bookmarkEnd w:id="0"/>
      <w:r w:rsidR="000F4EBC">
        <w:rPr>
          <w:rFonts w:ascii="Arial" w:hAnsi="Arial" w:cs="Arial"/>
          <w:sz w:val="22"/>
          <w:szCs w:val="22"/>
        </w:rPr>
        <w:t>isations</w:t>
      </w:r>
    </w:p>
    <w:p w14:paraId="344AC03D" w14:textId="77777777" w:rsidR="006E4FC5" w:rsidRPr="00FF4B9C" w:rsidRDefault="006E4FC5" w:rsidP="006E4FC5">
      <w:pPr>
        <w:pStyle w:val="Heading1"/>
        <w:spacing w:before="0"/>
      </w:pPr>
      <w:bookmarkStart w:id="3" w:name="_Unmet_Legal_Need_1"/>
      <w:bookmarkEnd w:id="3"/>
      <w:r w:rsidRPr="00FF4B9C">
        <w:lastRenderedPageBreak/>
        <w:t>Unmet Legal Need</w:t>
      </w:r>
      <w:bookmarkEnd w:id="1"/>
      <w:bookmarkEnd w:id="2"/>
    </w:p>
    <w:p w14:paraId="32BDBA07" w14:textId="77777777" w:rsidR="006E4FC5" w:rsidRPr="00FF4B9C" w:rsidRDefault="006E4FC5" w:rsidP="006E4FC5">
      <w:pPr>
        <w:rPr>
          <w:rFonts w:cs="Arial"/>
          <w:sz w:val="24"/>
        </w:rPr>
      </w:pPr>
      <w:r w:rsidRPr="00FF4B9C">
        <w:rPr>
          <w:rFonts w:cs="Arial"/>
          <w:b/>
          <w:sz w:val="24"/>
        </w:rPr>
        <w:t>Unmet legal need in Australia</w:t>
      </w:r>
      <w:r w:rsidRPr="00FF4B9C">
        <w:rPr>
          <w:rFonts w:cs="Arial"/>
          <w:sz w:val="24"/>
          <w:vertAlign w:val="superscript"/>
        </w:rPr>
        <w:footnoteReference w:id="1"/>
      </w:r>
      <w:r w:rsidRPr="00FF4B9C">
        <w:rPr>
          <w:rFonts w:cs="Arial"/>
          <w:sz w:val="24"/>
        </w:rPr>
        <w:t xml:space="preserve"> </w:t>
      </w:r>
    </w:p>
    <w:p w14:paraId="33967E87" w14:textId="77777777" w:rsidR="006E4FC5" w:rsidRPr="00D01C85" w:rsidRDefault="006E4FC5" w:rsidP="006E4FC5">
      <w:pPr>
        <w:jc w:val="center"/>
        <w:rPr>
          <w:rFonts w:cs="Arial"/>
          <w:b/>
          <w:szCs w:val="22"/>
        </w:rPr>
      </w:pPr>
      <w:r>
        <w:rPr>
          <w:rFonts w:cs="Arial"/>
          <w:b/>
          <w:noProof/>
          <w:szCs w:val="22"/>
          <w:lang w:eastAsia="en-AU"/>
        </w:rPr>
        <w:drawing>
          <wp:inline distT="0" distB="0" distL="0" distR="0" wp14:anchorId="23C85CFE" wp14:editId="58A430A6">
            <wp:extent cx="5180400" cy="2163600"/>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0400" cy="2163600"/>
                    </a:xfrm>
                    <a:prstGeom prst="rect">
                      <a:avLst/>
                    </a:prstGeom>
                  </pic:spPr>
                </pic:pic>
              </a:graphicData>
            </a:graphic>
          </wp:inline>
        </w:drawing>
      </w:r>
    </w:p>
    <w:p w14:paraId="2F80CEAC" w14:textId="77777777" w:rsidR="006E4FC5" w:rsidRPr="00D01C85" w:rsidRDefault="006E4FC5" w:rsidP="006E4FC5">
      <w:pPr>
        <w:rPr>
          <w:rFonts w:cs="Arial"/>
          <w:szCs w:val="22"/>
        </w:rPr>
      </w:pPr>
      <w:r w:rsidRPr="00D01C85">
        <w:rPr>
          <w:rFonts w:cs="Arial"/>
          <w:szCs w:val="22"/>
        </w:rPr>
        <w:t>Many people may not realise that some of the problems they are experien</w:t>
      </w:r>
      <w:r w:rsidR="00F408CB">
        <w:rPr>
          <w:rFonts w:cs="Arial"/>
          <w:szCs w:val="22"/>
        </w:rPr>
        <w:t>cing are of a legal nature</w:t>
      </w:r>
      <w:r w:rsidRPr="00D01C85">
        <w:rPr>
          <w:rFonts w:cs="Arial"/>
          <w:szCs w:val="22"/>
        </w:rPr>
        <w:t>.</w:t>
      </w:r>
      <w:r w:rsidRPr="00D01C85">
        <w:rPr>
          <w:rFonts w:cs="Arial"/>
          <w:szCs w:val="22"/>
          <w:vertAlign w:val="superscript"/>
        </w:rPr>
        <w:footnoteReference w:id="2"/>
      </w:r>
      <w:r w:rsidRPr="00D01C85">
        <w:rPr>
          <w:rFonts w:cs="Arial"/>
          <w:szCs w:val="22"/>
        </w:rPr>
        <w:t xml:space="preserve"> Even if they do know that they have a legal problem, they may struggle to know where help is available to assist them with their problems. This is a widespread problem that exists across Australia and in other nations, including in the United States that has found that for every person assisted with their legal problem, there is another person turned away.</w:t>
      </w:r>
      <w:r w:rsidRPr="00D01C85">
        <w:rPr>
          <w:rStyle w:val="FootnoteReference"/>
          <w:rFonts w:cs="Arial"/>
          <w:szCs w:val="22"/>
        </w:rPr>
        <w:footnoteReference w:id="3"/>
      </w:r>
    </w:p>
    <w:p w14:paraId="7B8556DA" w14:textId="555D39B1" w:rsidR="006E4FC5" w:rsidRPr="00A21108" w:rsidRDefault="00817252" w:rsidP="006E4FC5">
      <w:pPr>
        <w:rPr>
          <w:rFonts w:cs="Arial"/>
          <w:sz w:val="24"/>
        </w:rPr>
      </w:pPr>
      <w:r w:rsidRPr="00FF4B9C">
        <w:rPr>
          <w:rFonts w:cs="Arial"/>
          <w:b/>
          <w:sz w:val="24"/>
        </w:rPr>
        <w:t xml:space="preserve">People </w:t>
      </w:r>
      <w:r w:rsidR="00851651">
        <w:rPr>
          <w:rFonts w:cs="Arial"/>
          <w:b/>
          <w:sz w:val="24"/>
        </w:rPr>
        <w:t>most likely to encounter a legal problem</w:t>
      </w:r>
      <w:r w:rsidR="006E4FC5" w:rsidRPr="00A21108">
        <w:rPr>
          <w:rFonts w:cs="Arial"/>
          <w:sz w:val="24"/>
          <w:vertAlign w:val="superscript"/>
        </w:rPr>
        <w:footnoteReference w:id="4"/>
      </w:r>
    </w:p>
    <w:p w14:paraId="4561D624" w14:textId="40C8DA3D" w:rsidR="006E4FC5" w:rsidRPr="00D01C85" w:rsidRDefault="001F4ED1" w:rsidP="006E4FC5">
      <w:pPr>
        <w:jc w:val="center"/>
        <w:rPr>
          <w:rFonts w:cs="Arial"/>
          <w:b/>
          <w:szCs w:val="22"/>
        </w:rPr>
      </w:pPr>
      <w:r>
        <w:rPr>
          <w:rFonts w:cs="Arial"/>
          <w:b/>
          <w:noProof/>
          <w:szCs w:val="22"/>
          <w:lang w:eastAsia="en-AU"/>
        </w:rPr>
        <w:drawing>
          <wp:inline distT="0" distB="0" distL="0" distR="0" wp14:anchorId="7469377D" wp14:editId="156875C6">
            <wp:extent cx="5180400" cy="16992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_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0400" cy="1699200"/>
                    </a:xfrm>
                    <a:prstGeom prst="rect">
                      <a:avLst/>
                    </a:prstGeom>
                  </pic:spPr>
                </pic:pic>
              </a:graphicData>
            </a:graphic>
          </wp:inline>
        </w:drawing>
      </w:r>
    </w:p>
    <w:p w14:paraId="5561011D" w14:textId="77777777" w:rsidR="006E4FC5" w:rsidRPr="00D01C85" w:rsidRDefault="006E4FC5" w:rsidP="006E4FC5">
      <w:pPr>
        <w:rPr>
          <w:rFonts w:cs="Arial"/>
          <w:szCs w:val="22"/>
        </w:rPr>
      </w:pPr>
      <w:r w:rsidRPr="00D01C85">
        <w:rPr>
          <w:rFonts w:cs="Arial"/>
          <w:szCs w:val="22"/>
        </w:rPr>
        <w:lastRenderedPageBreak/>
        <w:t xml:space="preserve">We know that there are many people who do not qualify for legal assistance from services like VLA, but also do not have enough money to pay for lawyer on a private basis. This is also referred to as the ‘missing middle’. </w:t>
      </w:r>
    </w:p>
    <w:p w14:paraId="05748DCE" w14:textId="77777777" w:rsidR="006E4FC5" w:rsidRDefault="006E4FC5" w:rsidP="006E4FC5">
      <w:pPr>
        <w:rPr>
          <w:rFonts w:cs="Arial"/>
          <w:szCs w:val="22"/>
        </w:rPr>
      </w:pPr>
      <w:r w:rsidRPr="00D01C85">
        <w:rPr>
          <w:rFonts w:cs="Arial"/>
          <w:szCs w:val="22"/>
        </w:rPr>
        <w:t xml:space="preserve">Many people that fall into this gap of not qualifying for legal assistance have been deemed as living below the ‘poverty line’. </w:t>
      </w:r>
    </w:p>
    <w:p w14:paraId="6370CA43" w14:textId="2F15773E" w:rsidR="006E4FC5" w:rsidRPr="00735BB3" w:rsidRDefault="006E4FC5" w:rsidP="00735BB3">
      <w:pPr>
        <w:spacing w:after="160" w:line="259" w:lineRule="auto"/>
        <w:rPr>
          <w:rFonts w:cs="Arial"/>
          <w:b/>
          <w:sz w:val="24"/>
        </w:rPr>
      </w:pPr>
      <w:r w:rsidRPr="00FF4B9C">
        <w:rPr>
          <w:rFonts w:cs="Arial"/>
          <w:b/>
          <w:sz w:val="24"/>
        </w:rPr>
        <w:t>Eligibility for publicly funded legal assistance</w:t>
      </w:r>
      <w:r w:rsidRPr="00FF4B9C">
        <w:rPr>
          <w:rFonts w:cs="Arial"/>
          <w:b/>
          <w:sz w:val="24"/>
          <w:vertAlign w:val="superscript"/>
        </w:rPr>
        <w:footnoteReference w:id="5"/>
      </w:r>
    </w:p>
    <w:p w14:paraId="790C4F8B" w14:textId="000758CD" w:rsidR="006E4FC5" w:rsidRPr="00D01C85" w:rsidRDefault="001F23B7" w:rsidP="006E4FC5">
      <w:pPr>
        <w:jc w:val="center"/>
        <w:rPr>
          <w:rFonts w:cs="Arial"/>
          <w:szCs w:val="22"/>
        </w:rPr>
      </w:pPr>
      <w:r>
        <w:rPr>
          <w:rFonts w:cs="Arial"/>
          <w:noProof/>
          <w:szCs w:val="22"/>
          <w:lang w:eastAsia="en-AU"/>
        </w:rPr>
        <w:drawing>
          <wp:inline distT="0" distB="0" distL="0" distR="0" wp14:anchorId="31180873" wp14:editId="1A0D88BE">
            <wp:extent cx="5180400" cy="2163600"/>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_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0400" cy="2163600"/>
                    </a:xfrm>
                    <a:prstGeom prst="rect">
                      <a:avLst/>
                    </a:prstGeom>
                  </pic:spPr>
                </pic:pic>
              </a:graphicData>
            </a:graphic>
          </wp:inline>
        </w:drawing>
      </w:r>
    </w:p>
    <w:p w14:paraId="68547437" w14:textId="77777777" w:rsidR="006E4FC5" w:rsidRPr="00D01C85" w:rsidRDefault="00F408CB" w:rsidP="006E4FC5">
      <w:pPr>
        <w:rPr>
          <w:rFonts w:cs="Arial"/>
          <w:szCs w:val="22"/>
        </w:rPr>
      </w:pPr>
      <w:r>
        <w:rPr>
          <w:rFonts w:cs="Arial"/>
          <w:szCs w:val="22"/>
        </w:rPr>
        <w:t>The Henderson Poverty Line (HPL)</w:t>
      </w:r>
      <w:r w:rsidR="006E4FC5" w:rsidRPr="00D01C85">
        <w:rPr>
          <w:rFonts w:cs="Arial"/>
          <w:szCs w:val="22"/>
        </w:rPr>
        <w:t xml:space="preserve"> provides an assessment of poverty based on income, b</w:t>
      </w:r>
      <w:r>
        <w:rPr>
          <w:rFonts w:cs="Arial"/>
          <w:szCs w:val="22"/>
        </w:rPr>
        <w:t xml:space="preserve">ut does not </w:t>
      </w:r>
      <w:proofErr w:type="gramStart"/>
      <w:r>
        <w:rPr>
          <w:rFonts w:cs="Arial"/>
          <w:szCs w:val="22"/>
        </w:rPr>
        <w:t>take into account</w:t>
      </w:r>
      <w:proofErr w:type="gramEnd"/>
      <w:r w:rsidR="006E4FC5" w:rsidRPr="00D01C85">
        <w:rPr>
          <w:rFonts w:cs="Arial"/>
          <w:szCs w:val="22"/>
        </w:rPr>
        <w:t xml:space="preserve"> assets. The HPL is the benchmark that VLA measures its own means test against. </w:t>
      </w:r>
    </w:p>
    <w:p w14:paraId="0AFB5167" w14:textId="77777777" w:rsidR="006E4FC5" w:rsidRDefault="006E4FC5" w:rsidP="006E4FC5">
      <w:pPr>
        <w:spacing w:line="276" w:lineRule="auto"/>
        <w:rPr>
          <w:rFonts w:cs="Arial"/>
          <w:szCs w:val="22"/>
        </w:rPr>
      </w:pPr>
      <w:r w:rsidRPr="00D01C85">
        <w:rPr>
          <w:rFonts w:cs="Arial"/>
          <w:szCs w:val="22"/>
        </w:rPr>
        <w:t>Another commonly used poverty line is the OECD Relative Poverty Line (RPL). The RPL is defined as household income below 50% of the median equivalised household disposable income. It is estimated</w:t>
      </w:r>
      <w:r w:rsidR="00F408CB">
        <w:rPr>
          <w:rFonts w:cs="Arial"/>
          <w:szCs w:val="22"/>
        </w:rPr>
        <w:t xml:space="preserve"> that 13.8% of Australians live </w:t>
      </w:r>
      <w:r w:rsidRPr="00D01C85">
        <w:rPr>
          <w:rFonts w:cs="Arial"/>
          <w:szCs w:val="22"/>
        </w:rPr>
        <w:t>below this poverty line.</w:t>
      </w:r>
      <w:r w:rsidRPr="00D01C85">
        <w:rPr>
          <w:rFonts w:cs="Arial"/>
          <w:szCs w:val="22"/>
          <w:vertAlign w:val="superscript"/>
        </w:rPr>
        <w:footnoteReference w:id="6"/>
      </w:r>
      <w:r>
        <w:rPr>
          <w:rFonts w:cs="Arial"/>
          <w:szCs w:val="22"/>
        </w:rPr>
        <w:t xml:space="preserve"> </w:t>
      </w:r>
      <w:r w:rsidRPr="00D01C85">
        <w:rPr>
          <w:rFonts w:cs="Arial"/>
          <w:szCs w:val="22"/>
        </w:rPr>
        <w:t xml:space="preserve">This means that some people being refused legal assistance are still considered to be living in poverty and may be prevented from accessing a lawyer to help with their legal problem. </w:t>
      </w:r>
    </w:p>
    <w:p w14:paraId="666E93B7" w14:textId="77777777" w:rsidR="006E4FC5" w:rsidRPr="00FF4B9C" w:rsidRDefault="006E4FC5" w:rsidP="006E4FC5">
      <w:pPr>
        <w:pStyle w:val="Heading1"/>
        <w:spacing w:before="0"/>
        <w:rPr>
          <w:sz w:val="28"/>
          <w:szCs w:val="28"/>
        </w:rPr>
      </w:pPr>
      <w:bookmarkStart w:id="4" w:name="_Assets_Test"/>
      <w:bookmarkStart w:id="5" w:name="_Toc459274875"/>
      <w:bookmarkStart w:id="6" w:name="_Toc479066446"/>
      <w:bookmarkEnd w:id="4"/>
      <w:r w:rsidRPr="00FF4B9C">
        <w:rPr>
          <w:sz w:val="28"/>
          <w:szCs w:val="28"/>
        </w:rPr>
        <w:t>Why can’t people afford legal representation?</w:t>
      </w:r>
      <w:bookmarkEnd w:id="5"/>
      <w:bookmarkEnd w:id="6"/>
    </w:p>
    <w:p w14:paraId="3B25AF45" w14:textId="77777777" w:rsidR="006E4FC5" w:rsidRDefault="006E4FC5" w:rsidP="006E4FC5">
      <w:pPr>
        <w:rPr>
          <w:rFonts w:cs="Arial"/>
          <w:szCs w:val="22"/>
        </w:rPr>
      </w:pPr>
      <w:r w:rsidRPr="00D01C85">
        <w:rPr>
          <w:rFonts w:cs="Arial"/>
          <w:szCs w:val="22"/>
        </w:rPr>
        <w:t xml:space="preserve">When the Means Test was first created, we didn’t know enough about what disadvantage and poverty looked like in Australia. The test was based on financial criteria alone and built around the idea of a family model that is no longer as prevalent as it was in the 1990s. The information we have now about household income and expenditure helps build a better picture of some of the challenges experienced by households in meeting the cost of living. </w:t>
      </w:r>
    </w:p>
    <w:p w14:paraId="2FC1B11A" w14:textId="77777777" w:rsidR="00735BB3" w:rsidRDefault="00735BB3" w:rsidP="006E4FC5">
      <w:pPr>
        <w:rPr>
          <w:rFonts w:cs="Arial"/>
          <w:b/>
          <w:sz w:val="24"/>
        </w:rPr>
      </w:pPr>
    </w:p>
    <w:p w14:paraId="34B3ED6A" w14:textId="77777777" w:rsidR="006E4FC5" w:rsidRPr="00FF4B9C" w:rsidRDefault="006E4FC5" w:rsidP="006E4FC5">
      <w:pPr>
        <w:rPr>
          <w:rFonts w:cs="Arial"/>
          <w:b/>
          <w:sz w:val="24"/>
        </w:rPr>
      </w:pPr>
      <w:r w:rsidRPr="00FF4B9C">
        <w:rPr>
          <w:rFonts w:cs="Arial"/>
          <w:b/>
          <w:sz w:val="24"/>
        </w:rPr>
        <w:lastRenderedPageBreak/>
        <w:t>Where households are spending their money</w:t>
      </w:r>
      <w:r w:rsidRPr="00A21108">
        <w:rPr>
          <w:rStyle w:val="FootnoteReference"/>
          <w:rFonts w:cs="Arial"/>
          <w:sz w:val="24"/>
        </w:rPr>
        <w:footnoteReference w:id="7"/>
      </w:r>
    </w:p>
    <w:p w14:paraId="75A7D378" w14:textId="77777777" w:rsidR="006E4FC5" w:rsidRDefault="00776294" w:rsidP="00FF4B9C">
      <w:pPr>
        <w:jc w:val="center"/>
        <w:rPr>
          <w:rFonts w:cs="Arial"/>
          <w:b/>
          <w:szCs w:val="22"/>
        </w:rPr>
      </w:pPr>
      <w:r>
        <w:rPr>
          <w:rFonts w:cs="Arial"/>
          <w:b/>
          <w:noProof/>
          <w:szCs w:val="22"/>
          <w:lang w:eastAsia="en-AU"/>
        </w:rPr>
        <w:drawing>
          <wp:inline distT="0" distB="0" distL="0" distR="0" wp14:anchorId="19B84CA2" wp14:editId="4E60B3D9">
            <wp:extent cx="5180400" cy="1699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_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0400" cy="1699200"/>
                    </a:xfrm>
                    <a:prstGeom prst="rect">
                      <a:avLst/>
                    </a:prstGeom>
                  </pic:spPr>
                </pic:pic>
              </a:graphicData>
            </a:graphic>
          </wp:inline>
        </w:drawing>
      </w:r>
    </w:p>
    <w:p w14:paraId="4268AC3D" w14:textId="77777777" w:rsidR="006E4FC5" w:rsidRPr="00FF4B9C" w:rsidRDefault="00B05605" w:rsidP="006E4FC5">
      <w:pPr>
        <w:rPr>
          <w:rFonts w:cs="Arial"/>
          <w:b/>
          <w:sz w:val="24"/>
        </w:rPr>
      </w:pPr>
      <w:r w:rsidRPr="00FF4B9C">
        <w:rPr>
          <w:rFonts w:cs="Arial"/>
          <w:b/>
          <w:sz w:val="24"/>
        </w:rPr>
        <w:t>Average annual changes of cost of living since 1984</w:t>
      </w:r>
      <w:r w:rsidRPr="00A21108">
        <w:rPr>
          <w:rStyle w:val="FootnoteReference"/>
          <w:rFonts w:cs="Arial"/>
          <w:sz w:val="24"/>
        </w:rPr>
        <w:footnoteReference w:id="8"/>
      </w:r>
    </w:p>
    <w:p w14:paraId="44A46D90" w14:textId="77777777" w:rsidR="006E4FC5" w:rsidRPr="00EA4FD1" w:rsidRDefault="00C50BEE" w:rsidP="00C50BEE">
      <w:pPr>
        <w:jc w:val="center"/>
        <w:rPr>
          <w:rFonts w:cs="Arial"/>
          <w:b/>
          <w:szCs w:val="22"/>
        </w:rPr>
      </w:pPr>
      <w:r>
        <w:rPr>
          <w:rFonts w:cs="Arial"/>
          <w:b/>
          <w:noProof/>
          <w:szCs w:val="22"/>
          <w:lang w:eastAsia="en-AU"/>
        </w:rPr>
        <w:drawing>
          <wp:inline distT="0" distB="0" distL="0" distR="0" wp14:anchorId="6EE0733B" wp14:editId="33B191C0">
            <wp:extent cx="5180400" cy="1699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0400" cy="1699200"/>
                    </a:xfrm>
                    <a:prstGeom prst="rect">
                      <a:avLst/>
                    </a:prstGeom>
                  </pic:spPr>
                </pic:pic>
              </a:graphicData>
            </a:graphic>
          </wp:inline>
        </w:drawing>
      </w:r>
    </w:p>
    <w:p w14:paraId="730BF923" w14:textId="77777777" w:rsidR="006E4FC5" w:rsidRPr="00FF4B9C" w:rsidRDefault="006E4FC5" w:rsidP="006E4FC5">
      <w:pPr>
        <w:rPr>
          <w:rFonts w:cs="Arial"/>
          <w:b/>
          <w:sz w:val="24"/>
        </w:rPr>
      </w:pPr>
      <w:r w:rsidRPr="00FF4B9C">
        <w:rPr>
          <w:rFonts w:cs="Arial"/>
          <w:b/>
          <w:sz w:val="24"/>
        </w:rPr>
        <w:t>Credit card debt</w:t>
      </w:r>
      <w:r w:rsidRPr="00A21108">
        <w:rPr>
          <w:rStyle w:val="FootnoteReference"/>
          <w:rFonts w:cs="Arial"/>
          <w:sz w:val="24"/>
        </w:rPr>
        <w:footnoteReference w:id="9"/>
      </w:r>
    </w:p>
    <w:p w14:paraId="2D61AD06" w14:textId="77777777" w:rsidR="006E4FC5" w:rsidRPr="00D01C85" w:rsidRDefault="006E4FC5" w:rsidP="006E4FC5">
      <w:pPr>
        <w:jc w:val="center"/>
        <w:rPr>
          <w:rFonts w:cs="Arial"/>
          <w:b/>
          <w:szCs w:val="22"/>
        </w:rPr>
      </w:pPr>
      <w:r>
        <w:rPr>
          <w:rFonts w:cs="Arial"/>
          <w:b/>
          <w:noProof/>
          <w:szCs w:val="22"/>
          <w:lang w:eastAsia="en-AU"/>
        </w:rPr>
        <w:drawing>
          <wp:inline distT="0" distB="0" distL="0" distR="0" wp14:anchorId="3E313B35" wp14:editId="01B92C89">
            <wp:extent cx="5180400" cy="16992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_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0400" cy="1699200"/>
                    </a:xfrm>
                    <a:prstGeom prst="rect">
                      <a:avLst/>
                    </a:prstGeom>
                  </pic:spPr>
                </pic:pic>
              </a:graphicData>
            </a:graphic>
          </wp:inline>
        </w:drawing>
      </w:r>
    </w:p>
    <w:p w14:paraId="17379C05" w14:textId="493BB18F" w:rsidR="006E4FC5" w:rsidRDefault="006E4FC5" w:rsidP="006E4FC5">
      <w:pPr>
        <w:rPr>
          <w:rFonts w:cs="Arial"/>
          <w:szCs w:val="22"/>
        </w:rPr>
      </w:pPr>
      <w:r w:rsidRPr="00D01C85">
        <w:rPr>
          <w:rFonts w:cs="Arial"/>
          <w:szCs w:val="22"/>
        </w:rPr>
        <w:lastRenderedPageBreak/>
        <w:t>The analysis records a trend where household liabilities and average household disposable income have not increased at the same rate.</w:t>
      </w:r>
      <w:r>
        <w:rPr>
          <w:rStyle w:val="FootnoteReference"/>
          <w:rFonts w:cs="Arial"/>
          <w:szCs w:val="22"/>
        </w:rPr>
        <w:footnoteReference w:id="10"/>
      </w:r>
      <w:r w:rsidRPr="00D01C85">
        <w:rPr>
          <w:rFonts w:cs="Arial"/>
          <w:szCs w:val="22"/>
        </w:rPr>
        <w:t xml:space="preserve"> </w:t>
      </w:r>
      <w:r w:rsidRPr="00BA1D71">
        <w:rPr>
          <w:rFonts w:cs="Arial"/>
          <w:szCs w:val="22"/>
        </w:rPr>
        <w:t>The top 10% of most indebt</w:t>
      </w:r>
      <w:r w:rsidR="00A21108">
        <w:rPr>
          <w:rFonts w:cs="Arial"/>
          <w:szCs w:val="22"/>
        </w:rPr>
        <w:t>ed low income households now have</w:t>
      </w:r>
      <w:r w:rsidRPr="00BA1D71">
        <w:rPr>
          <w:rFonts w:cs="Arial"/>
          <w:szCs w:val="22"/>
        </w:rPr>
        <w:t xml:space="preserve"> a ratio of debt to income of 10 compared to just 5.5 in 2004.</w:t>
      </w:r>
    </w:p>
    <w:p w14:paraId="4B692151" w14:textId="77777777" w:rsidR="006E4FC5" w:rsidRPr="00F408CB" w:rsidRDefault="006E4FC5" w:rsidP="00F408CB">
      <w:pPr>
        <w:jc w:val="center"/>
        <w:rPr>
          <w:rFonts w:cs="Arial"/>
          <w:szCs w:val="22"/>
        </w:rPr>
      </w:pPr>
      <w:r>
        <w:rPr>
          <w:rFonts w:cs="Arial"/>
          <w:noProof/>
          <w:szCs w:val="22"/>
          <w:lang w:eastAsia="en-AU"/>
        </w:rPr>
        <w:drawing>
          <wp:inline distT="0" distB="0" distL="0" distR="0" wp14:anchorId="37EE33CD" wp14:editId="48460382">
            <wp:extent cx="5180400" cy="19260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_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0400" cy="1926000"/>
                    </a:xfrm>
                    <a:prstGeom prst="rect">
                      <a:avLst/>
                    </a:prstGeom>
                  </pic:spPr>
                </pic:pic>
              </a:graphicData>
            </a:graphic>
          </wp:inline>
        </w:drawing>
      </w:r>
    </w:p>
    <w:p w14:paraId="1B2FEE6E" w14:textId="77777777" w:rsidR="006E4FC5" w:rsidRPr="00FF4B9C" w:rsidRDefault="006E4FC5" w:rsidP="006E4FC5">
      <w:pPr>
        <w:rPr>
          <w:rFonts w:cs="Arial"/>
          <w:b/>
          <w:sz w:val="24"/>
        </w:rPr>
      </w:pPr>
      <w:r w:rsidRPr="00FF4B9C">
        <w:rPr>
          <w:rFonts w:cs="Arial"/>
          <w:b/>
          <w:sz w:val="24"/>
        </w:rPr>
        <w:t>Cost of raising children since 2007</w:t>
      </w:r>
      <w:r w:rsidRPr="00FF4B9C">
        <w:rPr>
          <w:rFonts w:cs="Arial"/>
          <w:sz w:val="24"/>
          <w:vertAlign w:val="superscript"/>
        </w:rPr>
        <w:footnoteReference w:id="11"/>
      </w:r>
      <w:r w:rsidRPr="00FF4B9C">
        <w:rPr>
          <w:rFonts w:cs="Arial"/>
          <w:sz w:val="24"/>
          <w:vertAlign w:val="superscript"/>
        </w:rPr>
        <w:footnoteReference w:id="12"/>
      </w:r>
    </w:p>
    <w:p w14:paraId="18DAA8D0" w14:textId="77777777" w:rsidR="00F408CB" w:rsidRDefault="00F408CB" w:rsidP="00CE1EF3">
      <w:pPr>
        <w:spacing w:line="276" w:lineRule="auto"/>
        <w:rPr>
          <w:rFonts w:cs="Arial"/>
          <w:b/>
          <w:szCs w:val="22"/>
        </w:rPr>
      </w:pPr>
      <w:r w:rsidRPr="00D01C85">
        <w:rPr>
          <w:rFonts w:cs="Arial"/>
          <w:szCs w:val="22"/>
        </w:rPr>
        <w:t xml:space="preserve">The VLA means test makes some allowance for the cost of raising children through the inclusion of a </w:t>
      </w:r>
      <w:hyperlink r:id="rId16" w:history="1">
        <w:r w:rsidRPr="007203AA">
          <w:rPr>
            <w:rStyle w:val="Hyperlink"/>
            <w:rFonts w:cs="Arial"/>
            <w:szCs w:val="22"/>
          </w:rPr>
          <w:t>dependant’s</w:t>
        </w:r>
      </w:hyperlink>
      <w:r w:rsidRPr="00D01C85">
        <w:rPr>
          <w:rFonts w:cs="Arial"/>
          <w:szCs w:val="22"/>
        </w:rPr>
        <w:t xml:space="preserve"> allowance and an allowance for childcare costs necessary because of a person’s work or study. </w:t>
      </w:r>
      <w:r>
        <w:rPr>
          <w:rFonts w:cs="Arial"/>
          <w:szCs w:val="22"/>
        </w:rPr>
        <w:t>However, these are capped and the figures haven’t changed in many years.</w:t>
      </w:r>
    </w:p>
    <w:p w14:paraId="178AE58B" w14:textId="77777777" w:rsidR="00F408CB" w:rsidRPr="00640FC7" w:rsidRDefault="00F408CB" w:rsidP="006E4FC5">
      <w:pPr>
        <w:rPr>
          <w:rFonts w:cs="Arial"/>
          <w:b/>
          <w:szCs w:val="22"/>
        </w:rPr>
      </w:pPr>
    </w:p>
    <w:p w14:paraId="4694BEE4" w14:textId="77777777" w:rsidR="006E4FC5" w:rsidRDefault="006E4FC5" w:rsidP="006E4FC5">
      <w:pPr>
        <w:jc w:val="center"/>
        <w:rPr>
          <w:rFonts w:cs="Arial"/>
          <w:szCs w:val="22"/>
        </w:rPr>
      </w:pPr>
      <w:r>
        <w:rPr>
          <w:rFonts w:cs="Arial"/>
          <w:noProof/>
          <w:szCs w:val="22"/>
          <w:lang w:eastAsia="en-AU"/>
        </w:rPr>
        <w:drawing>
          <wp:inline distT="0" distB="0" distL="0" distR="0" wp14:anchorId="4101805F" wp14:editId="71A696CC">
            <wp:extent cx="5180400" cy="2163600"/>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0400" cy="2163600"/>
                    </a:xfrm>
                    <a:prstGeom prst="rect">
                      <a:avLst/>
                    </a:prstGeom>
                  </pic:spPr>
                </pic:pic>
              </a:graphicData>
            </a:graphic>
          </wp:inline>
        </w:drawing>
      </w:r>
    </w:p>
    <w:p w14:paraId="536C0FE9" w14:textId="77777777" w:rsidR="006E4FC5" w:rsidRPr="00D01C85" w:rsidRDefault="006E4FC5" w:rsidP="006E4FC5">
      <w:pPr>
        <w:rPr>
          <w:rFonts w:cs="Arial"/>
          <w:szCs w:val="22"/>
        </w:rPr>
      </w:pPr>
      <w:r>
        <w:rPr>
          <w:rFonts w:cs="Arial"/>
          <w:szCs w:val="22"/>
        </w:rPr>
        <w:t xml:space="preserve">Income is growing at a much slower rate than the cost of raising children, with a significant portion of weekly income being spent on raising a single child. </w:t>
      </w:r>
    </w:p>
    <w:p w14:paraId="73AB4ABD" w14:textId="77777777" w:rsidR="006E4FC5" w:rsidRDefault="006E4FC5" w:rsidP="006E4FC5">
      <w:pPr>
        <w:jc w:val="center"/>
        <w:rPr>
          <w:rFonts w:cs="Arial"/>
          <w:szCs w:val="22"/>
        </w:rPr>
      </w:pPr>
      <w:r>
        <w:rPr>
          <w:rFonts w:cs="Arial"/>
          <w:noProof/>
          <w:szCs w:val="22"/>
          <w:lang w:eastAsia="en-AU"/>
        </w:rPr>
        <w:lastRenderedPageBreak/>
        <w:drawing>
          <wp:inline distT="0" distB="0" distL="0" distR="0" wp14:anchorId="1EF40B98" wp14:editId="136D86E3">
            <wp:extent cx="5180400" cy="2163600"/>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0400" cy="2163600"/>
                    </a:xfrm>
                    <a:prstGeom prst="rect">
                      <a:avLst/>
                    </a:prstGeom>
                  </pic:spPr>
                </pic:pic>
              </a:graphicData>
            </a:graphic>
          </wp:inline>
        </w:drawing>
      </w:r>
    </w:p>
    <w:p w14:paraId="0D5F207C" w14:textId="77777777" w:rsidR="006E4FC5" w:rsidRDefault="006E4FC5" w:rsidP="006E4FC5">
      <w:pPr>
        <w:rPr>
          <w:rFonts w:cs="Arial"/>
          <w:szCs w:val="22"/>
        </w:rPr>
      </w:pPr>
      <w:proofErr w:type="gramStart"/>
      <w:r>
        <w:rPr>
          <w:rFonts w:cs="Arial"/>
          <w:szCs w:val="22"/>
        </w:rPr>
        <w:t>All of these</w:t>
      </w:r>
      <w:proofErr w:type="gramEnd"/>
      <w:r>
        <w:rPr>
          <w:rFonts w:cs="Arial"/>
          <w:szCs w:val="22"/>
        </w:rPr>
        <w:t xml:space="preserve"> conditions are leading to a significant percentage of families experiencing </w:t>
      </w:r>
      <w:r>
        <w:rPr>
          <w:rFonts w:cs="Arial"/>
          <w:b/>
          <w:szCs w:val="22"/>
        </w:rPr>
        <w:t>financial stress</w:t>
      </w:r>
      <w:r w:rsidR="00FF4B9C">
        <w:rPr>
          <w:rFonts w:cs="Arial"/>
          <w:b/>
          <w:szCs w:val="22"/>
        </w:rPr>
        <w:t>.</w:t>
      </w:r>
      <w:r w:rsidR="00A7002A" w:rsidRPr="004077EC">
        <w:rPr>
          <w:rStyle w:val="FootnoteReference"/>
          <w:rFonts w:cs="Arial"/>
          <w:szCs w:val="22"/>
        </w:rPr>
        <w:footnoteReference w:id="13"/>
      </w:r>
    </w:p>
    <w:p w14:paraId="156DF736" w14:textId="77777777" w:rsidR="006E4FC5" w:rsidRPr="00495AF0" w:rsidRDefault="006E4FC5" w:rsidP="006E4FC5">
      <w:pPr>
        <w:jc w:val="center"/>
        <w:rPr>
          <w:rFonts w:cs="Arial"/>
          <w:szCs w:val="22"/>
        </w:rPr>
      </w:pPr>
      <w:r>
        <w:rPr>
          <w:rFonts w:cs="Arial"/>
          <w:noProof/>
          <w:szCs w:val="22"/>
          <w:lang w:eastAsia="en-AU"/>
        </w:rPr>
        <w:drawing>
          <wp:inline distT="0" distB="0" distL="0" distR="0" wp14:anchorId="6BDC5C92" wp14:editId="7FD85063">
            <wp:extent cx="5180400" cy="2163600"/>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_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0400" cy="2163600"/>
                    </a:xfrm>
                    <a:prstGeom prst="rect">
                      <a:avLst/>
                    </a:prstGeom>
                  </pic:spPr>
                </pic:pic>
              </a:graphicData>
            </a:graphic>
          </wp:inline>
        </w:drawing>
      </w:r>
    </w:p>
    <w:p w14:paraId="36B19501" w14:textId="77777777" w:rsidR="006E4FC5" w:rsidRPr="00D01C85" w:rsidRDefault="006E4FC5" w:rsidP="006E4FC5">
      <w:pPr>
        <w:rPr>
          <w:rFonts w:cs="Arial"/>
          <w:szCs w:val="22"/>
        </w:rPr>
      </w:pPr>
      <w:r w:rsidRPr="00D01C85">
        <w:rPr>
          <w:rFonts w:cs="Arial"/>
          <w:szCs w:val="22"/>
        </w:rPr>
        <w:t xml:space="preserve">Much of this data does not show whether people are moving in and out of poverty, and does not capture entrenched poverty and disadvantage. </w:t>
      </w:r>
    </w:p>
    <w:p w14:paraId="55AE1EA7" w14:textId="77777777" w:rsidR="006E4FC5" w:rsidRPr="00D01C85" w:rsidRDefault="006E4FC5" w:rsidP="006E4FC5">
      <w:pPr>
        <w:rPr>
          <w:rFonts w:cs="Arial"/>
          <w:szCs w:val="22"/>
        </w:rPr>
      </w:pPr>
      <w:r w:rsidRPr="00D01C85">
        <w:rPr>
          <w:rFonts w:cs="Arial"/>
          <w:szCs w:val="22"/>
        </w:rPr>
        <w:t>Information about the extent of entrenched disadvantage is provided by the Household Income and Labour Dynamics in Australia (HILDA) Survey.</w:t>
      </w:r>
      <w:r w:rsidRPr="00D01C85">
        <w:rPr>
          <w:rStyle w:val="FootnoteReference"/>
          <w:rFonts w:cs="Arial"/>
          <w:szCs w:val="22"/>
        </w:rPr>
        <w:footnoteReference w:id="14"/>
      </w:r>
      <w:r w:rsidRPr="00D01C85">
        <w:rPr>
          <w:rFonts w:cs="Arial"/>
          <w:szCs w:val="22"/>
        </w:rPr>
        <w:t xml:space="preserve"> </w:t>
      </w:r>
    </w:p>
    <w:p w14:paraId="13DADDF6" w14:textId="4B747CE4" w:rsidR="006E4FC5" w:rsidRPr="00D01C85" w:rsidRDefault="00BC30AE" w:rsidP="006E4FC5">
      <w:pPr>
        <w:jc w:val="center"/>
        <w:rPr>
          <w:rFonts w:cs="Arial"/>
          <w:szCs w:val="22"/>
        </w:rPr>
      </w:pPr>
      <w:r>
        <w:rPr>
          <w:rFonts w:cs="Arial"/>
          <w:noProof/>
          <w:szCs w:val="22"/>
          <w:lang w:eastAsia="en-AU"/>
        </w:rPr>
        <w:lastRenderedPageBreak/>
        <w:drawing>
          <wp:inline distT="0" distB="0" distL="0" distR="0" wp14:anchorId="4EE80CFF" wp14:editId="50EE10EE">
            <wp:extent cx="5180400" cy="2041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A-01.png"/>
                    <pic:cNvPicPr/>
                  </pic:nvPicPr>
                  <pic:blipFill>
                    <a:blip r:embed="rId20">
                      <a:extLst>
                        <a:ext uri="{28A0092B-C50C-407E-A947-70E740481C1C}">
                          <a14:useLocalDpi xmlns:a14="http://schemas.microsoft.com/office/drawing/2010/main" val="0"/>
                        </a:ext>
                      </a:extLst>
                    </a:blip>
                    <a:stretch>
                      <a:fillRect/>
                    </a:stretch>
                  </pic:blipFill>
                  <pic:spPr>
                    <a:xfrm>
                      <a:off x="0" y="0"/>
                      <a:ext cx="5180400" cy="2041200"/>
                    </a:xfrm>
                    <a:prstGeom prst="rect">
                      <a:avLst/>
                    </a:prstGeom>
                  </pic:spPr>
                </pic:pic>
              </a:graphicData>
            </a:graphic>
          </wp:inline>
        </w:drawing>
      </w:r>
    </w:p>
    <w:p w14:paraId="4E81F26B" w14:textId="70DF9D87" w:rsidR="006E4FC5" w:rsidRPr="00D01C85" w:rsidRDefault="00BC30AE" w:rsidP="006E4FC5">
      <w:pPr>
        <w:jc w:val="center"/>
        <w:rPr>
          <w:rFonts w:cs="Arial"/>
          <w:szCs w:val="22"/>
        </w:rPr>
      </w:pPr>
      <w:r>
        <w:rPr>
          <w:rFonts w:cs="Arial"/>
          <w:noProof/>
          <w:szCs w:val="22"/>
          <w:lang w:eastAsia="en-AU"/>
        </w:rPr>
        <w:drawing>
          <wp:inline distT="0" distB="0" distL="0" distR="0" wp14:anchorId="4DAB490A" wp14:editId="08847700">
            <wp:extent cx="5180400" cy="2214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LA-02.png"/>
                    <pic:cNvPicPr/>
                  </pic:nvPicPr>
                  <pic:blipFill>
                    <a:blip r:embed="rId21">
                      <a:extLst>
                        <a:ext uri="{28A0092B-C50C-407E-A947-70E740481C1C}">
                          <a14:useLocalDpi xmlns:a14="http://schemas.microsoft.com/office/drawing/2010/main" val="0"/>
                        </a:ext>
                      </a:extLst>
                    </a:blip>
                    <a:stretch>
                      <a:fillRect/>
                    </a:stretch>
                  </pic:blipFill>
                  <pic:spPr>
                    <a:xfrm>
                      <a:off x="0" y="0"/>
                      <a:ext cx="5180400" cy="2214000"/>
                    </a:xfrm>
                    <a:prstGeom prst="rect">
                      <a:avLst/>
                    </a:prstGeom>
                  </pic:spPr>
                </pic:pic>
              </a:graphicData>
            </a:graphic>
          </wp:inline>
        </w:drawing>
      </w:r>
    </w:p>
    <w:p w14:paraId="6A3DDAB8" w14:textId="7CD40B9F" w:rsidR="006E4FC5" w:rsidRPr="008D3110" w:rsidRDefault="006E4FC5" w:rsidP="006E4FC5">
      <w:pPr>
        <w:pStyle w:val="Heading1"/>
        <w:spacing w:before="0"/>
        <w:rPr>
          <w:sz w:val="28"/>
          <w:szCs w:val="28"/>
        </w:rPr>
      </w:pPr>
      <w:bookmarkStart w:id="7" w:name="_What_happens_to"/>
      <w:bookmarkStart w:id="8" w:name="_Toc479066447"/>
      <w:bookmarkStart w:id="9" w:name="_Toc454737426"/>
      <w:bookmarkStart w:id="10" w:name="_Toc459274876"/>
      <w:bookmarkEnd w:id="7"/>
      <w:r w:rsidRPr="008D3110">
        <w:rPr>
          <w:sz w:val="28"/>
          <w:szCs w:val="28"/>
        </w:rPr>
        <w:t>Disadvantaged people have complex legal needs</w:t>
      </w:r>
      <w:bookmarkEnd w:id="8"/>
      <w:r w:rsidR="00CA513E" w:rsidRPr="00CA513E">
        <w:rPr>
          <w:rStyle w:val="FootnoteReference"/>
          <w:color w:val="FFFFFF" w:themeColor="background1"/>
          <w:szCs w:val="28"/>
        </w:rPr>
        <w:footnoteReference w:id="15"/>
      </w:r>
    </w:p>
    <w:p w14:paraId="61FCBB9A" w14:textId="77777777" w:rsidR="006E4FC5" w:rsidRPr="00D01C85" w:rsidRDefault="006E4FC5" w:rsidP="006E4FC5">
      <w:pPr>
        <w:rPr>
          <w:rFonts w:cs="Arial"/>
          <w:szCs w:val="22"/>
          <w:lang w:val="en"/>
        </w:rPr>
      </w:pPr>
      <w:r w:rsidRPr="00D01C85">
        <w:rPr>
          <w:rFonts w:cs="Arial"/>
          <w:szCs w:val="22"/>
          <w:lang w:val="en"/>
        </w:rPr>
        <w:t>Disadvantaged people face barriers in accessing the civil justice system, which make them both more susceptible to, and less equipped to deal with, legal disputes. If left unresolved, civil problems can have a big impact on the lives of the most disadvantaged. Simple problems can spiral into complex ones when legal assistance is not provided. Unmet civil problems can also escalate into criminal matters.</w:t>
      </w:r>
      <w:r w:rsidRPr="00D01C85">
        <w:rPr>
          <w:rFonts w:cs="Arial"/>
          <w:szCs w:val="22"/>
          <w:vertAlign w:val="superscript"/>
          <w:lang w:val="en"/>
        </w:rPr>
        <w:footnoteReference w:id="16"/>
      </w:r>
      <w:r w:rsidRPr="00D01C85">
        <w:rPr>
          <w:rFonts w:cs="Arial"/>
          <w:szCs w:val="22"/>
          <w:lang w:val="en"/>
        </w:rPr>
        <w:t xml:space="preserve"> </w:t>
      </w:r>
    </w:p>
    <w:p w14:paraId="37B5FF54" w14:textId="77777777" w:rsidR="00F408CB" w:rsidRDefault="006E4FC5" w:rsidP="006E4FC5">
      <w:pPr>
        <w:shd w:val="clear" w:color="auto" w:fill="FFFFFF" w:themeFill="background1"/>
        <w:rPr>
          <w:rFonts w:cs="Arial"/>
          <w:szCs w:val="22"/>
        </w:rPr>
      </w:pPr>
      <w:r w:rsidRPr="00D01C85">
        <w:rPr>
          <w:rFonts w:cs="Arial"/>
          <w:szCs w:val="22"/>
        </w:rPr>
        <w:t>While not all people who experience multiple legal problems are disadvantaged, we now know that there is a connection between someone’s level of disadvantage, and the likelihood that they will experience multiple legal problems.</w:t>
      </w:r>
      <w:r w:rsidRPr="00D01C85">
        <w:rPr>
          <w:rFonts w:cs="Arial"/>
          <w:szCs w:val="22"/>
          <w:vertAlign w:val="superscript"/>
        </w:rPr>
        <w:footnoteReference w:id="17"/>
      </w:r>
      <w:r w:rsidRPr="00D01C85">
        <w:rPr>
          <w:rFonts w:cs="Arial"/>
          <w:szCs w:val="22"/>
        </w:rPr>
        <w:t xml:space="preserve"> There is also evidence that people who</w:t>
      </w:r>
      <w:r w:rsidR="00AD44EB">
        <w:rPr>
          <w:rFonts w:cs="Arial"/>
          <w:szCs w:val="22"/>
        </w:rPr>
        <w:t xml:space="preserve"> experience disadvantage may </w:t>
      </w:r>
      <w:r w:rsidRPr="00D01C85">
        <w:rPr>
          <w:rFonts w:cs="Arial"/>
          <w:szCs w:val="22"/>
        </w:rPr>
        <w:t xml:space="preserve">not </w:t>
      </w:r>
      <w:proofErr w:type="gramStart"/>
      <w:r w:rsidRPr="00D01C85">
        <w:rPr>
          <w:rFonts w:cs="Arial"/>
          <w:szCs w:val="22"/>
        </w:rPr>
        <w:t>take action</w:t>
      </w:r>
      <w:proofErr w:type="gramEnd"/>
      <w:r w:rsidRPr="00D01C85">
        <w:rPr>
          <w:rFonts w:cs="Arial"/>
          <w:szCs w:val="22"/>
        </w:rPr>
        <w:t xml:space="preserve"> in response to a legal issue. The Law &amp; Justice Foundation has highlighted the importance of intensive legal assistance being available for some of the most disadvantaged people as early intervention and self-help strategies may not be suitable in these situations.</w:t>
      </w:r>
      <w:r w:rsidRPr="00D01C85">
        <w:rPr>
          <w:rFonts w:cs="Arial"/>
          <w:szCs w:val="22"/>
          <w:vertAlign w:val="superscript"/>
        </w:rPr>
        <w:footnoteReference w:id="18"/>
      </w:r>
    </w:p>
    <w:p w14:paraId="25701EB9" w14:textId="77777777" w:rsidR="00CA513E" w:rsidRDefault="00CA513E" w:rsidP="006E4FC5">
      <w:pPr>
        <w:shd w:val="clear" w:color="auto" w:fill="FFFFFF" w:themeFill="background1"/>
        <w:rPr>
          <w:rFonts w:cs="Arial"/>
          <w:szCs w:val="22"/>
        </w:rPr>
      </w:pPr>
    </w:p>
    <w:p w14:paraId="574F0100" w14:textId="30AAD9BE" w:rsidR="006E4FC5" w:rsidRPr="00D01C85" w:rsidRDefault="006E4FC5" w:rsidP="006E4FC5">
      <w:pPr>
        <w:shd w:val="clear" w:color="auto" w:fill="FFFFFF" w:themeFill="background1"/>
        <w:rPr>
          <w:rFonts w:cs="Arial"/>
          <w:szCs w:val="22"/>
        </w:rPr>
      </w:pPr>
      <w:r w:rsidRPr="00D01C85">
        <w:rPr>
          <w:rFonts w:cs="Arial"/>
          <w:szCs w:val="22"/>
        </w:rPr>
        <w:lastRenderedPageBreak/>
        <w:t>People who experience disadvantage:</w:t>
      </w:r>
    </w:p>
    <w:p w14:paraId="0CE642E8" w14:textId="77777777" w:rsidR="006E4FC5" w:rsidRPr="00D01C85" w:rsidRDefault="008D3110" w:rsidP="008D3110">
      <w:pPr>
        <w:numPr>
          <w:ilvl w:val="0"/>
          <w:numId w:val="16"/>
        </w:numPr>
        <w:rPr>
          <w:rFonts w:cs="Arial"/>
          <w:szCs w:val="22"/>
        </w:rPr>
      </w:pPr>
      <w:r>
        <w:rPr>
          <w:rFonts w:cs="Arial"/>
          <w:szCs w:val="22"/>
        </w:rPr>
        <w:t>A</w:t>
      </w:r>
      <w:r w:rsidR="006E4FC5" w:rsidRPr="00D01C85">
        <w:rPr>
          <w:rFonts w:cs="Arial"/>
          <w:szCs w:val="22"/>
        </w:rPr>
        <w:t xml:space="preserve">re more likely to experience problems related to repaying debts or fines </w:t>
      </w:r>
      <w:proofErr w:type="gramStart"/>
      <w:r w:rsidR="006E4FC5" w:rsidRPr="00D01C85">
        <w:rPr>
          <w:rFonts w:cs="Arial"/>
          <w:szCs w:val="22"/>
        </w:rPr>
        <w:t>as a result of</w:t>
      </w:r>
      <w:proofErr w:type="gramEnd"/>
      <w:r w:rsidR="006E4FC5" w:rsidRPr="00D01C85">
        <w:rPr>
          <w:rFonts w:cs="Arial"/>
          <w:szCs w:val="22"/>
        </w:rPr>
        <w:t xml:space="preserve"> income deprivation</w:t>
      </w:r>
      <w:r w:rsidR="00F408CB">
        <w:rPr>
          <w:rFonts w:cs="Arial"/>
          <w:szCs w:val="22"/>
        </w:rPr>
        <w:t>;</w:t>
      </w:r>
    </w:p>
    <w:p w14:paraId="78A172F4" w14:textId="7D7DDA31" w:rsidR="006E4FC5" w:rsidRPr="00D01C85" w:rsidRDefault="008D3110" w:rsidP="008D3110">
      <w:pPr>
        <w:numPr>
          <w:ilvl w:val="0"/>
          <w:numId w:val="16"/>
        </w:numPr>
        <w:rPr>
          <w:rFonts w:cs="Arial"/>
          <w:szCs w:val="22"/>
        </w:rPr>
      </w:pPr>
      <w:r>
        <w:rPr>
          <w:rFonts w:cs="Arial"/>
          <w:szCs w:val="22"/>
        </w:rPr>
        <w:t>M</w:t>
      </w:r>
      <w:r w:rsidR="006E4FC5" w:rsidRPr="00D01C85">
        <w:rPr>
          <w:rFonts w:cs="Arial"/>
          <w:szCs w:val="22"/>
        </w:rPr>
        <w:t>ay face issues related to public or private rented housing</w:t>
      </w:r>
      <w:r w:rsidR="00F408CB">
        <w:rPr>
          <w:rFonts w:cs="Arial"/>
          <w:szCs w:val="22"/>
        </w:rPr>
        <w:t>;</w:t>
      </w:r>
      <w:r w:rsidR="00B44A89">
        <w:rPr>
          <w:rFonts w:cs="Arial"/>
          <w:szCs w:val="22"/>
        </w:rPr>
        <w:t xml:space="preserve"> and</w:t>
      </w:r>
    </w:p>
    <w:p w14:paraId="4BB7B698" w14:textId="3ADF97D4" w:rsidR="00092EBA" w:rsidRPr="004077EC" w:rsidRDefault="008D3110" w:rsidP="004077EC">
      <w:pPr>
        <w:numPr>
          <w:ilvl w:val="0"/>
          <w:numId w:val="16"/>
        </w:numPr>
        <w:rPr>
          <w:rFonts w:cs="Arial"/>
          <w:szCs w:val="22"/>
        </w:rPr>
      </w:pPr>
      <w:r>
        <w:rPr>
          <w:rFonts w:cs="Arial"/>
          <w:szCs w:val="22"/>
        </w:rPr>
        <w:t>A</w:t>
      </w:r>
      <w:r w:rsidR="006E4FC5" w:rsidRPr="00D01C85">
        <w:rPr>
          <w:rFonts w:cs="Arial"/>
          <w:szCs w:val="22"/>
        </w:rPr>
        <w:t>re more likely to have a problem with agencies administering income support.</w:t>
      </w:r>
      <w:r w:rsidR="006E4FC5" w:rsidRPr="00D01C85">
        <w:rPr>
          <w:rFonts w:cs="Arial"/>
          <w:szCs w:val="22"/>
          <w:vertAlign w:val="superscript"/>
        </w:rPr>
        <w:footnoteReference w:id="19"/>
      </w:r>
      <w:bookmarkStart w:id="11" w:name="_What_happens_to_1"/>
      <w:bookmarkStart w:id="12" w:name="_Toc479066149"/>
      <w:bookmarkStart w:id="13" w:name="_Toc479066448"/>
      <w:bookmarkEnd w:id="11"/>
    </w:p>
    <w:p w14:paraId="61E4C760" w14:textId="77777777" w:rsidR="00735BB3" w:rsidRDefault="006E4FC5" w:rsidP="00735BB3">
      <w:pPr>
        <w:pStyle w:val="Heading1"/>
        <w:spacing w:before="0"/>
        <w:rPr>
          <w:sz w:val="22"/>
          <w:szCs w:val="22"/>
        </w:rPr>
      </w:pPr>
      <w:r w:rsidRPr="00D01C85">
        <w:t>What happens to the people who miss out on legal help?</w:t>
      </w:r>
      <w:bookmarkEnd w:id="9"/>
      <w:bookmarkEnd w:id="10"/>
      <w:r w:rsidRPr="00D01C85">
        <w:rPr>
          <w:sz w:val="22"/>
          <w:szCs w:val="22"/>
        </w:rPr>
        <w:t xml:space="preserve"> </w:t>
      </w:r>
    </w:p>
    <w:p w14:paraId="20C185C5" w14:textId="77777777" w:rsidR="006E4FC5" w:rsidRDefault="006E4FC5" w:rsidP="00735BB3">
      <w:pPr>
        <w:rPr>
          <w:b/>
          <w:color w:val="000000" w:themeColor="text1"/>
          <w:szCs w:val="22"/>
        </w:rPr>
      </w:pPr>
      <w:r w:rsidRPr="00735BB3">
        <w:t>When people miss out on a grant of legal assistance, there is no concrete information available about the legal journey that follows. Anecdotally, many of these people may seek assistance from a Community Legal Centre (CLC) or a pro bono legal service. Others will become self-represented litigants. Another group may give up their rights and not take any action.</w:t>
      </w:r>
      <w:bookmarkEnd w:id="12"/>
      <w:bookmarkEnd w:id="13"/>
      <w:r w:rsidRPr="00FC4DFD">
        <w:rPr>
          <w:color w:val="000000" w:themeColor="text1"/>
          <w:szCs w:val="22"/>
        </w:rPr>
        <w:t xml:space="preserve"> </w:t>
      </w:r>
    </w:p>
    <w:p w14:paraId="3B358C84" w14:textId="77777777" w:rsidR="00027CCB" w:rsidRPr="008D3110" w:rsidRDefault="00027CCB" w:rsidP="00027CCB">
      <w:pPr>
        <w:rPr>
          <w:b/>
          <w:sz w:val="24"/>
          <w:lang w:eastAsia="en-AU"/>
        </w:rPr>
      </w:pPr>
      <w:r w:rsidRPr="008D3110">
        <w:rPr>
          <w:b/>
          <w:sz w:val="24"/>
          <w:lang w:eastAsia="en-AU"/>
        </w:rPr>
        <w:t>Percentage of people that have experienced a legal problem in Victoria</w:t>
      </w:r>
      <w:r w:rsidRPr="004077EC">
        <w:rPr>
          <w:rStyle w:val="FootnoteReference"/>
          <w:sz w:val="24"/>
          <w:lang w:eastAsia="en-AU"/>
        </w:rPr>
        <w:footnoteReference w:id="20"/>
      </w:r>
    </w:p>
    <w:p w14:paraId="105C7567" w14:textId="77777777" w:rsidR="008D3110" w:rsidRPr="00EE578E" w:rsidRDefault="006E4FC5" w:rsidP="00EE578E">
      <w:pPr>
        <w:jc w:val="center"/>
        <w:rPr>
          <w:lang w:eastAsia="en-AU"/>
        </w:rPr>
      </w:pPr>
      <w:r>
        <w:rPr>
          <w:noProof/>
          <w:lang w:eastAsia="en-AU"/>
        </w:rPr>
        <w:drawing>
          <wp:inline distT="0" distB="0" distL="0" distR="0" wp14:anchorId="3A2D210C" wp14:editId="7059940F">
            <wp:extent cx="5180400" cy="2163600"/>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_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0400" cy="2163600"/>
                    </a:xfrm>
                    <a:prstGeom prst="rect">
                      <a:avLst/>
                    </a:prstGeom>
                  </pic:spPr>
                </pic:pic>
              </a:graphicData>
            </a:graphic>
          </wp:inline>
        </w:drawing>
      </w:r>
      <w:bookmarkStart w:id="14" w:name="_Part_C_–"/>
      <w:bookmarkEnd w:id="14"/>
    </w:p>
    <w:p w14:paraId="5F6073F4" w14:textId="696D0A2F" w:rsidR="006E4FC5" w:rsidRPr="008D3110" w:rsidRDefault="006E4FC5" w:rsidP="00735BB3">
      <w:pPr>
        <w:spacing w:after="160" w:line="259" w:lineRule="auto"/>
        <w:rPr>
          <w:rFonts w:cs="Arial"/>
          <w:b/>
          <w:sz w:val="24"/>
        </w:rPr>
      </w:pPr>
      <w:r w:rsidRPr="008D3110">
        <w:rPr>
          <w:rFonts w:cs="Arial"/>
          <w:b/>
          <w:sz w:val="24"/>
        </w:rPr>
        <w:t>How they dealt with their legal problem</w:t>
      </w:r>
      <w:r w:rsidRPr="00211AD9">
        <w:rPr>
          <w:rStyle w:val="FootnoteReference"/>
          <w:rFonts w:cs="Arial"/>
          <w:sz w:val="24"/>
        </w:rPr>
        <w:footnoteReference w:id="21"/>
      </w:r>
    </w:p>
    <w:p w14:paraId="124D5227" w14:textId="77777777" w:rsidR="006E4FC5" w:rsidRPr="00D01C85" w:rsidRDefault="006E4FC5" w:rsidP="006E4FC5">
      <w:pPr>
        <w:jc w:val="center"/>
        <w:rPr>
          <w:rFonts w:cs="Arial"/>
          <w:szCs w:val="22"/>
          <w:highlight w:val="yellow"/>
        </w:rPr>
      </w:pPr>
      <w:r>
        <w:rPr>
          <w:rFonts w:cs="Arial"/>
          <w:noProof/>
          <w:szCs w:val="22"/>
          <w:lang w:eastAsia="en-AU"/>
        </w:rPr>
        <w:drawing>
          <wp:inline distT="0" distB="0" distL="0" distR="0" wp14:anchorId="37920753" wp14:editId="782FC900">
            <wp:extent cx="5180400" cy="216720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_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0400" cy="2167200"/>
                    </a:xfrm>
                    <a:prstGeom prst="rect">
                      <a:avLst/>
                    </a:prstGeom>
                  </pic:spPr>
                </pic:pic>
              </a:graphicData>
            </a:graphic>
          </wp:inline>
        </w:drawing>
      </w:r>
    </w:p>
    <w:p w14:paraId="31074D08" w14:textId="7451EBEE" w:rsidR="00471C35" w:rsidRDefault="00471C35" w:rsidP="006E4FC5">
      <w:pPr>
        <w:rPr>
          <w:rFonts w:cs="Arial"/>
          <w:szCs w:val="22"/>
        </w:rPr>
      </w:pPr>
      <w:r>
        <w:rPr>
          <w:rFonts w:cs="Arial"/>
          <w:szCs w:val="22"/>
        </w:rPr>
        <w:lastRenderedPageBreak/>
        <w:t>Of</w:t>
      </w:r>
      <w:r w:rsidR="001B4215">
        <w:rPr>
          <w:rFonts w:cs="Arial"/>
          <w:szCs w:val="22"/>
        </w:rPr>
        <w:t xml:space="preserve"> the 51% </w:t>
      </w:r>
      <w:r>
        <w:rPr>
          <w:rFonts w:cs="Arial"/>
          <w:szCs w:val="22"/>
        </w:rPr>
        <w:t>that did seek</w:t>
      </w:r>
      <w:r w:rsidR="001B4215">
        <w:rPr>
          <w:rFonts w:cs="Arial"/>
          <w:szCs w:val="22"/>
        </w:rPr>
        <w:t xml:space="preserve"> professional</w:t>
      </w:r>
      <w:r>
        <w:rPr>
          <w:rFonts w:cs="Arial"/>
          <w:szCs w:val="22"/>
        </w:rPr>
        <w:t xml:space="preserve"> advice, only 30% sought advice from a legal professional.</w:t>
      </w:r>
      <w:r w:rsidR="00A6500A">
        <w:rPr>
          <w:rStyle w:val="FootnoteReference"/>
          <w:rFonts w:cs="Arial"/>
          <w:szCs w:val="22"/>
        </w:rPr>
        <w:footnoteReference w:id="22"/>
      </w:r>
    </w:p>
    <w:p w14:paraId="3B5554F8" w14:textId="10BCAB60" w:rsidR="006E4FC5" w:rsidRPr="00D01C85" w:rsidRDefault="006E4FC5" w:rsidP="006E4FC5">
      <w:pPr>
        <w:rPr>
          <w:rFonts w:cs="Arial"/>
          <w:szCs w:val="22"/>
        </w:rPr>
      </w:pPr>
      <w:r w:rsidRPr="00D01C85">
        <w:rPr>
          <w:rFonts w:cs="Arial"/>
          <w:szCs w:val="22"/>
        </w:rPr>
        <w:t xml:space="preserve">Of those that took no action, the </w:t>
      </w:r>
      <w:r w:rsidR="00F408CB">
        <w:rPr>
          <w:rFonts w:cs="Arial"/>
          <w:szCs w:val="22"/>
        </w:rPr>
        <w:t>common reasons were because</w:t>
      </w:r>
      <w:r w:rsidRPr="00D01C85">
        <w:rPr>
          <w:rFonts w:cs="Arial"/>
          <w:szCs w:val="22"/>
        </w:rPr>
        <w:t>:</w:t>
      </w:r>
    </w:p>
    <w:p w14:paraId="53A98DC7" w14:textId="53C21180" w:rsidR="006E4FC5" w:rsidRDefault="00EE578E" w:rsidP="00EE578E">
      <w:pPr>
        <w:pStyle w:val="ListParagraph"/>
        <w:numPr>
          <w:ilvl w:val="0"/>
          <w:numId w:val="17"/>
        </w:numPr>
        <w:spacing w:after="120" w:line="300" w:lineRule="atLeast"/>
        <w:ind w:left="714" w:hanging="288"/>
        <w:contextualSpacing w:val="0"/>
        <w:rPr>
          <w:rFonts w:ascii="Arial" w:hAnsi="Arial" w:cs="Arial"/>
          <w:sz w:val="22"/>
          <w:szCs w:val="22"/>
        </w:rPr>
      </w:pPr>
      <w:r>
        <w:rPr>
          <w:rFonts w:ascii="Arial" w:hAnsi="Arial" w:cs="Arial"/>
          <w:sz w:val="22"/>
          <w:szCs w:val="22"/>
        </w:rPr>
        <w:t>T</w:t>
      </w:r>
      <w:r w:rsidR="00F408CB">
        <w:rPr>
          <w:rFonts w:ascii="Arial" w:hAnsi="Arial" w:cs="Arial"/>
          <w:sz w:val="22"/>
          <w:szCs w:val="22"/>
        </w:rPr>
        <w:t xml:space="preserve">hey </w:t>
      </w:r>
      <w:r w:rsidR="006E4FC5" w:rsidRPr="00D01C85">
        <w:rPr>
          <w:rFonts w:ascii="Arial" w:hAnsi="Arial" w:cs="Arial"/>
          <w:sz w:val="22"/>
          <w:szCs w:val="22"/>
        </w:rPr>
        <w:t>said it would take too long</w:t>
      </w:r>
      <w:r w:rsidR="00F408CB">
        <w:rPr>
          <w:rFonts w:ascii="Arial" w:hAnsi="Arial" w:cs="Arial"/>
          <w:sz w:val="22"/>
          <w:szCs w:val="22"/>
        </w:rPr>
        <w:t>;</w:t>
      </w:r>
    </w:p>
    <w:p w14:paraId="57262DD8" w14:textId="30D1DCE7" w:rsidR="00471C35" w:rsidRPr="00D01C85" w:rsidRDefault="00471C35" w:rsidP="00EE578E">
      <w:pPr>
        <w:pStyle w:val="ListParagraph"/>
        <w:numPr>
          <w:ilvl w:val="0"/>
          <w:numId w:val="17"/>
        </w:numPr>
        <w:spacing w:after="120" w:line="300" w:lineRule="atLeast"/>
        <w:ind w:left="714" w:hanging="288"/>
        <w:contextualSpacing w:val="0"/>
        <w:rPr>
          <w:rFonts w:ascii="Arial" w:hAnsi="Arial" w:cs="Arial"/>
          <w:sz w:val="22"/>
          <w:szCs w:val="22"/>
        </w:rPr>
      </w:pPr>
      <w:r>
        <w:rPr>
          <w:rFonts w:ascii="Arial" w:hAnsi="Arial" w:cs="Arial"/>
          <w:sz w:val="22"/>
          <w:szCs w:val="22"/>
        </w:rPr>
        <w:t>It would be too stressful;</w:t>
      </w:r>
    </w:p>
    <w:p w14:paraId="2AB0E369" w14:textId="6FF1884D" w:rsidR="006E4FC5" w:rsidRPr="00D01C85" w:rsidRDefault="00735BB3" w:rsidP="00EE578E">
      <w:pPr>
        <w:pStyle w:val="ListParagraph"/>
        <w:numPr>
          <w:ilvl w:val="0"/>
          <w:numId w:val="17"/>
        </w:numPr>
        <w:spacing w:after="120" w:line="300" w:lineRule="atLeast"/>
        <w:ind w:left="714" w:hanging="288"/>
        <w:contextualSpacing w:val="0"/>
        <w:rPr>
          <w:rFonts w:ascii="Arial" w:hAnsi="Arial" w:cs="Arial"/>
          <w:sz w:val="22"/>
          <w:szCs w:val="22"/>
        </w:rPr>
      </w:pPr>
      <w:r>
        <w:rPr>
          <w:rFonts w:ascii="Arial" w:hAnsi="Arial" w:cs="Arial"/>
          <w:sz w:val="22"/>
          <w:szCs w:val="22"/>
        </w:rPr>
        <w:t>That</w:t>
      </w:r>
      <w:r w:rsidR="006E4FC5" w:rsidRPr="00D01C85">
        <w:rPr>
          <w:rFonts w:ascii="Arial" w:hAnsi="Arial" w:cs="Arial"/>
          <w:sz w:val="22"/>
          <w:szCs w:val="22"/>
        </w:rPr>
        <w:t xml:space="preserve"> </w:t>
      </w:r>
      <w:r w:rsidR="00211AD9">
        <w:rPr>
          <w:rFonts w:ascii="Arial" w:hAnsi="Arial" w:cs="Arial"/>
          <w:sz w:val="22"/>
          <w:szCs w:val="22"/>
        </w:rPr>
        <w:t xml:space="preserve">it </w:t>
      </w:r>
      <w:r w:rsidR="006E4FC5" w:rsidRPr="00D01C85">
        <w:rPr>
          <w:rFonts w:ascii="Arial" w:hAnsi="Arial" w:cs="Arial"/>
          <w:sz w:val="22"/>
          <w:szCs w:val="22"/>
        </w:rPr>
        <w:t>would cost too much</w:t>
      </w:r>
      <w:r w:rsidR="00F408CB">
        <w:rPr>
          <w:rFonts w:ascii="Arial" w:hAnsi="Arial" w:cs="Arial"/>
          <w:sz w:val="22"/>
          <w:szCs w:val="22"/>
        </w:rPr>
        <w:t>;</w:t>
      </w:r>
      <w:r w:rsidR="00471C35">
        <w:rPr>
          <w:rFonts w:ascii="Arial" w:hAnsi="Arial" w:cs="Arial"/>
          <w:sz w:val="22"/>
          <w:szCs w:val="22"/>
        </w:rPr>
        <w:t xml:space="preserve"> and</w:t>
      </w:r>
    </w:p>
    <w:p w14:paraId="5F10FDFF" w14:textId="77777777" w:rsidR="00735BB3" w:rsidRPr="00735BB3" w:rsidRDefault="00EE578E" w:rsidP="00735BB3">
      <w:pPr>
        <w:pStyle w:val="ListParagraph"/>
        <w:numPr>
          <w:ilvl w:val="0"/>
          <w:numId w:val="17"/>
        </w:numPr>
        <w:spacing w:after="120" w:line="300" w:lineRule="atLeast"/>
        <w:ind w:left="714" w:hanging="288"/>
        <w:contextualSpacing w:val="0"/>
        <w:rPr>
          <w:rFonts w:ascii="Arial" w:hAnsi="Arial" w:cs="Arial"/>
          <w:sz w:val="22"/>
          <w:szCs w:val="22"/>
        </w:rPr>
      </w:pPr>
      <w:r>
        <w:rPr>
          <w:rFonts w:ascii="Arial" w:hAnsi="Arial" w:cs="Arial"/>
          <w:sz w:val="22"/>
          <w:szCs w:val="22"/>
        </w:rPr>
        <w:t>T</w:t>
      </w:r>
      <w:r w:rsidR="00F408CB">
        <w:rPr>
          <w:rFonts w:ascii="Arial" w:hAnsi="Arial" w:cs="Arial"/>
          <w:sz w:val="22"/>
          <w:szCs w:val="22"/>
        </w:rPr>
        <w:t xml:space="preserve">hey </w:t>
      </w:r>
      <w:r w:rsidR="006E4FC5" w:rsidRPr="00D01C85">
        <w:rPr>
          <w:rFonts w:ascii="Arial" w:hAnsi="Arial" w:cs="Arial"/>
          <w:sz w:val="22"/>
          <w:szCs w:val="22"/>
        </w:rPr>
        <w:t>didn’t know what to do</w:t>
      </w:r>
      <w:r w:rsidR="00F408CB">
        <w:rPr>
          <w:rFonts w:ascii="Arial" w:hAnsi="Arial" w:cs="Arial"/>
          <w:sz w:val="22"/>
          <w:szCs w:val="22"/>
        </w:rPr>
        <w:t>.</w:t>
      </w:r>
    </w:p>
    <w:p w14:paraId="29ED0B16" w14:textId="77777777" w:rsidR="006E4FC5" w:rsidRPr="00EE578E" w:rsidRDefault="006E4FC5" w:rsidP="006E4FC5">
      <w:pPr>
        <w:pStyle w:val="Heading1"/>
        <w:spacing w:before="0"/>
        <w:rPr>
          <w:sz w:val="28"/>
          <w:szCs w:val="28"/>
        </w:rPr>
      </w:pPr>
      <w:bookmarkStart w:id="15" w:name="_Toc479066450"/>
      <w:r w:rsidRPr="00EE578E">
        <w:rPr>
          <w:sz w:val="28"/>
          <w:szCs w:val="28"/>
        </w:rPr>
        <w:t>The impact of missing out on legal assistance</w:t>
      </w:r>
      <w:bookmarkEnd w:id="15"/>
    </w:p>
    <w:p w14:paraId="05CF109B" w14:textId="77777777" w:rsidR="006E4FC5" w:rsidRDefault="006E4FC5" w:rsidP="006E4FC5">
      <w:pPr>
        <w:rPr>
          <w:b/>
        </w:rPr>
      </w:pPr>
      <w:r w:rsidRPr="00D01C85">
        <w:rPr>
          <w:rFonts w:cs="Arial"/>
          <w:szCs w:val="22"/>
          <w:lang w:eastAsia="en-AU"/>
        </w:rPr>
        <w:t>We don’t t</w:t>
      </w:r>
      <w:r w:rsidR="00AD44EB">
        <w:rPr>
          <w:rFonts w:cs="Arial"/>
          <w:szCs w:val="22"/>
          <w:lang w:eastAsia="en-AU"/>
        </w:rPr>
        <w:t>rack what happens to people who</w:t>
      </w:r>
      <w:r w:rsidRPr="00D01C85">
        <w:rPr>
          <w:rFonts w:cs="Arial"/>
          <w:szCs w:val="22"/>
          <w:lang w:eastAsia="en-AU"/>
        </w:rPr>
        <w:t xml:space="preserve"> are refused a grant of assistance, what services they reach out to, or whether they proceed as a self-represented litigant. As part of our consultation on this review, we released a survey asking for community members to tell us their story if they had been refused assistance. </w:t>
      </w:r>
      <w:r>
        <w:rPr>
          <w:rFonts w:cs="Arial"/>
          <w:szCs w:val="22"/>
          <w:lang w:eastAsia="en-AU"/>
        </w:rPr>
        <w:t xml:space="preserve">The following common themes were identified. </w:t>
      </w:r>
    </w:p>
    <w:p w14:paraId="73BCB3F7" w14:textId="39AA84ED" w:rsidR="006E4FC5" w:rsidRPr="00D01C85" w:rsidRDefault="00BC30AE" w:rsidP="006E4FC5">
      <w:pPr>
        <w:jc w:val="center"/>
        <w:rPr>
          <w:rFonts w:cs="Arial"/>
          <w:szCs w:val="22"/>
          <w:lang w:eastAsia="en-AU"/>
        </w:rPr>
      </w:pPr>
      <w:r>
        <w:rPr>
          <w:rFonts w:cs="Arial"/>
          <w:noProof/>
          <w:szCs w:val="22"/>
          <w:lang w:eastAsia="en-AU"/>
        </w:rPr>
        <w:drawing>
          <wp:inline distT="0" distB="0" distL="0" distR="0" wp14:anchorId="5DBA3995" wp14:editId="39219C26">
            <wp:extent cx="5180400" cy="2898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A-03.png"/>
                    <pic:cNvPicPr/>
                  </pic:nvPicPr>
                  <pic:blipFill>
                    <a:blip r:embed="rId24">
                      <a:extLst>
                        <a:ext uri="{28A0092B-C50C-407E-A947-70E740481C1C}">
                          <a14:useLocalDpi xmlns:a14="http://schemas.microsoft.com/office/drawing/2010/main" val="0"/>
                        </a:ext>
                      </a:extLst>
                    </a:blip>
                    <a:stretch>
                      <a:fillRect/>
                    </a:stretch>
                  </pic:blipFill>
                  <pic:spPr>
                    <a:xfrm>
                      <a:off x="0" y="0"/>
                      <a:ext cx="5180400" cy="2898000"/>
                    </a:xfrm>
                    <a:prstGeom prst="rect">
                      <a:avLst/>
                    </a:prstGeom>
                  </pic:spPr>
                </pic:pic>
              </a:graphicData>
            </a:graphic>
          </wp:inline>
        </w:drawing>
      </w:r>
    </w:p>
    <w:p w14:paraId="29510AA3" w14:textId="77777777" w:rsidR="006E4FC5" w:rsidRPr="00735BB3" w:rsidRDefault="006E4FC5" w:rsidP="006E4FC5">
      <w:pPr>
        <w:pStyle w:val="Heading1"/>
        <w:spacing w:before="0"/>
        <w:rPr>
          <w:sz w:val="28"/>
          <w:szCs w:val="28"/>
        </w:rPr>
      </w:pPr>
      <w:bookmarkStart w:id="16" w:name="_Part_D_–"/>
      <w:bookmarkStart w:id="17" w:name="_Toc479066451"/>
      <w:bookmarkStart w:id="18" w:name="_Toc454737430"/>
      <w:bookmarkStart w:id="19" w:name="_Toc459274880"/>
      <w:bookmarkEnd w:id="16"/>
      <w:r w:rsidRPr="00735BB3">
        <w:rPr>
          <w:sz w:val="28"/>
          <w:szCs w:val="28"/>
        </w:rPr>
        <w:t>How lack of access to legal help impacts our community</w:t>
      </w:r>
      <w:bookmarkEnd w:id="17"/>
      <w:r w:rsidRPr="00735BB3">
        <w:rPr>
          <w:sz w:val="28"/>
          <w:szCs w:val="28"/>
        </w:rPr>
        <w:t xml:space="preserve"> </w:t>
      </w:r>
      <w:bookmarkEnd w:id="18"/>
      <w:bookmarkEnd w:id="19"/>
    </w:p>
    <w:p w14:paraId="2511C517" w14:textId="77777777" w:rsidR="006E4FC5" w:rsidRPr="00D01C85" w:rsidRDefault="006E4FC5" w:rsidP="006E4FC5">
      <w:pPr>
        <w:shd w:val="clear" w:color="auto" w:fill="FFFFFF" w:themeFill="background1"/>
        <w:rPr>
          <w:rFonts w:cs="Arial"/>
          <w:szCs w:val="22"/>
        </w:rPr>
      </w:pPr>
      <w:r w:rsidRPr="00D01C85">
        <w:rPr>
          <w:rFonts w:cs="Arial"/>
          <w:szCs w:val="22"/>
        </w:rPr>
        <w:t>The Productivity Commission noted that ‘numerous studies show that efficient government-funded legal services generate net benefit to the community</w:t>
      </w:r>
      <w:r w:rsidR="000877CA">
        <w:rPr>
          <w:rFonts w:cs="Arial"/>
          <w:szCs w:val="22"/>
        </w:rPr>
        <w:t>.’</w:t>
      </w:r>
      <w:r w:rsidRPr="00D01C85">
        <w:rPr>
          <w:rFonts w:cs="Arial"/>
          <w:szCs w:val="22"/>
          <w:vertAlign w:val="superscript"/>
          <w:lang w:val="en"/>
        </w:rPr>
        <w:footnoteReference w:id="23"/>
      </w:r>
      <w:r w:rsidRPr="00D01C85">
        <w:rPr>
          <w:rFonts w:cs="Arial"/>
          <w:szCs w:val="22"/>
        </w:rPr>
        <w:t xml:space="preserve"> This has been shown to extend to halting the escalation of issues which can lead to entrenched disadvantage and social exclusion from deteriorating health, employment, relationships and housing stability.</w:t>
      </w:r>
      <w:r w:rsidRPr="00D01C85">
        <w:rPr>
          <w:rFonts w:cs="Arial"/>
          <w:szCs w:val="22"/>
          <w:vertAlign w:val="superscript"/>
        </w:rPr>
        <w:footnoteReference w:id="24"/>
      </w:r>
      <w:r w:rsidRPr="00D01C85">
        <w:rPr>
          <w:rFonts w:cs="Arial"/>
          <w:szCs w:val="22"/>
        </w:rPr>
        <w:t xml:space="preserve"> </w:t>
      </w:r>
    </w:p>
    <w:p w14:paraId="35C2CDD6" w14:textId="77777777" w:rsidR="006E4FC5" w:rsidRPr="00D01C85" w:rsidRDefault="006E4FC5" w:rsidP="006E4FC5">
      <w:pPr>
        <w:rPr>
          <w:rFonts w:cs="Arial"/>
          <w:szCs w:val="22"/>
        </w:rPr>
      </w:pPr>
      <w:r w:rsidRPr="00D01C85">
        <w:rPr>
          <w:rFonts w:cs="Arial"/>
          <w:szCs w:val="22"/>
        </w:rPr>
        <w:t>Where a person cannot afford legal representation, or choose</w:t>
      </w:r>
      <w:r w:rsidR="000877CA">
        <w:rPr>
          <w:rFonts w:cs="Arial"/>
          <w:szCs w:val="22"/>
        </w:rPr>
        <w:t>s</w:t>
      </w:r>
      <w:r w:rsidRPr="00D01C85">
        <w:rPr>
          <w:rFonts w:cs="Arial"/>
          <w:szCs w:val="22"/>
        </w:rPr>
        <w:t xml:space="preserve"> not to proceed with legal representation, they can continue their legal matter as a self-represented litigant. The numbers of self-represented litigants are increasing in some jurisdictions. The High Court </w:t>
      </w:r>
      <w:r w:rsidRPr="00D01C85">
        <w:rPr>
          <w:rFonts w:cs="Arial"/>
          <w:szCs w:val="22"/>
        </w:rPr>
        <w:lastRenderedPageBreak/>
        <w:t>has seen a jump from 41% of self-represented litigants in special leave applications to 67% in four years.</w:t>
      </w:r>
      <w:r w:rsidRPr="00D01C85">
        <w:rPr>
          <w:rStyle w:val="FootnoteReference"/>
          <w:rFonts w:cs="Arial"/>
          <w:szCs w:val="22"/>
        </w:rPr>
        <w:footnoteReference w:id="25"/>
      </w:r>
      <w:r w:rsidRPr="00D01C85">
        <w:rPr>
          <w:rFonts w:cs="Arial"/>
          <w:szCs w:val="22"/>
        </w:rPr>
        <w:t xml:space="preserve"> </w:t>
      </w:r>
      <w:r w:rsidR="00B03E96">
        <w:rPr>
          <w:rFonts w:cs="Arial"/>
          <w:szCs w:val="22"/>
        </w:rPr>
        <w:t>Appeals in the Family Court have seen an increase in self-representation from 39% to 44% in one year.</w:t>
      </w:r>
      <w:r w:rsidR="00B03E96">
        <w:rPr>
          <w:rStyle w:val="FootnoteReference"/>
          <w:rFonts w:cs="Arial"/>
          <w:szCs w:val="22"/>
        </w:rPr>
        <w:footnoteReference w:id="26"/>
      </w:r>
      <w:r w:rsidR="000877CA">
        <w:rPr>
          <w:rFonts w:cs="Arial"/>
          <w:szCs w:val="22"/>
        </w:rPr>
        <w:t xml:space="preserve"> </w:t>
      </w:r>
      <w:r w:rsidRPr="00D01C85">
        <w:rPr>
          <w:rFonts w:cs="Arial"/>
          <w:szCs w:val="22"/>
        </w:rPr>
        <w:t xml:space="preserve">There is a widespread perception that self-represented litigants are increasing in Australia </w:t>
      </w:r>
      <w:proofErr w:type="gramStart"/>
      <w:r w:rsidRPr="00D01C85">
        <w:rPr>
          <w:rFonts w:cs="Arial"/>
          <w:szCs w:val="22"/>
        </w:rPr>
        <w:t>as a result of</w:t>
      </w:r>
      <w:proofErr w:type="gramEnd"/>
      <w:r w:rsidRPr="00D01C85">
        <w:rPr>
          <w:rFonts w:cs="Arial"/>
          <w:szCs w:val="22"/>
        </w:rPr>
        <w:t xml:space="preserve"> increased legal costs and changes to legal aid funding. People that are self-represented in court</w:t>
      </w:r>
      <w:r w:rsidR="00AD44EB">
        <w:rPr>
          <w:rFonts w:cs="Arial"/>
          <w:szCs w:val="22"/>
        </w:rPr>
        <w:t xml:space="preserve"> can</w:t>
      </w:r>
      <w:r w:rsidRPr="00D01C85">
        <w:rPr>
          <w:rFonts w:cs="Arial"/>
          <w:szCs w:val="22"/>
        </w:rPr>
        <w:t xml:space="preserve"> result in significant additional costs on the courts and other parties in the proceedings, generally through extending the length of time a legal proceeding must take</w:t>
      </w:r>
      <w:r w:rsidR="005064A5">
        <w:rPr>
          <w:rFonts w:cs="Arial"/>
          <w:szCs w:val="22"/>
        </w:rPr>
        <w:t>.</w:t>
      </w:r>
      <w:r w:rsidRPr="00D01C85">
        <w:rPr>
          <w:rStyle w:val="FootnoteReference"/>
          <w:rFonts w:cs="Arial"/>
          <w:szCs w:val="22"/>
        </w:rPr>
        <w:footnoteReference w:id="27"/>
      </w:r>
      <w:r w:rsidRPr="00D01C85">
        <w:rPr>
          <w:rFonts w:cs="Arial"/>
          <w:szCs w:val="22"/>
        </w:rPr>
        <w:t xml:space="preserve"> Providing people with legal representation would not only benefit a person in their legal matter, but also save costs for the community</w:t>
      </w:r>
      <w:r w:rsidR="005064A5">
        <w:rPr>
          <w:rFonts w:cs="Arial"/>
          <w:szCs w:val="22"/>
        </w:rPr>
        <w:t>.</w:t>
      </w:r>
      <w:r w:rsidRPr="00D01C85">
        <w:rPr>
          <w:rStyle w:val="FootnoteReference"/>
          <w:rFonts w:cs="Arial"/>
          <w:szCs w:val="22"/>
        </w:rPr>
        <w:footnoteReference w:id="28"/>
      </w:r>
      <w:r w:rsidRPr="00D01C85">
        <w:rPr>
          <w:rFonts w:cs="Arial"/>
          <w:szCs w:val="22"/>
        </w:rPr>
        <w:t xml:space="preserve"> </w:t>
      </w:r>
    </w:p>
    <w:p w14:paraId="0D5F535A" w14:textId="77777777" w:rsidR="006E4FC5" w:rsidRPr="00D01C85" w:rsidRDefault="00E06B62" w:rsidP="006E4FC5">
      <w:pPr>
        <w:shd w:val="clear" w:color="auto" w:fill="FFFFFF" w:themeFill="background1"/>
        <w:rPr>
          <w:rFonts w:cs="Arial"/>
          <w:szCs w:val="22"/>
        </w:rPr>
      </w:pPr>
      <w:r>
        <w:rPr>
          <w:rFonts w:cs="Arial"/>
          <w:szCs w:val="22"/>
        </w:rPr>
        <w:t>We currently</w:t>
      </w:r>
      <w:r w:rsidR="005064A5">
        <w:rPr>
          <w:rFonts w:cs="Arial"/>
          <w:szCs w:val="22"/>
        </w:rPr>
        <w:t xml:space="preserve"> </w:t>
      </w:r>
      <w:r w:rsidR="006E4FC5" w:rsidRPr="00D01C85">
        <w:rPr>
          <w:rFonts w:cs="Arial"/>
          <w:szCs w:val="22"/>
        </w:rPr>
        <w:t>don’t track a person’s journey once they are found to be ineligibl</w:t>
      </w:r>
      <w:r w:rsidR="005064A5">
        <w:rPr>
          <w:rFonts w:cs="Arial"/>
          <w:szCs w:val="22"/>
        </w:rPr>
        <w:t>e for a legal aid service,</w:t>
      </w:r>
      <w:r w:rsidR="006E4FC5" w:rsidRPr="00D01C85">
        <w:rPr>
          <w:rFonts w:cs="Arial"/>
          <w:szCs w:val="22"/>
        </w:rPr>
        <w:t xml:space="preserve"> </w:t>
      </w:r>
      <w:r>
        <w:rPr>
          <w:rFonts w:cs="Arial"/>
          <w:szCs w:val="22"/>
        </w:rPr>
        <w:t xml:space="preserve">and so we don’t know </w:t>
      </w:r>
      <w:r w:rsidR="006E4FC5" w:rsidRPr="00D01C85">
        <w:rPr>
          <w:rFonts w:cs="Arial"/>
          <w:szCs w:val="22"/>
        </w:rPr>
        <w:t>whether that person then goes on to become self-represented in a court, tribunal or other process. We know that a person may attempt to access legal help in many ways before ending up as a self-represented litigant. There are legal services available beyond legal aid, including community legal centres, paying privately for a private lawyer or finding someone that will do the work pro bono. Once these options are exhausted, a person is often left with no alternati</w:t>
      </w:r>
      <w:r w:rsidR="005064A5">
        <w:rPr>
          <w:rFonts w:cs="Arial"/>
          <w:szCs w:val="22"/>
        </w:rPr>
        <w:t>ve but to represent themselves.</w:t>
      </w:r>
      <w:r w:rsidR="006E4FC5" w:rsidRPr="00D01C85">
        <w:rPr>
          <w:rFonts w:cs="Arial"/>
          <w:szCs w:val="22"/>
        </w:rPr>
        <w:t xml:space="preserve"> A report commissioned by the National Association of CLCs showed that the benefits and avoided costs </w:t>
      </w:r>
      <w:proofErr w:type="gramStart"/>
      <w:r w:rsidR="006E4FC5" w:rsidRPr="00D01C85">
        <w:rPr>
          <w:rFonts w:cs="Arial"/>
          <w:szCs w:val="22"/>
        </w:rPr>
        <w:t>as a result of</w:t>
      </w:r>
      <w:proofErr w:type="gramEnd"/>
      <w:r w:rsidR="006E4FC5" w:rsidRPr="00D01C85">
        <w:rPr>
          <w:rFonts w:cs="Arial"/>
          <w:szCs w:val="22"/>
        </w:rPr>
        <w:t xml:space="preserve"> CLC intervention can range from $10,000 to $34,000. The report estimated that for each $1 invested in CLCs, around $100 may be ‘saved’ by CLC clients, governments and/or other affected parties.</w:t>
      </w:r>
      <w:r w:rsidR="006E4FC5" w:rsidRPr="00D01C85">
        <w:rPr>
          <w:rFonts w:cs="Arial"/>
          <w:szCs w:val="22"/>
          <w:vertAlign w:val="superscript"/>
        </w:rPr>
        <w:footnoteReference w:id="29"/>
      </w:r>
      <w:r w:rsidR="006E4FC5" w:rsidRPr="00D01C85">
        <w:rPr>
          <w:rFonts w:cs="Arial"/>
          <w:szCs w:val="22"/>
        </w:rPr>
        <w:t xml:space="preserve"> </w:t>
      </w:r>
    </w:p>
    <w:p w14:paraId="1D0D578C" w14:textId="77777777" w:rsidR="00735BB3" w:rsidRDefault="006E4FC5" w:rsidP="005064A5">
      <w:pPr>
        <w:shd w:val="clear" w:color="auto" w:fill="FFFFFF" w:themeFill="background1"/>
        <w:rPr>
          <w:rFonts w:cs="Arial"/>
          <w:szCs w:val="22"/>
        </w:rPr>
      </w:pPr>
      <w:r w:rsidRPr="00D01C85">
        <w:rPr>
          <w:rFonts w:cs="Arial"/>
          <w:szCs w:val="22"/>
        </w:rPr>
        <w:t xml:space="preserve">Access to effective legal assistance assists with the resolution of many of the problems of everyday life, such as family breakdown, violence, crime, unemployment, debt, health, </w:t>
      </w:r>
      <w:r w:rsidR="00735BB3">
        <w:rPr>
          <w:rFonts w:cs="Arial"/>
          <w:szCs w:val="22"/>
        </w:rPr>
        <w:t xml:space="preserve">housing and welfare. </w:t>
      </w:r>
    </w:p>
    <w:p w14:paraId="23E46403" w14:textId="77777777" w:rsidR="005064A5" w:rsidRDefault="006E4FC5" w:rsidP="005064A5">
      <w:pPr>
        <w:shd w:val="clear" w:color="auto" w:fill="FFFFFF" w:themeFill="background1"/>
        <w:rPr>
          <w:rFonts w:cs="Arial"/>
          <w:szCs w:val="22"/>
        </w:rPr>
      </w:pPr>
      <w:r w:rsidRPr="00D01C85">
        <w:rPr>
          <w:rFonts w:cs="Arial"/>
          <w:szCs w:val="22"/>
        </w:rPr>
        <w:t>If legal problems can be addressed early, distress and costs are reduced benefiting the individuals, their families, the government and society.</w:t>
      </w:r>
      <w:r w:rsidRPr="00D01C85">
        <w:rPr>
          <w:rFonts w:cs="Arial"/>
          <w:szCs w:val="22"/>
          <w:vertAlign w:val="superscript"/>
        </w:rPr>
        <w:footnoteReference w:id="30"/>
      </w:r>
      <w:r w:rsidRPr="00D01C85">
        <w:rPr>
          <w:rFonts w:cs="Arial"/>
          <w:szCs w:val="22"/>
        </w:rPr>
        <w:t xml:space="preserve"> </w:t>
      </w:r>
      <w:bookmarkStart w:id="20" w:name="_Looking_beyond_the"/>
      <w:bookmarkStart w:id="21" w:name="_Toc479066452"/>
      <w:bookmarkEnd w:id="20"/>
    </w:p>
    <w:p w14:paraId="0BDD8BE1" w14:textId="77777777" w:rsidR="00735BB3" w:rsidRDefault="00735BB3" w:rsidP="005064A5">
      <w:pPr>
        <w:shd w:val="clear" w:color="auto" w:fill="FFFFFF" w:themeFill="background1"/>
        <w:rPr>
          <w:rFonts w:cs="Arial"/>
          <w:szCs w:val="22"/>
        </w:rPr>
      </w:pPr>
    </w:p>
    <w:p w14:paraId="4D4BE079" w14:textId="77777777" w:rsidR="005064A5" w:rsidRPr="005064A5" w:rsidRDefault="006E4FC5" w:rsidP="005064A5">
      <w:pPr>
        <w:pStyle w:val="Heading1"/>
      </w:pPr>
      <w:r w:rsidRPr="005064A5">
        <w:t>Looking beyond the means test</w:t>
      </w:r>
      <w:bookmarkStart w:id="22" w:name="_Toc479066154"/>
      <w:bookmarkStart w:id="23" w:name="_Toc479066453"/>
      <w:bookmarkEnd w:id="21"/>
    </w:p>
    <w:p w14:paraId="72EF6276" w14:textId="77777777" w:rsidR="005064A5" w:rsidRDefault="006E4FC5" w:rsidP="005064A5">
      <w:pPr>
        <w:shd w:val="clear" w:color="auto" w:fill="FFFFFF" w:themeFill="background1"/>
        <w:rPr>
          <w:rFonts w:cs="Arial"/>
          <w:color w:val="000000" w:themeColor="text1"/>
          <w:szCs w:val="22"/>
        </w:rPr>
      </w:pPr>
      <w:r w:rsidRPr="00D01C85">
        <w:rPr>
          <w:rFonts w:cs="Arial"/>
          <w:color w:val="000000" w:themeColor="text1"/>
          <w:szCs w:val="22"/>
        </w:rPr>
        <w:t xml:space="preserve">The </w:t>
      </w:r>
      <w:r w:rsidRPr="00D01C85">
        <w:rPr>
          <w:rFonts w:cs="Arial"/>
          <w:i/>
          <w:color w:val="000000" w:themeColor="text1"/>
          <w:szCs w:val="22"/>
        </w:rPr>
        <w:t>Legal Aid Act 1978</w:t>
      </w:r>
      <w:r w:rsidRPr="00D01C85">
        <w:rPr>
          <w:rFonts w:cs="Arial"/>
          <w:color w:val="000000" w:themeColor="text1"/>
          <w:szCs w:val="22"/>
        </w:rPr>
        <w:t xml:space="preserve"> requires VLA to consider whether a person has the capacity to pay for a private lawyer, which is the starting point for our assessment of eligibility. Section 24(1) of the Act requires us to consider whether a person ‘</w:t>
      </w:r>
      <w:proofErr w:type="gramStart"/>
      <w:r w:rsidRPr="00D01C85">
        <w:rPr>
          <w:rFonts w:cs="Arial"/>
          <w:color w:val="000000" w:themeColor="text1"/>
          <w:szCs w:val="22"/>
        </w:rPr>
        <w:t>is in need of</w:t>
      </w:r>
      <w:proofErr w:type="gramEnd"/>
      <w:r w:rsidRPr="00D01C85">
        <w:rPr>
          <w:rFonts w:cs="Arial"/>
          <w:color w:val="000000" w:themeColor="text1"/>
          <w:szCs w:val="22"/>
        </w:rPr>
        <w:t xml:space="preserve"> legal assistance by reason that he is unable to afford the full cost of obtaining [private legal services]</w:t>
      </w:r>
      <w:r w:rsidR="005064A5">
        <w:rPr>
          <w:rFonts w:cs="Arial"/>
          <w:color w:val="000000" w:themeColor="text1"/>
          <w:szCs w:val="22"/>
        </w:rPr>
        <w:t>’</w:t>
      </w:r>
      <w:r w:rsidRPr="00D01C85">
        <w:rPr>
          <w:rFonts w:cs="Arial"/>
          <w:color w:val="000000" w:themeColor="text1"/>
          <w:szCs w:val="22"/>
        </w:rPr>
        <w:t xml:space="preserve">. The means test has been established to assess this, as well as to provide legal aid ‘in the most effective, economic and efficient manner’. On this basis alone, it may not be appropriate to consider </w:t>
      </w:r>
      <w:r w:rsidRPr="00D01C85">
        <w:rPr>
          <w:rFonts w:cs="Arial"/>
          <w:color w:val="000000" w:themeColor="text1"/>
          <w:szCs w:val="22"/>
        </w:rPr>
        <w:lastRenderedPageBreak/>
        <w:t>other factors that interfere with a person’s ability to gain legal assistance. However, the Act also requires us to consider whether it is reasonable to provide the legal assistance having regard to ‘all relevant matters’, which includes considering “any other matters affecting the ability of the person to meet the full cost of obtaining services from private legal practitioners”</w:t>
      </w:r>
      <w:r w:rsidR="00092EBA">
        <w:rPr>
          <w:rFonts w:cs="Arial"/>
          <w:color w:val="000000" w:themeColor="text1"/>
          <w:szCs w:val="22"/>
        </w:rPr>
        <w:t>.</w:t>
      </w:r>
      <w:r w:rsidRPr="00D01C85">
        <w:rPr>
          <w:rStyle w:val="FootnoteReference"/>
          <w:rFonts w:cs="Arial"/>
          <w:color w:val="000000" w:themeColor="text1"/>
          <w:sz w:val="22"/>
          <w:szCs w:val="22"/>
        </w:rPr>
        <w:footnoteReference w:id="31"/>
      </w:r>
      <w:r w:rsidR="00092EBA">
        <w:rPr>
          <w:rFonts w:cs="Arial"/>
          <w:color w:val="000000" w:themeColor="text1"/>
          <w:szCs w:val="22"/>
        </w:rPr>
        <w:t xml:space="preserve"> </w:t>
      </w:r>
      <w:r w:rsidRPr="00D01C85">
        <w:rPr>
          <w:rFonts w:cs="Arial"/>
          <w:color w:val="000000" w:themeColor="text1"/>
          <w:szCs w:val="22"/>
        </w:rPr>
        <w:t xml:space="preserve">It is from here that </w:t>
      </w:r>
      <w:r w:rsidR="005064A5">
        <w:rPr>
          <w:rFonts w:cs="Arial"/>
          <w:color w:val="000000" w:themeColor="text1"/>
          <w:szCs w:val="22"/>
        </w:rPr>
        <w:t>we can start to</w:t>
      </w:r>
      <w:r w:rsidRPr="00D01C85">
        <w:rPr>
          <w:rFonts w:cs="Arial"/>
          <w:color w:val="000000" w:themeColor="text1"/>
          <w:szCs w:val="22"/>
        </w:rPr>
        <w:t xml:space="preserve"> consider other factors that might impact a person’s ability to get a lawyer. </w:t>
      </w:r>
    </w:p>
    <w:p w14:paraId="64A14745" w14:textId="77777777" w:rsidR="006E4FC5" w:rsidRPr="005064A5" w:rsidRDefault="006E4FC5" w:rsidP="005064A5">
      <w:pPr>
        <w:pStyle w:val="Heading1"/>
        <w:rPr>
          <w:sz w:val="24"/>
          <w:szCs w:val="24"/>
        </w:rPr>
      </w:pPr>
      <w:r w:rsidRPr="005064A5">
        <w:rPr>
          <w:sz w:val="24"/>
          <w:szCs w:val="24"/>
        </w:rPr>
        <w:t>Could our priority client framework work with the means test?</w:t>
      </w:r>
      <w:bookmarkEnd w:id="22"/>
      <w:bookmarkEnd w:id="23"/>
    </w:p>
    <w:p w14:paraId="1A380C64" w14:textId="77777777" w:rsidR="006E4FC5" w:rsidRPr="00D01C85" w:rsidRDefault="006E4FC5" w:rsidP="006E4FC5">
      <w:pPr>
        <w:pStyle w:val="Heading2"/>
        <w:spacing w:before="0" w:after="120"/>
        <w:rPr>
          <w:rFonts w:ascii="Arial" w:hAnsi="Arial" w:cs="Arial"/>
          <w:color w:val="000000" w:themeColor="text1"/>
          <w:sz w:val="22"/>
          <w:szCs w:val="22"/>
        </w:rPr>
      </w:pPr>
      <w:bookmarkStart w:id="24" w:name="_Toc479066155"/>
      <w:bookmarkStart w:id="25" w:name="_Toc479066454"/>
      <w:r w:rsidRPr="00D01C85">
        <w:rPr>
          <w:rFonts w:ascii="Arial" w:hAnsi="Arial" w:cs="Arial"/>
          <w:color w:val="000000" w:themeColor="text1"/>
          <w:sz w:val="22"/>
          <w:szCs w:val="22"/>
        </w:rPr>
        <w:t>The fact that the means test is the first threshold for eligibility is significant. VLA already targets ‘priority clients’, who are groups of people with characteristics or circumstances that make them vulnerable to legal problems or a high priority for receiving our services. However, these factors are not considered if a person is not financially eligible for assistance. This means that many people who might be considered vulnerable or disadvantaged in some way may miss out on the basis of their finances when they apply for legal assistance.</w:t>
      </w:r>
      <w:bookmarkEnd w:id="24"/>
      <w:bookmarkEnd w:id="25"/>
      <w:r w:rsidRPr="00D01C85">
        <w:rPr>
          <w:rFonts w:ascii="Arial" w:hAnsi="Arial" w:cs="Arial"/>
          <w:color w:val="000000" w:themeColor="text1"/>
          <w:sz w:val="22"/>
          <w:szCs w:val="22"/>
        </w:rPr>
        <w:t xml:space="preserve">  </w:t>
      </w:r>
    </w:p>
    <w:p w14:paraId="73402880" w14:textId="77777777" w:rsidR="006E4FC5" w:rsidRPr="00D01C85" w:rsidRDefault="006E4FC5" w:rsidP="006E4FC5">
      <w:pPr>
        <w:rPr>
          <w:color w:val="000000" w:themeColor="text1"/>
        </w:rPr>
      </w:pPr>
      <w:r w:rsidRPr="00D01C85">
        <w:t>VLA’s priority client framework prioritises clients who</w:t>
      </w:r>
      <w:r w:rsidR="00092EBA">
        <w:t>:</w:t>
      </w:r>
      <w:r w:rsidR="00AD44EB">
        <w:rPr>
          <w:rStyle w:val="FootnoteReference"/>
        </w:rPr>
        <w:footnoteReference w:id="32"/>
      </w:r>
    </w:p>
    <w:p w14:paraId="7F5E9DF9" w14:textId="77777777" w:rsidR="006E4FC5" w:rsidRPr="00D01C85" w:rsidRDefault="00092EBA" w:rsidP="00092EBA">
      <w:pPr>
        <w:pStyle w:val="ListParagraph"/>
        <w:numPr>
          <w:ilvl w:val="0"/>
          <w:numId w:val="3"/>
        </w:numPr>
        <w:spacing w:after="120" w:line="300" w:lineRule="atLeast"/>
        <w:ind w:hanging="295"/>
        <w:contextualSpacing w:val="0"/>
        <w:rPr>
          <w:rFonts w:ascii="Arial" w:hAnsi="Arial" w:cs="Arial"/>
          <w:sz w:val="22"/>
          <w:szCs w:val="22"/>
        </w:rPr>
      </w:pPr>
      <w:r>
        <w:rPr>
          <w:rFonts w:ascii="Arial" w:hAnsi="Arial" w:cs="Arial"/>
          <w:sz w:val="22"/>
          <w:szCs w:val="22"/>
        </w:rPr>
        <w:t>F</w:t>
      </w:r>
      <w:r w:rsidR="006E4FC5" w:rsidRPr="00D01C85">
        <w:rPr>
          <w:rFonts w:ascii="Arial" w:hAnsi="Arial" w:cs="Arial"/>
          <w:sz w:val="22"/>
          <w:szCs w:val="22"/>
        </w:rPr>
        <w:t>ace detention by the state or are having decisions made for them</w:t>
      </w:r>
      <w:r>
        <w:rPr>
          <w:rFonts w:ascii="Arial" w:hAnsi="Arial" w:cs="Arial"/>
          <w:sz w:val="22"/>
          <w:szCs w:val="22"/>
        </w:rPr>
        <w:t>;</w:t>
      </w:r>
    </w:p>
    <w:p w14:paraId="6BDF53D0" w14:textId="77777777" w:rsidR="006E4FC5" w:rsidRPr="00D01C85" w:rsidRDefault="00092EBA" w:rsidP="00092EBA">
      <w:pPr>
        <w:pStyle w:val="ListParagraph"/>
        <w:numPr>
          <w:ilvl w:val="0"/>
          <w:numId w:val="3"/>
        </w:numPr>
        <w:spacing w:after="120" w:line="300" w:lineRule="atLeast"/>
        <w:ind w:hanging="295"/>
        <w:contextualSpacing w:val="0"/>
        <w:rPr>
          <w:rFonts w:ascii="Arial" w:hAnsi="Arial" w:cs="Arial"/>
          <w:sz w:val="22"/>
          <w:szCs w:val="22"/>
        </w:rPr>
      </w:pPr>
      <w:r>
        <w:rPr>
          <w:rFonts w:ascii="Arial" w:hAnsi="Arial" w:cs="Arial"/>
          <w:sz w:val="22"/>
          <w:szCs w:val="22"/>
        </w:rPr>
        <w:t>A</w:t>
      </w:r>
      <w:r w:rsidR="006E4FC5" w:rsidRPr="00D01C85">
        <w:rPr>
          <w:rFonts w:ascii="Arial" w:hAnsi="Arial" w:cs="Arial"/>
          <w:sz w:val="22"/>
          <w:szCs w:val="22"/>
        </w:rPr>
        <w:t>re exposed to risk of violence or harm</w:t>
      </w:r>
      <w:r>
        <w:rPr>
          <w:rFonts w:ascii="Arial" w:hAnsi="Arial" w:cs="Arial"/>
          <w:sz w:val="22"/>
          <w:szCs w:val="22"/>
        </w:rPr>
        <w:t>; or</w:t>
      </w:r>
    </w:p>
    <w:p w14:paraId="719F443A" w14:textId="77777777" w:rsidR="006E4FC5" w:rsidRPr="00D01C85" w:rsidRDefault="00092EBA" w:rsidP="00092EBA">
      <w:pPr>
        <w:pStyle w:val="ListParagraph"/>
        <w:numPr>
          <w:ilvl w:val="0"/>
          <w:numId w:val="3"/>
        </w:numPr>
        <w:spacing w:after="120" w:line="300" w:lineRule="atLeast"/>
        <w:ind w:hanging="295"/>
        <w:contextualSpacing w:val="0"/>
        <w:rPr>
          <w:rFonts w:ascii="Arial" w:hAnsi="Arial" w:cs="Arial"/>
          <w:sz w:val="22"/>
          <w:szCs w:val="22"/>
        </w:rPr>
      </w:pPr>
      <w:r>
        <w:rPr>
          <w:rFonts w:ascii="Arial" w:hAnsi="Arial" w:cs="Arial"/>
          <w:sz w:val="22"/>
          <w:szCs w:val="22"/>
        </w:rPr>
        <w:t>A</w:t>
      </w:r>
      <w:r w:rsidR="006E4FC5" w:rsidRPr="00D01C85">
        <w:rPr>
          <w:rFonts w:ascii="Arial" w:hAnsi="Arial" w:cs="Arial"/>
          <w:sz w:val="22"/>
          <w:szCs w:val="22"/>
        </w:rPr>
        <w:t>re marginalised or vulnerable to exploitation or unfair treatment.</w:t>
      </w:r>
    </w:p>
    <w:p w14:paraId="0609540B" w14:textId="77777777" w:rsidR="006E4FC5" w:rsidRPr="00D01C85" w:rsidRDefault="006E4FC5" w:rsidP="006E4FC5">
      <w:pPr>
        <w:rPr>
          <w:rFonts w:cs="Arial"/>
          <w:szCs w:val="22"/>
        </w:rPr>
      </w:pPr>
      <w:r w:rsidRPr="00D01C85">
        <w:rPr>
          <w:rFonts w:cs="Arial"/>
          <w:szCs w:val="22"/>
        </w:rPr>
        <w:t>Other indicators of disadvantage also incorporated included:</w:t>
      </w:r>
    </w:p>
    <w:p w14:paraId="2EE9DDEC" w14:textId="77777777" w:rsidR="006E4FC5" w:rsidRPr="00D01C85" w:rsidRDefault="00092EBA" w:rsidP="00092EBA">
      <w:pPr>
        <w:pStyle w:val="ListParagraph"/>
        <w:numPr>
          <w:ilvl w:val="0"/>
          <w:numId w:val="4"/>
        </w:numPr>
        <w:spacing w:after="120" w:line="300" w:lineRule="atLeast"/>
        <w:ind w:left="714" w:hanging="288"/>
        <w:contextualSpacing w:val="0"/>
        <w:rPr>
          <w:rFonts w:ascii="Arial" w:hAnsi="Arial" w:cs="Arial"/>
          <w:sz w:val="22"/>
          <w:szCs w:val="22"/>
        </w:rPr>
      </w:pPr>
      <w:r>
        <w:rPr>
          <w:rFonts w:ascii="Arial" w:hAnsi="Arial" w:cs="Arial"/>
          <w:sz w:val="22"/>
          <w:szCs w:val="22"/>
        </w:rPr>
        <w:t>P</w:t>
      </w:r>
      <w:r w:rsidR="006E4FC5" w:rsidRPr="00D01C85">
        <w:rPr>
          <w:rFonts w:ascii="Arial" w:hAnsi="Arial" w:cs="Arial"/>
          <w:sz w:val="22"/>
          <w:szCs w:val="22"/>
        </w:rPr>
        <w:t>eople who are financially disadvantaged</w:t>
      </w:r>
      <w:r>
        <w:rPr>
          <w:rFonts w:ascii="Arial" w:hAnsi="Arial" w:cs="Arial"/>
          <w:sz w:val="22"/>
          <w:szCs w:val="22"/>
        </w:rPr>
        <w:t>;</w:t>
      </w:r>
    </w:p>
    <w:p w14:paraId="5CF37BDA" w14:textId="77777777" w:rsidR="006E4FC5" w:rsidRPr="00D01C85" w:rsidRDefault="00092EBA" w:rsidP="00092EBA">
      <w:pPr>
        <w:pStyle w:val="ListParagraph"/>
        <w:numPr>
          <w:ilvl w:val="0"/>
          <w:numId w:val="4"/>
        </w:numPr>
        <w:spacing w:after="120" w:line="300" w:lineRule="atLeast"/>
        <w:ind w:left="714" w:hanging="288"/>
        <w:contextualSpacing w:val="0"/>
        <w:rPr>
          <w:rFonts w:ascii="Arial" w:hAnsi="Arial" w:cs="Arial"/>
          <w:sz w:val="22"/>
          <w:szCs w:val="22"/>
        </w:rPr>
      </w:pPr>
      <w:r>
        <w:rPr>
          <w:rFonts w:ascii="Arial" w:hAnsi="Arial" w:cs="Arial"/>
          <w:sz w:val="22"/>
          <w:szCs w:val="22"/>
        </w:rPr>
        <w:t>C</w:t>
      </w:r>
      <w:r w:rsidR="006E4FC5" w:rsidRPr="00D01C85">
        <w:rPr>
          <w:rFonts w:ascii="Arial" w:hAnsi="Arial" w:cs="Arial"/>
          <w:sz w:val="22"/>
          <w:szCs w:val="22"/>
        </w:rPr>
        <w:t>hildren and young people</w:t>
      </w:r>
      <w:r>
        <w:rPr>
          <w:rFonts w:ascii="Arial" w:hAnsi="Arial" w:cs="Arial"/>
          <w:sz w:val="22"/>
          <w:szCs w:val="22"/>
        </w:rPr>
        <w:t>;</w:t>
      </w:r>
    </w:p>
    <w:p w14:paraId="03E3413A" w14:textId="77777777" w:rsidR="006E4FC5" w:rsidRPr="00D01C85" w:rsidRDefault="00092EBA" w:rsidP="00092EBA">
      <w:pPr>
        <w:pStyle w:val="ListParagraph"/>
        <w:numPr>
          <w:ilvl w:val="0"/>
          <w:numId w:val="4"/>
        </w:numPr>
        <w:spacing w:after="120" w:line="300" w:lineRule="atLeast"/>
        <w:ind w:left="714" w:hanging="288"/>
        <w:contextualSpacing w:val="0"/>
        <w:rPr>
          <w:rFonts w:ascii="Arial" w:hAnsi="Arial" w:cs="Arial"/>
          <w:sz w:val="22"/>
          <w:szCs w:val="22"/>
        </w:rPr>
      </w:pPr>
      <w:r>
        <w:rPr>
          <w:rFonts w:ascii="Arial" w:hAnsi="Arial" w:cs="Arial"/>
          <w:sz w:val="22"/>
          <w:szCs w:val="22"/>
        </w:rPr>
        <w:t>W</w:t>
      </w:r>
      <w:r w:rsidR="006E4FC5" w:rsidRPr="00D01C85">
        <w:rPr>
          <w:rFonts w:ascii="Arial" w:hAnsi="Arial" w:cs="Arial"/>
          <w:sz w:val="22"/>
          <w:szCs w:val="22"/>
        </w:rPr>
        <w:t>omen and children experiencing, or at risk of, family violence</w:t>
      </w:r>
      <w:r>
        <w:rPr>
          <w:rFonts w:ascii="Arial" w:hAnsi="Arial" w:cs="Arial"/>
          <w:sz w:val="22"/>
          <w:szCs w:val="22"/>
        </w:rPr>
        <w:t>;</w:t>
      </w:r>
    </w:p>
    <w:p w14:paraId="4049F82E" w14:textId="77777777" w:rsidR="006E4FC5" w:rsidRPr="00D01C85" w:rsidRDefault="00092EBA" w:rsidP="00092EBA">
      <w:pPr>
        <w:pStyle w:val="ListParagraph"/>
        <w:numPr>
          <w:ilvl w:val="0"/>
          <w:numId w:val="4"/>
        </w:numPr>
        <w:spacing w:after="120" w:line="300" w:lineRule="atLeast"/>
        <w:ind w:left="714" w:hanging="288"/>
        <w:contextualSpacing w:val="0"/>
        <w:rPr>
          <w:rFonts w:ascii="Arial" w:hAnsi="Arial" w:cs="Arial"/>
          <w:sz w:val="22"/>
          <w:szCs w:val="22"/>
        </w:rPr>
      </w:pPr>
      <w:r>
        <w:rPr>
          <w:rFonts w:ascii="Arial" w:hAnsi="Arial" w:cs="Arial"/>
          <w:sz w:val="22"/>
          <w:szCs w:val="22"/>
        </w:rPr>
        <w:t>C</w:t>
      </w:r>
      <w:r w:rsidR="006E4FC5" w:rsidRPr="00D01C85">
        <w:rPr>
          <w:rFonts w:ascii="Arial" w:hAnsi="Arial" w:cs="Arial"/>
          <w:sz w:val="22"/>
          <w:szCs w:val="22"/>
        </w:rPr>
        <w:t>ulturally and linguistically diverse (CALD) communities</w:t>
      </w:r>
      <w:r>
        <w:rPr>
          <w:rFonts w:ascii="Arial" w:hAnsi="Arial" w:cs="Arial"/>
          <w:sz w:val="22"/>
          <w:szCs w:val="22"/>
        </w:rPr>
        <w:t>;</w:t>
      </w:r>
    </w:p>
    <w:p w14:paraId="70C2D9B2" w14:textId="77777777" w:rsidR="006E4FC5" w:rsidRPr="00D01C85" w:rsidRDefault="00092EBA" w:rsidP="00092EBA">
      <w:pPr>
        <w:pStyle w:val="ListParagraph"/>
        <w:numPr>
          <w:ilvl w:val="0"/>
          <w:numId w:val="4"/>
        </w:numPr>
        <w:spacing w:after="120" w:line="300" w:lineRule="atLeast"/>
        <w:ind w:left="714" w:hanging="288"/>
        <w:contextualSpacing w:val="0"/>
        <w:rPr>
          <w:rFonts w:ascii="Arial" w:hAnsi="Arial" w:cs="Arial"/>
          <w:sz w:val="22"/>
          <w:szCs w:val="22"/>
        </w:rPr>
      </w:pPr>
      <w:r>
        <w:rPr>
          <w:rFonts w:ascii="Arial" w:hAnsi="Arial" w:cs="Arial"/>
          <w:sz w:val="22"/>
          <w:szCs w:val="22"/>
        </w:rPr>
        <w:t>P</w:t>
      </w:r>
      <w:r w:rsidR="006E4FC5" w:rsidRPr="00D01C85">
        <w:rPr>
          <w:rFonts w:ascii="Arial" w:hAnsi="Arial" w:cs="Arial"/>
          <w:sz w:val="22"/>
          <w:szCs w:val="22"/>
        </w:rPr>
        <w:t>eople in state custody</w:t>
      </w:r>
      <w:r>
        <w:rPr>
          <w:rFonts w:ascii="Arial" w:hAnsi="Arial" w:cs="Arial"/>
          <w:sz w:val="22"/>
          <w:szCs w:val="22"/>
        </w:rPr>
        <w:t>;</w:t>
      </w:r>
    </w:p>
    <w:p w14:paraId="7E266B76" w14:textId="77777777" w:rsidR="006E4FC5" w:rsidRPr="00D01C85" w:rsidRDefault="00092EBA" w:rsidP="00092EBA">
      <w:pPr>
        <w:pStyle w:val="ListParagraph"/>
        <w:numPr>
          <w:ilvl w:val="0"/>
          <w:numId w:val="4"/>
        </w:numPr>
        <w:spacing w:after="120" w:line="300" w:lineRule="atLeast"/>
        <w:ind w:left="714" w:hanging="288"/>
        <w:contextualSpacing w:val="0"/>
        <w:rPr>
          <w:rFonts w:ascii="Arial" w:hAnsi="Arial" w:cs="Arial"/>
          <w:sz w:val="22"/>
          <w:szCs w:val="22"/>
        </w:rPr>
      </w:pPr>
      <w:r>
        <w:rPr>
          <w:rFonts w:ascii="Arial" w:hAnsi="Arial" w:cs="Arial"/>
          <w:sz w:val="22"/>
          <w:szCs w:val="22"/>
        </w:rPr>
        <w:t>P</w:t>
      </w:r>
      <w:r w:rsidR="006E4FC5" w:rsidRPr="00D01C85">
        <w:rPr>
          <w:rFonts w:ascii="Arial" w:hAnsi="Arial" w:cs="Arial"/>
          <w:sz w:val="22"/>
          <w:szCs w:val="22"/>
        </w:rPr>
        <w:t xml:space="preserve">eople with mental </w:t>
      </w:r>
      <w:r>
        <w:rPr>
          <w:rFonts w:ascii="Arial" w:hAnsi="Arial" w:cs="Arial"/>
          <w:sz w:val="22"/>
          <w:szCs w:val="22"/>
        </w:rPr>
        <w:t>health and disability issues;</w:t>
      </w:r>
      <w:r w:rsidR="006E4FC5" w:rsidRPr="00D01C85">
        <w:rPr>
          <w:rFonts w:ascii="Arial" w:hAnsi="Arial" w:cs="Arial"/>
          <w:sz w:val="22"/>
          <w:szCs w:val="22"/>
        </w:rPr>
        <w:t xml:space="preserve"> and</w:t>
      </w:r>
    </w:p>
    <w:p w14:paraId="22F579FE" w14:textId="77777777" w:rsidR="006E4FC5" w:rsidRPr="00D01C85" w:rsidRDefault="006E4FC5" w:rsidP="00092EBA">
      <w:pPr>
        <w:pStyle w:val="ListParagraph"/>
        <w:numPr>
          <w:ilvl w:val="0"/>
          <w:numId w:val="4"/>
        </w:numPr>
        <w:spacing w:after="120" w:line="300" w:lineRule="atLeast"/>
        <w:ind w:left="714" w:hanging="288"/>
        <w:contextualSpacing w:val="0"/>
        <w:rPr>
          <w:rFonts w:ascii="Arial" w:hAnsi="Arial" w:cs="Arial"/>
          <w:sz w:val="22"/>
          <w:szCs w:val="22"/>
        </w:rPr>
      </w:pPr>
      <w:r w:rsidRPr="00D01C85">
        <w:rPr>
          <w:rFonts w:ascii="Arial" w:hAnsi="Arial" w:cs="Arial"/>
          <w:sz w:val="22"/>
          <w:szCs w:val="22"/>
        </w:rPr>
        <w:t>Indigenous people</w:t>
      </w:r>
      <w:r w:rsidR="00092EBA">
        <w:rPr>
          <w:rFonts w:ascii="Arial" w:hAnsi="Arial" w:cs="Arial"/>
          <w:sz w:val="22"/>
          <w:szCs w:val="22"/>
        </w:rPr>
        <w:t>.</w:t>
      </w:r>
    </w:p>
    <w:p w14:paraId="3E55BCF2" w14:textId="77777777" w:rsidR="006E4FC5" w:rsidRPr="00CE1EF3" w:rsidRDefault="006E4FC5" w:rsidP="00CE1EF3">
      <w:pPr>
        <w:rPr>
          <w:rFonts w:cs="Arial"/>
          <w:b/>
          <w:szCs w:val="22"/>
        </w:rPr>
      </w:pPr>
      <w:r w:rsidRPr="00D01C85">
        <w:rPr>
          <w:rFonts w:cs="Arial"/>
          <w:szCs w:val="22"/>
        </w:rPr>
        <w:t xml:space="preserve">The framework has been incorporated into our triage processes and is used to provide lower intensity services, such as legal advice and duty lawyer services, to those most in need. </w:t>
      </w:r>
    </w:p>
    <w:p w14:paraId="7A3E682D" w14:textId="77777777" w:rsidR="006E4FC5" w:rsidRPr="00CE1EF3" w:rsidRDefault="006E4FC5" w:rsidP="006E4FC5">
      <w:pPr>
        <w:rPr>
          <w:rFonts w:cs="Arial"/>
          <w:szCs w:val="22"/>
        </w:rPr>
      </w:pPr>
      <w:r w:rsidRPr="00D01C85">
        <w:rPr>
          <w:rFonts w:cs="Arial"/>
          <w:szCs w:val="22"/>
        </w:rPr>
        <w:t>Although the priority client framework is used to decide who can obtain duty lawyer services or receive legal advice, this framework is</w:t>
      </w:r>
      <w:r>
        <w:rPr>
          <w:rFonts w:cs="Arial"/>
          <w:szCs w:val="22"/>
        </w:rPr>
        <w:t xml:space="preserve"> not applied</w:t>
      </w:r>
      <w:r w:rsidRPr="00D01C85">
        <w:rPr>
          <w:rFonts w:cs="Arial"/>
          <w:szCs w:val="22"/>
        </w:rPr>
        <w:t xml:space="preserve"> when it comes to </w:t>
      </w:r>
      <w:r>
        <w:rPr>
          <w:rFonts w:cs="Arial"/>
          <w:szCs w:val="22"/>
        </w:rPr>
        <w:t xml:space="preserve">being financially eligible for a </w:t>
      </w:r>
      <w:r w:rsidRPr="00D01C85">
        <w:rPr>
          <w:rFonts w:cs="Arial"/>
          <w:szCs w:val="22"/>
        </w:rPr>
        <w:t>grant of assistance.</w:t>
      </w:r>
      <w:bookmarkStart w:id="26" w:name="_Toc479066455"/>
    </w:p>
    <w:p w14:paraId="472F8580" w14:textId="77777777" w:rsidR="006E4FC5" w:rsidRPr="00671681" w:rsidRDefault="006E4FC5" w:rsidP="006E4FC5">
      <w:pPr>
        <w:pStyle w:val="Heading1"/>
        <w:spacing w:before="0"/>
      </w:pPr>
      <w:r w:rsidRPr="00D01C85">
        <w:rPr>
          <w:sz w:val="24"/>
          <w:szCs w:val="24"/>
        </w:rPr>
        <w:lastRenderedPageBreak/>
        <w:t>Who is being refused a grant of aid because of their means?</w:t>
      </w:r>
      <w:bookmarkEnd w:id="26"/>
      <w:r w:rsidRPr="00D01C85">
        <w:rPr>
          <w:sz w:val="24"/>
          <w:szCs w:val="24"/>
        </w:rPr>
        <w:t xml:space="preserve"> </w:t>
      </w:r>
    </w:p>
    <w:p w14:paraId="052162C9" w14:textId="77777777" w:rsidR="006E4FC5" w:rsidRPr="00D01C85" w:rsidRDefault="006E4FC5" w:rsidP="006E4FC5">
      <w:pPr>
        <w:rPr>
          <w:rFonts w:cs="Arial"/>
          <w:szCs w:val="22"/>
          <w:highlight w:val="yellow"/>
        </w:rPr>
      </w:pPr>
      <w:r>
        <w:rPr>
          <w:noProof/>
          <w:lang w:eastAsia="en-AU"/>
        </w:rPr>
        <w:drawing>
          <wp:inline distT="0" distB="0" distL="0" distR="0" wp14:anchorId="733073DB" wp14:editId="24D99CF5">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ent_graph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D0D2016" w14:textId="77777777" w:rsidR="005064A5" w:rsidRPr="0098433E" w:rsidRDefault="005064A5" w:rsidP="0098433E">
      <w:pPr>
        <w:spacing w:line="276" w:lineRule="auto"/>
        <w:rPr>
          <w:rFonts w:cs="Arial"/>
          <w:szCs w:val="22"/>
        </w:rPr>
      </w:pPr>
      <w:r w:rsidRPr="0098433E">
        <w:rPr>
          <w:rFonts w:cs="Arial"/>
          <w:szCs w:val="22"/>
        </w:rPr>
        <w:t>** This is based on the Australian Bureau of Statistics definition of people from culturally and linguistically diverse backgrounds. It includes people who speak a language other than English at home and people who were born in a non-English speaking country.</w:t>
      </w:r>
    </w:p>
    <w:p w14:paraId="513459BE" w14:textId="77777777" w:rsidR="0098433E" w:rsidRDefault="006E4FC5" w:rsidP="006E4FC5">
      <w:r w:rsidRPr="00D01C85">
        <w:t>We know from our demographic data that there are numbers of people identi</w:t>
      </w:r>
      <w:r w:rsidR="00B10131">
        <w:t>fied as a ‘priority client’ who</w:t>
      </w:r>
      <w:r w:rsidRPr="00D01C85">
        <w:t xml:space="preserve"> are still being refused assistance because of their financial situation.</w:t>
      </w:r>
      <w:r w:rsidR="0098433E">
        <w:rPr>
          <w:rStyle w:val="FootnoteReference"/>
        </w:rPr>
        <w:footnoteReference w:id="33"/>
      </w:r>
      <w:r w:rsidRPr="00D01C85">
        <w:t xml:space="preserve"> Looking beyond the means of a client would mean considering these factors when assessing someone for a grant of aid. </w:t>
      </w:r>
      <w:bookmarkStart w:id="27" w:name="_Toc479066456"/>
    </w:p>
    <w:p w14:paraId="7B94E6A6" w14:textId="5E43AE09" w:rsidR="006E4FC5" w:rsidRPr="00446FDB" w:rsidRDefault="00B10131" w:rsidP="006E4FC5">
      <w:r>
        <w:t xml:space="preserve">These statistics only cover people that applied for assistance and were refused under the means test. This doesn’t capture anyone who didn’t apply because they believed, or were </w:t>
      </w:r>
      <w:r>
        <w:lastRenderedPageBreak/>
        <w:t xml:space="preserve">told by a lawyer that they wouldn’t be financially eligible. </w:t>
      </w:r>
      <w:r w:rsidR="0098433E">
        <w:t xml:space="preserve">We know from our previous consultation that many people are turned away or discouraged from applying before submitting an application. There are many more people that miss out on a grant of assistance beyond those that apply and are refused. Those that don’t apply also miss out on the opportunity to seek reconsideration or independent review of a decision that is made. That is why it’s important to examine other factors that might be impacting a person’s decision to apply for assistance or not. </w:t>
      </w:r>
    </w:p>
    <w:p w14:paraId="1A61557C" w14:textId="77777777" w:rsidR="006E4FC5" w:rsidRPr="00D01C85" w:rsidRDefault="006E4FC5" w:rsidP="006E4FC5">
      <w:pPr>
        <w:pStyle w:val="Heading1"/>
        <w:spacing w:before="0"/>
        <w:rPr>
          <w:sz w:val="24"/>
          <w:szCs w:val="24"/>
        </w:rPr>
      </w:pPr>
      <w:r w:rsidRPr="00D01C85">
        <w:rPr>
          <w:sz w:val="24"/>
          <w:szCs w:val="24"/>
        </w:rPr>
        <w:t>How can we consider factors of disadvantage when assessing relative need?</w:t>
      </w:r>
      <w:bookmarkEnd w:id="27"/>
    </w:p>
    <w:p w14:paraId="23192E2C" w14:textId="77777777" w:rsidR="006E4FC5" w:rsidRPr="00D01C85" w:rsidRDefault="006E4FC5" w:rsidP="006E4FC5">
      <w:pPr>
        <w:rPr>
          <w:rFonts w:cs="Arial"/>
          <w:szCs w:val="22"/>
        </w:rPr>
      </w:pPr>
      <w:r w:rsidRPr="00D01C85">
        <w:rPr>
          <w:rFonts w:cs="Arial"/>
          <w:szCs w:val="22"/>
        </w:rPr>
        <w:t xml:space="preserve">There is increasing recognition that an income and assets based assessment of financial resources may not provide a complete picture of a person’s experience of social exclusion or disadvantage. The </w:t>
      </w:r>
      <w:r w:rsidRPr="00D01C85">
        <w:rPr>
          <w:rFonts w:cs="Arial"/>
          <w:i/>
          <w:szCs w:val="22"/>
        </w:rPr>
        <w:t>Victorian Charter of Human Rights and Responsibilities Act 2006</w:t>
      </w:r>
      <w:r w:rsidRPr="00D01C85">
        <w:rPr>
          <w:rFonts w:cs="Arial"/>
          <w:szCs w:val="22"/>
        </w:rPr>
        <w:t xml:space="preserve"> recognises the importance of every person being treated as equal before the law and entitled to the equal protection of the law without discrimination.</w:t>
      </w:r>
      <w:r w:rsidRPr="00D01C85">
        <w:rPr>
          <w:rStyle w:val="FootnoteReference"/>
          <w:rFonts w:cs="Arial"/>
          <w:szCs w:val="22"/>
        </w:rPr>
        <w:footnoteReference w:id="34"/>
      </w:r>
      <w:r w:rsidRPr="00D01C85">
        <w:rPr>
          <w:rFonts w:cs="Arial"/>
          <w:szCs w:val="22"/>
        </w:rPr>
        <w:t xml:space="preserve">  The means test attempts to address the power imbalance and disadvantage between those who can afford to pay priv</w:t>
      </w:r>
      <w:r w:rsidR="001F56E3">
        <w:rPr>
          <w:rFonts w:cs="Arial"/>
          <w:szCs w:val="22"/>
        </w:rPr>
        <w:t>ately for a lawyer and those who</w:t>
      </w:r>
      <w:r w:rsidRPr="00D01C85">
        <w:rPr>
          <w:rFonts w:cs="Arial"/>
          <w:szCs w:val="22"/>
        </w:rPr>
        <w:t xml:space="preserve"> can’t. There are </w:t>
      </w:r>
      <w:proofErr w:type="gramStart"/>
      <w:r w:rsidRPr="00D01C85">
        <w:rPr>
          <w:rFonts w:cs="Arial"/>
          <w:szCs w:val="22"/>
        </w:rPr>
        <w:t>a number of</w:t>
      </w:r>
      <w:proofErr w:type="gramEnd"/>
      <w:r w:rsidRPr="00D01C85">
        <w:rPr>
          <w:rFonts w:cs="Arial"/>
          <w:szCs w:val="22"/>
        </w:rPr>
        <w:t xml:space="preserve"> other factors, such as education, living with a disability, being a sole parent or being from an Aboriginal or Torres Strait Islander or CALD background, that may influence a person’s legal need or whether or not they seek legal help for their problem. For these people, forging a connection with legal assistance services may be particularly important. </w:t>
      </w:r>
    </w:p>
    <w:p w14:paraId="180D0356" w14:textId="77777777" w:rsidR="006E4FC5" w:rsidRPr="00D01C85" w:rsidRDefault="006E4FC5" w:rsidP="006E4FC5">
      <w:pPr>
        <w:rPr>
          <w:rFonts w:cs="Arial"/>
          <w:szCs w:val="22"/>
        </w:rPr>
      </w:pPr>
      <w:r w:rsidRPr="00D01C85">
        <w:rPr>
          <w:rFonts w:cs="Arial"/>
          <w:szCs w:val="22"/>
        </w:rPr>
        <w:t>Income poverty is significant but not the only measure of need. There has been growing acceptance that income-based measures do not provide a comprehensive or complete picture of disadvantage and cannot map entrenched disadvantage.</w:t>
      </w:r>
      <w:r w:rsidRPr="00D01C85">
        <w:rPr>
          <w:rStyle w:val="FootnoteReference"/>
          <w:rFonts w:cs="Arial"/>
          <w:szCs w:val="22"/>
        </w:rPr>
        <w:footnoteReference w:id="35"/>
      </w:r>
      <w:r w:rsidRPr="00D01C85">
        <w:rPr>
          <w:rFonts w:cs="Arial"/>
          <w:szCs w:val="22"/>
        </w:rPr>
        <w:t xml:space="preserve"> A broader concept that goes beyond standard inequality measures is required.</w:t>
      </w:r>
      <w:r w:rsidRPr="00D01C85">
        <w:rPr>
          <w:rFonts w:cs="Arial"/>
          <w:szCs w:val="22"/>
          <w:vertAlign w:val="superscript"/>
        </w:rPr>
        <w:footnoteReference w:id="36"/>
      </w:r>
      <w:r w:rsidRPr="00D01C85">
        <w:rPr>
          <w:rFonts w:cs="Arial"/>
          <w:szCs w:val="22"/>
        </w:rPr>
        <w:t xml:space="preserve"> The search to find a more meaningful and complete tool to assess disadvantage has led to closer examination of </w:t>
      </w:r>
      <w:r w:rsidRPr="00D01C85">
        <w:rPr>
          <w:rFonts w:cs="Arial"/>
          <w:szCs w:val="22"/>
        </w:rPr>
        <w:lastRenderedPageBreak/>
        <w:t>household expenditure,</w:t>
      </w:r>
      <w:r w:rsidRPr="00D01C85">
        <w:rPr>
          <w:rFonts w:cs="Arial"/>
          <w:szCs w:val="22"/>
          <w:vertAlign w:val="superscript"/>
        </w:rPr>
        <w:footnoteReference w:id="37"/>
      </w:r>
      <w:r w:rsidRPr="00D01C85">
        <w:rPr>
          <w:rFonts w:cs="Arial"/>
          <w:szCs w:val="22"/>
        </w:rPr>
        <w:t xml:space="preserve"> social deprivation,</w:t>
      </w:r>
      <w:r w:rsidRPr="00D01C85">
        <w:rPr>
          <w:rFonts w:cs="Arial"/>
          <w:szCs w:val="22"/>
          <w:vertAlign w:val="superscript"/>
        </w:rPr>
        <w:footnoteReference w:id="38"/>
      </w:r>
      <w:r w:rsidRPr="00D01C85">
        <w:rPr>
          <w:rFonts w:cs="Arial"/>
          <w:szCs w:val="22"/>
        </w:rPr>
        <w:t xml:space="preserve"> social exclusion,</w:t>
      </w:r>
      <w:r w:rsidRPr="00D01C85">
        <w:rPr>
          <w:rFonts w:cs="Arial"/>
          <w:szCs w:val="22"/>
          <w:vertAlign w:val="superscript"/>
        </w:rPr>
        <w:footnoteReference w:id="39"/>
      </w:r>
      <w:r w:rsidRPr="00D01C85">
        <w:rPr>
          <w:rFonts w:cs="Arial"/>
          <w:szCs w:val="22"/>
        </w:rPr>
        <w:t xml:space="preserve"> financial stress</w:t>
      </w:r>
      <w:r w:rsidRPr="00D01C85">
        <w:rPr>
          <w:rFonts w:cs="Arial"/>
          <w:szCs w:val="22"/>
          <w:vertAlign w:val="superscript"/>
        </w:rPr>
        <w:footnoteReference w:id="40"/>
      </w:r>
      <w:r w:rsidRPr="00D01C85">
        <w:rPr>
          <w:rFonts w:cs="Arial"/>
          <w:szCs w:val="22"/>
        </w:rPr>
        <w:t xml:space="preserve"> and other measures of social wellbeing.</w:t>
      </w:r>
      <w:r w:rsidRPr="00D01C85">
        <w:rPr>
          <w:rFonts w:cs="Arial"/>
          <w:szCs w:val="22"/>
          <w:vertAlign w:val="superscript"/>
        </w:rPr>
        <w:footnoteReference w:id="41"/>
      </w:r>
      <w:r w:rsidRPr="00D01C85">
        <w:rPr>
          <w:rFonts w:cs="Arial"/>
          <w:szCs w:val="22"/>
        </w:rPr>
        <w:t xml:space="preserve"> </w:t>
      </w:r>
    </w:p>
    <w:p w14:paraId="4645BA4E" w14:textId="77777777" w:rsidR="006E4FC5" w:rsidRPr="00D01C85" w:rsidRDefault="006E4FC5" w:rsidP="006E4FC5">
      <w:pPr>
        <w:rPr>
          <w:rFonts w:cs="Arial"/>
          <w:szCs w:val="22"/>
        </w:rPr>
      </w:pPr>
      <w:r w:rsidRPr="00D01C85">
        <w:rPr>
          <w:rFonts w:cs="Arial"/>
          <w:szCs w:val="22"/>
        </w:rPr>
        <w:t>Some analysis of the levels of social exclusion and financial stress experienced by LAC clients is available from Legal Aid NSW. As part of a review of the “at special disadvantage test”, Legal Aid NSW commissioned the Social Policy Research Centre to undertake a series of research projects examining social disadvantage. This included a survey of a cross-section of applicants for assistance over approximately 18 months to explore the extent of social exclusion, and assessing Legal Aid NSW against a range of social disadvantage indicators. This included social identity, exclusion and economic vulnerability. The study found:</w:t>
      </w:r>
    </w:p>
    <w:p w14:paraId="7C0927C9" w14:textId="77777777" w:rsidR="006E4FC5" w:rsidRPr="00D01C85" w:rsidRDefault="006E4FC5" w:rsidP="00092EBA">
      <w:pPr>
        <w:numPr>
          <w:ilvl w:val="0"/>
          <w:numId w:val="2"/>
        </w:numPr>
        <w:ind w:hanging="294"/>
        <w:rPr>
          <w:rFonts w:cs="Arial"/>
          <w:szCs w:val="22"/>
        </w:rPr>
      </w:pPr>
      <w:proofErr w:type="gramStart"/>
      <w:r w:rsidRPr="00D01C85">
        <w:rPr>
          <w:rFonts w:cs="Arial"/>
          <w:szCs w:val="22"/>
        </w:rPr>
        <w:t>a large number of</w:t>
      </w:r>
      <w:proofErr w:type="gramEnd"/>
      <w:r w:rsidRPr="00D01C85">
        <w:rPr>
          <w:rFonts w:cs="Arial"/>
          <w:szCs w:val="22"/>
        </w:rPr>
        <w:t xml:space="preserve"> clients surveyed do not have a valid driver’s licence, tax file number or Medicare card;</w:t>
      </w:r>
      <w:r w:rsidRPr="00D01C85">
        <w:rPr>
          <w:rFonts w:cs="Arial"/>
          <w:szCs w:val="22"/>
          <w:vertAlign w:val="superscript"/>
        </w:rPr>
        <w:t xml:space="preserve"> </w:t>
      </w:r>
      <w:r w:rsidRPr="00D01C85">
        <w:rPr>
          <w:rFonts w:cs="Arial"/>
          <w:szCs w:val="22"/>
          <w:vertAlign w:val="superscript"/>
        </w:rPr>
        <w:footnoteReference w:id="42"/>
      </w:r>
      <w:r w:rsidRPr="00D01C85">
        <w:rPr>
          <w:rFonts w:cs="Arial"/>
          <w:szCs w:val="22"/>
        </w:rPr>
        <w:t xml:space="preserve"> </w:t>
      </w:r>
    </w:p>
    <w:p w14:paraId="064847FA" w14:textId="77777777" w:rsidR="006E4FC5" w:rsidRPr="00D01C85" w:rsidRDefault="006E4FC5" w:rsidP="00092EBA">
      <w:pPr>
        <w:numPr>
          <w:ilvl w:val="0"/>
          <w:numId w:val="2"/>
        </w:numPr>
        <w:ind w:hanging="294"/>
        <w:rPr>
          <w:rFonts w:cs="Arial"/>
          <w:szCs w:val="22"/>
        </w:rPr>
      </w:pPr>
      <w:r w:rsidRPr="00D01C85">
        <w:rPr>
          <w:rFonts w:cs="Arial"/>
          <w:szCs w:val="22"/>
        </w:rPr>
        <w:t>37-49% reported having been a victim of violence within the last 12 months;</w:t>
      </w:r>
      <w:r w:rsidRPr="00D01C85">
        <w:rPr>
          <w:rFonts w:cs="Arial"/>
          <w:szCs w:val="22"/>
          <w:vertAlign w:val="superscript"/>
        </w:rPr>
        <w:t xml:space="preserve"> </w:t>
      </w:r>
      <w:r w:rsidRPr="00D01C85">
        <w:rPr>
          <w:rFonts w:cs="Arial"/>
          <w:szCs w:val="22"/>
          <w:vertAlign w:val="superscript"/>
        </w:rPr>
        <w:footnoteReference w:id="43"/>
      </w:r>
    </w:p>
    <w:p w14:paraId="1DFE0256" w14:textId="77777777" w:rsidR="006E4FC5" w:rsidRPr="00D01C85" w:rsidRDefault="006E4FC5" w:rsidP="00092EBA">
      <w:pPr>
        <w:numPr>
          <w:ilvl w:val="0"/>
          <w:numId w:val="2"/>
        </w:numPr>
        <w:ind w:hanging="294"/>
        <w:rPr>
          <w:rFonts w:cs="Arial"/>
          <w:szCs w:val="22"/>
        </w:rPr>
      </w:pPr>
      <w:r w:rsidRPr="00D01C85">
        <w:rPr>
          <w:rFonts w:cs="Arial"/>
          <w:szCs w:val="22"/>
        </w:rPr>
        <w:t>social disengagement is far more prevalent among legal aid clients than the NSW population;</w:t>
      </w:r>
      <w:r w:rsidRPr="00D01C85">
        <w:rPr>
          <w:rFonts w:cs="Arial"/>
          <w:szCs w:val="22"/>
          <w:vertAlign w:val="superscript"/>
        </w:rPr>
        <w:footnoteReference w:id="44"/>
      </w:r>
    </w:p>
    <w:p w14:paraId="34AC5FC8" w14:textId="77777777" w:rsidR="006E4FC5" w:rsidRPr="00D01C85" w:rsidRDefault="006E4FC5" w:rsidP="00092EBA">
      <w:pPr>
        <w:numPr>
          <w:ilvl w:val="0"/>
          <w:numId w:val="2"/>
        </w:numPr>
        <w:ind w:hanging="294"/>
        <w:rPr>
          <w:rFonts w:cs="Arial"/>
          <w:szCs w:val="22"/>
        </w:rPr>
      </w:pPr>
      <w:r w:rsidRPr="00D01C85">
        <w:rPr>
          <w:rFonts w:cs="Arial"/>
          <w:szCs w:val="22"/>
        </w:rPr>
        <w:t>service exclusion among the legal aid sample is far higher than the NSW population;</w:t>
      </w:r>
    </w:p>
    <w:p w14:paraId="53E33A85" w14:textId="77777777" w:rsidR="006E4FC5" w:rsidRPr="00D01C85" w:rsidRDefault="006E4FC5" w:rsidP="00092EBA">
      <w:pPr>
        <w:numPr>
          <w:ilvl w:val="0"/>
          <w:numId w:val="2"/>
        </w:numPr>
        <w:ind w:hanging="294"/>
        <w:rPr>
          <w:rFonts w:cs="Arial"/>
          <w:szCs w:val="22"/>
        </w:rPr>
      </w:pPr>
      <w:r w:rsidRPr="00D01C85">
        <w:rPr>
          <w:rFonts w:cs="Arial"/>
          <w:szCs w:val="22"/>
        </w:rPr>
        <w:t xml:space="preserve">many legal aid clients are unable to access basic medical and hospital services when they need them; </w:t>
      </w:r>
      <w:r w:rsidRPr="00D01C85">
        <w:rPr>
          <w:rFonts w:cs="Arial"/>
          <w:szCs w:val="22"/>
          <w:vertAlign w:val="superscript"/>
        </w:rPr>
        <w:footnoteReference w:id="45"/>
      </w:r>
    </w:p>
    <w:p w14:paraId="4F48E95E" w14:textId="77777777" w:rsidR="006E4FC5" w:rsidRPr="00D01C85" w:rsidRDefault="006E4FC5" w:rsidP="006E4FC5">
      <w:pPr>
        <w:numPr>
          <w:ilvl w:val="0"/>
          <w:numId w:val="2"/>
        </w:numPr>
        <w:rPr>
          <w:rFonts w:cs="Arial"/>
          <w:szCs w:val="22"/>
        </w:rPr>
      </w:pPr>
      <w:r w:rsidRPr="00D01C85">
        <w:rPr>
          <w:rFonts w:cs="Arial"/>
          <w:szCs w:val="22"/>
        </w:rPr>
        <w:lastRenderedPageBreak/>
        <w:t xml:space="preserve">a high percentage of legal aid clients are not able to afford medications prescribed by a doctor; </w:t>
      </w:r>
      <w:r w:rsidRPr="00D01C85">
        <w:rPr>
          <w:rFonts w:cs="Arial"/>
          <w:szCs w:val="22"/>
          <w:vertAlign w:val="superscript"/>
        </w:rPr>
        <w:footnoteReference w:id="46"/>
      </w:r>
    </w:p>
    <w:p w14:paraId="3B2D87F3" w14:textId="77777777" w:rsidR="006E4FC5" w:rsidRPr="00D01C85" w:rsidRDefault="006E4FC5" w:rsidP="006E4FC5">
      <w:pPr>
        <w:numPr>
          <w:ilvl w:val="0"/>
          <w:numId w:val="2"/>
        </w:numPr>
        <w:rPr>
          <w:rFonts w:cs="Arial"/>
          <w:szCs w:val="22"/>
        </w:rPr>
      </w:pPr>
      <w:r w:rsidRPr="00D01C85">
        <w:rPr>
          <w:rFonts w:cs="Arial"/>
          <w:szCs w:val="22"/>
        </w:rPr>
        <w:t xml:space="preserve">around 40% do not have any money in a bank account to draw on if faced with even the most modest unanticipated (or even anticipated) event, and more than 80% do not have any unused credit on a credit card they can draw on if they needed to; </w:t>
      </w:r>
      <w:r w:rsidRPr="00D01C85">
        <w:rPr>
          <w:rFonts w:cs="Arial"/>
          <w:szCs w:val="22"/>
          <w:vertAlign w:val="superscript"/>
        </w:rPr>
        <w:footnoteReference w:id="47"/>
      </w:r>
    </w:p>
    <w:p w14:paraId="5CC55615" w14:textId="77777777" w:rsidR="006E4FC5" w:rsidRPr="00D01C85" w:rsidRDefault="006E4FC5" w:rsidP="006E4FC5">
      <w:pPr>
        <w:numPr>
          <w:ilvl w:val="0"/>
          <w:numId w:val="2"/>
        </w:numPr>
        <w:rPr>
          <w:rFonts w:cs="Arial"/>
          <w:szCs w:val="22"/>
        </w:rPr>
      </w:pPr>
      <w:r w:rsidRPr="00D01C85">
        <w:rPr>
          <w:rFonts w:cs="Arial"/>
          <w:szCs w:val="22"/>
        </w:rPr>
        <w:t>high percentages of the legal aid sample owed a large amount of money that they cannot repay;</w:t>
      </w:r>
      <w:r w:rsidRPr="00D01C85">
        <w:rPr>
          <w:rFonts w:cs="Arial"/>
          <w:szCs w:val="22"/>
          <w:vertAlign w:val="superscript"/>
        </w:rPr>
        <w:footnoteReference w:id="48"/>
      </w:r>
    </w:p>
    <w:p w14:paraId="1984578C" w14:textId="77777777" w:rsidR="006E4FC5" w:rsidRPr="00D01C85" w:rsidRDefault="006E4FC5" w:rsidP="006E4FC5">
      <w:pPr>
        <w:numPr>
          <w:ilvl w:val="0"/>
          <w:numId w:val="2"/>
        </w:numPr>
        <w:rPr>
          <w:rFonts w:cs="Arial"/>
          <w:szCs w:val="22"/>
        </w:rPr>
      </w:pPr>
      <w:r w:rsidRPr="00D01C85">
        <w:rPr>
          <w:rFonts w:cs="Arial"/>
          <w:szCs w:val="22"/>
        </w:rPr>
        <w:t>very few have any form of insurance;</w:t>
      </w:r>
      <w:r w:rsidRPr="00D01C85">
        <w:rPr>
          <w:rFonts w:cs="Arial"/>
          <w:szCs w:val="22"/>
          <w:vertAlign w:val="superscript"/>
        </w:rPr>
        <w:footnoteReference w:id="49"/>
      </w:r>
    </w:p>
    <w:p w14:paraId="051F4944" w14:textId="77777777" w:rsidR="006E4FC5" w:rsidRPr="00D01C85" w:rsidRDefault="006E4FC5" w:rsidP="006E4FC5">
      <w:pPr>
        <w:numPr>
          <w:ilvl w:val="0"/>
          <w:numId w:val="2"/>
        </w:numPr>
        <w:rPr>
          <w:rFonts w:cs="Arial"/>
          <w:szCs w:val="22"/>
        </w:rPr>
      </w:pPr>
      <w:r w:rsidRPr="00D01C85">
        <w:rPr>
          <w:rFonts w:cs="Arial"/>
          <w:szCs w:val="22"/>
        </w:rPr>
        <w:t>between 30- 50% are depend</w:t>
      </w:r>
      <w:r>
        <w:rPr>
          <w:rFonts w:cs="Arial"/>
          <w:szCs w:val="22"/>
        </w:rPr>
        <w:t>a</w:t>
      </w:r>
      <w:r w:rsidRPr="00D01C85">
        <w:rPr>
          <w:rFonts w:cs="Arial"/>
          <w:szCs w:val="22"/>
        </w:rPr>
        <w:t>nt on the support provided by a welfare agency.</w:t>
      </w:r>
      <w:r w:rsidRPr="00D01C85">
        <w:rPr>
          <w:rFonts w:cs="Arial"/>
          <w:szCs w:val="22"/>
          <w:vertAlign w:val="superscript"/>
        </w:rPr>
        <w:footnoteReference w:id="50"/>
      </w:r>
    </w:p>
    <w:p w14:paraId="1C4A5A0C" w14:textId="77777777" w:rsidR="006E4FC5" w:rsidRDefault="006E4FC5" w:rsidP="006E4FC5">
      <w:r w:rsidRPr="00D01C85">
        <w:rPr>
          <w:rFonts w:cs="Arial"/>
          <w:szCs w:val="22"/>
        </w:rPr>
        <w:t xml:space="preserve">Even without looking at household incomes and expenditure, </w:t>
      </w:r>
      <w:proofErr w:type="gramStart"/>
      <w:r w:rsidRPr="00D01C85">
        <w:rPr>
          <w:rFonts w:cs="Arial"/>
          <w:szCs w:val="22"/>
        </w:rPr>
        <w:t>it is clear that many</w:t>
      </w:r>
      <w:proofErr w:type="gramEnd"/>
      <w:r w:rsidRPr="00D01C85">
        <w:rPr>
          <w:rFonts w:cs="Arial"/>
          <w:szCs w:val="22"/>
        </w:rPr>
        <w:t xml:space="preserve"> of these people are in precarious social and economic positions and would be unable to pay for private legal representation. </w:t>
      </w:r>
      <w:bookmarkStart w:id="28" w:name="_What_are_other"/>
      <w:bookmarkStart w:id="29" w:name="_Toc479066457"/>
      <w:bookmarkEnd w:id="28"/>
    </w:p>
    <w:p w14:paraId="6B6D3581" w14:textId="77777777" w:rsidR="001F2369" w:rsidRDefault="001F2369" w:rsidP="006E4FC5">
      <w:pPr>
        <w:pStyle w:val="Heading1"/>
        <w:spacing w:before="0"/>
      </w:pPr>
    </w:p>
    <w:p w14:paraId="57AA8A13" w14:textId="77777777" w:rsidR="006E4FC5" w:rsidRPr="00D01C85" w:rsidRDefault="006E4FC5" w:rsidP="006E4FC5">
      <w:pPr>
        <w:pStyle w:val="Heading1"/>
        <w:spacing w:before="0"/>
      </w:pPr>
      <w:r w:rsidRPr="00D01C85">
        <w:t>What financial criteria do other agencies assess?</w:t>
      </w:r>
      <w:bookmarkEnd w:id="29"/>
      <w:r w:rsidRPr="00D01C85">
        <w:t xml:space="preserve"> </w:t>
      </w:r>
    </w:p>
    <w:p w14:paraId="447FF09D" w14:textId="77777777" w:rsidR="006E4FC5" w:rsidRPr="00092EBA" w:rsidRDefault="006E4FC5" w:rsidP="006E4FC5">
      <w:pPr>
        <w:pStyle w:val="Heading1"/>
        <w:spacing w:before="0"/>
        <w:rPr>
          <w:sz w:val="28"/>
          <w:szCs w:val="28"/>
        </w:rPr>
      </w:pPr>
      <w:bookmarkStart w:id="30" w:name="_Toc479066458"/>
      <w:r w:rsidRPr="00092EBA">
        <w:rPr>
          <w:sz w:val="28"/>
          <w:szCs w:val="28"/>
        </w:rPr>
        <w:t>Other Legal Aid Commissions</w:t>
      </w:r>
      <w:bookmarkEnd w:id="30"/>
    </w:p>
    <w:p w14:paraId="7B3E9E95" w14:textId="77777777" w:rsidR="006E4FC5" w:rsidRPr="00D01C85" w:rsidRDefault="006E4FC5" w:rsidP="006E4FC5">
      <w:pPr>
        <w:rPr>
          <w:rFonts w:cs="Arial"/>
          <w:szCs w:val="22"/>
          <w:lang w:eastAsia="en-AU"/>
        </w:rPr>
      </w:pPr>
      <w:r w:rsidRPr="00D01C85">
        <w:rPr>
          <w:rFonts w:cs="Arial"/>
          <w:szCs w:val="22"/>
          <w:lang w:eastAsia="en-AU"/>
        </w:rPr>
        <w:t xml:space="preserve">Each state and territory in Australia has a Legal Aid Commission. Eligibility guidelines, particularly in regards to financial eligibility, are structured in similar ways across </w:t>
      </w:r>
      <w:proofErr w:type="gramStart"/>
      <w:r w:rsidRPr="00D01C85">
        <w:rPr>
          <w:rFonts w:cs="Arial"/>
          <w:szCs w:val="22"/>
          <w:lang w:eastAsia="en-AU"/>
        </w:rPr>
        <w:t>all of</w:t>
      </w:r>
      <w:proofErr w:type="gramEnd"/>
      <w:r w:rsidRPr="00D01C85">
        <w:rPr>
          <w:rFonts w:cs="Arial"/>
          <w:szCs w:val="22"/>
          <w:lang w:eastAsia="en-AU"/>
        </w:rPr>
        <w:t xml:space="preserve"> the commissions, although the income and assets thresholds may differ. Some commissions don’t impose contributions in the same way that we do, or make a full assessment of a person’s eligibility within their Assignments unit. </w:t>
      </w:r>
      <w:r w:rsidR="0064379C">
        <w:rPr>
          <w:rFonts w:cs="Arial"/>
          <w:szCs w:val="22"/>
          <w:lang w:eastAsia="en-AU"/>
        </w:rPr>
        <w:t xml:space="preserve">Generally, however, they operate like VLA. </w:t>
      </w:r>
      <w:r w:rsidRPr="00D01C85">
        <w:rPr>
          <w:rFonts w:cs="Arial"/>
          <w:szCs w:val="22"/>
          <w:lang w:eastAsia="en-AU"/>
        </w:rPr>
        <w:t>Some of the</w:t>
      </w:r>
      <w:r w:rsidR="0064379C">
        <w:rPr>
          <w:rFonts w:cs="Arial"/>
          <w:szCs w:val="22"/>
          <w:lang w:eastAsia="en-AU"/>
        </w:rPr>
        <w:t xml:space="preserve"> more finer</w:t>
      </w:r>
      <w:r w:rsidRPr="00D01C85">
        <w:rPr>
          <w:rFonts w:cs="Arial"/>
          <w:szCs w:val="22"/>
          <w:lang w:eastAsia="en-AU"/>
        </w:rPr>
        <w:t xml:space="preserve"> differences between other Legal Aid Commissions and VLA are addressed in </w:t>
      </w:r>
      <w:r w:rsidRPr="00D01C85">
        <w:rPr>
          <w:rFonts w:cs="Arial"/>
          <w:b/>
          <w:szCs w:val="22"/>
          <w:lang w:eastAsia="en-AU"/>
        </w:rPr>
        <w:t xml:space="preserve">Part B </w:t>
      </w:r>
      <w:r w:rsidRPr="00D01C85">
        <w:rPr>
          <w:rFonts w:cs="Arial"/>
          <w:szCs w:val="22"/>
          <w:lang w:eastAsia="en-AU"/>
        </w:rPr>
        <w:t xml:space="preserve">of this paper. </w:t>
      </w:r>
    </w:p>
    <w:p w14:paraId="2C56BB62" w14:textId="77777777" w:rsidR="006E4FC5" w:rsidRPr="00092EBA" w:rsidRDefault="006E4FC5" w:rsidP="006E4FC5">
      <w:pPr>
        <w:pStyle w:val="Heading1"/>
        <w:spacing w:before="0"/>
        <w:rPr>
          <w:sz w:val="28"/>
          <w:szCs w:val="28"/>
        </w:rPr>
      </w:pPr>
      <w:bookmarkStart w:id="31" w:name="_Toc479066459"/>
      <w:r w:rsidRPr="00092EBA">
        <w:rPr>
          <w:sz w:val="28"/>
          <w:szCs w:val="28"/>
        </w:rPr>
        <w:t>International Organisations</w:t>
      </w:r>
      <w:bookmarkEnd w:id="31"/>
    </w:p>
    <w:p w14:paraId="165F5ED1" w14:textId="77777777" w:rsidR="006E4FC5" w:rsidRDefault="006E4FC5" w:rsidP="006E4FC5">
      <w:pPr>
        <w:rPr>
          <w:rFonts w:cs="Arial"/>
          <w:b/>
          <w:szCs w:val="22"/>
          <w:lang w:eastAsia="en-AU"/>
        </w:rPr>
      </w:pPr>
      <w:r w:rsidRPr="00D01C85">
        <w:rPr>
          <w:rFonts w:cs="Arial"/>
          <w:szCs w:val="22"/>
          <w:lang w:eastAsia="en-AU"/>
        </w:rPr>
        <w:t xml:space="preserve">Our review looked at legal aid commissions overseas, to see if they were assessing eligibility in different ways – particularly in countries that operate in a very different jurisdiction, or have differing understandings of ‘family’. We discovered that while all commissions do look at the financial eligibility of </w:t>
      </w:r>
      <w:hyperlink r:id="rId26" w:history="1">
        <w:r w:rsidRPr="0060636B">
          <w:rPr>
            <w:rStyle w:val="Hyperlink"/>
            <w:rFonts w:cs="Arial"/>
            <w:szCs w:val="22"/>
            <w:lang w:eastAsia="en-AU"/>
          </w:rPr>
          <w:t>applicants</w:t>
        </w:r>
      </w:hyperlink>
      <w:r w:rsidRPr="00D01C85">
        <w:rPr>
          <w:rFonts w:cs="Arial"/>
          <w:szCs w:val="22"/>
          <w:lang w:eastAsia="en-AU"/>
        </w:rPr>
        <w:t xml:space="preserve">, </w:t>
      </w:r>
      <w:r w:rsidR="00815D38">
        <w:rPr>
          <w:rFonts w:cs="Arial"/>
          <w:szCs w:val="22"/>
          <w:lang w:eastAsia="en-AU"/>
        </w:rPr>
        <w:t xml:space="preserve">many had more simplified tests </w:t>
      </w:r>
      <w:r w:rsidRPr="00D01C85">
        <w:rPr>
          <w:rFonts w:cs="Arial"/>
          <w:szCs w:val="22"/>
          <w:lang w:eastAsia="en-AU"/>
        </w:rPr>
        <w:t xml:space="preserve">that made it easier to understand and to apply. Certain groups were also made </w:t>
      </w:r>
      <w:r w:rsidR="00815D38">
        <w:rPr>
          <w:rFonts w:cs="Arial"/>
          <w:szCs w:val="22"/>
          <w:lang w:eastAsia="en-AU"/>
        </w:rPr>
        <w:t>exempt from the means test, in the way that VLA doesn’t apply</w:t>
      </w:r>
      <w:r w:rsidRPr="00D01C85">
        <w:rPr>
          <w:rFonts w:cs="Arial"/>
          <w:szCs w:val="22"/>
          <w:lang w:eastAsia="en-AU"/>
        </w:rPr>
        <w:t xml:space="preserve"> the means test to children or war veterans. </w:t>
      </w:r>
    </w:p>
    <w:p w14:paraId="63C544F3" w14:textId="77777777" w:rsidR="001F2369" w:rsidRDefault="001F2369" w:rsidP="006E4FC5">
      <w:pPr>
        <w:rPr>
          <w:rFonts w:cs="Arial"/>
          <w:b/>
          <w:szCs w:val="22"/>
          <w:u w:val="single"/>
          <w:lang w:eastAsia="en-AU"/>
        </w:rPr>
      </w:pPr>
    </w:p>
    <w:p w14:paraId="21F313FE" w14:textId="77777777" w:rsidR="001F2369" w:rsidRDefault="001F2369" w:rsidP="006E4FC5">
      <w:pPr>
        <w:rPr>
          <w:rFonts w:cs="Arial"/>
          <w:b/>
          <w:szCs w:val="22"/>
          <w:u w:val="single"/>
          <w:lang w:eastAsia="en-AU"/>
        </w:rPr>
      </w:pPr>
    </w:p>
    <w:p w14:paraId="0552B877" w14:textId="77777777" w:rsidR="001F2369" w:rsidRDefault="001F2369" w:rsidP="006E4FC5">
      <w:pPr>
        <w:rPr>
          <w:rFonts w:cs="Arial"/>
          <w:b/>
          <w:szCs w:val="22"/>
          <w:u w:val="single"/>
          <w:lang w:eastAsia="en-AU"/>
        </w:rPr>
      </w:pPr>
    </w:p>
    <w:p w14:paraId="517B61C1" w14:textId="77777777" w:rsidR="006E4FC5" w:rsidRPr="00446FDB" w:rsidRDefault="006E4FC5" w:rsidP="006E4FC5">
      <w:pPr>
        <w:rPr>
          <w:rFonts w:cs="Arial"/>
          <w:b/>
          <w:szCs w:val="22"/>
          <w:u w:val="single"/>
          <w:lang w:eastAsia="en-AU"/>
        </w:rPr>
      </w:pPr>
      <w:bookmarkStart w:id="32" w:name="Rec5"/>
      <w:bookmarkStart w:id="33" w:name="_GoBack"/>
      <w:bookmarkEnd w:id="32"/>
      <w:bookmarkEnd w:id="33"/>
      <w:r w:rsidRPr="00446FDB">
        <w:rPr>
          <w:rFonts w:cs="Arial"/>
          <w:b/>
          <w:szCs w:val="22"/>
          <w:u w:val="single"/>
          <w:lang w:eastAsia="en-AU"/>
        </w:rPr>
        <w:lastRenderedPageBreak/>
        <w:t>Legal Aid Ontario</w:t>
      </w:r>
    </w:p>
    <w:p w14:paraId="05620F9E" w14:textId="77777777" w:rsidR="006E4FC5" w:rsidRPr="00815D38" w:rsidRDefault="006E4FC5" w:rsidP="006E4FC5">
      <w:pPr>
        <w:rPr>
          <w:rFonts w:cs="Arial"/>
          <w:szCs w:val="22"/>
          <w:lang w:eastAsia="en-AU"/>
        </w:rPr>
      </w:pPr>
      <w:r w:rsidRPr="00D01C85">
        <w:rPr>
          <w:rFonts w:cs="Arial"/>
          <w:i/>
          <w:szCs w:val="22"/>
          <w:lang w:eastAsia="en-AU"/>
        </w:rPr>
        <w:t>Key financial eligibility criteria</w:t>
      </w:r>
      <w:r w:rsidR="00815D38">
        <w:rPr>
          <w:rStyle w:val="FootnoteReference"/>
          <w:rFonts w:cs="Arial"/>
          <w:i/>
          <w:szCs w:val="22"/>
          <w:lang w:eastAsia="en-AU"/>
        </w:rPr>
        <w:footnoteReference w:id="51"/>
      </w:r>
    </w:p>
    <w:p w14:paraId="1DFDE675" w14:textId="77777777" w:rsidR="006E4FC5" w:rsidRPr="00D01C85" w:rsidRDefault="006E4FC5" w:rsidP="00092EBA">
      <w:pPr>
        <w:pStyle w:val="ListParagraph"/>
        <w:numPr>
          <w:ilvl w:val="0"/>
          <w:numId w:val="5"/>
        </w:numPr>
        <w:spacing w:after="120" w:line="300" w:lineRule="atLeast"/>
        <w:ind w:hanging="295"/>
        <w:contextualSpacing w:val="0"/>
        <w:rPr>
          <w:rFonts w:ascii="Arial" w:hAnsi="Arial" w:cs="Arial"/>
          <w:sz w:val="22"/>
          <w:szCs w:val="22"/>
        </w:rPr>
      </w:pPr>
      <w:r w:rsidRPr="00D01C85">
        <w:rPr>
          <w:rFonts w:ascii="Arial" w:hAnsi="Arial" w:cs="Arial"/>
          <w:sz w:val="22"/>
          <w:szCs w:val="22"/>
        </w:rPr>
        <w:t xml:space="preserve">Eligibility is based on annual gross family income calculated against the number of </w:t>
      </w:r>
      <w:r w:rsidR="00815D38">
        <w:rPr>
          <w:rFonts w:ascii="Arial" w:hAnsi="Arial" w:cs="Arial"/>
          <w:sz w:val="22"/>
          <w:szCs w:val="22"/>
        </w:rPr>
        <w:t>family members in the household</w:t>
      </w:r>
      <w:r w:rsidRPr="00D01C85">
        <w:rPr>
          <w:rFonts w:ascii="Arial" w:hAnsi="Arial" w:cs="Arial"/>
          <w:sz w:val="22"/>
          <w:szCs w:val="22"/>
        </w:rPr>
        <w:t xml:space="preserve"> </w:t>
      </w:r>
    </w:p>
    <w:p w14:paraId="307EE9FA" w14:textId="77777777" w:rsidR="006E4FC5" w:rsidRPr="00D01C85" w:rsidRDefault="006E4FC5" w:rsidP="00092EBA">
      <w:pPr>
        <w:pStyle w:val="ListParagraph"/>
        <w:numPr>
          <w:ilvl w:val="0"/>
          <w:numId w:val="5"/>
        </w:numPr>
        <w:spacing w:after="120" w:line="300" w:lineRule="atLeast"/>
        <w:ind w:hanging="295"/>
        <w:contextualSpacing w:val="0"/>
        <w:rPr>
          <w:rFonts w:ascii="Arial" w:hAnsi="Arial" w:cs="Arial"/>
          <w:sz w:val="22"/>
          <w:szCs w:val="22"/>
        </w:rPr>
      </w:pPr>
      <w:r w:rsidRPr="00D01C85">
        <w:rPr>
          <w:rFonts w:ascii="Arial" w:hAnsi="Arial" w:cs="Arial"/>
          <w:sz w:val="22"/>
          <w:szCs w:val="22"/>
        </w:rPr>
        <w:t xml:space="preserve">There is a second-tier threshold </w:t>
      </w:r>
      <w:r w:rsidR="00815D38">
        <w:rPr>
          <w:rFonts w:ascii="Arial" w:hAnsi="Arial" w:cs="Arial"/>
          <w:sz w:val="22"/>
          <w:szCs w:val="22"/>
        </w:rPr>
        <w:t>where a contribution is imposed</w:t>
      </w:r>
      <w:r w:rsidRPr="00D01C85">
        <w:rPr>
          <w:rFonts w:ascii="Arial" w:hAnsi="Arial" w:cs="Arial"/>
          <w:sz w:val="22"/>
          <w:szCs w:val="22"/>
        </w:rPr>
        <w:t xml:space="preserve"> </w:t>
      </w:r>
    </w:p>
    <w:p w14:paraId="0FE2DCA3" w14:textId="77777777" w:rsidR="006E4FC5" w:rsidRPr="00D01C85" w:rsidRDefault="006E4FC5" w:rsidP="00092EBA">
      <w:pPr>
        <w:pStyle w:val="ListParagraph"/>
        <w:numPr>
          <w:ilvl w:val="0"/>
          <w:numId w:val="5"/>
        </w:numPr>
        <w:spacing w:after="240" w:line="300" w:lineRule="atLeast"/>
        <w:ind w:hanging="295"/>
        <w:contextualSpacing w:val="0"/>
        <w:rPr>
          <w:rFonts w:ascii="Arial" w:hAnsi="Arial" w:cs="Arial"/>
          <w:sz w:val="22"/>
          <w:szCs w:val="22"/>
        </w:rPr>
      </w:pPr>
      <w:r w:rsidRPr="00D01C85">
        <w:rPr>
          <w:rFonts w:ascii="Arial" w:hAnsi="Arial" w:cs="Arial"/>
          <w:sz w:val="22"/>
          <w:szCs w:val="22"/>
        </w:rPr>
        <w:t xml:space="preserve">A higher threshold is </w:t>
      </w:r>
      <w:r w:rsidR="00815D38">
        <w:rPr>
          <w:rFonts w:ascii="Arial" w:hAnsi="Arial" w:cs="Arial"/>
          <w:sz w:val="22"/>
          <w:szCs w:val="22"/>
        </w:rPr>
        <w:t>set for family violence matters.</w:t>
      </w:r>
    </w:p>
    <w:tbl>
      <w:tblPr>
        <w:tblStyle w:val="TableGrid"/>
        <w:tblW w:w="0" w:type="auto"/>
        <w:tblLook w:val="04A0" w:firstRow="1" w:lastRow="0" w:firstColumn="1" w:lastColumn="0" w:noHBand="0" w:noVBand="1"/>
      </w:tblPr>
      <w:tblGrid>
        <w:gridCol w:w="4508"/>
        <w:gridCol w:w="4508"/>
      </w:tblGrid>
      <w:tr w:rsidR="006E4FC5" w:rsidRPr="00D01C85" w14:paraId="149E0C16" w14:textId="77777777" w:rsidTr="00092EBA">
        <w:tc>
          <w:tcPr>
            <w:tcW w:w="9016" w:type="dxa"/>
            <w:gridSpan w:val="2"/>
            <w:shd w:val="clear" w:color="auto" w:fill="DEEAF6" w:themeFill="accent1" w:themeFillTint="33"/>
          </w:tcPr>
          <w:p w14:paraId="0D371144" w14:textId="77777777" w:rsidR="006E4FC5" w:rsidRPr="00D01C85" w:rsidRDefault="006E4FC5" w:rsidP="00092EBA">
            <w:pPr>
              <w:rPr>
                <w:rFonts w:cs="Arial"/>
                <w:b/>
                <w:szCs w:val="22"/>
                <w:lang w:eastAsia="en-AU"/>
              </w:rPr>
            </w:pPr>
            <w:r w:rsidRPr="00D01C85">
              <w:rPr>
                <w:rFonts w:cs="Arial"/>
                <w:b/>
                <w:szCs w:val="22"/>
                <w:lang w:eastAsia="en-AU"/>
              </w:rPr>
              <w:t>Applicant with no dependants or financially associated persons</w:t>
            </w:r>
          </w:p>
        </w:tc>
      </w:tr>
      <w:tr w:rsidR="006E4FC5" w:rsidRPr="00D01C85" w14:paraId="2B5433B6" w14:textId="77777777" w:rsidTr="00092EBA">
        <w:tc>
          <w:tcPr>
            <w:tcW w:w="4508" w:type="dxa"/>
            <w:shd w:val="clear" w:color="auto" w:fill="BDD6EE" w:themeFill="accent1" w:themeFillTint="66"/>
          </w:tcPr>
          <w:p w14:paraId="0E426C2E" w14:textId="77777777" w:rsidR="006E4FC5" w:rsidRPr="00D01C85" w:rsidRDefault="006E4FC5" w:rsidP="00092EBA">
            <w:pPr>
              <w:rPr>
                <w:rFonts w:cs="Arial"/>
                <w:szCs w:val="22"/>
                <w:lang w:eastAsia="en-AU"/>
              </w:rPr>
            </w:pPr>
            <w:r w:rsidRPr="00D01C85">
              <w:rPr>
                <w:rFonts w:cs="Arial"/>
                <w:szCs w:val="22"/>
                <w:lang w:eastAsia="en-AU"/>
              </w:rPr>
              <w:t>Gross annual income up to $12,863</w:t>
            </w:r>
          </w:p>
        </w:tc>
        <w:tc>
          <w:tcPr>
            <w:tcW w:w="4508" w:type="dxa"/>
            <w:shd w:val="clear" w:color="auto" w:fill="BDD6EE" w:themeFill="accent1" w:themeFillTint="66"/>
          </w:tcPr>
          <w:p w14:paraId="253CDF6E" w14:textId="77777777" w:rsidR="006E4FC5" w:rsidRPr="00D01C85" w:rsidRDefault="006E4FC5" w:rsidP="00092EBA">
            <w:pPr>
              <w:rPr>
                <w:rFonts w:cs="Arial"/>
                <w:szCs w:val="22"/>
                <w:lang w:eastAsia="en-AU"/>
              </w:rPr>
            </w:pPr>
            <w:r w:rsidRPr="00D01C85">
              <w:rPr>
                <w:rFonts w:cs="Arial"/>
                <w:szCs w:val="22"/>
                <w:lang w:eastAsia="en-AU"/>
              </w:rPr>
              <w:t xml:space="preserve">Qualify for assistance </w:t>
            </w:r>
            <w:r w:rsidRPr="00D01C85">
              <w:rPr>
                <w:rFonts w:cs="Arial"/>
                <w:b/>
                <w:szCs w:val="22"/>
                <w:lang w:eastAsia="en-AU"/>
              </w:rPr>
              <w:t xml:space="preserve">without </w:t>
            </w:r>
            <w:r w:rsidRPr="00D01C85">
              <w:rPr>
                <w:rFonts w:cs="Arial"/>
                <w:szCs w:val="22"/>
                <w:lang w:eastAsia="en-AU"/>
              </w:rPr>
              <w:t>a contribution.</w:t>
            </w:r>
          </w:p>
        </w:tc>
      </w:tr>
      <w:tr w:rsidR="006E4FC5" w:rsidRPr="00D01C85" w14:paraId="009B0B3D" w14:textId="77777777" w:rsidTr="00092EBA">
        <w:tc>
          <w:tcPr>
            <w:tcW w:w="4508" w:type="dxa"/>
            <w:shd w:val="clear" w:color="auto" w:fill="BDD6EE" w:themeFill="accent1" w:themeFillTint="66"/>
          </w:tcPr>
          <w:p w14:paraId="5850A229" w14:textId="77777777" w:rsidR="006E4FC5" w:rsidRPr="00D01C85" w:rsidRDefault="006E4FC5" w:rsidP="00092EBA">
            <w:pPr>
              <w:rPr>
                <w:rFonts w:cs="Arial"/>
                <w:szCs w:val="22"/>
                <w:lang w:eastAsia="en-AU"/>
              </w:rPr>
            </w:pPr>
            <w:r w:rsidRPr="00D01C85">
              <w:rPr>
                <w:rFonts w:cs="Arial"/>
                <w:szCs w:val="22"/>
                <w:lang w:eastAsia="en-AU"/>
              </w:rPr>
              <w:t>Gross annual income between $12, 863 to $14,888</w:t>
            </w:r>
          </w:p>
        </w:tc>
        <w:tc>
          <w:tcPr>
            <w:tcW w:w="4508" w:type="dxa"/>
            <w:shd w:val="clear" w:color="auto" w:fill="BDD6EE" w:themeFill="accent1" w:themeFillTint="66"/>
          </w:tcPr>
          <w:p w14:paraId="2869DEF4" w14:textId="77777777" w:rsidR="006E4FC5" w:rsidRPr="00D01C85" w:rsidRDefault="006E4FC5" w:rsidP="00092EBA">
            <w:pPr>
              <w:rPr>
                <w:rFonts w:cs="Arial"/>
                <w:szCs w:val="22"/>
                <w:lang w:eastAsia="en-AU"/>
              </w:rPr>
            </w:pPr>
            <w:r w:rsidRPr="00D01C85">
              <w:rPr>
                <w:rFonts w:cs="Arial"/>
                <w:szCs w:val="22"/>
                <w:lang w:eastAsia="en-AU"/>
              </w:rPr>
              <w:t xml:space="preserve">Qualify for assistance </w:t>
            </w:r>
            <w:r w:rsidRPr="00D01C85">
              <w:rPr>
                <w:rFonts w:cs="Arial"/>
                <w:b/>
                <w:szCs w:val="22"/>
                <w:lang w:eastAsia="en-AU"/>
              </w:rPr>
              <w:t xml:space="preserve">with </w:t>
            </w:r>
            <w:r w:rsidRPr="00D01C85">
              <w:rPr>
                <w:rFonts w:cs="Arial"/>
                <w:szCs w:val="22"/>
                <w:lang w:eastAsia="en-AU"/>
              </w:rPr>
              <w:t>a contribution.</w:t>
            </w:r>
          </w:p>
        </w:tc>
      </w:tr>
      <w:tr w:rsidR="006E4FC5" w:rsidRPr="00D01C85" w14:paraId="7097C345" w14:textId="77777777" w:rsidTr="00092EBA">
        <w:tc>
          <w:tcPr>
            <w:tcW w:w="4508" w:type="dxa"/>
            <w:shd w:val="clear" w:color="auto" w:fill="BDD6EE" w:themeFill="accent1" w:themeFillTint="66"/>
          </w:tcPr>
          <w:p w14:paraId="570AD968" w14:textId="77777777" w:rsidR="006E4FC5" w:rsidRPr="00D01C85" w:rsidRDefault="006E4FC5" w:rsidP="00092EBA">
            <w:pPr>
              <w:rPr>
                <w:rFonts w:cs="Arial"/>
                <w:szCs w:val="22"/>
                <w:lang w:eastAsia="en-AU"/>
              </w:rPr>
            </w:pPr>
            <w:r w:rsidRPr="00D01C85">
              <w:rPr>
                <w:rFonts w:cs="Arial"/>
                <w:szCs w:val="22"/>
                <w:lang w:eastAsia="en-AU"/>
              </w:rPr>
              <w:t>Gross annual income up to $21,438</w:t>
            </w:r>
          </w:p>
        </w:tc>
        <w:tc>
          <w:tcPr>
            <w:tcW w:w="4508" w:type="dxa"/>
            <w:shd w:val="clear" w:color="auto" w:fill="BDD6EE" w:themeFill="accent1" w:themeFillTint="66"/>
          </w:tcPr>
          <w:p w14:paraId="5643581A" w14:textId="77777777" w:rsidR="006E4FC5" w:rsidRPr="00D01C85" w:rsidRDefault="006E4FC5" w:rsidP="00092EBA">
            <w:pPr>
              <w:rPr>
                <w:rFonts w:cs="Arial"/>
                <w:szCs w:val="22"/>
                <w:lang w:eastAsia="en-AU"/>
              </w:rPr>
            </w:pPr>
            <w:r w:rsidRPr="00D01C85">
              <w:rPr>
                <w:rFonts w:cs="Arial"/>
                <w:szCs w:val="22"/>
                <w:lang w:eastAsia="en-AU"/>
              </w:rPr>
              <w:t xml:space="preserve">Qualify for assistance for a domestic violence matter </w:t>
            </w:r>
            <w:r w:rsidRPr="00D01C85">
              <w:rPr>
                <w:rFonts w:cs="Arial"/>
                <w:b/>
                <w:szCs w:val="22"/>
                <w:lang w:eastAsia="en-AU"/>
              </w:rPr>
              <w:t>only</w:t>
            </w:r>
            <w:r w:rsidRPr="00D01C85">
              <w:rPr>
                <w:rFonts w:cs="Arial"/>
                <w:szCs w:val="22"/>
                <w:lang w:eastAsia="en-AU"/>
              </w:rPr>
              <w:t>.</w:t>
            </w:r>
          </w:p>
        </w:tc>
      </w:tr>
    </w:tbl>
    <w:p w14:paraId="092B2881" w14:textId="77777777" w:rsidR="006E4FC5" w:rsidRPr="00D01C85" w:rsidRDefault="006E4FC5" w:rsidP="00092EBA">
      <w:pPr>
        <w:spacing w:before="120"/>
        <w:rPr>
          <w:rFonts w:cs="Arial"/>
          <w:szCs w:val="22"/>
          <w:lang w:eastAsia="en-AU"/>
        </w:rPr>
      </w:pPr>
      <w:r w:rsidRPr="00D01C85">
        <w:rPr>
          <w:rFonts w:cs="Arial"/>
          <w:szCs w:val="22"/>
          <w:lang w:eastAsia="en-AU"/>
        </w:rPr>
        <w:t xml:space="preserve">Legal Aid Ontario is a legal assistance service like VLA, and recently expanded both their eligibility criteria and legal services to assist with more family law and mental health matters. In the last financial </w:t>
      </w:r>
      <w:proofErr w:type="gramStart"/>
      <w:r w:rsidRPr="00D01C85">
        <w:rPr>
          <w:rFonts w:cs="Arial"/>
          <w:szCs w:val="22"/>
          <w:lang w:eastAsia="en-AU"/>
        </w:rPr>
        <w:t>year</w:t>
      </w:r>
      <w:proofErr w:type="gramEnd"/>
      <w:r w:rsidRPr="00D01C85">
        <w:rPr>
          <w:rFonts w:cs="Arial"/>
          <w:szCs w:val="22"/>
          <w:lang w:eastAsia="en-AU"/>
        </w:rPr>
        <w:t xml:space="preserve"> the organisation incurred a deficit of 26 million dollars with an annual budget of 400 million dollars. </w:t>
      </w:r>
    </w:p>
    <w:p w14:paraId="57BD88D8" w14:textId="77777777" w:rsidR="006E4FC5" w:rsidRPr="00D01C85" w:rsidRDefault="006E4FC5" w:rsidP="006E4FC5">
      <w:pPr>
        <w:rPr>
          <w:rFonts w:cs="Arial"/>
          <w:szCs w:val="22"/>
          <w:lang w:eastAsia="en-AU"/>
        </w:rPr>
      </w:pPr>
      <w:r w:rsidRPr="00D01C85">
        <w:rPr>
          <w:rFonts w:cs="Arial"/>
          <w:szCs w:val="22"/>
          <w:lang w:eastAsia="en-AU"/>
        </w:rPr>
        <w:t xml:space="preserve">Legal Aid Ontario’s means criteria have the advantage of being simple and easy to follow, with assessment made against the number of people residing in the house. However, the expansion of such a test resulted in more people being eligible to an extent that it was not sustainable. </w:t>
      </w:r>
    </w:p>
    <w:p w14:paraId="1D37B836" w14:textId="77777777" w:rsidR="006E4FC5" w:rsidRPr="002E08E4" w:rsidRDefault="006E4FC5" w:rsidP="006E4FC5">
      <w:pPr>
        <w:rPr>
          <w:rFonts w:cs="Arial"/>
          <w:szCs w:val="22"/>
          <w:lang w:eastAsia="en-AU"/>
        </w:rPr>
      </w:pPr>
      <w:r w:rsidRPr="00D01C85">
        <w:rPr>
          <w:rFonts w:cs="Arial"/>
          <w:szCs w:val="22"/>
          <w:lang w:eastAsia="en-AU"/>
        </w:rPr>
        <w:t>Legal Aid Ontario operates differ</w:t>
      </w:r>
      <w:r w:rsidR="002E08E4">
        <w:rPr>
          <w:rFonts w:cs="Arial"/>
          <w:szCs w:val="22"/>
          <w:lang w:eastAsia="en-AU"/>
        </w:rPr>
        <w:t xml:space="preserve">ently to VLA in that once a person is found </w:t>
      </w:r>
      <w:r w:rsidRPr="00D01C85">
        <w:rPr>
          <w:rFonts w:cs="Arial"/>
          <w:szCs w:val="22"/>
          <w:lang w:eastAsia="en-AU"/>
        </w:rPr>
        <w:t xml:space="preserve">eligible for assistance a certificate is issued. This certificate, or voucher, can then be provided to a lawyer in the </w:t>
      </w:r>
      <w:r w:rsidR="002E08E4">
        <w:rPr>
          <w:rFonts w:cs="Arial"/>
          <w:szCs w:val="22"/>
          <w:lang w:eastAsia="en-AU"/>
        </w:rPr>
        <w:t xml:space="preserve">person’s local </w:t>
      </w:r>
      <w:r w:rsidRPr="00D01C85">
        <w:rPr>
          <w:rFonts w:cs="Arial"/>
          <w:szCs w:val="22"/>
          <w:lang w:eastAsia="en-AU"/>
        </w:rPr>
        <w:t xml:space="preserve">area and pays for a lawyer to represent the person for a certain number of hours. </w:t>
      </w:r>
    </w:p>
    <w:p w14:paraId="7DA2BF1D" w14:textId="77777777" w:rsidR="006E4FC5" w:rsidRPr="00446FDB" w:rsidRDefault="006E4FC5" w:rsidP="006E4FC5">
      <w:pPr>
        <w:rPr>
          <w:rFonts w:cs="Arial"/>
          <w:b/>
          <w:szCs w:val="22"/>
          <w:u w:val="single"/>
          <w:lang w:eastAsia="en-AU"/>
        </w:rPr>
      </w:pPr>
      <w:r w:rsidRPr="00446FDB">
        <w:rPr>
          <w:rFonts w:cs="Arial"/>
          <w:b/>
          <w:szCs w:val="22"/>
          <w:u w:val="single"/>
          <w:lang w:eastAsia="en-AU"/>
        </w:rPr>
        <w:t>Japan Legal Support Centre</w:t>
      </w:r>
    </w:p>
    <w:p w14:paraId="678AB105" w14:textId="77777777" w:rsidR="006E4FC5" w:rsidRPr="00D01C85" w:rsidRDefault="006E4FC5" w:rsidP="006E4FC5">
      <w:pPr>
        <w:rPr>
          <w:rFonts w:cs="Arial"/>
          <w:i/>
          <w:szCs w:val="22"/>
          <w:lang w:eastAsia="en-AU"/>
        </w:rPr>
      </w:pPr>
      <w:r w:rsidRPr="00D01C85">
        <w:rPr>
          <w:rFonts w:cs="Arial"/>
          <w:i/>
          <w:szCs w:val="22"/>
          <w:lang w:eastAsia="en-AU"/>
        </w:rPr>
        <w:t>Key financial eligibility criteria</w:t>
      </w:r>
      <w:r w:rsidRPr="00D01C85">
        <w:rPr>
          <w:rStyle w:val="FootnoteReference"/>
          <w:rFonts w:cs="Arial"/>
          <w:i/>
          <w:szCs w:val="22"/>
          <w:lang w:eastAsia="en-AU"/>
        </w:rPr>
        <w:footnoteReference w:id="52"/>
      </w:r>
    </w:p>
    <w:p w14:paraId="4EB605D3" w14:textId="77777777" w:rsidR="006E4FC5" w:rsidRPr="00D01C85" w:rsidRDefault="006E4FC5" w:rsidP="00092EBA">
      <w:pPr>
        <w:pStyle w:val="ListParagraph"/>
        <w:numPr>
          <w:ilvl w:val="0"/>
          <w:numId w:val="6"/>
        </w:numPr>
        <w:spacing w:after="120" w:line="300" w:lineRule="atLeast"/>
        <w:ind w:hanging="295"/>
        <w:contextualSpacing w:val="0"/>
        <w:rPr>
          <w:rFonts w:ascii="Arial" w:hAnsi="Arial" w:cs="Arial"/>
          <w:sz w:val="22"/>
          <w:szCs w:val="22"/>
        </w:rPr>
      </w:pPr>
      <w:r w:rsidRPr="00D01C85">
        <w:rPr>
          <w:rFonts w:ascii="Arial" w:hAnsi="Arial" w:cs="Arial"/>
          <w:sz w:val="22"/>
          <w:szCs w:val="22"/>
        </w:rPr>
        <w:t>Financially associated persons are li</w:t>
      </w:r>
      <w:r w:rsidR="003B69DC">
        <w:rPr>
          <w:rFonts w:ascii="Arial" w:hAnsi="Arial" w:cs="Arial"/>
          <w:sz w:val="22"/>
          <w:szCs w:val="22"/>
        </w:rPr>
        <w:t>mited to an applicant’s spouse</w:t>
      </w:r>
      <w:r w:rsidR="00092EBA">
        <w:rPr>
          <w:rFonts w:ascii="Arial" w:hAnsi="Arial" w:cs="Arial"/>
          <w:sz w:val="22"/>
          <w:szCs w:val="22"/>
        </w:rPr>
        <w:t>;</w:t>
      </w:r>
    </w:p>
    <w:p w14:paraId="380A56E8" w14:textId="77777777" w:rsidR="006E4FC5" w:rsidRPr="00D01C85" w:rsidRDefault="003B69DC" w:rsidP="00092EBA">
      <w:pPr>
        <w:pStyle w:val="ListParagraph"/>
        <w:numPr>
          <w:ilvl w:val="0"/>
          <w:numId w:val="6"/>
        </w:numPr>
        <w:spacing w:after="120" w:line="300" w:lineRule="atLeast"/>
        <w:ind w:hanging="295"/>
        <w:contextualSpacing w:val="0"/>
        <w:rPr>
          <w:rFonts w:ascii="Arial" w:hAnsi="Arial" w:cs="Arial"/>
          <w:sz w:val="22"/>
          <w:szCs w:val="22"/>
        </w:rPr>
      </w:pPr>
      <w:r>
        <w:rPr>
          <w:rFonts w:ascii="Arial" w:hAnsi="Arial" w:cs="Arial"/>
          <w:sz w:val="22"/>
          <w:szCs w:val="22"/>
        </w:rPr>
        <w:t>Income is based on a</w:t>
      </w:r>
      <w:r w:rsidR="006E4FC5" w:rsidRPr="00D01C85">
        <w:rPr>
          <w:rFonts w:ascii="Arial" w:hAnsi="Arial" w:cs="Arial"/>
          <w:sz w:val="22"/>
          <w:szCs w:val="22"/>
        </w:rPr>
        <w:t xml:space="preserve"> per household amount which takes into consideration the size of the househo</w:t>
      </w:r>
      <w:r>
        <w:rPr>
          <w:rFonts w:ascii="Arial" w:hAnsi="Arial" w:cs="Arial"/>
          <w:sz w:val="22"/>
          <w:szCs w:val="22"/>
        </w:rPr>
        <w:t>ld and the annual earned income</w:t>
      </w:r>
      <w:r w:rsidR="00092EBA">
        <w:rPr>
          <w:rFonts w:ascii="Arial" w:hAnsi="Arial" w:cs="Arial"/>
          <w:sz w:val="22"/>
          <w:szCs w:val="22"/>
        </w:rPr>
        <w:t>;</w:t>
      </w:r>
    </w:p>
    <w:p w14:paraId="7FB4C14B" w14:textId="77777777" w:rsidR="006E4FC5" w:rsidRPr="00D01C85" w:rsidRDefault="006E4FC5" w:rsidP="00092EBA">
      <w:pPr>
        <w:pStyle w:val="ListParagraph"/>
        <w:numPr>
          <w:ilvl w:val="0"/>
          <w:numId w:val="6"/>
        </w:numPr>
        <w:spacing w:after="120" w:line="300" w:lineRule="atLeast"/>
        <w:ind w:hanging="295"/>
        <w:contextualSpacing w:val="0"/>
        <w:rPr>
          <w:rFonts w:ascii="Arial" w:hAnsi="Arial" w:cs="Arial"/>
          <w:sz w:val="22"/>
          <w:szCs w:val="22"/>
        </w:rPr>
      </w:pPr>
      <w:r w:rsidRPr="00D01C85">
        <w:rPr>
          <w:rFonts w:ascii="Arial" w:hAnsi="Arial" w:cs="Arial"/>
          <w:sz w:val="22"/>
          <w:szCs w:val="22"/>
        </w:rPr>
        <w:t>Cash savings are also considered, but</w:t>
      </w:r>
      <w:r w:rsidR="003B69DC">
        <w:rPr>
          <w:rFonts w:ascii="Arial" w:hAnsi="Arial" w:cs="Arial"/>
          <w:sz w:val="22"/>
          <w:szCs w:val="22"/>
        </w:rPr>
        <w:t xml:space="preserve"> other types of assets are not</w:t>
      </w:r>
      <w:r w:rsidR="00092EBA">
        <w:rPr>
          <w:rFonts w:ascii="Arial" w:hAnsi="Arial" w:cs="Arial"/>
          <w:sz w:val="22"/>
          <w:szCs w:val="22"/>
        </w:rPr>
        <w:t>;</w:t>
      </w:r>
    </w:p>
    <w:p w14:paraId="5468513B" w14:textId="77777777" w:rsidR="006E4FC5" w:rsidRPr="00D01C85" w:rsidRDefault="006E4FC5" w:rsidP="00092EBA">
      <w:pPr>
        <w:pStyle w:val="ListParagraph"/>
        <w:numPr>
          <w:ilvl w:val="0"/>
          <w:numId w:val="6"/>
        </w:numPr>
        <w:spacing w:after="120" w:line="300" w:lineRule="atLeast"/>
        <w:ind w:hanging="295"/>
        <w:contextualSpacing w:val="0"/>
        <w:rPr>
          <w:rFonts w:ascii="Arial" w:hAnsi="Arial" w:cs="Arial"/>
          <w:sz w:val="22"/>
          <w:szCs w:val="22"/>
        </w:rPr>
      </w:pPr>
      <w:r w:rsidRPr="00D01C85">
        <w:rPr>
          <w:rFonts w:ascii="Arial" w:hAnsi="Arial" w:cs="Arial"/>
          <w:sz w:val="22"/>
          <w:szCs w:val="22"/>
        </w:rPr>
        <w:t>Foreseeable medical costs and educ</w:t>
      </w:r>
      <w:r w:rsidR="003B69DC">
        <w:rPr>
          <w:rFonts w:ascii="Arial" w:hAnsi="Arial" w:cs="Arial"/>
          <w:sz w:val="22"/>
          <w:szCs w:val="22"/>
        </w:rPr>
        <w:t>ational costs may be considered</w:t>
      </w:r>
      <w:r w:rsidR="00092EBA">
        <w:rPr>
          <w:rFonts w:ascii="Arial" w:hAnsi="Arial" w:cs="Arial"/>
          <w:sz w:val="22"/>
          <w:szCs w:val="22"/>
        </w:rPr>
        <w:t>; and</w:t>
      </w:r>
    </w:p>
    <w:p w14:paraId="41012F5B" w14:textId="77777777" w:rsidR="006E4FC5" w:rsidRPr="00D01C85" w:rsidRDefault="006E4FC5" w:rsidP="00092EBA">
      <w:pPr>
        <w:pStyle w:val="ListParagraph"/>
        <w:numPr>
          <w:ilvl w:val="0"/>
          <w:numId w:val="6"/>
        </w:numPr>
        <w:spacing w:after="120" w:line="300" w:lineRule="atLeast"/>
        <w:ind w:hanging="295"/>
        <w:contextualSpacing w:val="0"/>
        <w:rPr>
          <w:rFonts w:ascii="Arial" w:hAnsi="Arial" w:cs="Arial"/>
          <w:sz w:val="22"/>
          <w:szCs w:val="22"/>
        </w:rPr>
      </w:pPr>
      <w:r w:rsidRPr="00D01C85">
        <w:rPr>
          <w:rFonts w:ascii="Arial" w:hAnsi="Arial" w:cs="Arial"/>
          <w:sz w:val="22"/>
          <w:szCs w:val="22"/>
        </w:rPr>
        <w:t xml:space="preserve">A higher threshold is reserved for larger cities. </w:t>
      </w:r>
    </w:p>
    <w:p w14:paraId="6582979D" w14:textId="77777777" w:rsidR="006E4FC5" w:rsidRPr="00D01C85" w:rsidRDefault="006E4FC5" w:rsidP="006E4FC5">
      <w:pPr>
        <w:rPr>
          <w:rFonts w:cs="Arial"/>
          <w:szCs w:val="22"/>
          <w:lang w:eastAsia="en-AU"/>
        </w:rPr>
      </w:pPr>
      <w:r w:rsidRPr="00D01C85">
        <w:rPr>
          <w:rFonts w:cs="Arial"/>
          <w:szCs w:val="22"/>
          <w:lang w:eastAsia="en-AU"/>
        </w:rPr>
        <w:lastRenderedPageBreak/>
        <w:t>Established in 2006, the Japan Legal Support Centre used Australian legal aid commission models as guidance for their own set up. The means test criteria applies to civil law and family law matters. For c</w:t>
      </w:r>
      <w:r w:rsidR="003B69DC">
        <w:rPr>
          <w:rFonts w:cs="Arial"/>
          <w:szCs w:val="22"/>
          <w:lang w:eastAsia="en-AU"/>
        </w:rPr>
        <w:t xml:space="preserve">riminal matters, the Court </w:t>
      </w:r>
      <w:r w:rsidRPr="00D01C85">
        <w:rPr>
          <w:rFonts w:cs="Arial"/>
          <w:szCs w:val="22"/>
          <w:lang w:eastAsia="en-AU"/>
        </w:rPr>
        <w:t>appoint</w:t>
      </w:r>
      <w:r w:rsidR="003B69DC">
        <w:rPr>
          <w:rFonts w:cs="Arial"/>
          <w:szCs w:val="22"/>
          <w:lang w:eastAsia="en-AU"/>
        </w:rPr>
        <w:t>s</w:t>
      </w:r>
      <w:r w:rsidRPr="00D01C85">
        <w:rPr>
          <w:rFonts w:cs="Arial"/>
          <w:szCs w:val="22"/>
          <w:lang w:eastAsia="en-AU"/>
        </w:rPr>
        <w:t xml:space="preserve"> appropriate defence counsel. </w:t>
      </w:r>
    </w:p>
    <w:p w14:paraId="5DFF4EE8" w14:textId="77777777" w:rsidR="006E4FC5" w:rsidRPr="00446FDB" w:rsidRDefault="006E4FC5" w:rsidP="006E4FC5">
      <w:pPr>
        <w:rPr>
          <w:rFonts w:cs="Arial"/>
          <w:b/>
          <w:szCs w:val="22"/>
          <w:u w:val="single"/>
          <w:lang w:eastAsia="en-AU"/>
        </w:rPr>
      </w:pPr>
      <w:r w:rsidRPr="00446FDB">
        <w:rPr>
          <w:rFonts w:cs="Arial"/>
          <w:b/>
          <w:szCs w:val="22"/>
          <w:u w:val="single"/>
          <w:lang w:eastAsia="en-AU"/>
        </w:rPr>
        <w:t>Korea Legal Aid Corporation</w:t>
      </w:r>
    </w:p>
    <w:p w14:paraId="2682F133" w14:textId="77777777" w:rsidR="006E4FC5" w:rsidRPr="00D01C85" w:rsidRDefault="006E4FC5" w:rsidP="006E4FC5">
      <w:pPr>
        <w:rPr>
          <w:rFonts w:cs="Arial"/>
          <w:i/>
          <w:szCs w:val="22"/>
          <w:lang w:eastAsia="en-AU"/>
        </w:rPr>
      </w:pPr>
      <w:r w:rsidRPr="00D01C85">
        <w:rPr>
          <w:rFonts w:cs="Arial"/>
          <w:i/>
          <w:szCs w:val="22"/>
          <w:lang w:eastAsia="en-AU"/>
        </w:rPr>
        <w:t>Key financial eligibility criteria</w:t>
      </w:r>
      <w:r w:rsidRPr="00D01C85">
        <w:rPr>
          <w:rStyle w:val="FootnoteReference"/>
          <w:rFonts w:cs="Arial"/>
          <w:i/>
          <w:szCs w:val="22"/>
          <w:lang w:eastAsia="en-AU"/>
        </w:rPr>
        <w:footnoteReference w:id="53"/>
      </w:r>
    </w:p>
    <w:p w14:paraId="086BFFFB" w14:textId="77777777" w:rsidR="006E4FC5" w:rsidRPr="00D01C85" w:rsidRDefault="006E4FC5" w:rsidP="00092EBA">
      <w:pPr>
        <w:pStyle w:val="ListParagraph"/>
        <w:numPr>
          <w:ilvl w:val="0"/>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Eligibility is based on an average monthly income under</w:t>
      </w:r>
      <w:r w:rsidR="00240785">
        <w:rPr>
          <w:rFonts w:ascii="Arial" w:hAnsi="Arial" w:cs="Arial"/>
          <w:sz w:val="22"/>
          <w:szCs w:val="22"/>
        </w:rPr>
        <w:t xml:space="preserve"> 125% of standard median income;</w:t>
      </w:r>
    </w:p>
    <w:p w14:paraId="3247FA7B" w14:textId="77777777" w:rsidR="006E4FC5" w:rsidRPr="00D01C85" w:rsidRDefault="006E4FC5" w:rsidP="00092EBA">
      <w:pPr>
        <w:pStyle w:val="ListParagraph"/>
        <w:numPr>
          <w:ilvl w:val="0"/>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This is the median value of the national household income as set by the</w:t>
      </w:r>
      <w:r w:rsidR="00240785">
        <w:rPr>
          <w:rFonts w:ascii="Arial" w:hAnsi="Arial" w:cs="Arial"/>
          <w:sz w:val="22"/>
          <w:szCs w:val="22"/>
        </w:rPr>
        <w:t xml:space="preserve"> Minister of Health and Welfare;</w:t>
      </w:r>
    </w:p>
    <w:p w14:paraId="0E61004D" w14:textId="77777777" w:rsidR="006E4FC5" w:rsidRPr="00D01C85" w:rsidRDefault="006E4FC5" w:rsidP="00092EBA">
      <w:pPr>
        <w:pStyle w:val="ListParagraph"/>
        <w:numPr>
          <w:ilvl w:val="0"/>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Certain groups of people are considered eligible without their finances being assessed including:</w:t>
      </w:r>
    </w:p>
    <w:p w14:paraId="3A55459E" w14:textId="77777777" w:rsidR="006E4FC5" w:rsidRPr="00D01C85" w:rsidRDefault="006E4FC5" w:rsidP="00092EBA">
      <w:pPr>
        <w:pStyle w:val="ListParagraph"/>
        <w:numPr>
          <w:ilvl w:val="1"/>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People with disabilities</w:t>
      </w:r>
      <w:r w:rsidR="00240785">
        <w:rPr>
          <w:rFonts w:ascii="Arial" w:hAnsi="Arial" w:cs="Arial"/>
          <w:sz w:val="22"/>
          <w:szCs w:val="22"/>
        </w:rPr>
        <w:t>;</w:t>
      </w:r>
    </w:p>
    <w:p w14:paraId="745C885A" w14:textId="77777777" w:rsidR="006E4FC5" w:rsidRPr="00D01C85" w:rsidRDefault="006E4FC5" w:rsidP="00092EBA">
      <w:pPr>
        <w:pStyle w:val="ListParagraph"/>
        <w:numPr>
          <w:ilvl w:val="1"/>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War veterans not eligible for military pension</w:t>
      </w:r>
      <w:r w:rsidR="00240785">
        <w:rPr>
          <w:rFonts w:ascii="Arial" w:hAnsi="Arial" w:cs="Arial"/>
          <w:sz w:val="22"/>
          <w:szCs w:val="22"/>
        </w:rPr>
        <w:t>;</w:t>
      </w:r>
    </w:p>
    <w:p w14:paraId="1CE7C940" w14:textId="77777777" w:rsidR="006E4FC5" w:rsidRPr="00D01C85" w:rsidRDefault="006E4FC5" w:rsidP="00092EBA">
      <w:pPr>
        <w:pStyle w:val="ListParagraph"/>
        <w:numPr>
          <w:ilvl w:val="1"/>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Single parent families</w:t>
      </w:r>
      <w:r w:rsidR="00240785">
        <w:rPr>
          <w:rFonts w:ascii="Arial" w:hAnsi="Arial" w:cs="Arial"/>
          <w:sz w:val="22"/>
          <w:szCs w:val="22"/>
        </w:rPr>
        <w:t>;</w:t>
      </w:r>
    </w:p>
    <w:p w14:paraId="03206D1A" w14:textId="77777777" w:rsidR="006E4FC5" w:rsidRPr="00D01C85" w:rsidRDefault="006E4FC5" w:rsidP="00092EBA">
      <w:pPr>
        <w:pStyle w:val="ListParagraph"/>
        <w:numPr>
          <w:ilvl w:val="1"/>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Refugees who have escaped from North Korea</w:t>
      </w:r>
      <w:r w:rsidR="00240785">
        <w:rPr>
          <w:rFonts w:ascii="Arial" w:hAnsi="Arial" w:cs="Arial"/>
          <w:sz w:val="22"/>
          <w:szCs w:val="22"/>
        </w:rPr>
        <w:t>;</w:t>
      </w:r>
    </w:p>
    <w:p w14:paraId="0E06318D" w14:textId="77777777" w:rsidR="006E4FC5" w:rsidRPr="00D01C85" w:rsidRDefault="006E4FC5" w:rsidP="00092EBA">
      <w:pPr>
        <w:pStyle w:val="ListParagraph"/>
        <w:numPr>
          <w:ilvl w:val="0"/>
          <w:numId w:val="9"/>
        </w:numPr>
        <w:spacing w:after="120" w:line="300" w:lineRule="atLeast"/>
        <w:ind w:hanging="295"/>
        <w:contextualSpacing w:val="0"/>
        <w:rPr>
          <w:rFonts w:ascii="Arial" w:hAnsi="Arial" w:cs="Arial"/>
          <w:sz w:val="22"/>
          <w:szCs w:val="22"/>
        </w:rPr>
      </w:pPr>
      <w:r w:rsidRPr="00D01C85">
        <w:rPr>
          <w:rFonts w:ascii="Arial" w:hAnsi="Arial" w:cs="Arial"/>
          <w:sz w:val="22"/>
          <w:szCs w:val="22"/>
        </w:rPr>
        <w:t xml:space="preserve">Contributions are required in most instances; however, the fees are much lower than paying privately. </w:t>
      </w:r>
    </w:p>
    <w:p w14:paraId="1EA79D0F" w14:textId="77777777" w:rsidR="006E4FC5" w:rsidRPr="00D01C85" w:rsidRDefault="006E4FC5" w:rsidP="006E4FC5">
      <w:pPr>
        <w:rPr>
          <w:rFonts w:cs="Arial"/>
          <w:szCs w:val="22"/>
          <w:lang w:eastAsia="en-AU"/>
        </w:rPr>
      </w:pPr>
      <w:r w:rsidRPr="00D01C85">
        <w:rPr>
          <w:rFonts w:cs="Arial"/>
          <w:szCs w:val="22"/>
          <w:lang w:eastAsia="en-AU"/>
        </w:rPr>
        <w:t>Korea Legal Aid Corporation does not appear to consider assets or savings but only considers the household income of the applicant who is seeking assistance. This could potentially result in someone having significant savi</w:t>
      </w:r>
      <w:r w:rsidR="003B69DC">
        <w:rPr>
          <w:rFonts w:cs="Arial"/>
          <w:szCs w:val="22"/>
          <w:lang w:eastAsia="en-AU"/>
        </w:rPr>
        <w:t>ngs but on a low monthly income</w:t>
      </w:r>
      <w:r w:rsidRPr="00D01C85">
        <w:rPr>
          <w:rFonts w:cs="Arial"/>
          <w:szCs w:val="22"/>
          <w:lang w:eastAsia="en-AU"/>
        </w:rPr>
        <w:t xml:space="preserve"> becoming eligible for aid.</w:t>
      </w:r>
    </w:p>
    <w:p w14:paraId="1F4100B9" w14:textId="77777777" w:rsidR="006E4FC5" w:rsidRPr="00446FDB" w:rsidRDefault="006E4FC5" w:rsidP="006E4FC5">
      <w:pPr>
        <w:rPr>
          <w:rFonts w:cs="Arial"/>
          <w:b/>
          <w:szCs w:val="22"/>
          <w:u w:val="single"/>
          <w:lang w:eastAsia="en-AU"/>
        </w:rPr>
      </w:pPr>
      <w:r w:rsidRPr="00446FDB">
        <w:rPr>
          <w:rFonts w:cs="Arial"/>
          <w:b/>
          <w:szCs w:val="22"/>
          <w:u w:val="single"/>
          <w:lang w:eastAsia="en-AU"/>
        </w:rPr>
        <w:t>Scottish Legal Aid Board</w:t>
      </w:r>
    </w:p>
    <w:p w14:paraId="1BC57C7F" w14:textId="77777777" w:rsidR="006E4FC5" w:rsidRPr="003B69DC" w:rsidRDefault="006E4FC5" w:rsidP="006E4FC5">
      <w:pPr>
        <w:rPr>
          <w:rFonts w:cs="Arial"/>
          <w:szCs w:val="22"/>
          <w:lang w:eastAsia="en-AU"/>
        </w:rPr>
      </w:pPr>
      <w:r w:rsidRPr="00D01C85">
        <w:rPr>
          <w:rFonts w:cs="Arial"/>
          <w:i/>
          <w:szCs w:val="22"/>
          <w:lang w:eastAsia="en-AU"/>
        </w:rPr>
        <w:t>Key financial eligibility criteria</w:t>
      </w:r>
      <w:r w:rsidR="003B69DC">
        <w:rPr>
          <w:rStyle w:val="FootnoteReference"/>
          <w:rFonts w:cs="Arial"/>
          <w:i/>
          <w:szCs w:val="22"/>
          <w:lang w:eastAsia="en-AU"/>
        </w:rPr>
        <w:footnoteReference w:id="54"/>
      </w:r>
    </w:p>
    <w:p w14:paraId="0245CBF6" w14:textId="77777777" w:rsidR="006E4FC5" w:rsidRPr="00D01C85" w:rsidRDefault="006E4FC5" w:rsidP="00092EBA">
      <w:pPr>
        <w:pStyle w:val="ListParagraph"/>
        <w:numPr>
          <w:ilvl w:val="0"/>
          <w:numId w:val="12"/>
        </w:numPr>
        <w:spacing w:after="120" w:line="300" w:lineRule="atLeast"/>
        <w:ind w:hanging="295"/>
        <w:contextualSpacing w:val="0"/>
        <w:rPr>
          <w:rFonts w:ascii="Arial" w:hAnsi="Arial" w:cs="Arial"/>
          <w:sz w:val="22"/>
          <w:szCs w:val="22"/>
        </w:rPr>
      </w:pPr>
      <w:r w:rsidRPr="00D01C85">
        <w:rPr>
          <w:rFonts w:ascii="Arial" w:hAnsi="Arial" w:cs="Arial"/>
          <w:sz w:val="22"/>
          <w:szCs w:val="22"/>
        </w:rPr>
        <w:t>The means test operates differently for civil cases versus criminal cases (in this instance family law matters fall under civil), with the basis for criminal matters being the “undue hardship” test, which compares the likely cost of the trial with</w:t>
      </w:r>
      <w:r w:rsidR="00326621">
        <w:rPr>
          <w:rFonts w:ascii="Arial" w:hAnsi="Arial" w:cs="Arial"/>
          <w:sz w:val="22"/>
          <w:szCs w:val="22"/>
        </w:rPr>
        <w:t xml:space="preserve"> the person’s income and assets</w:t>
      </w:r>
      <w:r w:rsidR="00240785">
        <w:rPr>
          <w:rFonts w:ascii="Arial" w:hAnsi="Arial" w:cs="Arial"/>
          <w:sz w:val="22"/>
          <w:szCs w:val="22"/>
        </w:rPr>
        <w:t>;</w:t>
      </w:r>
    </w:p>
    <w:p w14:paraId="4AAE5C35" w14:textId="77777777" w:rsidR="006E4FC5" w:rsidRPr="00D01C85" w:rsidRDefault="006E4FC5" w:rsidP="00092EBA">
      <w:pPr>
        <w:pStyle w:val="ListParagraph"/>
        <w:numPr>
          <w:ilvl w:val="0"/>
          <w:numId w:val="12"/>
        </w:numPr>
        <w:spacing w:after="120" w:line="300" w:lineRule="atLeast"/>
        <w:ind w:hanging="295"/>
        <w:contextualSpacing w:val="0"/>
        <w:rPr>
          <w:rFonts w:ascii="Arial" w:hAnsi="Arial" w:cs="Arial"/>
          <w:sz w:val="22"/>
          <w:szCs w:val="22"/>
        </w:rPr>
      </w:pPr>
      <w:r w:rsidRPr="00D01C85">
        <w:rPr>
          <w:rFonts w:ascii="Arial" w:hAnsi="Arial" w:cs="Arial"/>
          <w:sz w:val="22"/>
          <w:szCs w:val="22"/>
        </w:rPr>
        <w:t xml:space="preserve">When a person is in receipt of certain benefits; the agency does not require any further information or documentation </w:t>
      </w:r>
      <w:r w:rsidR="00326621">
        <w:rPr>
          <w:rFonts w:ascii="Arial" w:hAnsi="Arial" w:cs="Arial"/>
          <w:sz w:val="22"/>
          <w:szCs w:val="22"/>
        </w:rPr>
        <w:t>about their financial situation</w:t>
      </w:r>
      <w:r w:rsidR="00240785">
        <w:rPr>
          <w:rFonts w:ascii="Arial" w:hAnsi="Arial" w:cs="Arial"/>
          <w:sz w:val="22"/>
          <w:szCs w:val="22"/>
        </w:rPr>
        <w:t>;</w:t>
      </w:r>
    </w:p>
    <w:p w14:paraId="1E142DCE" w14:textId="77777777" w:rsidR="006E4FC5" w:rsidRPr="00D01C85" w:rsidRDefault="006E4FC5" w:rsidP="00092EBA">
      <w:pPr>
        <w:pStyle w:val="ListParagraph"/>
        <w:numPr>
          <w:ilvl w:val="0"/>
          <w:numId w:val="12"/>
        </w:numPr>
        <w:spacing w:after="120" w:line="300" w:lineRule="atLeast"/>
        <w:ind w:hanging="295"/>
        <w:contextualSpacing w:val="0"/>
        <w:rPr>
          <w:rFonts w:ascii="Arial" w:hAnsi="Arial" w:cs="Arial"/>
          <w:sz w:val="22"/>
          <w:szCs w:val="22"/>
        </w:rPr>
      </w:pPr>
      <w:r w:rsidRPr="00D01C85">
        <w:rPr>
          <w:rFonts w:ascii="Arial" w:hAnsi="Arial" w:cs="Arial"/>
          <w:sz w:val="22"/>
          <w:szCs w:val="22"/>
        </w:rPr>
        <w:t>Financially associated persons are limited to the income and assets of</w:t>
      </w:r>
      <w:r w:rsidR="00326621">
        <w:rPr>
          <w:rFonts w:ascii="Arial" w:hAnsi="Arial" w:cs="Arial"/>
          <w:sz w:val="22"/>
          <w:szCs w:val="22"/>
        </w:rPr>
        <w:t xml:space="preserve"> the spouse or domestic partner</w:t>
      </w:r>
      <w:r w:rsidR="00240785">
        <w:rPr>
          <w:rFonts w:ascii="Arial" w:hAnsi="Arial" w:cs="Arial"/>
          <w:sz w:val="22"/>
          <w:szCs w:val="22"/>
        </w:rPr>
        <w:t>; and</w:t>
      </w:r>
    </w:p>
    <w:p w14:paraId="072E0C6F" w14:textId="7C5BAAAF" w:rsidR="006E4FC5" w:rsidRPr="00D01C85" w:rsidRDefault="006E4FC5" w:rsidP="00092EBA">
      <w:pPr>
        <w:pStyle w:val="ListParagraph"/>
        <w:numPr>
          <w:ilvl w:val="0"/>
          <w:numId w:val="12"/>
        </w:numPr>
        <w:spacing w:after="120" w:line="300" w:lineRule="atLeast"/>
        <w:ind w:hanging="295"/>
        <w:contextualSpacing w:val="0"/>
        <w:rPr>
          <w:rFonts w:ascii="Arial" w:hAnsi="Arial" w:cs="Arial"/>
          <w:sz w:val="22"/>
          <w:szCs w:val="22"/>
        </w:rPr>
      </w:pPr>
      <w:r w:rsidRPr="00D01C85">
        <w:rPr>
          <w:rFonts w:ascii="Arial" w:hAnsi="Arial" w:cs="Arial"/>
          <w:sz w:val="22"/>
          <w:szCs w:val="22"/>
        </w:rPr>
        <w:t>When assessing a</w:t>
      </w:r>
      <w:r w:rsidR="00893DA1">
        <w:rPr>
          <w:rFonts w:ascii="Arial" w:hAnsi="Arial" w:cs="Arial"/>
          <w:sz w:val="22"/>
          <w:szCs w:val="22"/>
        </w:rPr>
        <w:t>ssets, the applicant’s principal</w:t>
      </w:r>
      <w:r w:rsidRPr="00D01C85">
        <w:rPr>
          <w:rFonts w:ascii="Arial" w:hAnsi="Arial" w:cs="Arial"/>
          <w:sz w:val="22"/>
          <w:szCs w:val="22"/>
        </w:rPr>
        <w:t xml:space="preserve"> place of residence is not assessed, with equitable charges being used only where a contribution is imposed. </w:t>
      </w:r>
    </w:p>
    <w:p w14:paraId="0C9FB493" w14:textId="77777777" w:rsidR="00C56174" w:rsidRDefault="00C56174">
      <w:pPr>
        <w:spacing w:after="160" w:line="259" w:lineRule="auto"/>
        <w:rPr>
          <w:rFonts w:cs="Arial"/>
          <w:i/>
          <w:szCs w:val="22"/>
          <w:lang w:eastAsia="en-AU"/>
        </w:rPr>
      </w:pPr>
      <w:r>
        <w:rPr>
          <w:rFonts w:cs="Arial"/>
          <w:i/>
          <w:szCs w:val="22"/>
          <w:lang w:eastAsia="en-AU"/>
        </w:rPr>
        <w:br w:type="page"/>
      </w:r>
    </w:p>
    <w:p w14:paraId="65DF325C" w14:textId="77777777" w:rsidR="006E4FC5" w:rsidRPr="00D01C85" w:rsidRDefault="006E4FC5" w:rsidP="006E4FC5">
      <w:pPr>
        <w:rPr>
          <w:rFonts w:cs="Arial"/>
          <w:i/>
          <w:szCs w:val="22"/>
          <w:lang w:eastAsia="en-AU"/>
        </w:rPr>
      </w:pPr>
      <w:r w:rsidRPr="00D01C85">
        <w:rPr>
          <w:rFonts w:cs="Arial"/>
          <w:i/>
          <w:szCs w:val="22"/>
          <w:lang w:eastAsia="en-AU"/>
        </w:rPr>
        <w:lastRenderedPageBreak/>
        <w:t>Evaluation</w:t>
      </w:r>
    </w:p>
    <w:p w14:paraId="3E9BCDC9" w14:textId="77777777" w:rsidR="00326621" w:rsidRPr="000A6977" w:rsidRDefault="006E4FC5" w:rsidP="000A6977">
      <w:pPr>
        <w:rPr>
          <w:rFonts w:cs="Arial"/>
          <w:szCs w:val="22"/>
          <w:lang w:eastAsia="en-AU"/>
        </w:rPr>
      </w:pPr>
      <w:r w:rsidRPr="00D01C85">
        <w:rPr>
          <w:rFonts w:cs="Arial"/>
          <w:szCs w:val="22"/>
          <w:lang w:eastAsia="en-AU"/>
        </w:rPr>
        <w:t>The SLAB website provides an eligibility calculator, which lets people see whether they may be eligible for aid. This is</w:t>
      </w:r>
      <w:r w:rsidR="00326621">
        <w:rPr>
          <w:rFonts w:cs="Arial"/>
          <w:szCs w:val="22"/>
          <w:lang w:eastAsia="en-AU"/>
        </w:rPr>
        <w:t xml:space="preserve"> also</w:t>
      </w:r>
      <w:r w:rsidRPr="00D01C85">
        <w:rPr>
          <w:rFonts w:cs="Arial"/>
          <w:szCs w:val="22"/>
          <w:lang w:eastAsia="en-AU"/>
        </w:rPr>
        <w:t xml:space="preserve"> one of the options listed in our paper. A report on the financial health of legal aid firms in Scotland was recently published finding that many firms can no longer afford to undertake legal aid work as they are operating at a loss.</w:t>
      </w:r>
      <w:r w:rsidRPr="00D01C85">
        <w:rPr>
          <w:rStyle w:val="FootnoteReference"/>
          <w:rFonts w:cs="Arial"/>
          <w:szCs w:val="22"/>
          <w:lang w:eastAsia="en-AU"/>
        </w:rPr>
        <w:footnoteReference w:id="55"/>
      </w:r>
      <w:r w:rsidRPr="00D01C85">
        <w:rPr>
          <w:rFonts w:cs="Arial"/>
          <w:szCs w:val="22"/>
          <w:lang w:eastAsia="en-AU"/>
        </w:rPr>
        <w:t xml:space="preserve"> The means test itself seems to operate in a similar way to VLA’s means test, with notable efforts to streamline the test where it is likely that a person will be eligible for assistance – such as where a person is in receipt of benefits. </w:t>
      </w:r>
      <w:bookmarkStart w:id="34" w:name="_Toc479066460"/>
    </w:p>
    <w:p w14:paraId="7A32741A" w14:textId="77777777" w:rsidR="006E4FC5" w:rsidRPr="00C56174" w:rsidRDefault="006E4FC5" w:rsidP="006E4FC5">
      <w:pPr>
        <w:pStyle w:val="Heading1"/>
        <w:spacing w:before="0"/>
        <w:rPr>
          <w:sz w:val="28"/>
          <w:szCs w:val="28"/>
        </w:rPr>
      </w:pPr>
      <w:r w:rsidRPr="00C56174">
        <w:rPr>
          <w:sz w:val="28"/>
          <w:szCs w:val="28"/>
        </w:rPr>
        <w:t>Government Agencies</w:t>
      </w:r>
      <w:bookmarkEnd w:id="34"/>
    </w:p>
    <w:p w14:paraId="7C9D12B6" w14:textId="77777777" w:rsidR="006E4FC5" w:rsidRPr="00D01C85" w:rsidRDefault="006E4FC5" w:rsidP="006E4FC5">
      <w:pPr>
        <w:rPr>
          <w:rFonts w:cs="Arial"/>
          <w:szCs w:val="22"/>
          <w:lang w:eastAsia="en-AU"/>
        </w:rPr>
      </w:pPr>
      <w:r w:rsidRPr="00D01C85">
        <w:rPr>
          <w:rFonts w:cs="Arial"/>
          <w:szCs w:val="22"/>
          <w:lang w:eastAsia="en-AU"/>
        </w:rPr>
        <w:t>Part of our review involved looking at government agencies within Austra</w:t>
      </w:r>
      <w:r w:rsidR="00FB687B">
        <w:rPr>
          <w:rFonts w:cs="Arial"/>
          <w:szCs w:val="22"/>
          <w:lang w:eastAsia="en-AU"/>
        </w:rPr>
        <w:t>lia to examine if they assessed</w:t>
      </w:r>
      <w:r w:rsidRPr="00D01C85">
        <w:rPr>
          <w:rFonts w:cs="Arial"/>
          <w:szCs w:val="22"/>
          <w:lang w:eastAsia="en-AU"/>
        </w:rPr>
        <w:t xml:space="preserve"> finances different</w:t>
      </w:r>
      <w:r w:rsidR="00FB687B">
        <w:rPr>
          <w:rFonts w:cs="Arial"/>
          <w:szCs w:val="22"/>
          <w:lang w:eastAsia="en-AU"/>
        </w:rPr>
        <w:t>ly</w:t>
      </w:r>
      <w:r w:rsidRPr="00D01C85">
        <w:rPr>
          <w:rFonts w:cs="Arial"/>
          <w:szCs w:val="22"/>
          <w:lang w:eastAsia="en-AU"/>
        </w:rPr>
        <w:t xml:space="preserve"> when providing services to those in need. Many of the services that we consider essential, such as healthcare and education, have no financial testing to gain some level of access to these services, as these are considered ‘universal’</w:t>
      </w:r>
      <w:r w:rsidR="00FB687B">
        <w:rPr>
          <w:rFonts w:cs="Arial"/>
          <w:szCs w:val="22"/>
          <w:lang w:eastAsia="en-AU"/>
        </w:rPr>
        <w:t xml:space="preserve"> and are generally accessible to all</w:t>
      </w:r>
      <w:r w:rsidRPr="00D01C85">
        <w:rPr>
          <w:rFonts w:cs="Arial"/>
          <w:szCs w:val="22"/>
          <w:lang w:eastAsia="en-AU"/>
        </w:rPr>
        <w:t xml:space="preserve">. </w:t>
      </w:r>
    </w:p>
    <w:p w14:paraId="30E3C754" w14:textId="77777777" w:rsidR="006E4FC5" w:rsidRPr="00D01C85" w:rsidRDefault="006E4FC5" w:rsidP="006E4FC5">
      <w:pPr>
        <w:rPr>
          <w:rFonts w:cs="Arial"/>
          <w:b/>
          <w:szCs w:val="22"/>
          <w:u w:val="single"/>
          <w:lang w:eastAsia="en-AU"/>
        </w:rPr>
      </w:pPr>
      <w:r w:rsidRPr="00D01C85">
        <w:rPr>
          <w:rFonts w:cs="Arial"/>
          <w:b/>
          <w:szCs w:val="22"/>
          <w:u w:val="single"/>
          <w:lang w:eastAsia="en-AU"/>
        </w:rPr>
        <w:t>Enable NSW</w:t>
      </w:r>
    </w:p>
    <w:p w14:paraId="2D62BB0E" w14:textId="77777777" w:rsidR="006E4FC5" w:rsidRPr="00D01C85" w:rsidRDefault="006E4FC5" w:rsidP="006E4FC5">
      <w:pPr>
        <w:rPr>
          <w:rFonts w:cs="Arial"/>
          <w:szCs w:val="22"/>
          <w:lang w:eastAsia="en-AU"/>
        </w:rPr>
      </w:pPr>
      <w:r w:rsidRPr="00D01C85">
        <w:rPr>
          <w:rFonts w:cs="Arial"/>
          <w:szCs w:val="22"/>
          <w:lang w:eastAsia="en-AU"/>
        </w:rPr>
        <w:t xml:space="preserve">Enable NSW is a single state-wide service providing equipment support services for people with disabilities in NSW. </w:t>
      </w:r>
    </w:p>
    <w:p w14:paraId="3FAEE440" w14:textId="77777777" w:rsidR="006E4FC5" w:rsidRPr="000A6977" w:rsidRDefault="001F2369" w:rsidP="006E4FC5">
      <w:pPr>
        <w:rPr>
          <w:rFonts w:cs="Arial"/>
          <w:szCs w:val="22"/>
          <w:lang w:eastAsia="en-AU"/>
        </w:rPr>
      </w:pPr>
      <w:r>
        <w:rPr>
          <w:rFonts w:cs="Arial"/>
          <w:i/>
          <w:szCs w:val="22"/>
          <w:lang w:eastAsia="en-AU"/>
        </w:rPr>
        <w:t>Key financial eligibility c</w:t>
      </w:r>
      <w:r w:rsidR="006E4FC5" w:rsidRPr="00D01C85">
        <w:rPr>
          <w:rFonts w:cs="Arial"/>
          <w:i/>
          <w:szCs w:val="22"/>
          <w:lang w:eastAsia="en-AU"/>
        </w:rPr>
        <w:t>riteria</w:t>
      </w:r>
      <w:r w:rsidR="000A6977">
        <w:rPr>
          <w:rStyle w:val="FootnoteReference"/>
          <w:rFonts w:cs="Arial"/>
          <w:i/>
          <w:szCs w:val="22"/>
          <w:lang w:eastAsia="en-AU"/>
        </w:rPr>
        <w:footnoteReference w:id="56"/>
      </w:r>
    </w:p>
    <w:p w14:paraId="33772EC3" w14:textId="77777777" w:rsidR="006E4FC5" w:rsidRPr="00D01C85" w:rsidRDefault="006E4FC5" w:rsidP="00240785">
      <w:pPr>
        <w:pStyle w:val="ListParagraph"/>
        <w:numPr>
          <w:ilvl w:val="0"/>
          <w:numId w:val="7"/>
        </w:numPr>
        <w:spacing w:after="120" w:line="300" w:lineRule="atLeast"/>
        <w:ind w:hanging="295"/>
        <w:contextualSpacing w:val="0"/>
        <w:rPr>
          <w:rFonts w:ascii="Arial" w:hAnsi="Arial" w:cs="Arial"/>
          <w:sz w:val="22"/>
          <w:szCs w:val="22"/>
        </w:rPr>
      </w:pPr>
      <w:r w:rsidRPr="00D01C85">
        <w:rPr>
          <w:rFonts w:ascii="Arial" w:hAnsi="Arial" w:cs="Arial"/>
          <w:sz w:val="22"/>
          <w:szCs w:val="22"/>
        </w:rPr>
        <w:t>Criteria involves three financial bands that determine the level of contribution that a</w:t>
      </w:r>
      <w:r w:rsidR="000A6977">
        <w:rPr>
          <w:rFonts w:ascii="Arial" w:hAnsi="Arial" w:cs="Arial"/>
          <w:sz w:val="22"/>
          <w:szCs w:val="22"/>
        </w:rPr>
        <w:t>n applicant is required to make</w:t>
      </w:r>
    </w:p>
    <w:p w14:paraId="7E49BB90" w14:textId="77777777" w:rsidR="006E4FC5" w:rsidRPr="00D01C85" w:rsidRDefault="006E4FC5" w:rsidP="00240785">
      <w:pPr>
        <w:pStyle w:val="ListParagraph"/>
        <w:numPr>
          <w:ilvl w:val="0"/>
          <w:numId w:val="7"/>
        </w:numPr>
        <w:spacing w:after="120" w:line="300" w:lineRule="atLeast"/>
        <w:ind w:hanging="295"/>
        <w:contextualSpacing w:val="0"/>
        <w:rPr>
          <w:rFonts w:ascii="Arial" w:hAnsi="Arial" w:cs="Arial"/>
          <w:sz w:val="22"/>
          <w:szCs w:val="22"/>
        </w:rPr>
      </w:pPr>
      <w:r w:rsidRPr="00D01C85">
        <w:rPr>
          <w:rFonts w:ascii="Arial" w:hAnsi="Arial" w:cs="Arial"/>
          <w:sz w:val="22"/>
          <w:szCs w:val="22"/>
        </w:rPr>
        <w:t>Minimu</w:t>
      </w:r>
      <w:r w:rsidR="000A6977">
        <w:rPr>
          <w:rFonts w:ascii="Arial" w:hAnsi="Arial" w:cs="Arial"/>
          <w:sz w:val="22"/>
          <w:szCs w:val="22"/>
        </w:rPr>
        <w:t>m $100 co-payment for all bands</w:t>
      </w:r>
    </w:p>
    <w:p w14:paraId="6DAD8383" w14:textId="77777777" w:rsidR="006E4FC5" w:rsidRPr="00D01C85" w:rsidRDefault="006E4FC5" w:rsidP="00240785">
      <w:pPr>
        <w:pStyle w:val="ListParagraph"/>
        <w:numPr>
          <w:ilvl w:val="0"/>
          <w:numId w:val="7"/>
        </w:numPr>
        <w:spacing w:after="120" w:line="300" w:lineRule="atLeast"/>
        <w:ind w:hanging="295"/>
        <w:contextualSpacing w:val="0"/>
        <w:rPr>
          <w:rFonts w:ascii="Arial" w:hAnsi="Arial" w:cs="Arial"/>
          <w:sz w:val="22"/>
          <w:szCs w:val="22"/>
        </w:rPr>
      </w:pPr>
      <w:r w:rsidRPr="00D01C85">
        <w:rPr>
          <w:rFonts w:ascii="Arial" w:hAnsi="Arial" w:cs="Arial"/>
          <w:sz w:val="22"/>
          <w:szCs w:val="22"/>
        </w:rPr>
        <w:t>The applicant must have a permanent or long-term disability (defined as lasting more than 12 months)</w:t>
      </w:r>
    </w:p>
    <w:p w14:paraId="349B30B3" w14:textId="77777777" w:rsidR="006E4FC5" w:rsidRPr="00FB687B" w:rsidRDefault="006E4FC5" w:rsidP="00240785">
      <w:pPr>
        <w:pStyle w:val="ListParagraph"/>
        <w:numPr>
          <w:ilvl w:val="0"/>
          <w:numId w:val="7"/>
        </w:numPr>
        <w:spacing w:after="240" w:line="300" w:lineRule="atLeast"/>
        <w:ind w:hanging="295"/>
        <w:contextualSpacing w:val="0"/>
        <w:rPr>
          <w:rFonts w:ascii="Arial" w:hAnsi="Arial" w:cs="Arial"/>
          <w:sz w:val="22"/>
          <w:szCs w:val="22"/>
        </w:rPr>
      </w:pPr>
      <w:r w:rsidRPr="00D01C85">
        <w:rPr>
          <w:rFonts w:ascii="Arial" w:hAnsi="Arial" w:cs="Arial"/>
          <w:sz w:val="22"/>
          <w:szCs w:val="22"/>
        </w:rPr>
        <w:t>Parents</w:t>
      </w:r>
      <w:r w:rsidR="001F2369">
        <w:rPr>
          <w:rFonts w:ascii="Arial" w:hAnsi="Arial" w:cs="Arial"/>
          <w:sz w:val="22"/>
          <w:szCs w:val="22"/>
        </w:rPr>
        <w:t>’</w:t>
      </w:r>
      <w:r w:rsidRPr="00D01C85">
        <w:rPr>
          <w:rFonts w:ascii="Arial" w:hAnsi="Arial" w:cs="Arial"/>
          <w:sz w:val="22"/>
          <w:szCs w:val="22"/>
        </w:rPr>
        <w:t xml:space="preserve"> income is not considered for children up to the age of 16.</w:t>
      </w:r>
    </w:p>
    <w:tbl>
      <w:tblPr>
        <w:tblStyle w:val="TableGrid"/>
        <w:tblW w:w="0" w:type="auto"/>
        <w:tblLook w:val="04A0" w:firstRow="1" w:lastRow="0" w:firstColumn="1" w:lastColumn="0" w:noHBand="0" w:noVBand="1"/>
      </w:tblPr>
      <w:tblGrid>
        <w:gridCol w:w="2689"/>
        <w:gridCol w:w="6327"/>
      </w:tblGrid>
      <w:tr w:rsidR="006E4FC5" w:rsidRPr="00D01C85" w14:paraId="7EF9838E" w14:textId="77777777" w:rsidTr="00092EBA">
        <w:tc>
          <w:tcPr>
            <w:tcW w:w="2689" w:type="dxa"/>
            <w:shd w:val="clear" w:color="auto" w:fill="BDD6EE" w:themeFill="accent1" w:themeFillTint="66"/>
          </w:tcPr>
          <w:p w14:paraId="40A82376" w14:textId="77777777" w:rsidR="006E4FC5" w:rsidRPr="00D01C85" w:rsidRDefault="006E4FC5" w:rsidP="00092EBA">
            <w:pPr>
              <w:rPr>
                <w:rFonts w:cs="Arial"/>
                <w:b/>
                <w:szCs w:val="22"/>
                <w:lang w:eastAsia="en-AU"/>
              </w:rPr>
            </w:pPr>
            <w:r w:rsidRPr="00D01C85">
              <w:rPr>
                <w:rFonts w:cs="Arial"/>
                <w:b/>
                <w:szCs w:val="22"/>
                <w:lang w:eastAsia="en-AU"/>
              </w:rPr>
              <w:t>Band 1</w:t>
            </w:r>
          </w:p>
        </w:tc>
        <w:tc>
          <w:tcPr>
            <w:tcW w:w="6327" w:type="dxa"/>
            <w:shd w:val="clear" w:color="auto" w:fill="BDD6EE" w:themeFill="accent1" w:themeFillTint="66"/>
          </w:tcPr>
          <w:p w14:paraId="0D6536F1" w14:textId="77777777" w:rsidR="006E4FC5" w:rsidRPr="00D01C85" w:rsidRDefault="006E4FC5" w:rsidP="00092EBA">
            <w:pPr>
              <w:rPr>
                <w:rFonts w:cs="Arial"/>
                <w:szCs w:val="22"/>
                <w:lang w:eastAsia="en-AU"/>
              </w:rPr>
            </w:pPr>
            <w:r w:rsidRPr="00D01C85">
              <w:rPr>
                <w:rFonts w:cs="Arial"/>
                <w:szCs w:val="22"/>
                <w:lang w:eastAsia="en-AU"/>
              </w:rPr>
              <w:t>Adults on full pension and children under 16 years</w:t>
            </w:r>
          </w:p>
        </w:tc>
      </w:tr>
      <w:tr w:rsidR="006E4FC5" w:rsidRPr="00D01C85" w14:paraId="0E3CB64C" w14:textId="77777777" w:rsidTr="00092EBA">
        <w:tc>
          <w:tcPr>
            <w:tcW w:w="2689" w:type="dxa"/>
            <w:shd w:val="clear" w:color="auto" w:fill="BDD6EE" w:themeFill="accent1" w:themeFillTint="66"/>
          </w:tcPr>
          <w:p w14:paraId="4538CDC8" w14:textId="77777777" w:rsidR="006E4FC5" w:rsidRPr="00D01C85" w:rsidRDefault="006E4FC5" w:rsidP="00092EBA">
            <w:pPr>
              <w:rPr>
                <w:rFonts w:cs="Arial"/>
                <w:b/>
                <w:szCs w:val="22"/>
                <w:lang w:eastAsia="en-AU"/>
              </w:rPr>
            </w:pPr>
            <w:r w:rsidRPr="00D01C85">
              <w:rPr>
                <w:rFonts w:cs="Arial"/>
                <w:b/>
                <w:szCs w:val="22"/>
                <w:lang w:eastAsia="en-AU"/>
              </w:rPr>
              <w:t>Band 2</w:t>
            </w:r>
          </w:p>
        </w:tc>
        <w:tc>
          <w:tcPr>
            <w:tcW w:w="6327" w:type="dxa"/>
            <w:shd w:val="clear" w:color="auto" w:fill="BDD6EE" w:themeFill="accent1" w:themeFillTint="66"/>
          </w:tcPr>
          <w:p w14:paraId="2F3B3A6A" w14:textId="77777777" w:rsidR="006E4FC5" w:rsidRPr="00D01C85" w:rsidRDefault="006E4FC5" w:rsidP="00092EBA">
            <w:pPr>
              <w:rPr>
                <w:rFonts w:cs="Arial"/>
                <w:szCs w:val="22"/>
                <w:lang w:eastAsia="en-AU"/>
              </w:rPr>
            </w:pPr>
            <w:r w:rsidRPr="00D01C85">
              <w:rPr>
                <w:rFonts w:cs="Arial"/>
                <w:szCs w:val="22"/>
                <w:lang w:eastAsia="en-AU"/>
              </w:rPr>
              <w:t>Up to $42,000 for a single person, with a higher threshold for couples and additional amounts allowed per depend</w:t>
            </w:r>
            <w:r>
              <w:rPr>
                <w:rFonts w:cs="Arial"/>
                <w:szCs w:val="22"/>
                <w:lang w:eastAsia="en-AU"/>
              </w:rPr>
              <w:t>a</w:t>
            </w:r>
            <w:r w:rsidRPr="00D01C85">
              <w:rPr>
                <w:rFonts w:cs="Arial"/>
                <w:szCs w:val="22"/>
                <w:lang w:eastAsia="en-AU"/>
              </w:rPr>
              <w:t>nt.</w:t>
            </w:r>
          </w:p>
        </w:tc>
      </w:tr>
      <w:tr w:rsidR="006E4FC5" w:rsidRPr="00D01C85" w14:paraId="3B3D3A40" w14:textId="77777777" w:rsidTr="00092EBA">
        <w:tc>
          <w:tcPr>
            <w:tcW w:w="2689" w:type="dxa"/>
            <w:shd w:val="clear" w:color="auto" w:fill="BDD6EE" w:themeFill="accent1" w:themeFillTint="66"/>
          </w:tcPr>
          <w:p w14:paraId="4A2A4784" w14:textId="77777777" w:rsidR="006E4FC5" w:rsidRPr="00D01C85" w:rsidRDefault="006E4FC5" w:rsidP="00092EBA">
            <w:pPr>
              <w:rPr>
                <w:rFonts w:cs="Arial"/>
                <w:b/>
                <w:szCs w:val="22"/>
                <w:lang w:eastAsia="en-AU"/>
              </w:rPr>
            </w:pPr>
            <w:r w:rsidRPr="00D01C85">
              <w:rPr>
                <w:rFonts w:cs="Arial"/>
                <w:b/>
                <w:szCs w:val="22"/>
                <w:lang w:eastAsia="en-AU"/>
              </w:rPr>
              <w:t>Band 3</w:t>
            </w:r>
          </w:p>
        </w:tc>
        <w:tc>
          <w:tcPr>
            <w:tcW w:w="6327" w:type="dxa"/>
            <w:shd w:val="clear" w:color="auto" w:fill="BDD6EE" w:themeFill="accent1" w:themeFillTint="66"/>
          </w:tcPr>
          <w:p w14:paraId="53067ED9" w14:textId="77777777" w:rsidR="006E4FC5" w:rsidRPr="00D01C85" w:rsidRDefault="006E4FC5" w:rsidP="00092EBA">
            <w:pPr>
              <w:rPr>
                <w:rFonts w:cs="Arial"/>
                <w:szCs w:val="22"/>
                <w:lang w:eastAsia="en-AU"/>
              </w:rPr>
            </w:pPr>
            <w:r w:rsidRPr="00D01C85">
              <w:rPr>
                <w:rFonts w:cs="Arial"/>
                <w:szCs w:val="22"/>
                <w:lang w:eastAsia="en-AU"/>
              </w:rPr>
              <w:t>Over $42,000 and will result in the applicant paying for 20% for devices costing $800 and above.</w:t>
            </w:r>
          </w:p>
        </w:tc>
      </w:tr>
    </w:tbl>
    <w:p w14:paraId="36F086E9" w14:textId="77777777" w:rsidR="006E4FC5" w:rsidRPr="00446FDB" w:rsidRDefault="006E4FC5" w:rsidP="00240785">
      <w:pPr>
        <w:spacing w:before="120"/>
        <w:rPr>
          <w:rFonts w:cs="Arial"/>
          <w:b/>
          <w:szCs w:val="22"/>
          <w:u w:val="single"/>
          <w:lang w:eastAsia="en-AU"/>
        </w:rPr>
      </w:pPr>
      <w:r w:rsidRPr="00446FDB">
        <w:rPr>
          <w:rFonts w:cs="Arial"/>
          <w:b/>
          <w:szCs w:val="22"/>
          <w:u w:val="single"/>
          <w:lang w:eastAsia="en-AU"/>
        </w:rPr>
        <w:t xml:space="preserve">Centrelink </w:t>
      </w:r>
    </w:p>
    <w:p w14:paraId="4474746F" w14:textId="77777777" w:rsidR="006E4FC5" w:rsidRPr="00D01C85" w:rsidRDefault="006E4FC5" w:rsidP="006E4FC5">
      <w:pPr>
        <w:rPr>
          <w:rFonts w:cs="Arial"/>
          <w:szCs w:val="22"/>
          <w:lang w:eastAsia="en-AU"/>
        </w:rPr>
      </w:pPr>
      <w:r w:rsidRPr="00D01C85">
        <w:rPr>
          <w:rFonts w:cs="Arial"/>
          <w:szCs w:val="22"/>
          <w:lang w:eastAsia="en-AU"/>
        </w:rPr>
        <w:t xml:space="preserve">Centrelink has several different eligibility tests depending on the type of benefit that a person is seeking. We’ve reviewed two of the main benefits, the Disability Support Pension and the Newstart Allowance. Each have a very different purpose. Newstart allowance is used to provide financial support while a person is looking for employment, while the Disability </w:t>
      </w:r>
      <w:r w:rsidRPr="00D01C85">
        <w:rPr>
          <w:rFonts w:cs="Arial"/>
          <w:szCs w:val="22"/>
          <w:lang w:eastAsia="en-AU"/>
        </w:rPr>
        <w:lastRenderedPageBreak/>
        <w:t>Support Pension provides ongoing financial support for people who have certain disabilities. Both pensions have n</w:t>
      </w:r>
      <w:r w:rsidR="000A6977">
        <w:rPr>
          <w:rFonts w:cs="Arial"/>
          <w:szCs w:val="22"/>
          <w:lang w:eastAsia="en-AU"/>
        </w:rPr>
        <w:t>on-financial criteria that need</w:t>
      </w:r>
      <w:r w:rsidRPr="00D01C85">
        <w:rPr>
          <w:rFonts w:cs="Arial"/>
          <w:szCs w:val="22"/>
          <w:lang w:eastAsia="en-AU"/>
        </w:rPr>
        <w:t xml:space="preserve"> to be met to qualify. </w:t>
      </w:r>
    </w:p>
    <w:p w14:paraId="42A38D5B" w14:textId="77777777" w:rsidR="006E4FC5" w:rsidRPr="00D01C85" w:rsidRDefault="006E4FC5" w:rsidP="006E4FC5">
      <w:pPr>
        <w:rPr>
          <w:rFonts w:cs="Arial"/>
          <w:szCs w:val="22"/>
          <w:lang w:eastAsia="en-AU"/>
        </w:rPr>
      </w:pPr>
      <w:r w:rsidRPr="00D01C85">
        <w:rPr>
          <w:rFonts w:cs="Arial"/>
          <w:szCs w:val="22"/>
          <w:lang w:eastAsia="en-AU"/>
        </w:rPr>
        <w:t>The assets tests are simplified to consider lump sum asset amounts in contrast to VLA which assigns a value to each asset. Financially associated persons are also limited to a spouse or de facto. The financial circumstances of the applicant are an ongoing consideration to the eligibility of the person receiving the pension, and therefore the requirement to keep current fi</w:t>
      </w:r>
      <w:r w:rsidR="000A6977">
        <w:rPr>
          <w:rFonts w:cs="Arial"/>
          <w:szCs w:val="22"/>
          <w:lang w:eastAsia="en-AU"/>
        </w:rPr>
        <w:t>nancial information is essential</w:t>
      </w:r>
      <w:r w:rsidRPr="00D01C85">
        <w:rPr>
          <w:rFonts w:cs="Arial"/>
          <w:szCs w:val="22"/>
          <w:lang w:eastAsia="en-AU"/>
        </w:rPr>
        <w:t>. In contrast, while VLA requi</w:t>
      </w:r>
      <w:r w:rsidR="000A6977">
        <w:rPr>
          <w:rFonts w:cs="Arial"/>
          <w:szCs w:val="22"/>
          <w:lang w:eastAsia="en-AU"/>
        </w:rPr>
        <w:t>res the applicant to notify us</w:t>
      </w:r>
      <w:r w:rsidRPr="00D01C85">
        <w:rPr>
          <w:rFonts w:cs="Arial"/>
          <w:szCs w:val="22"/>
          <w:lang w:eastAsia="en-AU"/>
        </w:rPr>
        <w:t xml:space="preserve"> when their financial circumstances change, generally their circumstances are considered valid for 12 months without ongoing monitoring. </w:t>
      </w:r>
    </w:p>
    <w:p w14:paraId="1772BD65" w14:textId="77777777" w:rsidR="006E4FC5" w:rsidRPr="00D01C85" w:rsidRDefault="006E4FC5" w:rsidP="006E4FC5">
      <w:pPr>
        <w:rPr>
          <w:rFonts w:cs="Arial"/>
          <w:szCs w:val="22"/>
          <w:lang w:eastAsia="en-AU"/>
        </w:rPr>
      </w:pPr>
      <w:r w:rsidRPr="00D01C85">
        <w:rPr>
          <w:rFonts w:cs="Arial"/>
          <w:szCs w:val="22"/>
          <w:lang w:eastAsia="en-AU"/>
        </w:rPr>
        <w:t>With a significant proportion of applicants who receive legal aid also in receipt of a benefit, it is worth considering if VLA and Centrelink could collaborate to</w:t>
      </w:r>
      <w:r w:rsidR="000A6977">
        <w:rPr>
          <w:rFonts w:cs="Arial"/>
          <w:szCs w:val="22"/>
          <w:lang w:eastAsia="en-AU"/>
        </w:rPr>
        <w:t xml:space="preserve"> validate the eligibility</w:t>
      </w:r>
      <w:r w:rsidRPr="00D01C85">
        <w:rPr>
          <w:rFonts w:cs="Arial"/>
          <w:szCs w:val="22"/>
          <w:lang w:eastAsia="en-AU"/>
        </w:rPr>
        <w:t xml:space="preserve"> </w:t>
      </w:r>
      <w:r w:rsidR="000A6977">
        <w:rPr>
          <w:rFonts w:cs="Arial"/>
          <w:szCs w:val="22"/>
          <w:lang w:eastAsia="en-AU"/>
        </w:rPr>
        <w:t>of applicants that use both our services.</w:t>
      </w:r>
    </w:p>
    <w:p w14:paraId="27D87D4C" w14:textId="77777777" w:rsidR="006E4FC5" w:rsidRPr="00D01C85" w:rsidRDefault="006E4FC5" w:rsidP="006E4FC5">
      <w:pPr>
        <w:rPr>
          <w:rFonts w:cs="Arial"/>
          <w:b/>
          <w:szCs w:val="22"/>
          <w:lang w:eastAsia="en-AU"/>
        </w:rPr>
      </w:pPr>
      <w:r w:rsidRPr="00D01C85">
        <w:rPr>
          <w:rFonts w:cs="Arial"/>
          <w:b/>
          <w:szCs w:val="22"/>
          <w:lang w:eastAsia="en-AU"/>
        </w:rPr>
        <w:t>(Disability Support Pension)</w:t>
      </w:r>
    </w:p>
    <w:p w14:paraId="374B8987" w14:textId="77777777" w:rsidR="006E4FC5" w:rsidRPr="00240785" w:rsidRDefault="00240785" w:rsidP="006E4FC5">
      <w:pPr>
        <w:rPr>
          <w:rFonts w:cs="Arial"/>
          <w:i/>
          <w:szCs w:val="22"/>
          <w:lang w:eastAsia="en-AU"/>
        </w:rPr>
      </w:pPr>
      <w:r w:rsidRPr="00240785">
        <w:rPr>
          <w:rFonts w:cs="Arial"/>
          <w:i/>
          <w:szCs w:val="22"/>
          <w:lang w:eastAsia="en-AU"/>
        </w:rPr>
        <w:t>Key financial eligibility criteria</w:t>
      </w:r>
    </w:p>
    <w:p w14:paraId="67E7CD5E" w14:textId="77777777" w:rsidR="006E4FC5" w:rsidRPr="00D01C85" w:rsidRDefault="006E4FC5" w:rsidP="00240785">
      <w:pPr>
        <w:pStyle w:val="ListParagraph"/>
        <w:numPr>
          <w:ilvl w:val="0"/>
          <w:numId w:val="8"/>
        </w:numPr>
        <w:spacing w:after="120" w:line="300" w:lineRule="atLeast"/>
        <w:ind w:left="714" w:hanging="288"/>
        <w:contextualSpacing w:val="0"/>
        <w:rPr>
          <w:rFonts w:ascii="Arial" w:hAnsi="Arial" w:cs="Arial"/>
          <w:sz w:val="22"/>
          <w:szCs w:val="22"/>
        </w:rPr>
      </w:pPr>
      <w:r w:rsidRPr="00D01C85">
        <w:rPr>
          <w:rFonts w:ascii="Arial" w:hAnsi="Arial" w:cs="Arial"/>
          <w:sz w:val="22"/>
          <w:szCs w:val="22"/>
        </w:rPr>
        <w:t>They consider the income, assets and family status of an ap</w:t>
      </w:r>
      <w:r w:rsidR="00240785">
        <w:rPr>
          <w:rFonts w:ascii="Arial" w:hAnsi="Arial" w:cs="Arial"/>
          <w:sz w:val="22"/>
          <w:szCs w:val="22"/>
        </w:rPr>
        <w:t>plicant;</w:t>
      </w:r>
    </w:p>
    <w:p w14:paraId="42BE7A5F" w14:textId="77777777" w:rsidR="006E4FC5" w:rsidRPr="00D01C85" w:rsidRDefault="006E4FC5" w:rsidP="00240785">
      <w:pPr>
        <w:pStyle w:val="ListParagraph"/>
        <w:numPr>
          <w:ilvl w:val="0"/>
          <w:numId w:val="8"/>
        </w:numPr>
        <w:spacing w:after="120" w:line="300" w:lineRule="atLeast"/>
        <w:ind w:left="714" w:hanging="288"/>
        <w:contextualSpacing w:val="0"/>
        <w:rPr>
          <w:rFonts w:ascii="Arial" w:hAnsi="Arial" w:cs="Arial"/>
          <w:sz w:val="22"/>
          <w:szCs w:val="22"/>
        </w:rPr>
      </w:pPr>
      <w:r w:rsidRPr="00D01C85">
        <w:rPr>
          <w:rFonts w:ascii="Arial" w:hAnsi="Arial" w:cs="Arial"/>
          <w:sz w:val="22"/>
          <w:szCs w:val="22"/>
        </w:rPr>
        <w:t>Member of a couple is defined as: married, registered or in a de-facto relationship (opposite or same sex)</w:t>
      </w:r>
      <w:r w:rsidR="00240785">
        <w:rPr>
          <w:rFonts w:ascii="Arial" w:hAnsi="Arial" w:cs="Arial"/>
          <w:sz w:val="22"/>
          <w:szCs w:val="22"/>
        </w:rPr>
        <w:t>;</w:t>
      </w:r>
    </w:p>
    <w:p w14:paraId="20696595" w14:textId="77777777" w:rsidR="006E4FC5" w:rsidRPr="00D01C85" w:rsidRDefault="006E4FC5" w:rsidP="00240785">
      <w:pPr>
        <w:pStyle w:val="ListParagraph"/>
        <w:numPr>
          <w:ilvl w:val="0"/>
          <w:numId w:val="8"/>
        </w:numPr>
        <w:spacing w:after="240" w:line="300" w:lineRule="atLeast"/>
        <w:ind w:left="714" w:hanging="289"/>
        <w:contextualSpacing w:val="0"/>
        <w:rPr>
          <w:rFonts w:ascii="Arial" w:hAnsi="Arial" w:cs="Arial"/>
          <w:sz w:val="22"/>
          <w:szCs w:val="22"/>
        </w:rPr>
      </w:pPr>
      <w:r w:rsidRPr="00D01C85">
        <w:rPr>
          <w:rFonts w:ascii="Arial" w:hAnsi="Arial" w:cs="Arial"/>
          <w:sz w:val="22"/>
          <w:szCs w:val="22"/>
        </w:rPr>
        <w:t xml:space="preserve">Then, depending on the level of income earned also determines the amount of Newstart allowance that is provided to the person. </w:t>
      </w:r>
    </w:p>
    <w:tbl>
      <w:tblPr>
        <w:tblStyle w:val="TableGrid"/>
        <w:tblW w:w="9016" w:type="dxa"/>
        <w:tblLook w:val="04A0" w:firstRow="1" w:lastRow="0" w:firstColumn="1" w:lastColumn="0" w:noHBand="0" w:noVBand="1"/>
      </w:tblPr>
      <w:tblGrid>
        <w:gridCol w:w="4508"/>
        <w:gridCol w:w="4508"/>
      </w:tblGrid>
      <w:tr w:rsidR="006E4FC5" w:rsidRPr="00D01C85" w14:paraId="479A9F95" w14:textId="77777777" w:rsidTr="00092EBA">
        <w:tc>
          <w:tcPr>
            <w:tcW w:w="9016" w:type="dxa"/>
            <w:gridSpan w:val="2"/>
            <w:shd w:val="clear" w:color="auto" w:fill="5B9BD5" w:themeFill="accent1"/>
          </w:tcPr>
          <w:p w14:paraId="066ABB28" w14:textId="77777777" w:rsidR="006E4FC5" w:rsidRPr="00D01C85" w:rsidRDefault="006E4FC5" w:rsidP="00092EBA">
            <w:pPr>
              <w:rPr>
                <w:rFonts w:cs="Arial"/>
                <w:b/>
                <w:szCs w:val="22"/>
                <w:lang w:eastAsia="en-AU"/>
              </w:rPr>
            </w:pPr>
            <w:r w:rsidRPr="00D01C85">
              <w:rPr>
                <w:rFonts w:cs="Arial"/>
                <w:b/>
                <w:szCs w:val="22"/>
                <w:lang w:eastAsia="en-AU"/>
              </w:rPr>
              <w:t>Income</w:t>
            </w:r>
            <w:r w:rsidR="00D0567A">
              <w:rPr>
                <w:rStyle w:val="FootnoteReference"/>
                <w:rFonts w:cs="Arial"/>
                <w:b/>
                <w:szCs w:val="22"/>
                <w:lang w:eastAsia="en-AU"/>
              </w:rPr>
              <w:footnoteReference w:id="57"/>
            </w:r>
          </w:p>
        </w:tc>
      </w:tr>
      <w:tr w:rsidR="006E4FC5" w:rsidRPr="00D01C85" w14:paraId="17F7FCCA" w14:textId="77777777" w:rsidTr="00092EBA">
        <w:tc>
          <w:tcPr>
            <w:tcW w:w="4508" w:type="dxa"/>
            <w:shd w:val="clear" w:color="auto" w:fill="DEEAF6" w:themeFill="accent1" w:themeFillTint="33"/>
          </w:tcPr>
          <w:p w14:paraId="11E8FDDC" w14:textId="77777777" w:rsidR="006E4FC5" w:rsidRPr="00D01C85" w:rsidRDefault="006E4FC5" w:rsidP="00092EBA">
            <w:pPr>
              <w:rPr>
                <w:rFonts w:cs="Arial"/>
                <w:szCs w:val="22"/>
                <w:lang w:eastAsia="en-AU"/>
              </w:rPr>
            </w:pPr>
            <w:r w:rsidRPr="00D01C85">
              <w:rPr>
                <w:rFonts w:cs="Arial"/>
                <w:szCs w:val="22"/>
                <w:lang w:eastAsia="en-AU"/>
              </w:rPr>
              <w:t>Single adult</w:t>
            </w:r>
          </w:p>
        </w:tc>
        <w:tc>
          <w:tcPr>
            <w:tcW w:w="4508" w:type="dxa"/>
            <w:shd w:val="clear" w:color="auto" w:fill="DEEAF6" w:themeFill="accent1" w:themeFillTint="33"/>
          </w:tcPr>
          <w:p w14:paraId="325F9586" w14:textId="77777777" w:rsidR="006E4FC5" w:rsidRPr="00D01C85" w:rsidRDefault="006E4FC5" w:rsidP="00092EBA">
            <w:pPr>
              <w:rPr>
                <w:rFonts w:cs="Arial"/>
                <w:szCs w:val="22"/>
                <w:lang w:eastAsia="en-AU"/>
              </w:rPr>
            </w:pPr>
            <w:r w:rsidRPr="00D01C85">
              <w:rPr>
                <w:rFonts w:cs="Arial"/>
                <w:szCs w:val="22"/>
                <w:lang w:eastAsia="en-AU"/>
              </w:rPr>
              <w:t>Able to earn up to $164 a fortnight. There is a reduction of 50 cents of the allowance for each dollar earned over $164.</w:t>
            </w:r>
          </w:p>
        </w:tc>
      </w:tr>
      <w:tr w:rsidR="006E4FC5" w:rsidRPr="00D01C85" w14:paraId="683E1E81" w14:textId="77777777" w:rsidTr="00092EBA">
        <w:tc>
          <w:tcPr>
            <w:tcW w:w="4508" w:type="dxa"/>
            <w:shd w:val="clear" w:color="auto" w:fill="DEEAF6" w:themeFill="accent1" w:themeFillTint="33"/>
          </w:tcPr>
          <w:p w14:paraId="1FA99352" w14:textId="77777777" w:rsidR="006E4FC5" w:rsidRPr="00D01C85" w:rsidRDefault="006E4FC5" w:rsidP="00092EBA">
            <w:pPr>
              <w:rPr>
                <w:rFonts w:cs="Arial"/>
                <w:szCs w:val="22"/>
                <w:lang w:eastAsia="en-AU"/>
              </w:rPr>
            </w:pPr>
            <w:r w:rsidRPr="00D01C85">
              <w:rPr>
                <w:rFonts w:cs="Arial"/>
                <w:szCs w:val="22"/>
                <w:lang w:eastAsia="en-AU"/>
              </w:rPr>
              <w:t>Couple combined (or separated due to illness)</w:t>
            </w:r>
          </w:p>
        </w:tc>
        <w:tc>
          <w:tcPr>
            <w:tcW w:w="4508" w:type="dxa"/>
            <w:shd w:val="clear" w:color="auto" w:fill="DEEAF6" w:themeFill="accent1" w:themeFillTint="33"/>
          </w:tcPr>
          <w:p w14:paraId="478584A2" w14:textId="77777777" w:rsidR="006E4FC5" w:rsidRPr="00D01C85" w:rsidRDefault="006E4FC5" w:rsidP="00092EBA">
            <w:pPr>
              <w:rPr>
                <w:rFonts w:cs="Arial"/>
                <w:szCs w:val="22"/>
                <w:lang w:eastAsia="en-AU"/>
              </w:rPr>
            </w:pPr>
            <w:r w:rsidRPr="00D01C85">
              <w:rPr>
                <w:rFonts w:cs="Arial"/>
                <w:szCs w:val="22"/>
                <w:lang w:eastAsia="en-AU"/>
              </w:rPr>
              <w:t>Able to earn up to $292 a fortnight (this is $128 extra than a single person).</w:t>
            </w:r>
          </w:p>
        </w:tc>
      </w:tr>
      <w:tr w:rsidR="006E4FC5" w:rsidRPr="00D01C85" w14:paraId="697DF59E" w14:textId="77777777" w:rsidTr="00092EBA">
        <w:tc>
          <w:tcPr>
            <w:tcW w:w="4508" w:type="dxa"/>
            <w:shd w:val="clear" w:color="auto" w:fill="DEEAF6" w:themeFill="accent1" w:themeFillTint="33"/>
          </w:tcPr>
          <w:p w14:paraId="32252B08" w14:textId="77777777" w:rsidR="006E4FC5" w:rsidRPr="00D01C85" w:rsidRDefault="006E4FC5" w:rsidP="00092EBA">
            <w:pPr>
              <w:rPr>
                <w:rFonts w:cs="Arial"/>
                <w:szCs w:val="22"/>
                <w:lang w:eastAsia="en-AU"/>
              </w:rPr>
            </w:pPr>
            <w:r w:rsidRPr="00D01C85">
              <w:rPr>
                <w:rFonts w:cs="Arial"/>
                <w:szCs w:val="22"/>
                <w:lang w:eastAsia="en-AU"/>
              </w:rPr>
              <w:t>Single adult, under 21 and still residing at home or independent.</w:t>
            </w:r>
          </w:p>
        </w:tc>
        <w:tc>
          <w:tcPr>
            <w:tcW w:w="4508" w:type="dxa"/>
            <w:shd w:val="clear" w:color="auto" w:fill="DEEAF6" w:themeFill="accent1" w:themeFillTint="33"/>
          </w:tcPr>
          <w:p w14:paraId="56F0A886" w14:textId="77777777" w:rsidR="006E4FC5" w:rsidRPr="00D01C85" w:rsidRDefault="006E4FC5" w:rsidP="00092EBA">
            <w:pPr>
              <w:rPr>
                <w:rFonts w:cs="Arial"/>
                <w:szCs w:val="22"/>
                <w:lang w:eastAsia="en-AU"/>
              </w:rPr>
            </w:pPr>
            <w:r w:rsidRPr="00D01C85">
              <w:rPr>
                <w:rFonts w:cs="Arial"/>
                <w:szCs w:val="22"/>
                <w:lang w:eastAsia="en-AU"/>
              </w:rPr>
              <w:t>Able to earn up to $164 a fortnight. There is a reduction of 50 cents of the allowance for each dollar earned over $164.</w:t>
            </w:r>
          </w:p>
        </w:tc>
      </w:tr>
      <w:tr w:rsidR="006E4FC5" w:rsidRPr="00D01C85" w14:paraId="03A9559E" w14:textId="77777777" w:rsidTr="00092EBA">
        <w:tc>
          <w:tcPr>
            <w:tcW w:w="9016" w:type="dxa"/>
            <w:gridSpan w:val="2"/>
            <w:shd w:val="clear" w:color="auto" w:fill="5B9BD5" w:themeFill="accent1"/>
          </w:tcPr>
          <w:p w14:paraId="20449F8B" w14:textId="77777777" w:rsidR="006E4FC5" w:rsidRPr="00D01C85" w:rsidRDefault="006E4FC5" w:rsidP="00092EBA">
            <w:pPr>
              <w:rPr>
                <w:rFonts w:cs="Arial"/>
                <w:b/>
                <w:szCs w:val="22"/>
                <w:lang w:eastAsia="en-AU"/>
              </w:rPr>
            </w:pPr>
            <w:r w:rsidRPr="00D01C85">
              <w:rPr>
                <w:rFonts w:cs="Arial"/>
                <w:b/>
                <w:szCs w:val="22"/>
                <w:lang w:eastAsia="en-AU"/>
              </w:rPr>
              <w:t>Assets</w:t>
            </w:r>
            <w:r w:rsidR="00D0567A">
              <w:rPr>
                <w:rStyle w:val="FootnoteReference"/>
                <w:rFonts w:cs="Arial"/>
                <w:b/>
                <w:szCs w:val="22"/>
                <w:lang w:eastAsia="en-AU"/>
              </w:rPr>
              <w:footnoteReference w:id="58"/>
            </w:r>
          </w:p>
        </w:tc>
      </w:tr>
      <w:tr w:rsidR="006E4FC5" w:rsidRPr="00D01C85" w14:paraId="769DB741" w14:textId="77777777" w:rsidTr="00092EBA">
        <w:tc>
          <w:tcPr>
            <w:tcW w:w="9016" w:type="dxa"/>
            <w:gridSpan w:val="2"/>
            <w:shd w:val="clear" w:color="auto" w:fill="DEEAF6" w:themeFill="accent1" w:themeFillTint="33"/>
          </w:tcPr>
          <w:p w14:paraId="124631C5" w14:textId="77777777" w:rsidR="006E4FC5" w:rsidRPr="00D01C85" w:rsidRDefault="006E4FC5" w:rsidP="006E4FC5">
            <w:pPr>
              <w:pStyle w:val="ListParagraph"/>
              <w:numPr>
                <w:ilvl w:val="0"/>
                <w:numId w:val="10"/>
              </w:numPr>
              <w:spacing w:after="120" w:line="300" w:lineRule="atLeast"/>
              <w:rPr>
                <w:rFonts w:ascii="Arial" w:hAnsi="Arial" w:cs="Arial"/>
                <w:sz w:val="22"/>
                <w:szCs w:val="22"/>
              </w:rPr>
            </w:pPr>
            <w:r w:rsidRPr="00D01C85">
              <w:rPr>
                <w:rFonts w:ascii="Arial" w:hAnsi="Arial" w:cs="Arial"/>
                <w:sz w:val="22"/>
                <w:szCs w:val="22"/>
              </w:rPr>
              <w:t>There are several exempt assets including the applicant’s principal home, any NDIS money received, or superannuation before reaching pension age.</w:t>
            </w:r>
          </w:p>
          <w:p w14:paraId="29EFFBDB" w14:textId="77777777" w:rsidR="006E4FC5" w:rsidRPr="00D01C85" w:rsidRDefault="006E4FC5" w:rsidP="006E4FC5">
            <w:pPr>
              <w:pStyle w:val="ListParagraph"/>
              <w:numPr>
                <w:ilvl w:val="0"/>
                <w:numId w:val="10"/>
              </w:numPr>
              <w:spacing w:after="120" w:line="300" w:lineRule="atLeast"/>
              <w:rPr>
                <w:rFonts w:ascii="Arial" w:hAnsi="Arial" w:cs="Arial"/>
                <w:sz w:val="22"/>
                <w:szCs w:val="22"/>
                <w:u w:val="single"/>
              </w:rPr>
            </w:pPr>
            <w:r w:rsidRPr="00D01C85">
              <w:rPr>
                <w:rFonts w:ascii="Arial" w:hAnsi="Arial" w:cs="Arial"/>
                <w:sz w:val="22"/>
                <w:szCs w:val="22"/>
              </w:rPr>
              <w:t>The amount allowed in assets is also differentiated between homeowners and non-homeowners.</w:t>
            </w:r>
          </w:p>
        </w:tc>
      </w:tr>
      <w:tr w:rsidR="006E4FC5" w:rsidRPr="00D01C85" w14:paraId="3928205E" w14:textId="77777777" w:rsidTr="00092EBA">
        <w:tc>
          <w:tcPr>
            <w:tcW w:w="4508" w:type="dxa"/>
            <w:shd w:val="clear" w:color="auto" w:fill="DEEAF6" w:themeFill="accent1" w:themeFillTint="33"/>
          </w:tcPr>
          <w:p w14:paraId="1B8C2962" w14:textId="77777777" w:rsidR="006E4FC5" w:rsidRPr="00D01C85" w:rsidRDefault="006E4FC5" w:rsidP="00092EBA">
            <w:pPr>
              <w:rPr>
                <w:rFonts w:cs="Arial"/>
                <w:szCs w:val="22"/>
                <w:lang w:eastAsia="en-AU"/>
              </w:rPr>
            </w:pPr>
            <w:r w:rsidRPr="00D01C85">
              <w:rPr>
                <w:rFonts w:cs="Arial"/>
                <w:szCs w:val="22"/>
                <w:lang w:eastAsia="en-AU"/>
              </w:rPr>
              <w:t>Single adult (homeowner)</w:t>
            </w:r>
          </w:p>
        </w:tc>
        <w:tc>
          <w:tcPr>
            <w:tcW w:w="4508" w:type="dxa"/>
            <w:shd w:val="clear" w:color="auto" w:fill="DEEAF6" w:themeFill="accent1" w:themeFillTint="33"/>
          </w:tcPr>
          <w:p w14:paraId="6B1C5650" w14:textId="77777777" w:rsidR="006E4FC5" w:rsidRPr="00D01C85" w:rsidRDefault="006E4FC5" w:rsidP="00092EBA">
            <w:pPr>
              <w:rPr>
                <w:rFonts w:cs="Arial"/>
                <w:szCs w:val="22"/>
                <w:lang w:eastAsia="en-AU"/>
              </w:rPr>
            </w:pPr>
            <w:r w:rsidRPr="00D01C85">
              <w:rPr>
                <w:rFonts w:cs="Arial"/>
                <w:szCs w:val="22"/>
                <w:lang w:eastAsia="en-AU"/>
              </w:rPr>
              <w:t>$250,000 in assets.</w:t>
            </w:r>
          </w:p>
        </w:tc>
      </w:tr>
      <w:tr w:rsidR="006E4FC5" w:rsidRPr="00D01C85" w14:paraId="4B4B0B22" w14:textId="77777777" w:rsidTr="00092EBA">
        <w:tc>
          <w:tcPr>
            <w:tcW w:w="4508" w:type="dxa"/>
            <w:shd w:val="clear" w:color="auto" w:fill="DEEAF6" w:themeFill="accent1" w:themeFillTint="33"/>
          </w:tcPr>
          <w:p w14:paraId="536E7FCD" w14:textId="77777777" w:rsidR="006E4FC5" w:rsidRPr="00D01C85" w:rsidRDefault="006E4FC5" w:rsidP="00092EBA">
            <w:pPr>
              <w:rPr>
                <w:rFonts w:cs="Arial"/>
                <w:szCs w:val="22"/>
                <w:lang w:eastAsia="en-AU"/>
              </w:rPr>
            </w:pPr>
            <w:r w:rsidRPr="00D01C85">
              <w:rPr>
                <w:rFonts w:cs="Arial"/>
                <w:szCs w:val="22"/>
                <w:lang w:eastAsia="en-AU"/>
              </w:rPr>
              <w:lastRenderedPageBreak/>
              <w:t>Single adult (non-homeowner)</w:t>
            </w:r>
          </w:p>
        </w:tc>
        <w:tc>
          <w:tcPr>
            <w:tcW w:w="4508" w:type="dxa"/>
            <w:shd w:val="clear" w:color="auto" w:fill="DEEAF6" w:themeFill="accent1" w:themeFillTint="33"/>
          </w:tcPr>
          <w:p w14:paraId="5129CA84" w14:textId="77777777" w:rsidR="006E4FC5" w:rsidRPr="00D01C85" w:rsidRDefault="006E4FC5" w:rsidP="00092EBA">
            <w:pPr>
              <w:rPr>
                <w:rFonts w:cs="Arial"/>
                <w:szCs w:val="22"/>
                <w:lang w:eastAsia="en-AU"/>
              </w:rPr>
            </w:pPr>
            <w:r w:rsidRPr="00D01C85">
              <w:rPr>
                <w:rFonts w:cs="Arial"/>
                <w:szCs w:val="22"/>
                <w:lang w:eastAsia="en-AU"/>
              </w:rPr>
              <w:t>$450,000 in assets.</w:t>
            </w:r>
          </w:p>
        </w:tc>
      </w:tr>
      <w:tr w:rsidR="006E4FC5" w:rsidRPr="00D01C85" w14:paraId="51229A6F" w14:textId="77777777" w:rsidTr="00092EBA">
        <w:tc>
          <w:tcPr>
            <w:tcW w:w="4508" w:type="dxa"/>
            <w:shd w:val="clear" w:color="auto" w:fill="DEEAF6" w:themeFill="accent1" w:themeFillTint="33"/>
          </w:tcPr>
          <w:p w14:paraId="18F707BF" w14:textId="77777777" w:rsidR="006E4FC5" w:rsidRPr="00D01C85" w:rsidRDefault="006E4FC5" w:rsidP="00092EBA">
            <w:pPr>
              <w:rPr>
                <w:rFonts w:cs="Arial"/>
                <w:szCs w:val="22"/>
                <w:lang w:eastAsia="en-AU"/>
              </w:rPr>
            </w:pPr>
            <w:r w:rsidRPr="00D01C85">
              <w:rPr>
                <w:rFonts w:cs="Arial"/>
                <w:szCs w:val="22"/>
                <w:lang w:eastAsia="en-AU"/>
              </w:rPr>
              <w:t>Couple combined or where one person is eligible for assistance (homeowner)</w:t>
            </w:r>
          </w:p>
        </w:tc>
        <w:tc>
          <w:tcPr>
            <w:tcW w:w="4508" w:type="dxa"/>
            <w:shd w:val="clear" w:color="auto" w:fill="DEEAF6" w:themeFill="accent1" w:themeFillTint="33"/>
          </w:tcPr>
          <w:p w14:paraId="57F0EF8B" w14:textId="77777777" w:rsidR="006E4FC5" w:rsidRPr="00D01C85" w:rsidRDefault="006E4FC5" w:rsidP="00092EBA">
            <w:pPr>
              <w:rPr>
                <w:rFonts w:cs="Arial"/>
                <w:szCs w:val="22"/>
                <w:lang w:eastAsia="en-AU"/>
              </w:rPr>
            </w:pPr>
            <w:r w:rsidRPr="00D01C85">
              <w:rPr>
                <w:rFonts w:cs="Arial"/>
                <w:szCs w:val="22"/>
                <w:lang w:eastAsia="en-AU"/>
              </w:rPr>
              <w:t>$375,000 in assets.</w:t>
            </w:r>
          </w:p>
        </w:tc>
      </w:tr>
      <w:tr w:rsidR="006E4FC5" w:rsidRPr="00D01C85" w14:paraId="53A3E635" w14:textId="77777777" w:rsidTr="00092EBA">
        <w:tc>
          <w:tcPr>
            <w:tcW w:w="4508" w:type="dxa"/>
            <w:shd w:val="clear" w:color="auto" w:fill="DEEAF6" w:themeFill="accent1" w:themeFillTint="33"/>
          </w:tcPr>
          <w:p w14:paraId="378B8697" w14:textId="77777777" w:rsidR="006E4FC5" w:rsidRPr="00D01C85" w:rsidRDefault="006E4FC5" w:rsidP="00092EBA">
            <w:pPr>
              <w:rPr>
                <w:rFonts w:cs="Arial"/>
                <w:szCs w:val="22"/>
                <w:lang w:eastAsia="en-AU"/>
              </w:rPr>
            </w:pPr>
            <w:r w:rsidRPr="00D01C85">
              <w:rPr>
                <w:rFonts w:cs="Arial"/>
                <w:szCs w:val="22"/>
                <w:lang w:eastAsia="en-AU"/>
              </w:rPr>
              <w:t>Couple combined or where one person is eligible for assistance (non-homeowner)</w:t>
            </w:r>
          </w:p>
        </w:tc>
        <w:tc>
          <w:tcPr>
            <w:tcW w:w="4508" w:type="dxa"/>
            <w:shd w:val="clear" w:color="auto" w:fill="DEEAF6" w:themeFill="accent1" w:themeFillTint="33"/>
          </w:tcPr>
          <w:p w14:paraId="7EB728C4" w14:textId="77777777" w:rsidR="006E4FC5" w:rsidRPr="00D01C85" w:rsidRDefault="006E4FC5" w:rsidP="00092EBA">
            <w:pPr>
              <w:rPr>
                <w:rFonts w:cs="Arial"/>
                <w:szCs w:val="22"/>
                <w:lang w:eastAsia="en-AU"/>
              </w:rPr>
            </w:pPr>
            <w:r w:rsidRPr="00D01C85">
              <w:rPr>
                <w:rFonts w:cs="Arial"/>
                <w:szCs w:val="22"/>
                <w:lang w:eastAsia="en-AU"/>
              </w:rPr>
              <w:t>$575,000 in assets.</w:t>
            </w:r>
          </w:p>
        </w:tc>
      </w:tr>
    </w:tbl>
    <w:p w14:paraId="51C35499" w14:textId="77777777" w:rsidR="006E4FC5" w:rsidRPr="00D01C85" w:rsidRDefault="006E4FC5" w:rsidP="00240785">
      <w:pPr>
        <w:spacing w:before="120"/>
        <w:rPr>
          <w:rFonts w:cs="Arial"/>
          <w:b/>
          <w:szCs w:val="22"/>
          <w:lang w:eastAsia="en-AU"/>
        </w:rPr>
      </w:pPr>
      <w:r w:rsidRPr="00D01C85">
        <w:rPr>
          <w:rFonts w:cs="Arial"/>
          <w:b/>
          <w:szCs w:val="22"/>
          <w:lang w:eastAsia="en-AU"/>
        </w:rPr>
        <w:t>(Newstart Allowance)</w:t>
      </w:r>
    </w:p>
    <w:p w14:paraId="4D914726" w14:textId="77777777" w:rsidR="006E4FC5" w:rsidRPr="00240785" w:rsidRDefault="00240785" w:rsidP="006E4FC5">
      <w:pPr>
        <w:rPr>
          <w:rFonts w:cs="Arial"/>
          <w:i/>
          <w:szCs w:val="22"/>
          <w:lang w:eastAsia="en-AU"/>
        </w:rPr>
      </w:pPr>
      <w:r w:rsidRPr="00240785">
        <w:rPr>
          <w:rFonts w:cs="Arial"/>
          <w:i/>
          <w:szCs w:val="22"/>
          <w:lang w:eastAsia="en-AU"/>
        </w:rPr>
        <w:t>Key financial eligibility criteria</w:t>
      </w:r>
    </w:p>
    <w:p w14:paraId="59636747" w14:textId="77777777" w:rsidR="006E4FC5" w:rsidRPr="00D01C85" w:rsidRDefault="000A6977" w:rsidP="00240785">
      <w:pPr>
        <w:pStyle w:val="ListParagraph"/>
        <w:numPr>
          <w:ilvl w:val="0"/>
          <w:numId w:val="11"/>
        </w:numPr>
        <w:spacing w:after="120" w:line="300" w:lineRule="atLeast"/>
        <w:ind w:hanging="295"/>
        <w:contextualSpacing w:val="0"/>
        <w:rPr>
          <w:rFonts w:ascii="Arial" w:hAnsi="Arial" w:cs="Arial"/>
          <w:sz w:val="22"/>
          <w:szCs w:val="22"/>
        </w:rPr>
      </w:pPr>
      <w:r w:rsidRPr="00D01C85">
        <w:rPr>
          <w:rFonts w:ascii="Arial" w:hAnsi="Arial" w:cs="Arial"/>
          <w:sz w:val="22"/>
          <w:szCs w:val="22"/>
        </w:rPr>
        <w:t>Like</w:t>
      </w:r>
      <w:r w:rsidR="006E4FC5" w:rsidRPr="00D01C85">
        <w:rPr>
          <w:rFonts w:ascii="Arial" w:hAnsi="Arial" w:cs="Arial"/>
          <w:sz w:val="22"/>
          <w:szCs w:val="22"/>
        </w:rPr>
        <w:t xml:space="preserve"> the Disability Support Pension, the Newstart Allowance considers an applicant’s i</w:t>
      </w:r>
      <w:r>
        <w:rPr>
          <w:rFonts w:ascii="Arial" w:hAnsi="Arial" w:cs="Arial"/>
          <w:sz w:val="22"/>
          <w:szCs w:val="22"/>
        </w:rPr>
        <w:t>ncome, assets and family status</w:t>
      </w:r>
      <w:r w:rsidR="00240785">
        <w:rPr>
          <w:rFonts w:ascii="Arial" w:hAnsi="Arial" w:cs="Arial"/>
          <w:sz w:val="22"/>
          <w:szCs w:val="22"/>
        </w:rPr>
        <w:t>;</w:t>
      </w:r>
    </w:p>
    <w:p w14:paraId="557DECE7" w14:textId="77777777" w:rsidR="006E4FC5" w:rsidRPr="00D01C85" w:rsidRDefault="006E4FC5" w:rsidP="00240785">
      <w:pPr>
        <w:pStyle w:val="ListParagraph"/>
        <w:numPr>
          <w:ilvl w:val="0"/>
          <w:numId w:val="11"/>
        </w:numPr>
        <w:spacing w:after="120" w:line="300" w:lineRule="atLeast"/>
        <w:ind w:hanging="295"/>
        <w:contextualSpacing w:val="0"/>
        <w:rPr>
          <w:rFonts w:ascii="Arial" w:hAnsi="Arial" w:cs="Arial"/>
          <w:sz w:val="22"/>
          <w:szCs w:val="22"/>
        </w:rPr>
      </w:pPr>
      <w:r w:rsidRPr="00D01C85">
        <w:rPr>
          <w:rFonts w:ascii="Arial" w:hAnsi="Arial" w:cs="Arial"/>
          <w:sz w:val="22"/>
          <w:szCs w:val="22"/>
        </w:rPr>
        <w:t>The assets are the same allowances as provided for in</w:t>
      </w:r>
      <w:r w:rsidR="000A6977">
        <w:rPr>
          <w:rFonts w:ascii="Arial" w:hAnsi="Arial" w:cs="Arial"/>
          <w:sz w:val="22"/>
          <w:szCs w:val="22"/>
        </w:rPr>
        <w:t xml:space="preserve"> the Disability Support Pension</w:t>
      </w:r>
      <w:r w:rsidR="00240785">
        <w:rPr>
          <w:rFonts w:ascii="Arial" w:hAnsi="Arial" w:cs="Arial"/>
          <w:sz w:val="22"/>
          <w:szCs w:val="22"/>
        </w:rPr>
        <w:t>;</w:t>
      </w:r>
    </w:p>
    <w:p w14:paraId="5AF63927" w14:textId="77777777" w:rsidR="006E4FC5" w:rsidRPr="00D01C85" w:rsidRDefault="006E4FC5" w:rsidP="00240785">
      <w:pPr>
        <w:pStyle w:val="ListParagraph"/>
        <w:numPr>
          <w:ilvl w:val="0"/>
          <w:numId w:val="11"/>
        </w:numPr>
        <w:spacing w:after="120" w:line="300" w:lineRule="atLeast"/>
        <w:ind w:hanging="295"/>
        <w:contextualSpacing w:val="0"/>
        <w:rPr>
          <w:rFonts w:ascii="Arial" w:hAnsi="Arial" w:cs="Arial"/>
          <w:sz w:val="22"/>
          <w:szCs w:val="22"/>
        </w:rPr>
      </w:pPr>
      <w:r w:rsidRPr="00D01C85">
        <w:rPr>
          <w:rFonts w:ascii="Arial" w:hAnsi="Arial" w:cs="Arial"/>
          <w:sz w:val="22"/>
          <w:szCs w:val="22"/>
        </w:rPr>
        <w:t>For income, a single person or partnered (with no depend</w:t>
      </w:r>
      <w:r>
        <w:rPr>
          <w:rFonts w:ascii="Arial" w:hAnsi="Arial" w:cs="Arial"/>
          <w:sz w:val="22"/>
          <w:szCs w:val="22"/>
        </w:rPr>
        <w:t>a</w:t>
      </w:r>
      <w:r w:rsidRPr="00D01C85">
        <w:rPr>
          <w:rFonts w:ascii="Arial" w:hAnsi="Arial" w:cs="Arial"/>
          <w:sz w:val="22"/>
          <w:szCs w:val="22"/>
        </w:rPr>
        <w:t>nts) can earn up to $104 a fortnight to receive the full Newstart a</w:t>
      </w:r>
      <w:r w:rsidR="000A6977">
        <w:rPr>
          <w:rFonts w:ascii="Arial" w:hAnsi="Arial" w:cs="Arial"/>
          <w:sz w:val="22"/>
          <w:szCs w:val="22"/>
        </w:rPr>
        <w:t>llowance</w:t>
      </w:r>
      <w:r w:rsidR="00240785">
        <w:rPr>
          <w:rFonts w:ascii="Arial" w:hAnsi="Arial" w:cs="Arial"/>
          <w:sz w:val="22"/>
          <w:szCs w:val="22"/>
        </w:rPr>
        <w:t>; and</w:t>
      </w:r>
    </w:p>
    <w:p w14:paraId="32FB61D7" w14:textId="77777777" w:rsidR="006E4FC5" w:rsidRPr="00D01C85" w:rsidRDefault="006E4FC5" w:rsidP="00240785">
      <w:pPr>
        <w:pStyle w:val="ListParagraph"/>
        <w:numPr>
          <w:ilvl w:val="0"/>
          <w:numId w:val="11"/>
        </w:numPr>
        <w:spacing w:after="120" w:line="300" w:lineRule="atLeast"/>
        <w:ind w:hanging="295"/>
        <w:contextualSpacing w:val="0"/>
        <w:rPr>
          <w:rFonts w:ascii="Arial" w:hAnsi="Arial" w:cs="Arial"/>
          <w:sz w:val="22"/>
          <w:szCs w:val="22"/>
        </w:rPr>
      </w:pPr>
      <w:r w:rsidRPr="00D01C85">
        <w:rPr>
          <w:rFonts w:ascii="Arial" w:hAnsi="Arial" w:cs="Arial"/>
          <w:sz w:val="22"/>
          <w:szCs w:val="22"/>
        </w:rPr>
        <w:t xml:space="preserve">The allowance drops off gradually up until a person earns $1,024.84 a fortnight, at which point it cuts off. </w:t>
      </w:r>
    </w:p>
    <w:p w14:paraId="70E53252" w14:textId="0601E475" w:rsidR="009C5656" w:rsidRDefault="006E4FC5" w:rsidP="00D606DE">
      <w:pPr>
        <w:rPr>
          <w:sz w:val="2"/>
          <w:szCs w:val="2"/>
        </w:rPr>
      </w:pPr>
      <w:r w:rsidRPr="00D01C85">
        <w:rPr>
          <w:rFonts w:cs="Arial"/>
          <w:szCs w:val="22"/>
          <w:lang w:eastAsia="en-AU"/>
        </w:rPr>
        <w:t xml:space="preserve">One of the other types of allowances allowed through Centrelink is </w:t>
      </w:r>
      <w:proofErr w:type="spellStart"/>
      <w:r w:rsidRPr="00D01C85">
        <w:rPr>
          <w:rFonts w:cs="Arial"/>
          <w:szCs w:val="22"/>
          <w:lang w:eastAsia="en-AU"/>
        </w:rPr>
        <w:t>Austudy</w:t>
      </w:r>
      <w:proofErr w:type="spellEnd"/>
      <w:r w:rsidRPr="00D01C85">
        <w:rPr>
          <w:rFonts w:cs="Arial"/>
          <w:szCs w:val="22"/>
          <w:lang w:eastAsia="en-AU"/>
        </w:rPr>
        <w:t>.</w:t>
      </w:r>
      <w:r w:rsidR="00AB6A62">
        <w:rPr>
          <w:rStyle w:val="FootnoteReference"/>
          <w:rFonts w:cs="Arial"/>
          <w:szCs w:val="22"/>
          <w:lang w:eastAsia="en-AU"/>
        </w:rPr>
        <w:footnoteReference w:id="59"/>
      </w:r>
      <w:r w:rsidRPr="00D01C85">
        <w:rPr>
          <w:rFonts w:cs="Arial"/>
          <w:szCs w:val="22"/>
          <w:lang w:eastAsia="en-AU"/>
        </w:rPr>
        <w:t xml:space="preserve"> In contrast to Newstart and the Disability Support Pension, an applicant </w:t>
      </w:r>
      <w:r w:rsidR="000A6977">
        <w:rPr>
          <w:rFonts w:cs="Arial"/>
          <w:szCs w:val="22"/>
          <w:lang w:eastAsia="en-AU"/>
        </w:rPr>
        <w:t>can only have liquid assets of</w:t>
      </w:r>
      <w:r w:rsidRPr="00D01C85">
        <w:rPr>
          <w:rFonts w:cs="Arial"/>
          <w:szCs w:val="22"/>
          <w:lang w:eastAsia="en-AU"/>
        </w:rPr>
        <w:t xml:space="preserve"> $5,500 for a single person or $11,000 for a couple or single with dependan</w:t>
      </w:r>
      <w:r w:rsidR="000A6977">
        <w:rPr>
          <w:rFonts w:cs="Arial"/>
          <w:szCs w:val="22"/>
          <w:lang w:eastAsia="en-AU"/>
        </w:rPr>
        <w:t>ts to be eligible</w:t>
      </w:r>
      <w:r w:rsidR="00D606DE">
        <w:rPr>
          <w:rFonts w:cs="Arial"/>
          <w:szCs w:val="22"/>
          <w:lang w:eastAsia="en-AU"/>
        </w:rPr>
        <w:t>.</w:t>
      </w:r>
      <w:r w:rsidR="00D606DE" w:rsidRPr="00E35DF5">
        <w:rPr>
          <w:sz w:val="2"/>
          <w:szCs w:val="2"/>
        </w:rPr>
        <w:t xml:space="preserve"> </w:t>
      </w:r>
    </w:p>
    <w:p w14:paraId="68A3406B" w14:textId="3CFE8CE7" w:rsidR="009110FE" w:rsidRDefault="009110FE" w:rsidP="00D606DE">
      <w:pPr>
        <w:rPr>
          <w:sz w:val="2"/>
          <w:szCs w:val="2"/>
        </w:rPr>
      </w:pPr>
    </w:p>
    <w:p w14:paraId="0C704407" w14:textId="166BC733" w:rsidR="009110FE" w:rsidRDefault="009110FE" w:rsidP="009110FE">
      <w:pPr>
        <w:pStyle w:val="Heading1"/>
        <w:rPr>
          <w:sz w:val="28"/>
          <w:szCs w:val="28"/>
        </w:rPr>
      </w:pPr>
      <w:r>
        <w:rPr>
          <w:sz w:val="28"/>
          <w:szCs w:val="28"/>
        </w:rPr>
        <w:t>What we learnt</w:t>
      </w:r>
    </w:p>
    <w:p w14:paraId="0992EBE4" w14:textId="7D922D57" w:rsidR="00994851" w:rsidRDefault="00994851" w:rsidP="009110FE">
      <w:pPr>
        <w:rPr>
          <w:lang w:eastAsia="en-AU"/>
        </w:rPr>
      </w:pPr>
      <w:r>
        <w:rPr>
          <w:lang w:eastAsia="en-AU"/>
        </w:rPr>
        <w:t>Many of the organisations that we</w:t>
      </w:r>
      <w:r w:rsidR="00AB0207">
        <w:rPr>
          <w:lang w:eastAsia="en-AU"/>
        </w:rPr>
        <w:t xml:space="preserve"> reviewed </w:t>
      </w:r>
      <w:r>
        <w:rPr>
          <w:lang w:eastAsia="en-AU"/>
        </w:rPr>
        <w:t>had similar, if slightly different processes</w:t>
      </w:r>
      <w:r w:rsidR="00692FC7">
        <w:rPr>
          <w:lang w:eastAsia="en-AU"/>
        </w:rPr>
        <w:t>,</w:t>
      </w:r>
      <w:r>
        <w:rPr>
          <w:lang w:eastAsia="en-AU"/>
        </w:rPr>
        <w:t xml:space="preserve"> for applying for assistance. Like VLA, they also had other requirements, such as g</w:t>
      </w:r>
      <w:r w:rsidR="00692FC7">
        <w:rPr>
          <w:lang w:eastAsia="en-AU"/>
        </w:rPr>
        <w:t>uidelines and merits, that need to be met</w:t>
      </w:r>
      <w:r w:rsidR="001B4215">
        <w:rPr>
          <w:lang w:eastAsia="en-AU"/>
        </w:rPr>
        <w:t>.</w:t>
      </w:r>
      <w:r w:rsidR="00692FC7">
        <w:rPr>
          <w:lang w:eastAsia="en-AU"/>
        </w:rPr>
        <w:t xml:space="preserve"> Some</w:t>
      </w:r>
      <w:r>
        <w:rPr>
          <w:lang w:eastAsia="en-AU"/>
        </w:rPr>
        <w:t xml:space="preserve"> organisations, like Legal Aid Ontario, relied on</w:t>
      </w:r>
      <w:r w:rsidR="00692FC7">
        <w:rPr>
          <w:lang w:eastAsia="en-AU"/>
        </w:rPr>
        <w:t xml:space="preserve"> a more streamlined means test to make</w:t>
      </w:r>
      <w:r w:rsidR="001B4215">
        <w:rPr>
          <w:lang w:eastAsia="en-AU"/>
        </w:rPr>
        <w:t xml:space="preserve"> it simpler and more accessible. While t</w:t>
      </w:r>
      <w:r w:rsidR="00692FC7">
        <w:rPr>
          <w:lang w:eastAsia="en-AU"/>
        </w:rPr>
        <w:t>his</w:t>
      </w:r>
      <w:r>
        <w:rPr>
          <w:lang w:eastAsia="en-AU"/>
        </w:rPr>
        <w:t xml:space="preserve"> saw a significant increase in the n</w:t>
      </w:r>
      <w:r w:rsidR="00692FC7">
        <w:rPr>
          <w:lang w:eastAsia="en-AU"/>
        </w:rPr>
        <w:t>umber of grants provided</w:t>
      </w:r>
      <w:r w:rsidR="001B4215">
        <w:rPr>
          <w:lang w:eastAsia="en-AU"/>
        </w:rPr>
        <w:t xml:space="preserve"> it also attracted issues surrounding sustainability.</w:t>
      </w:r>
      <w:r>
        <w:rPr>
          <w:lang w:eastAsia="en-AU"/>
        </w:rPr>
        <w:t xml:space="preserve"> </w:t>
      </w:r>
      <w:r w:rsidR="001B4215">
        <w:rPr>
          <w:lang w:eastAsia="en-AU"/>
        </w:rPr>
        <w:t>Therefore, one of the key requirements when making</w:t>
      </w:r>
      <w:r>
        <w:rPr>
          <w:lang w:eastAsia="en-AU"/>
        </w:rPr>
        <w:t xml:space="preserve"> any change</w:t>
      </w:r>
      <w:r w:rsidR="001B4215">
        <w:rPr>
          <w:lang w:eastAsia="en-AU"/>
        </w:rPr>
        <w:t>s</w:t>
      </w:r>
      <w:r>
        <w:rPr>
          <w:lang w:eastAsia="en-AU"/>
        </w:rPr>
        <w:t xml:space="preserve"> will be about ensuring the sustainability of those changes. This is discussed in more depth in </w:t>
      </w:r>
      <w:r w:rsidR="002E2D92">
        <w:rPr>
          <w:b/>
          <w:lang w:eastAsia="en-AU"/>
        </w:rPr>
        <w:t>Part C:</w:t>
      </w:r>
      <w:r>
        <w:rPr>
          <w:b/>
          <w:lang w:eastAsia="en-AU"/>
        </w:rPr>
        <w:t xml:space="preserve"> Future Focus </w:t>
      </w:r>
      <w:r>
        <w:rPr>
          <w:lang w:eastAsia="en-AU"/>
        </w:rPr>
        <w:t xml:space="preserve">of this paper. </w:t>
      </w:r>
    </w:p>
    <w:p w14:paraId="358CD443" w14:textId="123B4E23" w:rsidR="00AB0207" w:rsidRDefault="00AB0207" w:rsidP="009110FE">
      <w:pPr>
        <w:rPr>
          <w:lang w:eastAsia="en-AU"/>
        </w:rPr>
      </w:pPr>
      <w:r>
        <w:rPr>
          <w:lang w:eastAsia="en-AU"/>
        </w:rPr>
        <w:t xml:space="preserve">Some of the key elements identified </w:t>
      </w:r>
      <w:r w:rsidR="00692FC7">
        <w:rPr>
          <w:lang w:eastAsia="en-AU"/>
        </w:rPr>
        <w:t xml:space="preserve">in other agencies </w:t>
      </w:r>
      <w:r>
        <w:rPr>
          <w:lang w:eastAsia="en-AU"/>
        </w:rPr>
        <w:t>assessment criteria have b</w:t>
      </w:r>
      <w:r w:rsidR="00692FC7">
        <w:rPr>
          <w:lang w:eastAsia="en-AU"/>
        </w:rPr>
        <w:t>een considered in more detail through</w:t>
      </w:r>
      <w:r>
        <w:rPr>
          <w:lang w:eastAsia="en-AU"/>
        </w:rPr>
        <w:t xml:space="preserve"> the options outlined in </w:t>
      </w:r>
      <w:r w:rsidRPr="002E2D92">
        <w:rPr>
          <w:b/>
          <w:lang w:eastAsia="en-AU"/>
        </w:rPr>
        <w:t>Part B</w:t>
      </w:r>
      <w:r w:rsidR="002E2D92" w:rsidRPr="002E2D92">
        <w:rPr>
          <w:b/>
          <w:lang w:eastAsia="en-AU"/>
        </w:rPr>
        <w:t xml:space="preserve">: </w:t>
      </w:r>
      <w:r w:rsidRPr="002E2D92">
        <w:rPr>
          <w:b/>
          <w:lang w:eastAsia="en-AU"/>
        </w:rPr>
        <w:t>Making</w:t>
      </w:r>
      <w:r>
        <w:rPr>
          <w:b/>
          <w:lang w:eastAsia="en-AU"/>
        </w:rPr>
        <w:t xml:space="preserve"> the Means Test Better</w:t>
      </w:r>
      <w:r>
        <w:rPr>
          <w:lang w:eastAsia="en-AU"/>
        </w:rPr>
        <w:t>, including:</w:t>
      </w:r>
    </w:p>
    <w:p w14:paraId="61693463" w14:textId="7542877D" w:rsidR="00AB0207" w:rsidRPr="006538CC" w:rsidRDefault="00AB0207" w:rsidP="006538CC">
      <w:pPr>
        <w:pStyle w:val="ListParagraph"/>
        <w:numPr>
          <w:ilvl w:val="0"/>
          <w:numId w:val="19"/>
        </w:numPr>
        <w:spacing w:after="120"/>
        <w:ind w:hanging="295"/>
        <w:contextualSpacing w:val="0"/>
        <w:rPr>
          <w:rFonts w:ascii="Arial" w:hAnsi="Arial" w:cs="Arial"/>
          <w:sz w:val="22"/>
          <w:szCs w:val="22"/>
        </w:rPr>
      </w:pPr>
      <w:r w:rsidRPr="006538CC">
        <w:rPr>
          <w:rFonts w:ascii="Arial" w:hAnsi="Arial" w:cs="Arial"/>
          <w:sz w:val="22"/>
          <w:szCs w:val="22"/>
        </w:rPr>
        <w:t>Narrowing the definition of a financially associated person to the spouse or de facto of the applicant;</w:t>
      </w:r>
    </w:p>
    <w:p w14:paraId="0EE87B04" w14:textId="4E24E2E7" w:rsidR="00AB0207" w:rsidRPr="006538CC" w:rsidRDefault="00AB0207" w:rsidP="006538CC">
      <w:pPr>
        <w:pStyle w:val="ListParagraph"/>
        <w:numPr>
          <w:ilvl w:val="0"/>
          <w:numId w:val="19"/>
        </w:numPr>
        <w:spacing w:after="120"/>
        <w:ind w:hanging="295"/>
        <w:contextualSpacing w:val="0"/>
        <w:rPr>
          <w:rFonts w:ascii="Arial" w:hAnsi="Arial" w:cs="Arial"/>
          <w:sz w:val="22"/>
          <w:szCs w:val="22"/>
        </w:rPr>
      </w:pPr>
      <w:r w:rsidRPr="006538CC">
        <w:rPr>
          <w:rFonts w:ascii="Arial" w:hAnsi="Arial" w:cs="Arial"/>
          <w:sz w:val="22"/>
          <w:szCs w:val="22"/>
        </w:rPr>
        <w:t>Separate assets allowances for homeowners and non-homeowners;</w:t>
      </w:r>
    </w:p>
    <w:p w14:paraId="17BBAB5B" w14:textId="68C68396" w:rsidR="00AB0207" w:rsidRPr="006538CC" w:rsidRDefault="006538CC" w:rsidP="006538CC">
      <w:pPr>
        <w:pStyle w:val="ListParagraph"/>
        <w:numPr>
          <w:ilvl w:val="0"/>
          <w:numId w:val="19"/>
        </w:numPr>
        <w:spacing w:after="120"/>
        <w:ind w:hanging="295"/>
        <w:contextualSpacing w:val="0"/>
        <w:rPr>
          <w:rFonts w:ascii="Arial" w:hAnsi="Arial" w:cs="Arial"/>
          <w:sz w:val="22"/>
          <w:szCs w:val="22"/>
        </w:rPr>
      </w:pPr>
      <w:r w:rsidRPr="006538CC">
        <w:rPr>
          <w:rFonts w:ascii="Arial" w:hAnsi="Arial" w:cs="Arial"/>
          <w:sz w:val="22"/>
          <w:szCs w:val="22"/>
        </w:rPr>
        <w:t>Simplifying the contribution scheme;</w:t>
      </w:r>
    </w:p>
    <w:p w14:paraId="3CEADC86" w14:textId="77777777" w:rsidR="000C3561" w:rsidRDefault="006538CC" w:rsidP="006538CC">
      <w:pPr>
        <w:pStyle w:val="ListParagraph"/>
        <w:numPr>
          <w:ilvl w:val="0"/>
          <w:numId w:val="19"/>
        </w:numPr>
        <w:spacing w:after="120"/>
        <w:ind w:hanging="295"/>
        <w:contextualSpacing w:val="0"/>
        <w:rPr>
          <w:rFonts w:ascii="Arial" w:hAnsi="Arial" w:cs="Arial"/>
          <w:sz w:val="22"/>
          <w:szCs w:val="22"/>
        </w:rPr>
      </w:pPr>
      <w:r w:rsidRPr="006538CC">
        <w:rPr>
          <w:rFonts w:ascii="Arial" w:hAnsi="Arial" w:cs="Arial"/>
          <w:sz w:val="22"/>
          <w:szCs w:val="22"/>
        </w:rPr>
        <w:t>Exempting additional groups of people from the means test;</w:t>
      </w:r>
    </w:p>
    <w:p w14:paraId="6267BDCB" w14:textId="7469F19D" w:rsidR="006538CC" w:rsidRPr="006538CC" w:rsidRDefault="000C3561" w:rsidP="006538CC">
      <w:pPr>
        <w:pStyle w:val="ListParagraph"/>
        <w:numPr>
          <w:ilvl w:val="0"/>
          <w:numId w:val="19"/>
        </w:numPr>
        <w:spacing w:after="120"/>
        <w:ind w:hanging="295"/>
        <w:contextualSpacing w:val="0"/>
        <w:rPr>
          <w:rFonts w:ascii="Arial" w:hAnsi="Arial" w:cs="Arial"/>
          <w:sz w:val="22"/>
          <w:szCs w:val="22"/>
        </w:rPr>
      </w:pPr>
      <w:r>
        <w:rPr>
          <w:rFonts w:ascii="Arial" w:hAnsi="Arial" w:cs="Arial"/>
          <w:sz w:val="22"/>
          <w:szCs w:val="22"/>
        </w:rPr>
        <w:lastRenderedPageBreak/>
        <w:t>Allowing a higher income threshold for certain ‘priority matters’;</w:t>
      </w:r>
      <w:r w:rsidR="006538CC" w:rsidRPr="006538CC">
        <w:rPr>
          <w:rFonts w:ascii="Arial" w:hAnsi="Arial" w:cs="Arial"/>
          <w:sz w:val="22"/>
          <w:szCs w:val="22"/>
        </w:rPr>
        <w:t xml:space="preserve"> and</w:t>
      </w:r>
    </w:p>
    <w:p w14:paraId="777F07D1" w14:textId="6391B3A7" w:rsidR="006538CC" w:rsidRDefault="006538CC" w:rsidP="006538CC">
      <w:pPr>
        <w:pStyle w:val="ListParagraph"/>
        <w:numPr>
          <w:ilvl w:val="0"/>
          <w:numId w:val="19"/>
        </w:numPr>
        <w:spacing w:after="120"/>
        <w:ind w:hanging="295"/>
        <w:contextualSpacing w:val="0"/>
        <w:rPr>
          <w:rFonts w:ascii="Arial" w:hAnsi="Arial" w:cs="Arial"/>
          <w:sz w:val="22"/>
          <w:szCs w:val="22"/>
        </w:rPr>
      </w:pPr>
      <w:r w:rsidRPr="006538CC">
        <w:rPr>
          <w:rFonts w:ascii="Arial" w:hAnsi="Arial" w:cs="Arial"/>
          <w:sz w:val="22"/>
          <w:szCs w:val="22"/>
        </w:rPr>
        <w:t>Implementing an online eligibility calculator.</w:t>
      </w:r>
    </w:p>
    <w:p w14:paraId="67A600E8" w14:textId="60146695" w:rsidR="006538CC" w:rsidRPr="006538CC" w:rsidRDefault="006538CC" w:rsidP="006538CC">
      <w:pPr>
        <w:rPr>
          <w:rFonts w:cs="Arial"/>
          <w:szCs w:val="22"/>
        </w:rPr>
      </w:pPr>
      <w:r>
        <w:rPr>
          <w:rFonts w:cs="Arial"/>
          <w:szCs w:val="22"/>
        </w:rPr>
        <w:t>Some of the elements that other agencies have, such as imposing an upfront contribution have not</w:t>
      </w:r>
      <w:r w:rsidR="001B4215">
        <w:rPr>
          <w:rFonts w:cs="Arial"/>
          <w:szCs w:val="22"/>
        </w:rPr>
        <w:t xml:space="preserve"> been included as they </w:t>
      </w:r>
      <w:r>
        <w:rPr>
          <w:rFonts w:cs="Arial"/>
          <w:szCs w:val="22"/>
        </w:rPr>
        <w:t>did not have significant sup</w:t>
      </w:r>
      <w:r w:rsidR="00692FC7">
        <w:rPr>
          <w:rFonts w:cs="Arial"/>
          <w:szCs w:val="22"/>
        </w:rPr>
        <w:t>port during our last consultation</w:t>
      </w:r>
      <w:r w:rsidR="001B4215">
        <w:rPr>
          <w:rFonts w:cs="Arial"/>
          <w:szCs w:val="22"/>
        </w:rPr>
        <w:t>. If you think any of the</w:t>
      </w:r>
      <w:r w:rsidR="00692FC7">
        <w:rPr>
          <w:rFonts w:cs="Arial"/>
          <w:szCs w:val="22"/>
        </w:rPr>
        <w:t xml:space="preserve"> other criteria is worth considering further</w:t>
      </w:r>
      <w:r>
        <w:rPr>
          <w:rFonts w:cs="Arial"/>
          <w:szCs w:val="22"/>
        </w:rPr>
        <w:t xml:space="preserve">, we want you to tell us, </w:t>
      </w:r>
      <w:r w:rsidR="00692FC7">
        <w:rPr>
          <w:rFonts w:cs="Arial"/>
          <w:szCs w:val="22"/>
        </w:rPr>
        <w:t>by way of a submission or feedback.</w:t>
      </w:r>
    </w:p>
    <w:p w14:paraId="483C55FE" w14:textId="097D056A" w:rsidR="00F97C2B" w:rsidRPr="00F97C2B" w:rsidRDefault="00994851" w:rsidP="009110FE">
      <w:pPr>
        <w:rPr>
          <w:lang w:eastAsia="en-AU"/>
        </w:rPr>
      </w:pPr>
      <w:r>
        <w:rPr>
          <w:lang w:eastAsia="en-AU"/>
        </w:rPr>
        <w:t>As part of our consultation process</w:t>
      </w:r>
      <w:r w:rsidR="006538CC">
        <w:rPr>
          <w:lang w:eastAsia="en-AU"/>
        </w:rPr>
        <w:t xml:space="preserve"> we will be consulting with</w:t>
      </w:r>
      <w:r>
        <w:rPr>
          <w:lang w:eastAsia="en-AU"/>
        </w:rPr>
        <w:t xml:space="preserve"> legal aid commission</w:t>
      </w:r>
      <w:r w:rsidR="001B4215">
        <w:rPr>
          <w:lang w:eastAsia="en-AU"/>
        </w:rPr>
        <w:t>s</w:t>
      </w:r>
      <w:r w:rsidR="00692FC7">
        <w:rPr>
          <w:lang w:eastAsia="en-AU"/>
        </w:rPr>
        <w:t xml:space="preserve"> within and external to Australia as well as </w:t>
      </w:r>
      <w:r>
        <w:rPr>
          <w:lang w:eastAsia="en-AU"/>
        </w:rPr>
        <w:t>government agencies to find out more about how their assessment process works in practice. Thi</w:t>
      </w:r>
      <w:r w:rsidR="00B675DD">
        <w:rPr>
          <w:lang w:eastAsia="en-AU"/>
        </w:rPr>
        <w:t xml:space="preserve">s will help us learn from others about how to best </w:t>
      </w:r>
      <w:r>
        <w:rPr>
          <w:lang w:eastAsia="en-AU"/>
        </w:rPr>
        <w:t>structur</w:t>
      </w:r>
      <w:r w:rsidR="00692FC7">
        <w:rPr>
          <w:lang w:eastAsia="en-AU"/>
        </w:rPr>
        <w:t>e and assess</w:t>
      </w:r>
      <w:r>
        <w:rPr>
          <w:lang w:eastAsia="en-AU"/>
        </w:rPr>
        <w:t xml:space="preserve"> means eligibility. </w:t>
      </w:r>
      <w:r w:rsidR="00F97C2B">
        <w:rPr>
          <w:lang w:eastAsia="en-AU"/>
        </w:rPr>
        <w:t xml:space="preserve"> </w:t>
      </w:r>
    </w:p>
    <w:sectPr w:rsidR="00F97C2B" w:rsidRPr="00F97C2B" w:rsidSect="00E35DF5">
      <w:footerReference w:type="default" r:id="rId2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9EDF7" w14:textId="77777777" w:rsidR="00013261" w:rsidRDefault="00013261" w:rsidP="006E4FC5">
      <w:pPr>
        <w:spacing w:after="0" w:line="240" w:lineRule="auto"/>
      </w:pPr>
      <w:r>
        <w:separator/>
      </w:r>
    </w:p>
  </w:endnote>
  <w:endnote w:type="continuationSeparator" w:id="0">
    <w:p w14:paraId="5023202C" w14:textId="77777777" w:rsidR="00013261" w:rsidRDefault="00013261" w:rsidP="006E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628925"/>
      <w:docPartObj>
        <w:docPartGallery w:val="Page Numbers (Bottom of Page)"/>
        <w:docPartUnique/>
      </w:docPartObj>
    </w:sdtPr>
    <w:sdtEndPr>
      <w:rPr>
        <w:noProof/>
      </w:rPr>
    </w:sdtEndPr>
    <w:sdtContent>
      <w:p w14:paraId="68014B9C" w14:textId="6D3576CB" w:rsidR="00F97C2B" w:rsidRDefault="00F97C2B">
        <w:pPr>
          <w:pStyle w:val="Footer"/>
          <w:jc w:val="center"/>
        </w:pPr>
        <w:r>
          <w:fldChar w:fldCharType="begin"/>
        </w:r>
        <w:r>
          <w:instrText xml:space="preserve"> PAGE   \* MERGEFORMAT </w:instrText>
        </w:r>
        <w:r>
          <w:fldChar w:fldCharType="separate"/>
        </w:r>
        <w:r w:rsidR="0036785C">
          <w:rPr>
            <w:noProof/>
          </w:rPr>
          <w:t>18</w:t>
        </w:r>
        <w:r>
          <w:rPr>
            <w:noProof/>
          </w:rPr>
          <w:fldChar w:fldCharType="end"/>
        </w:r>
      </w:p>
    </w:sdtContent>
  </w:sdt>
  <w:p w14:paraId="14BE9ED4" w14:textId="77777777" w:rsidR="00F97C2B" w:rsidRDefault="00F97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62AD8" w14:textId="77777777" w:rsidR="00013261" w:rsidRDefault="00013261" w:rsidP="006E4FC5">
      <w:pPr>
        <w:spacing w:after="0" w:line="240" w:lineRule="auto"/>
      </w:pPr>
      <w:r>
        <w:separator/>
      </w:r>
    </w:p>
  </w:footnote>
  <w:footnote w:type="continuationSeparator" w:id="0">
    <w:p w14:paraId="56FFF321" w14:textId="77777777" w:rsidR="00013261" w:rsidRDefault="00013261" w:rsidP="006E4FC5">
      <w:pPr>
        <w:spacing w:after="0" w:line="240" w:lineRule="auto"/>
      </w:pPr>
      <w:r>
        <w:continuationSeparator/>
      </w:r>
    </w:p>
  </w:footnote>
  <w:footnote w:id="1">
    <w:p w14:paraId="4240F836" w14:textId="77777777" w:rsidR="00F97C2B" w:rsidRPr="004B0E4E" w:rsidRDefault="00F97C2B" w:rsidP="006E4FC5">
      <w:pPr>
        <w:pStyle w:val="FootnoteText"/>
        <w:rPr>
          <w:rFonts w:cs="Arial"/>
          <w:sz w:val="16"/>
          <w:szCs w:val="16"/>
          <w:lang w:val="en-US"/>
        </w:rPr>
      </w:pPr>
      <w:r w:rsidRPr="004B0E4E">
        <w:rPr>
          <w:rStyle w:val="FootnoteReference"/>
          <w:rFonts w:cs="Arial"/>
          <w:sz w:val="16"/>
          <w:szCs w:val="16"/>
        </w:rPr>
        <w:footnoteRef/>
      </w:r>
      <w:r w:rsidRPr="004B0E4E">
        <w:rPr>
          <w:rFonts w:cs="Arial"/>
          <w:sz w:val="16"/>
          <w:szCs w:val="16"/>
          <w:lang w:val="en-US"/>
        </w:rPr>
        <w:t xml:space="preserve"> See generally, Productivity Commission (2014) </w:t>
      </w:r>
      <w:r w:rsidRPr="004B0E4E">
        <w:rPr>
          <w:rFonts w:cs="Arial"/>
          <w:i/>
          <w:sz w:val="16"/>
          <w:szCs w:val="16"/>
          <w:lang w:val="en-US"/>
        </w:rPr>
        <w:t>Access to justice arrangements. Inquiry report</w:t>
      </w:r>
      <w:r w:rsidRPr="004B0E4E">
        <w:rPr>
          <w:rFonts w:cs="Arial"/>
          <w:sz w:val="16"/>
          <w:szCs w:val="16"/>
          <w:lang w:val="en-US"/>
        </w:rPr>
        <w:t>, (72)</w:t>
      </w:r>
      <w:r>
        <w:rPr>
          <w:rFonts w:cs="Arial"/>
          <w:sz w:val="16"/>
          <w:szCs w:val="16"/>
          <w:lang w:val="en-US"/>
        </w:rPr>
        <w:t xml:space="preserve"> p 103</w:t>
      </w:r>
      <w:r w:rsidRPr="004B0E4E">
        <w:rPr>
          <w:rFonts w:cs="Arial"/>
          <w:sz w:val="16"/>
          <w:szCs w:val="16"/>
          <w:lang w:val="en-US"/>
        </w:rPr>
        <w:t xml:space="preserve">.; Richard </w:t>
      </w:r>
      <w:proofErr w:type="spellStart"/>
      <w:r w:rsidRPr="004B0E4E">
        <w:rPr>
          <w:rFonts w:cs="Arial"/>
          <w:sz w:val="16"/>
          <w:szCs w:val="16"/>
          <w:lang w:val="en-US"/>
        </w:rPr>
        <w:t>Denniss</w:t>
      </w:r>
      <w:proofErr w:type="spellEnd"/>
      <w:r w:rsidRPr="004B0E4E">
        <w:rPr>
          <w:rFonts w:cs="Arial"/>
          <w:sz w:val="16"/>
          <w:szCs w:val="16"/>
          <w:lang w:val="en-US"/>
        </w:rPr>
        <w:t xml:space="preserve">, Josh Fear and Emily </w:t>
      </w:r>
      <w:proofErr w:type="spellStart"/>
      <w:r w:rsidRPr="004B0E4E">
        <w:rPr>
          <w:rFonts w:cs="Arial"/>
          <w:sz w:val="16"/>
          <w:szCs w:val="16"/>
          <w:lang w:val="en-US"/>
        </w:rPr>
        <w:t>Millane</w:t>
      </w:r>
      <w:proofErr w:type="spellEnd"/>
      <w:r w:rsidRPr="004B0E4E">
        <w:rPr>
          <w:rFonts w:cs="Arial"/>
          <w:sz w:val="16"/>
          <w:szCs w:val="16"/>
          <w:lang w:val="en-US"/>
        </w:rPr>
        <w:t xml:space="preserve"> (2012), </w:t>
      </w:r>
      <w:r w:rsidRPr="004B0E4E">
        <w:rPr>
          <w:rFonts w:cs="Arial"/>
          <w:i/>
          <w:sz w:val="16"/>
          <w:szCs w:val="16"/>
          <w:lang w:val="en-US"/>
        </w:rPr>
        <w:t>Justice for all: Giving Australians Greater Access to the Legal System</w:t>
      </w:r>
      <w:r w:rsidRPr="004B0E4E">
        <w:rPr>
          <w:rFonts w:cs="Arial"/>
          <w:sz w:val="16"/>
          <w:szCs w:val="16"/>
          <w:lang w:val="en-US"/>
        </w:rPr>
        <w:t>, Institute Paper No 8, Australian Institute, March 2012; Centre for Innovative Justice. (2013</w:t>
      </w:r>
      <w:r w:rsidRPr="004B0E4E">
        <w:rPr>
          <w:rFonts w:cs="Arial"/>
          <w:i/>
          <w:sz w:val="16"/>
          <w:szCs w:val="16"/>
          <w:lang w:val="en-US"/>
        </w:rPr>
        <w:t>). Affordable Justice: A Pragmatic Path to Greater Flexibility and Access in the Private Legal Services Market</w:t>
      </w:r>
      <w:r w:rsidRPr="004B0E4E">
        <w:rPr>
          <w:rFonts w:cs="Arial"/>
          <w:sz w:val="16"/>
          <w:szCs w:val="16"/>
          <w:lang w:val="en-US"/>
        </w:rPr>
        <w:t xml:space="preserve">. RMIT University; </w:t>
      </w:r>
      <w:proofErr w:type="spellStart"/>
      <w:r w:rsidRPr="004B0E4E">
        <w:rPr>
          <w:rFonts w:cs="Arial"/>
          <w:sz w:val="16"/>
          <w:szCs w:val="16"/>
          <w:lang w:val="en-US"/>
        </w:rPr>
        <w:t>Coumarelos</w:t>
      </w:r>
      <w:proofErr w:type="spellEnd"/>
      <w:r w:rsidRPr="004B0E4E">
        <w:rPr>
          <w:rFonts w:cs="Arial"/>
          <w:sz w:val="16"/>
          <w:szCs w:val="16"/>
          <w:lang w:val="en-US"/>
        </w:rPr>
        <w:t xml:space="preserve">, C., </w:t>
      </w:r>
      <w:proofErr w:type="spellStart"/>
      <w:r w:rsidRPr="004B0E4E">
        <w:rPr>
          <w:rFonts w:cs="Arial"/>
          <w:sz w:val="16"/>
          <w:szCs w:val="16"/>
          <w:lang w:val="en-US"/>
        </w:rPr>
        <w:t>Macourt</w:t>
      </w:r>
      <w:proofErr w:type="spellEnd"/>
      <w:r w:rsidRPr="004B0E4E">
        <w:rPr>
          <w:rFonts w:cs="Arial"/>
          <w:sz w:val="16"/>
          <w:szCs w:val="16"/>
          <w:lang w:val="en-US"/>
        </w:rPr>
        <w:t xml:space="preserve">, D., People, J., McDonald, H. M., Wei, Z., </w:t>
      </w:r>
      <w:proofErr w:type="spellStart"/>
      <w:r w:rsidRPr="004B0E4E">
        <w:rPr>
          <w:rFonts w:cs="Arial"/>
          <w:sz w:val="16"/>
          <w:szCs w:val="16"/>
          <w:lang w:val="en-US"/>
        </w:rPr>
        <w:t>Iriana</w:t>
      </w:r>
      <w:proofErr w:type="spellEnd"/>
      <w:r w:rsidRPr="004B0E4E">
        <w:rPr>
          <w:rFonts w:cs="Arial"/>
          <w:sz w:val="16"/>
          <w:szCs w:val="16"/>
          <w:lang w:val="en-US"/>
        </w:rPr>
        <w:t>, R., &amp; Ramsey, S. (2012</w:t>
      </w:r>
      <w:r w:rsidRPr="004B0E4E">
        <w:rPr>
          <w:rFonts w:cs="Arial"/>
          <w:i/>
          <w:sz w:val="16"/>
          <w:szCs w:val="16"/>
          <w:lang w:val="en-US"/>
        </w:rPr>
        <w:t>). Legal Australia-wide survey: Legal need in Australia</w:t>
      </w:r>
      <w:r w:rsidRPr="004B0E4E">
        <w:rPr>
          <w:rFonts w:cs="Arial"/>
          <w:sz w:val="16"/>
          <w:szCs w:val="16"/>
          <w:lang w:val="en-US"/>
        </w:rPr>
        <w:t>. Law and Justice Foundation (the LAW Survey).</w:t>
      </w:r>
    </w:p>
  </w:footnote>
  <w:footnote w:id="2">
    <w:p w14:paraId="517F0D5A" w14:textId="77777777" w:rsidR="00F97C2B" w:rsidRPr="004B0E4E" w:rsidRDefault="00F97C2B" w:rsidP="006E4FC5">
      <w:pPr>
        <w:pStyle w:val="FootnoteText"/>
        <w:rPr>
          <w:rFonts w:cs="Arial"/>
          <w:sz w:val="16"/>
          <w:szCs w:val="16"/>
          <w:highlight w:val="yellow"/>
          <w:lang w:val="en-US"/>
        </w:rPr>
      </w:pPr>
      <w:r w:rsidRPr="004B0E4E">
        <w:rPr>
          <w:rStyle w:val="FootnoteReference"/>
          <w:rFonts w:cs="Arial"/>
          <w:sz w:val="16"/>
          <w:szCs w:val="16"/>
        </w:rPr>
        <w:footnoteRef/>
      </w:r>
      <w:r w:rsidRPr="004B0E4E">
        <w:rPr>
          <w:rFonts w:cs="Arial"/>
          <w:sz w:val="16"/>
          <w:szCs w:val="16"/>
        </w:rPr>
        <w:t xml:space="preserve"> See, for example,</w:t>
      </w:r>
      <w:r w:rsidRPr="004B0E4E">
        <w:rPr>
          <w:rFonts w:cs="Arial"/>
        </w:rPr>
        <w:t xml:space="preserve"> </w:t>
      </w:r>
      <w:r w:rsidRPr="004B0E4E">
        <w:rPr>
          <w:rFonts w:cs="Arial"/>
          <w:sz w:val="16"/>
          <w:szCs w:val="16"/>
        </w:rPr>
        <w:t xml:space="preserve">Curran, Liz and </w:t>
      </w:r>
      <w:proofErr w:type="spellStart"/>
      <w:r w:rsidRPr="004B0E4E">
        <w:rPr>
          <w:rFonts w:cs="Arial"/>
          <w:sz w:val="16"/>
          <w:szCs w:val="16"/>
        </w:rPr>
        <w:t>Noone</w:t>
      </w:r>
      <w:proofErr w:type="spellEnd"/>
      <w:r w:rsidRPr="004B0E4E">
        <w:rPr>
          <w:rFonts w:cs="Arial"/>
          <w:sz w:val="16"/>
          <w:szCs w:val="16"/>
        </w:rPr>
        <w:t xml:space="preserve">, Mary Anne (2007) "The Challenge of Defining Unmet Legal Need”. </w:t>
      </w:r>
      <w:r w:rsidRPr="004B0E4E">
        <w:rPr>
          <w:rFonts w:cs="Arial"/>
          <w:i/>
          <w:sz w:val="16"/>
          <w:szCs w:val="16"/>
        </w:rPr>
        <w:t>Journal of Law and Social Policy</w:t>
      </w:r>
      <w:r>
        <w:rPr>
          <w:rFonts w:cs="Arial"/>
          <w:sz w:val="16"/>
          <w:szCs w:val="16"/>
        </w:rPr>
        <w:t xml:space="preserve"> 21, 63-89.</w:t>
      </w:r>
      <w:r w:rsidRPr="004B0E4E">
        <w:rPr>
          <w:rFonts w:cs="Arial"/>
          <w:sz w:val="16"/>
          <w:szCs w:val="16"/>
        </w:rPr>
        <w:t xml:space="preserve"> </w:t>
      </w:r>
    </w:p>
  </w:footnote>
  <w:footnote w:id="3">
    <w:p w14:paraId="12301874" w14:textId="77777777" w:rsidR="00F97C2B" w:rsidRPr="00FF4B9C" w:rsidRDefault="00F97C2B" w:rsidP="00FF4B9C">
      <w:pPr>
        <w:pStyle w:val="FootnoteText"/>
        <w:rPr>
          <w:rFonts w:cs="Arial"/>
          <w:i/>
          <w:sz w:val="16"/>
          <w:szCs w:val="16"/>
        </w:rPr>
      </w:pPr>
      <w:r w:rsidRPr="00FF4B9C">
        <w:rPr>
          <w:rStyle w:val="FootnoteReference"/>
          <w:rFonts w:cs="Arial"/>
          <w:sz w:val="16"/>
          <w:szCs w:val="16"/>
        </w:rPr>
        <w:footnoteRef/>
      </w:r>
      <w:r w:rsidRPr="00FF4B9C">
        <w:rPr>
          <w:rFonts w:cs="Arial"/>
          <w:sz w:val="16"/>
          <w:szCs w:val="16"/>
        </w:rPr>
        <w:t xml:space="preserve"> Legal</w:t>
      </w:r>
      <w:r w:rsidRPr="004B0E4E">
        <w:rPr>
          <w:rFonts w:cs="Arial"/>
          <w:sz w:val="16"/>
          <w:szCs w:val="16"/>
        </w:rPr>
        <w:t xml:space="preserve"> Services Corporation (2009) </w:t>
      </w:r>
      <w:r w:rsidRPr="00F408CB">
        <w:rPr>
          <w:rFonts w:cs="Arial"/>
          <w:i/>
          <w:sz w:val="16"/>
          <w:szCs w:val="16"/>
        </w:rPr>
        <w:t xml:space="preserve">‘Documenting the Justice Gap In America The Current Unmet Civil Legal Needs </w:t>
      </w:r>
      <w:proofErr w:type="spellStart"/>
      <w:r w:rsidRPr="00F408CB">
        <w:rPr>
          <w:rFonts w:cs="Arial"/>
          <w:i/>
          <w:sz w:val="16"/>
          <w:szCs w:val="16"/>
        </w:rPr>
        <w:t>ofLow</w:t>
      </w:r>
      <w:proofErr w:type="spellEnd"/>
      <w:r w:rsidRPr="00F408CB">
        <w:rPr>
          <w:rFonts w:cs="Arial"/>
          <w:i/>
          <w:sz w:val="16"/>
          <w:szCs w:val="16"/>
        </w:rPr>
        <w:t>-Income Americans’</w:t>
      </w:r>
      <w:r w:rsidRPr="004B0E4E">
        <w:rPr>
          <w:rFonts w:cs="Arial"/>
          <w:sz w:val="16"/>
          <w:szCs w:val="16"/>
        </w:rPr>
        <w:t xml:space="preserve"> Available at </w:t>
      </w:r>
      <w:hyperlink r:id="rId1" w:history="1">
        <w:r w:rsidRPr="004B0E4E">
          <w:rPr>
            <w:rFonts w:cs="Arial"/>
            <w:sz w:val="16"/>
            <w:szCs w:val="16"/>
          </w:rPr>
          <w:t>http://www.lsc.gov/sites/default/files/LSC/pdfs/documenting_the_justice_gap_in_america_2009.pdf</w:t>
        </w:r>
      </w:hyperlink>
    </w:p>
  </w:footnote>
  <w:footnote w:id="4">
    <w:p w14:paraId="5A26DD0D" w14:textId="52DBC7F3" w:rsidR="00F97C2B" w:rsidRPr="004B0E4E" w:rsidRDefault="00F97C2B" w:rsidP="006E4FC5">
      <w:pPr>
        <w:pStyle w:val="FootnoteText"/>
        <w:rPr>
          <w:rFonts w:cs="Arial"/>
          <w:sz w:val="16"/>
          <w:szCs w:val="16"/>
          <w:highlight w:val="yellow"/>
          <w:lang w:val="en-US"/>
        </w:rPr>
      </w:pPr>
      <w:r w:rsidRPr="004B0E4E">
        <w:rPr>
          <w:rStyle w:val="FootnoteReference"/>
          <w:rFonts w:cs="Arial"/>
          <w:sz w:val="16"/>
          <w:szCs w:val="16"/>
        </w:rPr>
        <w:footnoteRef/>
      </w:r>
      <w:r>
        <w:rPr>
          <w:rFonts w:cs="Arial"/>
          <w:sz w:val="16"/>
          <w:szCs w:val="16"/>
        </w:rPr>
        <w:t xml:space="preserve"> Law and Justice Foundation of NSW,</w:t>
      </w:r>
      <w:r w:rsidRPr="004B0E4E">
        <w:rPr>
          <w:rFonts w:cs="Arial"/>
          <w:sz w:val="16"/>
          <w:szCs w:val="16"/>
        </w:rPr>
        <w:t xml:space="preserve"> </w:t>
      </w:r>
      <w:r w:rsidRPr="00AD0C0F">
        <w:rPr>
          <w:rFonts w:cs="Arial"/>
          <w:i/>
          <w:sz w:val="16"/>
          <w:szCs w:val="16"/>
        </w:rPr>
        <w:t>Legal Australia Wide-Survey: Australia</w:t>
      </w:r>
      <w:r>
        <w:rPr>
          <w:rFonts w:cs="Arial"/>
          <w:sz w:val="16"/>
          <w:szCs w:val="16"/>
        </w:rPr>
        <w:t xml:space="preserve"> (2014) p 66. Other indicators present include single parents and people living in regional areas. </w:t>
      </w:r>
    </w:p>
  </w:footnote>
  <w:footnote w:id="5">
    <w:p w14:paraId="1FFB1D6E" w14:textId="7A44BED8" w:rsidR="00F97C2B" w:rsidRPr="004B0E4E" w:rsidRDefault="00F97C2B" w:rsidP="006E4FC5">
      <w:pPr>
        <w:rPr>
          <w:rFonts w:cs="Arial"/>
          <w:sz w:val="16"/>
          <w:szCs w:val="16"/>
          <w:lang w:val="en-US"/>
        </w:rPr>
      </w:pPr>
      <w:r w:rsidRPr="004B0E4E">
        <w:rPr>
          <w:rStyle w:val="FootnoteReference"/>
          <w:rFonts w:cs="Arial"/>
          <w:sz w:val="16"/>
          <w:szCs w:val="16"/>
        </w:rPr>
        <w:footnoteRef/>
      </w:r>
      <w:r w:rsidRPr="004B0E4E">
        <w:rPr>
          <w:rFonts w:cs="Arial"/>
          <w:sz w:val="16"/>
          <w:szCs w:val="16"/>
        </w:rPr>
        <w:t xml:space="preserve"> </w:t>
      </w:r>
      <w:r>
        <w:rPr>
          <w:rFonts w:cs="Arial"/>
          <w:sz w:val="16"/>
          <w:szCs w:val="16"/>
        </w:rPr>
        <w:t xml:space="preserve">Productivity Commission (2014) </w:t>
      </w:r>
      <w:r>
        <w:rPr>
          <w:rFonts w:cs="Arial"/>
          <w:i/>
          <w:sz w:val="16"/>
          <w:szCs w:val="16"/>
        </w:rPr>
        <w:t xml:space="preserve">Access to Justice Arrangements – Volume </w:t>
      </w:r>
      <w:r w:rsidRPr="00185BB0">
        <w:rPr>
          <w:rFonts w:cs="Arial"/>
          <w:i/>
          <w:sz w:val="16"/>
          <w:szCs w:val="16"/>
        </w:rPr>
        <w:t>2</w:t>
      </w:r>
      <w:r>
        <w:rPr>
          <w:rFonts w:cs="Arial"/>
          <w:i/>
          <w:sz w:val="16"/>
          <w:szCs w:val="16"/>
        </w:rPr>
        <w:t xml:space="preserve">, </w:t>
      </w:r>
      <w:r>
        <w:rPr>
          <w:rFonts w:cs="Arial"/>
          <w:sz w:val="16"/>
          <w:szCs w:val="16"/>
        </w:rPr>
        <w:t>p 719</w:t>
      </w:r>
      <w:r w:rsidRPr="00185BB0">
        <w:rPr>
          <w:rFonts w:cs="Arial"/>
          <w:sz w:val="16"/>
          <w:szCs w:val="16"/>
        </w:rPr>
        <w:t>. In its re</w:t>
      </w:r>
      <w:r w:rsidRPr="004B0E4E">
        <w:rPr>
          <w:rFonts w:cs="Arial"/>
          <w:sz w:val="16"/>
          <w:szCs w:val="16"/>
        </w:rPr>
        <w:t>port, the Productivity Commission used the Household Expenditure Survey (HES) to estimate the number of households that might be eligible for legal aid based on a notional means test.</w:t>
      </w:r>
      <w:r w:rsidRPr="004B0E4E">
        <w:rPr>
          <w:rFonts w:cs="Arial"/>
          <w:sz w:val="16"/>
          <w:szCs w:val="16"/>
          <w:vertAlign w:val="superscript"/>
        </w:rPr>
        <w:t xml:space="preserve"> </w:t>
      </w:r>
      <w:r w:rsidRPr="004B0E4E">
        <w:rPr>
          <w:rFonts w:cs="Arial"/>
          <w:sz w:val="16"/>
          <w:szCs w:val="16"/>
        </w:rPr>
        <w:t>Based on this data, it estimated that around 8% of Australian households are eligible for legal aid without a contribution. It found that based on the income test alone, around 19% of households meet the average LAC criteria, while 15% of households meet t</w:t>
      </w:r>
      <w:r w:rsidR="00D36E98">
        <w:rPr>
          <w:rFonts w:cs="Arial"/>
          <w:sz w:val="16"/>
          <w:szCs w:val="16"/>
        </w:rPr>
        <w:t xml:space="preserve">he assets criteria alone, </w:t>
      </w:r>
      <w:r w:rsidR="00D36E98" w:rsidRPr="00A21108">
        <w:rPr>
          <w:sz w:val="16"/>
          <w:szCs w:val="16"/>
        </w:rPr>
        <w:t xml:space="preserve">Australian Council of Social Service (2014) </w:t>
      </w:r>
      <w:r w:rsidR="00D36E98" w:rsidRPr="00A21108">
        <w:rPr>
          <w:i/>
          <w:sz w:val="16"/>
          <w:szCs w:val="16"/>
        </w:rPr>
        <w:t>Poverty in Australia 2014</w:t>
      </w:r>
      <w:r w:rsidR="00D36E98" w:rsidRPr="00A21108">
        <w:rPr>
          <w:sz w:val="16"/>
          <w:szCs w:val="16"/>
        </w:rPr>
        <w:t>, p 9.</w:t>
      </w:r>
    </w:p>
  </w:footnote>
  <w:footnote w:id="6">
    <w:p w14:paraId="72353974" w14:textId="77777777" w:rsidR="00F97C2B" w:rsidRPr="005110B3" w:rsidRDefault="00F97C2B" w:rsidP="006E4FC5">
      <w:pPr>
        <w:pStyle w:val="FootnoteText"/>
        <w:rPr>
          <w:rFonts w:asciiTheme="majorHAnsi" w:hAnsiTheme="majorHAnsi"/>
          <w:sz w:val="16"/>
          <w:szCs w:val="16"/>
          <w:highlight w:val="yellow"/>
          <w:lang w:val="en-US"/>
        </w:rPr>
      </w:pPr>
      <w:r w:rsidRPr="004B0E4E">
        <w:rPr>
          <w:rStyle w:val="FootnoteReference"/>
          <w:rFonts w:cs="Arial"/>
          <w:sz w:val="16"/>
          <w:szCs w:val="16"/>
        </w:rPr>
        <w:footnoteRef/>
      </w:r>
      <w:r w:rsidRPr="004B0E4E">
        <w:rPr>
          <w:rFonts w:cs="Arial"/>
          <w:sz w:val="16"/>
          <w:szCs w:val="16"/>
        </w:rPr>
        <w:t xml:space="preserve"> </w:t>
      </w:r>
      <w:r w:rsidRPr="004B0E4E">
        <w:rPr>
          <w:rFonts w:cs="Arial"/>
          <w:sz w:val="16"/>
          <w:szCs w:val="16"/>
          <w:lang w:val="en-US"/>
        </w:rPr>
        <w:t>Ibid.</w:t>
      </w:r>
      <w:r>
        <w:rPr>
          <w:rFonts w:asciiTheme="majorHAnsi" w:hAnsiTheme="majorHAnsi"/>
          <w:sz w:val="16"/>
          <w:szCs w:val="16"/>
          <w:lang w:val="en-US"/>
        </w:rPr>
        <w:t xml:space="preserve"> </w:t>
      </w:r>
    </w:p>
  </w:footnote>
  <w:footnote w:id="7">
    <w:p w14:paraId="7EEA0CD9" w14:textId="77777777" w:rsidR="00F97C2B" w:rsidRPr="00E417CA" w:rsidRDefault="00F97C2B" w:rsidP="006E4FC5">
      <w:pPr>
        <w:pStyle w:val="FootnoteText"/>
        <w:rPr>
          <w:rFonts w:cs="Arial"/>
        </w:rPr>
      </w:pPr>
      <w:r w:rsidRPr="00EA4FD1">
        <w:rPr>
          <w:rStyle w:val="FootnoteReference"/>
          <w:rFonts w:cs="Arial"/>
          <w:color w:val="000000" w:themeColor="text1"/>
        </w:rPr>
        <w:footnoteRef/>
      </w:r>
      <w:r w:rsidRPr="00EA4FD1">
        <w:rPr>
          <w:rFonts w:cs="Arial"/>
          <w:color w:val="000000" w:themeColor="text1"/>
        </w:rPr>
        <w:t xml:space="preserve"> </w:t>
      </w:r>
      <w:r w:rsidRPr="00EA4FD1">
        <w:rPr>
          <w:rFonts w:cs="Arial"/>
          <w:color w:val="000000" w:themeColor="text1"/>
          <w:sz w:val="16"/>
          <w:szCs w:val="16"/>
          <w:lang w:val="en-US"/>
        </w:rPr>
        <w:t xml:space="preserve">See generally </w:t>
      </w:r>
      <w:r w:rsidRPr="00EA4FD1">
        <w:rPr>
          <w:rFonts w:cs="Arial"/>
          <w:color w:val="000000" w:themeColor="text1"/>
          <w:sz w:val="16"/>
          <w:szCs w:val="16"/>
        </w:rPr>
        <w:t xml:space="preserve">Australian Bureau of Statistics (2011) </w:t>
      </w:r>
      <w:r w:rsidRPr="00EA4FD1">
        <w:rPr>
          <w:rFonts w:cs="Arial"/>
          <w:i/>
          <w:color w:val="000000" w:themeColor="text1"/>
          <w:sz w:val="16"/>
          <w:szCs w:val="16"/>
          <w:lang w:val="en-US"/>
        </w:rPr>
        <w:t>Household Expenditure Survey, Australia: Summary of Results 2009-10</w:t>
      </w:r>
      <w:r w:rsidRPr="00EA4FD1">
        <w:rPr>
          <w:rFonts w:cs="Arial"/>
          <w:color w:val="000000" w:themeColor="text1"/>
          <w:sz w:val="16"/>
          <w:szCs w:val="16"/>
          <w:lang w:val="en-US"/>
        </w:rPr>
        <w:t xml:space="preserve">, Available at </w:t>
      </w:r>
      <w:hyperlink r:id="rId2" w:history="1">
        <w:r w:rsidRPr="00EA4FD1">
          <w:rPr>
            <w:rStyle w:val="Hyperlink"/>
            <w:rFonts w:cs="Arial"/>
            <w:color w:val="000000" w:themeColor="text1"/>
            <w:sz w:val="16"/>
            <w:szCs w:val="16"/>
            <w:lang w:val="en-US"/>
          </w:rPr>
          <w:t>http://www.abs.gov.au/AUSSTATS/abs@.nsf/Lookup/6530.0Main+Features12009-10?OpenDocument</w:t>
        </w:r>
      </w:hyperlink>
      <w:r>
        <w:rPr>
          <w:rFonts w:cs="Arial"/>
          <w:color w:val="000000" w:themeColor="text1"/>
          <w:sz w:val="16"/>
          <w:szCs w:val="16"/>
          <w:lang w:val="en-US"/>
        </w:rPr>
        <w:t>.</w:t>
      </w:r>
    </w:p>
  </w:footnote>
  <w:footnote w:id="8">
    <w:p w14:paraId="73FBEED1" w14:textId="77777777" w:rsidR="00F97C2B" w:rsidRPr="00EA4FD1" w:rsidRDefault="00F97C2B" w:rsidP="00B05605">
      <w:pPr>
        <w:pStyle w:val="FootnoteText"/>
        <w:rPr>
          <w:rFonts w:cs="Arial"/>
          <w:sz w:val="16"/>
          <w:szCs w:val="16"/>
          <w:lang w:val="en-US"/>
        </w:rPr>
      </w:pPr>
      <w:r w:rsidRPr="00EA4FD1">
        <w:rPr>
          <w:rStyle w:val="FootnoteReference"/>
          <w:rFonts w:cs="Arial"/>
          <w:sz w:val="16"/>
          <w:szCs w:val="16"/>
        </w:rPr>
        <w:footnoteRef/>
      </w:r>
      <w:r w:rsidRPr="00EA4FD1">
        <w:rPr>
          <w:rFonts w:cs="Arial"/>
          <w:sz w:val="16"/>
          <w:szCs w:val="16"/>
        </w:rPr>
        <w:t xml:space="preserve"> </w:t>
      </w:r>
      <w:r w:rsidRPr="00EA4FD1">
        <w:rPr>
          <w:rFonts w:cs="Arial"/>
          <w:sz w:val="16"/>
          <w:szCs w:val="16"/>
          <w:lang w:val="en-US"/>
        </w:rPr>
        <w:t xml:space="preserve">NATSEM (2012), </w:t>
      </w:r>
      <w:r w:rsidRPr="00F408CB">
        <w:rPr>
          <w:rFonts w:cs="Arial"/>
          <w:i/>
          <w:sz w:val="16"/>
          <w:szCs w:val="16"/>
          <w:lang w:val="en-US"/>
        </w:rPr>
        <w:t>‘Prices these Days’</w:t>
      </w:r>
      <w:r>
        <w:rPr>
          <w:rFonts w:cs="Arial"/>
          <w:sz w:val="16"/>
          <w:szCs w:val="16"/>
          <w:lang w:val="en-US"/>
        </w:rPr>
        <w:t>, p.8</w:t>
      </w:r>
      <w:r w:rsidRPr="00EA4FD1">
        <w:rPr>
          <w:rFonts w:cs="Arial"/>
          <w:sz w:val="16"/>
          <w:szCs w:val="16"/>
          <w:lang w:val="en-US"/>
        </w:rPr>
        <w:t xml:space="preserve">. Available at </w:t>
      </w:r>
      <w:hyperlink r:id="rId3" w:history="1">
        <w:r w:rsidRPr="00381644">
          <w:rPr>
            <w:rStyle w:val="Hyperlink"/>
            <w:rFonts w:cs="Arial"/>
            <w:sz w:val="16"/>
            <w:szCs w:val="16"/>
            <w:lang w:val="en-US"/>
          </w:rPr>
          <w:t>http://natsem.canberra.edu.au/storage/AMP_NATSEM_31_Prices_these_days_The_cost_of_living_in_Australia.pdf</w:t>
        </w:r>
      </w:hyperlink>
      <w:r>
        <w:rPr>
          <w:rFonts w:cs="Arial"/>
          <w:sz w:val="16"/>
          <w:szCs w:val="16"/>
          <w:lang w:val="en-US"/>
        </w:rPr>
        <w:t xml:space="preserve"> </w:t>
      </w:r>
      <w:r w:rsidRPr="00EA4FD1">
        <w:rPr>
          <w:rFonts w:cs="Arial"/>
          <w:sz w:val="16"/>
          <w:szCs w:val="16"/>
          <w:lang w:val="en-US"/>
        </w:rPr>
        <w:t>.</w:t>
      </w:r>
    </w:p>
  </w:footnote>
  <w:footnote w:id="9">
    <w:p w14:paraId="2305D039" w14:textId="77777777" w:rsidR="00F97C2B" w:rsidRPr="00BA1D71" w:rsidRDefault="00F97C2B" w:rsidP="006E4FC5">
      <w:pPr>
        <w:pStyle w:val="FootnoteText"/>
        <w:rPr>
          <w:sz w:val="16"/>
          <w:szCs w:val="16"/>
          <w:lang w:val="en-US"/>
        </w:rPr>
      </w:pPr>
      <w:r w:rsidRPr="00BA1D71">
        <w:rPr>
          <w:rStyle w:val="FootnoteReference"/>
          <w:sz w:val="16"/>
          <w:szCs w:val="16"/>
        </w:rPr>
        <w:footnoteRef/>
      </w:r>
      <w:r w:rsidRPr="00BA1D71">
        <w:rPr>
          <w:sz w:val="16"/>
          <w:szCs w:val="16"/>
        </w:rPr>
        <w:t xml:space="preserve"> </w:t>
      </w:r>
      <w:r w:rsidRPr="00BA1D71">
        <w:rPr>
          <w:sz w:val="16"/>
          <w:szCs w:val="16"/>
          <w:lang w:val="en-US"/>
        </w:rPr>
        <w:t>ABS (</w:t>
      </w:r>
      <w:r>
        <w:rPr>
          <w:sz w:val="16"/>
          <w:szCs w:val="16"/>
          <w:lang w:val="en-US"/>
        </w:rPr>
        <w:t>2013-</w:t>
      </w:r>
      <w:r w:rsidRPr="00BA1D71">
        <w:rPr>
          <w:sz w:val="16"/>
          <w:szCs w:val="16"/>
          <w:lang w:val="en-US"/>
        </w:rPr>
        <w:t xml:space="preserve">2014) </w:t>
      </w:r>
      <w:r>
        <w:rPr>
          <w:i/>
          <w:sz w:val="16"/>
          <w:szCs w:val="16"/>
          <w:lang w:val="en-US"/>
        </w:rPr>
        <w:t>‘Wealth and debt</w:t>
      </w:r>
      <w:r w:rsidRPr="00F408CB">
        <w:rPr>
          <w:i/>
          <w:sz w:val="16"/>
          <w:szCs w:val="16"/>
          <w:lang w:val="en-US"/>
        </w:rPr>
        <w:t>’</w:t>
      </w:r>
      <w:r w:rsidRPr="00BA1D71">
        <w:rPr>
          <w:sz w:val="16"/>
          <w:szCs w:val="16"/>
          <w:lang w:val="en-US"/>
        </w:rPr>
        <w:t xml:space="preserve">. Available at </w:t>
      </w:r>
      <w:r w:rsidRPr="00451591">
        <w:rPr>
          <w:sz w:val="16"/>
          <w:szCs w:val="16"/>
          <w:lang w:val="en-US"/>
        </w:rPr>
        <w:t>http://www.abs.gov.au/AUSSTATS/abs@.nsf/Lookup/6523.0Main+Features312013-14?OpenDocument</w:t>
      </w:r>
    </w:p>
  </w:footnote>
  <w:footnote w:id="10">
    <w:p w14:paraId="3111DDC5" w14:textId="77777777" w:rsidR="00F97C2B" w:rsidRPr="00BA1D71" w:rsidRDefault="00F97C2B" w:rsidP="006E4FC5">
      <w:pPr>
        <w:pStyle w:val="FootnoteText"/>
        <w:rPr>
          <w:lang w:val="en-US"/>
        </w:rPr>
      </w:pPr>
      <w:r w:rsidRPr="00BA1D71">
        <w:rPr>
          <w:rStyle w:val="FootnoteReference"/>
          <w:sz w:val="16"/>
          <w:szCs w:val="16"/>
        </w:rPr>
        <w:footnoteRef/>
      </w:r>
      <w:r w:rsidRPr="00BA1D71">
        <w:rPr>
          <w:sz w:val="16"/>
          <w:szCs w:val="16"/>
        </w:rPr>
        <w:t xml:space="preserve"> </w:t>
      </w:r>
      <w:r w:rsidRPr="00BA1D71">
        <w:rPr>
          <w:sz w:val="16"/>
          <w:szCs w:val="16"/>
          <w:lang w:val="en-US"/>
        </w:rPr>
        <w:t>NATSEM, ‘Buy now, pay later: Household debt in Australia’, p 4. Available at http://www.natsem.canberra.edu.au/storage/AMP.NATSEM%20Report_Buy%20now%20pay%20later_Household%20debt%20in%20Australia_FINAL.pdf</w:t>
      </w:r>
    </w:p>
  </w:footnote>
  <w:footnote w:id="11">
    <w:p w14:paraId="157597D9" w14:textId="77777777" w:rsidR="00F97C2B" w:rsidRPr="004B0E4E" w:rsidRDefault="00F97C2B" w:rsidP="006E4FC5">
      <w:pPr>
        <w:pStyle w:val="FootnoteText"/>
        <w:rPr>
          <w:rFonts w:cs="Arial"/>
          <w:sz w:val="16"/>
          <w:szCs w:val="16"/>
          <w:lang w:val="en-US"/>
        </w:rPr>
      </w:pPr>
      <w:r w:rsidRPr="004B0E4E">
        <w:rPr>
          <w:rStyle w:val="FootnoteReference"/>
          <w:rFonts w:cs="Arial"/>
          <w:sz w:val="16"/>
          <w:szCs w:val="16"/>
        </w:rPr>
        <w:footnoteRef/>
      </w:r>
      <w:r w:rsidRPr="004B0E4E">
        <w:rPr>
          <w:rFonts w:cs="Arial"/>
          <w:sz w:val="16"/>
          <w:szCs w:val="16"/>
        </w:rPr>
        <w:t xml:space="preserve"> </w:t>
      </w:r>
      <w:r w:rsidRPr="004B0E4E">
        <w:rPr>
          <w:rFonts w:cs="Arial"/>
          <w:sz w:val="16"/>
          <w:szCs w:val="16"/>
          <w:lang w:val="en-US"/>
        </w:rPr>
        <w:t xml:space="preserve">NATSEM (2013) ‘The cost of kids: the cost of </w:t>
      </w:r>
      <w:r>
        <w:rPr>
          <w:rFonts w:cs="Arial"/>
          <w:sz w:val="16"/>
          <w:szCs w:val="16"/>
          <w:lang w:val="en-US"/>
        </w:rPr>
        <w:t xml:space="preserve">raising children in </w:t>
      </w:r>
      <w:proofErr w:type="gramStart"/>
      <w:r>
        <w:rPr>
          <w:rFonts w:cs="Arial"/>
          <w:sz w:val="16"/>
          <w:szCs w:val="16"/>
          <w:lang w:val="en-US"/>
        </w:rPr>
        <w:t xml:space="preserve">Australia‘ </w:t>
      </w:r>
      <w:r w:rsidRPr="004B0E4E">
        <w:rPr>
          <w:rFonts w:cs="Arial"/>
          <w:sz w:val="16"/>
          <w:szCs w:val="16"/>
          <w:lang w:val="en-US"/>
        </w:rPr>
        <w:t>(</w:t>
      </w:r>
      <w:proofErr w:type="gramEnd"/>
      <w:r w:rsidRPr="004B0E4E">
        <w:rPr>
          <w:rFonts w:cs="Arial"/>
          <w:sz w:val="16"/>
          <w:szCs w:val="16"/>
          <w:lang w:val="en-US"/>
        </w:rPr>
        <w:t>Foreword). Available at http://www.natsem.canberra.edu.au/storage/AMP_NATSEM_33.pdf.</w:t>
      </w:r>
    </w:p>
  </w:footnote>
  <w:footnote w:id="12">
    <w:p w14:paraId="5B4F2C08" w14:textId="77777777" w:rsidR="00F97C2B" w:rsidRPr="004B0E4E" w:rsidRDefault="00F97C2B" w:rsidP="006E4FC5">
      <w:pPr>
        <w:pStyle w:val="FootnoteText"/>
        <w:rPr>
          <w:rFonts w:cs="Arial"/>
          <w:sz w:val="16"/>
          <w:szCs w:val="16"/>
          <w:highlight w:val="yellow"/>
          <w:lang w:val="en-US"/>
        </w:rPr>
      </w:pPr>
      <w:r w:rsidRPr="004B0E4E">
        <w:rPr>
          <w:rStyle w:val="FootnoteReference"/>
          <w:rFonts w:cs="Arial"/>
          <w:sz w:val="16"/>
          <w:szCs w:val="16"/>
        </w:rPr>
        <w:footnoteRef/>
      </w:r>
      <w:r w:rsidRPr="004B0E4E">
        <w:rPr>
          <w:rFonts w:cs="Arial"/>
          <w:sz w:val="16"/>
          <w:szCs w:val="16"/>
        </w:rPr>
        <w:t xml:space="preserve"> </w:t>
      </w:r>
      <w:r w:rsidRPr="004B0E4E">
        <w:rPr>
          <w:rFonts w:cs="Arial"/>
          <w:sz w:val="16"/>
          <w:szCs w:val="16"/>
          <w:lang w:val="en-US"/>
        </w:rPr>
        <w:t>Ibid</w:t>
      </w:r>
      <w:r>
        <w:rPr>
          <w:rFonts w:cs="Arial"/>
          <w:sz w:val="16"/>
          <w:szCs w:val="16"/>
          <w:lang w:val="en-US"/>
        </w:rPr>
        <w:t>, p 5</w:t>
      </w:r>
      <w:r w:rsidRPr="004B0E4E">
        <w:rPr>
          <w:rFonts w:cs="Arial"/>
          <w:sz w:val="16"/>
          <w:szCs w:val="16"/>
          <w:lang w:val="en-US"/>
        </w:rPr>
        <w:t xml:space="preserve">. </w:t>
      </w:r>
    </w:p>
  </w:footnote>
  <w:footnote w:id="13">
    <w:p w14:paraId="075924B3" w14:textId="77777777" w:rsidR="00F97C2B" w:rsidRPr="00A7002A" w:rsidRDefault="00F97C2B">
      <w:pPr>
        <w:pStyle w:val="FootnoteText"/>
        <w:rPr>
          <w:lang w:val="en-US"/>
        </w:rPr>
      </w:pPr>
      <w:r>
        <w:rPr>
          <w:rStyle w:val="FootnoteReference"/>
        </w:rPr>
        <w:footnoteRef/>
      </w:r>
      <w:r>
        <w:t xml:space="preserve"> </w:t>
      </w:r>
      <w:r w:rsidRPr="00BA1D71">
        <w:rPr>
          <w:sz w:val="16"/>
          <w:szCs w:val="16"/>
          <w:lang w:val="en-US"/>
        </w:rPr>
        <w:t>NATSEM, ‘Buy now, pay later: H</w:t>
      </w:r>
      <w:r>
        <w:rPr>
          <w:sz w:val="16"/>
          <w:szCs w:val="16"/>
          <w:lang w:val="en-US"/>
        </w:rPr>
        <w:t>ousehold debt in Australia’, p 15</w:t>
      </w:r>
      <w:r w:rsidRPr="00BA1D71">
        <w:rPr>
          <w:sz w:val="16"/>
          <w:szCs w:val="16"/>
          <w:lang w:val="en-US"/>
        </w:rPr>
        <w:t>. Available at http://www.natsem.canberra.edu.au/storage/AMP.NATSEM%20Report_Buy%20now%20pay%20later_Household%20debt%20in%20Australia_FINAL.pdf</w:t>
      </w:r>
      <w:r>
        <w:rPr>
          <w:sz w:val="16"/>
          <w:szCs w:val="16"/>
          <w:lang w:val="en-US"/>
        </w:rPr>
        <w:t>.</w:t>
      </w:r>
    </w:p>
  </w:footnote>
  <w:footnote w:id="14">
    <w:p w14:paraId="444AB70E" w14:textId="4A35E0DE" w:rsidR="00F97C2B" w:rsidRPr="00CA513E" w:rsidRDefault="00F97C2B" w:rsidP="00CA513E">
      <w:pPr>
        <w:pStyle w:val="FootnoteText"/>
        <w:rPr>
          <w:rFonts w:cs="Arial"/>
          <w:sz w:val="16"/>
          <w:szCs w:val="16"/>
          <w:lang w:val="en-US"/>
        </w:rPr>
      </w:pPr>
      <w:r w:rsidRPr="004B0E4E">
        <w:rPr>
          <w:rStyle w:val="FootnoteReference"/>
          <w:rFonts w:cs="Arial"/>
        </w:rPr>
        <w:footnoteRef/>
      </w:r>
      <w:r w:rsidRPr="004B0E4E">
        <w:rPr>
          <w:rFonts w:cs="Arial"/>
        </w:rPr>
        <w:t xml:space="preserve"> </w:t>
      </w:r>
      <w:r w:rsidRPr="004B0E4E">
        <w:rPr>
          <w:rFonts w:cs="Arial"/>
          <w:sz w:val="16"/>
          <w:szCs w:val="16"/>
          <w:lang w:val="en-US"/>
        </w:rPr>
        <w:t>See further</w:t>
      </w:r>
      <w:r>
        <w:rPr>
          <w:rFonts w:cs="Arial"/>
          <w:sz w:val="16"/>
          <w:szCs w:val="16"/>
          <w:lang w:val="en-US"/>
        </w:rPr>
        <w:t>:</w:t>
      </w:r>
      <w:r w:rsidRPr="004B0E4E">
        <w:rPr>
          <w:rFonts w:cs="Arial"/>
          <w:sz w:val="16"/>
          <w:szCs w:val="16"/>
          <w:lang w:val="en-US"/>
        </w:rPr>
        <w:t xml:space="preserve"> Melbourne Institute of Applied Econ</w:t>
      </w:r>
      <w:r>
        <w:rPr>
          <w:rFonts w:cs="Arial"/>
          <w:sz w:val="16"/>
          <w:szCs w:val="16"/>
          <w:lang w:val="en-US"/>
        </w:rPr>
        <w:t>omic and Social Research (2016)</w:t>
      </w:r>
      <w:r w:rsidRPr="004B0E4E">
        <w:rPr>
          <w:rFonts w:cs="Arial"/>
          <w:sz w:val="16"/>
          <w:szCs w:val="16"/>
          <w:lang w:val="en-US"/>
        </w:rPr>
        <w:t xml:space="preserve"> Household Income and </w:t>
      </w:r>
      <w:proofErr w:type="spellStart"/>
      <w:r w:rsidRPr="004B0E4E">
        <w:rPr>
          <w:rFonts w:cs="Arial"/>
          <w:sz w:val="16"/>
          <w:szCs w:val="16"/>
          <w:lang w:val="en-US"/>
        </w:rPr>
        <w:t>Labou</w:t>
      </w:r>
      <w:r>
        <w:rPr>
          <w:rFonts w:cs="Arial"/>
          <w:sz w:val="16"/>
          <w:szCs w:val="16"/>
          <w:lang w:val="en-US"/>
        </w:rPr>
        <w:t>r</w:t>
      </w:r>
      <w:proofErr w:type="spellEnd"/>
      <w:r>
        <w:rPr>
          <w:rFonts w:cs="Arial"/>
          <w:sz w:val="16"/>
          <w:szCs w:val="16"/>
          <w:lang w:val="en-US"/>
        </w:rPr>
        <w:t xml:space="preserve"> Dynamics in Australia Survey.</w:t>
      </w:r>
      <w:r w:rsidRPr="004B0E4E">
        <w:rPr>
          <w:rFonts w:cs="Arial"/>
          <w:sz w:val="16"/>
          <w:szCs w:val="16"/>
          <w:lang w:val="en-US"/>
        </w:rPr>
        <w:t xml:space="preserve"> Available at  </w:t>
      </w:r>
      <w:hyperlink r:id="rId4" w:history="1">
        <w:r w:rsidRPr="004B0E4E">
          <w:rPr>
            <w:rFonts w:cs="Arial"/>
            <w:sz w:val="16"/>
            <w:szCs w:val="16"/>
            <w:lang w:val="en-US"/>
          </w:rPr>
          <w:t>https://www.melbourneinstitute.com/hilda/</w:t>
        </w:r>
      </w:hyperlink>
      <w:r w:rsidRPr="004B0E4E">
        <w:rPr>
          <w:rFonts w:cs="Arial"/>
          <w:sz w:val="16"/>
          <w:szCs w:val="16"/>
          <w:lang w:val="en-US"/>
        </w:rPr>
        <w:t>.</w:t>
      </w:r>
    </w:p>
  </w:footnote>
  <w:footnote w:id="15">
    <w:p w14:paraId="6DCEDA3B" w14:textId="7C1772F3" w:rsidR="00CA513E" w:rsidRPr="00CA513E" w:rsidRDefault="00CA513E">
      <w:pPr>
        <w:pStyle w:val="FootnoteText"/>
        <w:rPr>
          <w:lang w:val="en-US"/>
        </w:rPr>
      </w:pPr>
      <w:r>
        <w:rPr>
          <w:rStyle w:val="FootnoteReference"/>
        </w:rPr>
        <w:footnoteRef/>
      </w:r>
      <w:r>
        <w:t xml:space="preserve"> </w:t>
      </w:r>
      <w:r w:rsidRPr="004B0E4E">
        <w:rPr>
          <w:rFonts w:cs="Arial"/>
          <w:sz w:val="16"/>
          <w:szCs w:val="16"/>
        </w:rPr>
        <w:t xml:space="preserve">Committee for Economic Development of Australia: CEDA (2015) </w:t>
      </w:r>
      <w:r w:rsidRPr="004B0E4E">
        <w:rPr>
          <w:rFonts w:cs="Arial"/>
          <w:i/>
          <w:sz w:val="16"/>
          <w:szCs w:val="16"/>
        </w:rPr>
        <w:t xml:space="preserve">Addressing entrenched disadvantage in Australia, </w:t>
      </w:r>
      <w:r>
        <w:rPr>
          <w:rFonts w:cs="Arial"/>
          <w:sz w:val="16"/>
          <w:szCs w:val="16"/>
        </w:rPr>
        <w:t>p 14,35.</w:t>
      </w:r>
    </w:p>
  </w:footnote>
  <w:footnote w:id="16">
    <w:p w14:paraId="015D7AF8" w14:textId="77777777" w:rsidR="00F97C2B" w:rsidRPr="004B0E4E" w:rsidRDefault="00F97C2B" w:rsidP="006E4FC5">
      <w:pPr>
        <w:pStyle w:val="FootnoteText"/>
        <w:rPr>
          <w:rFonts w:cs="Arial"/>
          <w:sz w:val="16"/>
          <w:szCs w:val="16"/>
        </w:rPr>
      </w:pPr>
      <w:r w:rsidRPr="004B0E4E">
        <w:rPr>
          <w:rStyle w:val="FootnoteReference"/>
          <w:rFonts w:cs="Arial"/>
          <w:sz w:val="16"/>
          <w:szCs w:val="16"/>
        </w:rPr>
        <w:footnoteRef/>
      </w:r>
      <w:r w:rsidRPr="004B0E4E">
        <w:rPr>
          <w:rFonts w:cs="Arial"/>
          <w:sz w:val="16"/>
          <w:szCs w:val="16"/>
        </w:rPr>
        <w:t xml:space="preserve"> Productivity Commission (2014) </w:t>
      </w:r>
      <w:r w:rsidRPr="004B0E4E">
        <w:rPr>
          <w:rFonts w:cs="Arial"/>
          <w:i/>
          <w:sz w:val="16"/>
          <w:szCs w:val="16"/>
        </w:rPr>
        <w:t>Access to Justice Arrangements- Summary Report</w:t>
      </w:r>
      <w:r w:rsidRPr="004B0E4E">
        <w:rPr>
          <w:rFonts w:cs="Arial"/>
          <w:sz w:val="16"/>
          <w:szCs w:val="16"/>
        </w:rPr>
        <w:t>, p 24.</w:t>
      </w:r>
    </w:p>
  </w:footnote>
  <w:footnote w:id="17">
    <w:p w14:paraId="7A432F44" w14:textId="77777777" w:rsidR="00F97C2B" w:rsidRPr="004B0E4E" w:rsidRDefault="00F97C2B" w:rsidP="006E4FC5">
      <w:pPr>
        <w:pStyle w:val="FootnoteText"/>
        <w:rPr>
          <w:rFonts w:cs="Arial"/>
          <w:sz w:val="16"/>
          <w:szCs w:val="16"/>
          <w:lang w:val="en-US"/>
        </w:rPr>
      </w:pPr>
      <w:r w:rsidRPr="004B0E4E">
        <w:rPr>
          <w:rStyle w:val="FootnoteReference"/>
          <w:rFonts w:cs="Arial"/>
          <w:sz w:val="16"/>
          <w:szCs w:val="16"/>
        </w:rPr>
        <w:footnoteRef/>
      </w:r>
      <w:r w:rsidRPr="004B0E4E">
        <w:rPr>
          <w:rFonts w:cs="Arial"/>
          <w:sz w:val="16"/>
          <w:szCs w:val="16"/>
        </w:rPr>
        <w:t xml:space="preserve"> </w:t>
      </w:r>
      <w:r w:rsidRPr="004B0E4E">
        <w:rPr>
          <w:rFonts w:cs="Arial"/>
          <w:sz w:val="16"/>
          <w:szCs w:val="16"/>
          <w:lang w:val="en-US"/>
        </w:rPr>
        <w:t xml:space="preserve">Productivity Commission (2014) </w:t>
      </w:r>
      <w:r w:rsidRPr="004B0E4E">
        <w:rPr>
          <w:rFonts w:cs="Arial"/>
          <w:i/>
          <w:sz w:val="16"/>
          <w:szCs w:val="16"/>
          <w:lang w:val="en-US"/>
        </w:rPr>
        <w:t>Final Report</w:t>
      </w:r>
      <w:r w:rsidRPr="004B0E4E">
        <w:rPr>
          <w:rFonts w:cs="Arial"/>
          <w:sz w:val="16"/>
          <w:szCs w:val="16"/>
          <w:lang w:val="en-US"/>
        </w:rPr>
        <w:t xml:space="preserve">, p 970. </w:t>
      </w:r>
    </w:p>
  </w:footnote>
  <w:footnote w:id="18">
    <w:p w14:paraId="7E79463A" w14:textId="77777777" w:rsidR="00F97C2B" w:rsidRPr="004B0E4E" w:rsidRDefault="00F97C2B" w:rsidP="006E4FC5">
      <w:pPr>
        <w:pStyle w:val="FootnoteText"/>
        <w:rPr>
          <w:rFonts w:cs="Arial"/>
          <w:sz w:val="16"/>
          <w:szCs w:val="16"/>
          <w:lang w:val="en-US"/>
        </w:rPr>
      </w:pPr>
      <w:r w:rsidRPr="004B0E4E">
        <w:rPr>
          <w:rStyle w:val="FootnoteReference"/>
          <w:rFonts w:cs="Arial"/>
          <w:sz w:val="16"/>
          <w:szCs w:val="16"/>
        </w:rPr>
        <w:footnoteRef/>
      </w:r>
      <w:r w:rsidRPr="004B0E4E">
        <w:rPr>
          <w:rFonts w:cs="Arial"/>
          <w:sz w:val="16"/>
          <w:szCs w:val="16"/>
        </w:rPr>
        <w:t xml:space="preserve"> McDonald, HM &amp; Wei, Z 2015, How people solve legal problems: level of disadvantage and legal c</w:t>
      </w:r>
      <w:r>
        <w:rPr>
          <w:rFonts w:cs="Arial"/>
          <w:sz w:val="16"/>
          <w:szCs w:val="16"/>
        </w:rPr>
        <w:t xml:space="preserve">apability, Justice issues paper </w:t>
      </w:r>
      <w:r w:rsidRPr="004B0E4E">
        <w:rPr>
          <w:rFonts w:cs="Arial"/>
          <w:sz w:val="16"/>
          <w:szCs w:val="16"/>
        </w:rPr>
        <w:t>23, Law and Justice Foundation of NSW, Sydney.</w:t>
      </w:r>
      <w:r w:rsidRPr="004B0E4E">
        <w:rPr>
          <w:rFonts w:cs="Arial"/>
          <w:sz w:val="16"/>
          <w:szCs w:val="16"/>
          <w:lang w:val="en-US"/>
        </w:rPr>
        <w:t>La</w:t>
      </w:r>
      <w:r>
        <w:rPr>
          <w:rFonts w:cs="Arial"/>
          <w:sz w:val="16"/>
          <w:szCs w:val="16"/>
          <w:lang w:val="en-US"/>
        </w:rPr>
        <w:t>w and Justice Foundation (2016).</w:t>
      </w:r>
    </w:p>
  </w:footnote>
  <w:footnote w:id="19">
    <w:p w14:paraId="0D88147D" w14:textId="77777777" w:rsidR="00F97C2B" w:rsidRPr="00F408CB" w:rsidRDefault="00F97C2B" w:rsidP="006E4FC5">
      <w:pPr>
        <w:pStyle w:val="FootnoteText"/>
        <w:rPr>
          <w:rFonts w:asciiTheme="majorHAnsi" w:hAnsiTheme="majorHAnsi" w:cs="Arial"/>
          <w:sz w:val="16"/>
          <w:szCs w:val="16"/>
          <w:lang w:val="en-US"/>
        </w:rPr>
      </w:pPr>
      <w:r w:rsidRPr="00F408CB">
        <w:rPr>
          <w:rStyle w:val="FootnoteReference"/>
          <w:rFonts w:cs="Arial"/>
          <w:sz w:val="16"/>
          <w:szCs w:val="16"/>
        </w:rPr>
        <w:footnoteRef/>
      </w:r>
      <w:r w:rsidRPr="00F408CB">
        <w:rPr>
          <w:rFonts w:cs="Arial"/>
          <w:sz w:val="16"/>
          <w:szCs w:val="16"/>
        </w:rPr>
        <w:t xml:space="preserve"> </w:t>
      </w:r>
      <w:r w:rsidRPr="00F408CB">
        <w:rPr>
          <w:rFonts w:cs="Arial"/>
          <w:sz w:val="16"/>
          <w:szCs w:val="16"/>
          <w:lang w:val="en-US"/>
        </w:rPr>
        <w:t>The LAW Survey (2012) cited in Productivity Commission, 2014, p 971.</w:t>
      </w:r>
      <w:r w:rsidRPr="00F408CB">
        <w:rPr>
          <w:rFonts w:asciiTheme="majorHAnsi" w:hAnsiTheme="majorHAnsi" w:cs="Arial"/>
          <w:sz w:val="16"/>
          <w:szCs w:val="16"/>
          <w:lang w:val="en-US"/>
        </w:rPr>
        <w:t xml:space="preserve"> </w:t>
      </w:r>
    </w:p>
  </w:footnote>
  <w:footnote w:id="20">
    <w:p w14:paraId="3886A4CD" w14:textId="77777777" w:rsidR="00F97C2B" w:rsidRPr="00027CCB" w:rsidRDefault="00F97C2B">
      <w:pPr>
        <w:pStyle w:val="FootnoteText"/>
        <w:rPr>
          <w:lang w:val="en-US"/>
        </w:rPr>
      </w:pPr>
      <w:r>
        <w:rPr>
          <w:rStyle w:val="FootnoteReference"/>
        </w:rPr>
        <w:footnoteRef/>
      </w:r>
      <w:r>
        <w:t xml:space="preserve"> </w:t>
      </w:r>
      <w:hyperlink r:id="rId5" w:history="1">
        <w:r w:rsidRPr="00027CCB">
          <w:rPr>
            <w:rStyle w:val="Hyperlink"/>
            <w:sz w:val="16"/>
            <w:szCs w:val="16"/>
          </w:rPr>
          <w:t>https://www.legalaid.vic.gov.au/about-us/what-we-do/research-and-analysis/legal-needs-survey</w:t>
        </w:r>
      </w:hyperlink>
      <w:r>
        <w:t xml:space="preserve"> </w:t>
      </w:r>
    </w:p>
  </w:footnote>
  <w:footnote w:id="21">
    <w:p w14:paraId="206D1874" w14:textId="77777777" w:rsidR="00F97C2B" w:rsidRPr="00D675A6" w:rsidRDefault="00F97C2B" w:rsidP="006E4FC5">
      <w:pPr>
        <w:pStyle w:val="FootnoteText"/>
        <w:rPr>
          <w:lang w:val="en-US"/>
        </w:rPr>
      </w:pPr>
      <w:r w:rsidRPr="00F408CB">
        <w:rPr>
          <w:rStyle w:val="FootnoteReference"/>
          <w:sz w:val="16"/>
          <w:szCs w:val="16"/>
        </w:rPr>
        <w:footnoteRef/>
      </w:r>
      <w:r w:rsidRPr="00F408CB">
        <w:rPr>
          <w:sz w:val="16"/>
          <w:szCs w:val="16"/>
        </w:rPr>
        <w:t xml:space="preserve"> </w:t>
      </w:r>
      <w:r w:rsidRPr="00F408CB">
        <w:rPr>
          <w:sz w:val="16"/>
          <w:szCs w:val="16"/>
          <w:lang w:val="en-US"/>
        </w:rPr>
        <w:t xml:space="preserve">Law and Justice Foundation of NSW, </w:t>
      </w:r>
      <w:r w:rsidRPr="00F408CB">
        <w:rPr>
          <w:i/>
          <w:sz w:val="16"/>
          <w:szCs w:val="16"/>
          <w:lang w:val="en-US"/>
        </w:rPr>
        <w:t>Legal Australia-Wide (LAW) survey</w:t>
      </w:r>
      <w:r w:rsidRPr="00F408CB">
        <w:rPr>
          <w:sz w:val="16"/>
          <w:szCs w:val="16"/>
          <w:lang w:val="en-US"/>
        </w:rPr>
        <w:t>, page xvii.</w:t>
      </w:r>
    </w:p>
  </w:footnote>
  <w:footnote w:id="22">
    <w:p w14:paraId="0CA10BC5" w14:textId="5DB3E5B8" w:rsidR="00F97C2B" w:rsidRPr="00A6500A" w:rsidRDefault="00F97C2B">
      <w:pPr>
        <w:pStyle w:val="FootnoteText"/>
        <w:rPr>
          <w:lang w:val="en-US"/>
        </w:rPr>
      </w:pPr>
      <w:r>
        <w:rPr>
          <w:rStyle w:val="FootnoteReference"/>
        </w:rPr>
        <w:footnoteRef/>
      </w:r>
      <w:r>
        <w:t xml:space="preserve"> </w:t>
      </w:r>
      <w:r w:rsidRPr="00A6500A">
        <w:rPr>
          <w:sz w:val="16"/>
          <w:szCs w:val="16"/>
          <w:lang w:val="en-US"/>
        </w:rPr>
        <w:t>Ibid, page xviii.</w:t>
      </w:r>
    </w:p>
  </w:footnote>
  <w:footnote w:id="23">
    <w:p w14:paraId="144FD4AA" w14:textId="77777777" w:rsidR="00F97C2B" w:rsidRPr="003B7BBE" w:rsidRDefault="00F97C2B" w:rsidP="006E4FC5">
      <w:pPr>
        <w:pStyle w:val="FootnoteText"/>
        <w:rPr>
          <w:rFonts w:cs="Arial"/>
          <w:sz w:val="16"/>
          <w:szCs w:val="16"/>
          <w:highlight w:val="yellow"/>
        </w:rPr>
      </w:pPr>
      <w:r w:rsidRPr="003B7BBE">
        <w:rPr>
          <w:rStyle w:val="FootnoteReference"/>
          <w:rFonts w:cs="Arial"/>
          <w:sz w:val="16"/>
          <w:szCs w:val="16"/>
        </w:rPr>
        <w:footnoteRef/>
      </w:r>
      <w:r w:rsidRPr="003B7BBE">
        <w:rPr>
          <w:rFonts w:cs="Arial"/>
          <w:sz w:val="16"/>
          <w:szCs w:val="16"/>
        </w:rPr>
        <w:t xml:space="preserve"> Productivity Commission (2014) Summary Report, p 2.</w:t>
      </w:r>
    </w:p>
  </w:footnote>
  <w:footnote w:id="24">
    <w:p w14:paraId="559E2BEA" w14:textId="77777777" w:rsidR="00F97C2B" w:rsidRPr="003B7BBE" w:rsidRDefault="00F97C2B" w:rsidP="006E4FC5">
      <w:pPr>
        <w:pStyle w:val="FootnoteText"/>
        <w:rPr>
          <w:rFonts w:cs="Arial"/>
          <w:sz w:val="16"/>
          <w:szCs w:val="16"/>
          <w:highlight w:val="yellow"/>
        </w:rPr>
      </w:pPr>
      <w:r w:rsidRPr="003B7BBE">
        <w:rPr>
          <w:rStyle w:val="FootnoteReference"/>
          <w:rFonts w:cs="Arial"/>
          <w:sz w:val="16"/>
          <w:szCs w:val="16"/>
        </w:rPr>
        <w:footnoteRef/>
      </w:r>
      <w:r w:rsidRPr="003B7BBE">
        <w:rPr>
          <w:rFonts w:cs="Arial"/>
          <w:sz w:val="16"/>
          <w:szCs w:val="16"/>
        </w:rPr>
        <w:t xml:space="preserve"> Attorney-General’s Department: (2009) </w:t>
      </w:r>
      <w:r w:rsidRPr="003B7BBE">
        <w:rPr>
          <w:rFonts w:cs="Arial"/>
          <w:i/>
          <w:sz w:val="16"/>
          <w:szCs w:val="16"/>
        </w:rPr>
        <w:t>A Strategic Framework for Access to Justice</w:t>
      </w:r>
      <w:r w:rsidRPr="003B7BBE">
        <w:rPr>
          <w:rFonts w:cs="Arial"/>
          <w:sz w:val="16"/>
          <w:szCs w:val="16"/>
        </w:rPr>
        <w:t xml:space="preserve">, p 142. </w:t>
      </w:r>
    </w:p>
  </w:footnote>
  <w:footnote w:id="25">
    <w:p w14:paraId="300785A7" w14:textId="77777777" w:rsidR="00F97C2B" w:rsidRDefault="00F97C2B" w:rsidP="006E4FC5">
      <w:pPr>
        <w:pStyle w:val="FootnoteText"/>
      </w:pPr>
      <w:r w:rsidRPr="003B7BBE">
        <w:rPr>
          <w:rStyle w:val="FootnoteReference"/>
          <w:rFonts w:cs="Arial"/>
          <w:sz w:val="16"/>
          <w:szCs w:val="16"/>
        </w:rPr>
        <w:footnoteRef/>
      </w:r>
      <w:r w:rsidRPr="003B7BBE">
        <w:rPr>
          <w:rFonts w:cs="Arial"/>
          <w:sz w:val="16"/>
          <w:szCs w:val="16"/>
        </w:rPr>
        <w:t xml:space="preserve"> High Court of Australia, Annual Report 2011 – 2012, 15.</w:t>
      </w:r>
    </w:p>
  </w:footnote>
  <w:footnote w:id="26">
    <w:p w14:paraId="2B9F22BF" w14:textId="77777777" w:rsidR="00F97C2B" w:rsidRPr="00B03E96" w:rsidRDefault="00F97C2B">
      <w:pPr>
        <w:pStyle w:val="FootnoteText"/>
        <w:rPr>
          <w:sz w:val="16"/>
          <w:szCs w:val="16"/>
          <w:lang w:val="en-US"/>
        </w:rPr>
      </w:pPr>
      <w:r w:rsidRPr="00B03E96">
        <w:rPr>
          <w:rStyle w:val="FootnoteReference"/>
          <w:sz w:val="16"/>
          <w:szCs w:val="16"/>
        </w:rPr>
        <w:footnoteRef/>
      </w:r>
      <w:r w:rsidRPr="00B03E96">
        <w:rPr>
          <w:sz w:val="16"/>
          <w:szCs w:val="16"/>
        </w:rPr>
        <w:t xml:space="preserve"> </w:t>
      </w:r>
      <w:r w:rsidRPr="00B03E96">
        <w:rPr>
          <w:sz w:val="16"/>
          <w:szCs w:val="16"/>
          <w:lang w:val="en-US"/>
        </w:rPr>
        <w:t>Family Court of Australia, Annual Report 2015-2016, 4.</w:t>
      </w:r>
    </w:p>
  </w:footnote>
  <w:footnote w:id="27">
    <w:p w14:paraId="1304D361" w14:textId="77777777" w:rsidR="00F97C2B" w:rsidRPr="003B7BBE" w:rsidRDefault="00F97C2B" w:rsidP="006E4FC5">
      <w:pPr>
        <w:pStyle w:val="FootnoteText"/>
        <w:rPr>
          <w:rFonts w:cs="Arial"/>
          <w:sz w:val="16"/>
          <w:szCs w:val="16"/>
        </w:rPr>
      </w:pPr>
      <w:r w:rsidRPr="003B7BBE">
        <w:rPr>
          <w:rStyle w:val="FootnoteReference"/>
          <w:rFonts w:cs="Arial"/>
          <w:sz w:val="16"/>
          <w:szCs w:val="16"/>
        </w:rPr>
        <w:footnoteRef/>
      </w:r>
      <w:r w:rsidRPr="003B7BBE">
        <w:rPr>
          <w:rFonts w:cs="Arial"/>
          <w:sz w:val="16"/>
          <w:szCs w:val="16"/>
        </w:rPr>
        <w:t xml:space="preserve"> Legal and Constitutional References Committee (June, 2004) </w:t>
      </w:r>
      <w:r w:rsidRPr="003B7BBE">
        <w:rPr>
          <w:rFonts w:cs="Arial"/>
          <w:i/>
          <w:sz w:val="16"/>
          <w:szCs w:val="16"/>
        </w:rPr>
        <w:t>Inquiry into Legal Aid and Access to Justice</w:t>
      </w:r>
      <w:r w:rsidRPr="003B7BBE">
        <w:rPr>
          <w:rFonts w:cs="Arial"/>
          <w:sz w:val="16"/>
          <w:szCs w:val="16"/>
        </w:rPr>
        <w:t>, p 188.</w:t>
      </w:r>
    </w:p>
  </w:footnote>
  <w:footnote w:id="28">
    <w:p w14:paraId="3B2DE97C" w14:textId="77777777" w:rsidR="00F97C2B" w:rsidRPr="003B7BBE" w:rsidRDefault="00F97C2B" w:rsidP="006E4FC5">
      <w:pPr>
        <w:pStyle w:val="FootnoteText"/>
        <w:rPr>
          <w:sz w:val="16"/>
          <w:szCs w:val="16"/>
        </w:rPr>
      </w:pPr>
      <w:r w:rsidRPr="003B7BBE">
        <w:rPr>
          <w:rStyle w:val="FootnoteReference"/>
          <w:sz w:val="16"/>
          <w:szCs w:val="16"/>
        </w:rPr>
        <w:footnoteRef/>
      </w:r>
      <w:r w:rsidRPr="003B7BBE">
        <w:rPr>
          <w:sz w:val="16"/>
          <w:szCs w:val="16"/>
        </w:rPr>
        <w:t xml:space="preserve"> Ibid p 187 – 188.</w:t>
      </w:r>
    </w:p>
  </w:footnote>
  <w:footnote w:id="29">
    <w:p w14:paraId="6B630B31" w14:textId="77777777" w:rsidR="00F97C2B" w:rsidRPr="00985068" w:rsidRDefault="00F97C2B" w:rsidP="006E4FC5">
      <w:pPr>
        <w:pStyle w:val="FootnoteText"/>
        <w:rPr>
          <w:rFonts w:cs="Arial"/>
          <w:sz w:val="16"/>
          <w:szCs w:val="16"/>
          <w:highlight w:val="yellow"/>
        </w:rPr>
      </w:pPr>
      <w:r w:rsidRPr="00985068">
        <w:rPr>
          <w:rStyle w:val="FootnoteReference"/>
          <w:rFonts w:cs="Arial"/>
          <w:sz w:val="16"/>
          <w:szCs w:val="16"/>
        </w:rPr>
        <w:footnoteRef/>
      </w:r>
      <w:r w:rsidRPr="00985068">
        <w:rPr>
          <w:rFonts w:cs="Arial"/>
          <w:sz w:val="16"/>
          <w:szCs w:val="16"/>
        </w:rPr>
        <w:t xml:space="preserve"> Institute for Sustainable Futures (February, 2006) </w:t>
      </w:r>
      <w:r w:rsidRPr="00985068">
        <w:rPr>
          <w:rFonts w:cs="Arial"/>
          <w:i/>
          <w:sz w:val="16"/>
          <w:szCs w:val="16"/>
        </w:rPr>
        <w:t>The Economic Value of Community Legal Centres</w:t>
      </w:r>
      <w:r w:rsidRPr="00985068">
        <w:rPr>
          <w:rFonts w:cs="Arial"/>
          <w:sz w:val="16"/>
          <w:szCs w:val="16"/>
        </w:rPr>
        <w:t xml:space="preserve"> cited in A Strategic Framework for Access to Justice, p 142. </w:t>
      </w:r>
    </w:p>
  </w:footnote>
  <w:footnote w:id="30">
    <w:p w14:paraId="51B14C23" w14:textId="77777777" w:rsidR="00F97C2B" w:rsidRPr="00985068" w:rsidRDefault="00F97C2B" w:rsidP="006E4FC5">
      <w:pPr>
        <w:pStyle w:val="FootnoteText"/>
        <w:rPr>
          <w:rFonts w:cs="Arial"/>
          <w:sz w:val="16"/>
          <w:szCs w:val="16"/>
          <w:highlight w:val="yellow"/>
        </w:rPr>
      </w:pPr>
      <w:r w:rsidRPr="00985068">
        <w:rPr>
          <w:rStyle w:val="FootnoteReference"/>
          <w:rFonts w:cs="Arial"/>
          <w:sz w:val="16"/>
          <w:szCs w:val="16"/>
        </w:rPr>
        <w:footnoteRef/>
      </w:r>
      <w:r w:rsidRPr="00985068">
        <w:rPr>
          <w:rFonts w:cs="Arial"/>
          <w:sz w:val="16"/>
          <w:szCs w:val="16"/>
        </w:rPr>
        <w:t xml:space="preserve"> Attorney-General’s Department (2009) </w:t>
      </w:r>
      <w:r w:rsidRPr="00985068">
        <w:rPr>
          <w:rFonts w:cs="Arial"/>
          <w:i/>
          <w:sz w:val="16"/>
          <w:szCs w:val="16"/>
        </w:rPr>
        <w:t>A Strategic Framework for Access to Justice</w:t>
      </w:r>
      <w:r w:rsidRPr="00985068">
        <w:rPr>
          <w:rFonts w:cs="Arial"/>
          <w:sz w:val="16"/>
          <w:szCs w:val="16"/>
        </w:rPr>
        <w:t xml:space="preserve">, p 141 citing </w:t>
      </w:r>
      <w:proofErr w:type="spellStart"/>
      <w:r w:rsidRPr="00985068">
        <w:rPr>
          <w:rFonts w:cs="Arial"/>
          <w:sz w:val="16"/>
          <w:szCs w:val="16"/>
        </w:rPr>
        <w:t>Pleasence</w:t>
      </w:r>
      <w:proofErr w:type="spellEnd"/>
      <w:r w:rsidRPr="00985068">
        <w:rPr>
          <w:rFonts w:cs="Arial"/>
          <w:sz w:val="16"/>
          <w:szCs w:val="16"/>
        </w:rPr>
        <w:t>, P (2006) Causes of Action: Civil Law and Social Justice, 2</w:t>
      </w:r>
      <w:r w:rsidRPr="00985068">
        <w:rPr>
          <w:rFonts w:cs="Arial"/>
          <w:sz w:val="16"/>
          <w:szCs w:val="16"/>
          <w:vertAlign w:val="superscript"/>
        </w:rPr>
        <w:t>nd</w:t>
      </w:r>
      <w:r w:rsidRPr="00985068">
        <w:rPr>
          <w:rFonts w:cs="Arial"/>
          <w:sz w:val="16"/>
          <w:szCs w:val="16"/>
        </w:rPr>
        <w:t xml:space="preserve"> Edition, </w:t>
      </w:r>
      <w:proofErr w:type="spellStart"/>
      <w:r w:rsidRPr="00985068">
        <w:rPr>
          <w:rFonts w:cs="Arial"/>
          <w:sz w:val="16"/>
          <w:szCs w:val="16"/>
        </w:rPr>
        <w:t>p.i</w:t>
      </w:r>
      <w:proofErr w:type="spellEnd"/>
      <w:r w:rsidRPr="00985068">
        <w:rPr>
          <w:rFonts w:cs="Arial"/>
          <w:sz w:val="16"/>
          <w:szCs w:val="16"/>
        </w:rPr>
        <w:t xml:space="preserve">. </w:t>
      </w:r>
    </w:p>
  </w:footnote>
  <w:footnote w:id="31">
    <w:p w14:paraId="19C2C5F1" w14:textId="77777777" w:rsidR="00F97C2B" w:rsidRPr="00735BB3" w:rsidRDefault="00F97C2B" w:rsidP="006E4FC5">
      <w:pPr>
        <w:pStyle w:val="FootnoteText"/>
        <w:rPr>
          <w:sz w:val="16"/>
          <w:szCs w:val="16"/>
        </w:rPr>
      </w:pPr>
      <w:r w:rsidRPr="00735BB3">
        <w:rPr>
          <w:rStyle w:val="FootnoteReference"/>
          <w:sz w:val="16"/>
          <w:szCs w:val="16"/>
        </w:rPr>
        <w:footnoteRef/>
      </w:r>
      <w:r w:rsidRPr="00735BB3">
        <w:rPr>
          <w:sz w:val="16"/>
          <w:szCs w:val="16"/>
        </w:rPr>
        <w:t xml:space="preserve"> </w:t>
      </w:r>
      <w:r w:rsidRPr="00735BB3">
        <w:rPr>
          <w:i/>
          <w:sz w:val="16"/>
          <w:szCs w:val="16"/>
        </w:rPr>
        <w:t xml:space="preserve">Legal Aid Act 1978 </w:t>
      </w:r>
      <w:r w:rsidRPr="00735BB3">
        <w:rPr>
          <w:sz w:val="16"/>
          <w:szCs w:val="16"/>
        </w:rPr>
        <w:t>(Vic), s24(3)(f).</w:t>
      </w:r>
    </w:p>
  </w:footnote>
  <w:footnote w:id="32">
    <w:p w14:paraId="60305F41" w14:textId="77777777" w:rsidR="00F97C2B" w:rsidRPr="00AD44EB" w:rsidRDefault="00F97C2B">
      <w:pPr>
        <w:pStyle w:val="FootnoteText"/>
        <w:rPr>
          <w:lang w:val="en-US"/>
        </w:rPr>
      </w:pPr>
      <w:r>
        <w:rPr>
          <w:rStyle w:val="FootnoteReference"/>
        </w:rPr>
        <w:footnoteRef/>
      </w:r>
      <w:r>
        <w:t xml:space="preserve"> </w:t>
      </w:r>
      <w:r w:rsidRPr="00AD44EB">
        <w:rPr>
          <w:sz w:val="16"/>
          <w:szCs w:val="16"/>
          <w:lang w:val="en-US"/>
        </w:rPr>
        <w:t>See further</w:t>
      </w:r>
      <w:r>
        <w:rPr>
          <w:sz w:val="16"/>
          <w:szCs w:val="16"/>
          <w:lang w:val="en-US"/>
        </w:rPr>
        <w:t xml:space="preserve"> VLA’s Strategic Plan 2011-14 at </w:t>
      </w:r>
      <w:hyperlink r:id="rId6" w:history="1">
        <w:r w:rsidRPr="00381644">
          <w:rPr>
            <w:rStyle w:val="Hyperlink"/>
            <w:sz w:val="16"/>
            <w:szCs w:val="16"/>
            <w:lang w:val="en-US"/>
          </w:rPr>
          <w:t>http://www.legalaid.vic.gov.au/about-us/our-organisation/strategic-plan</w:t>
        </w:r>
      </w:hyperlink>
      <w:r>
        <w:rPr>
          <w:sz w:val="16"/>
          <w:szCs w:val="16"/>
          <w:lang w:val="en-US"/>
        </w:rPr>
        <w:t xml:space="preserve">. </w:t>
      </w:r>
    </w:p>
  </w:footnote>
  <w:footnote w:id="33">
    <w:p w14:paraId="419B23B7" w14:textId="10A36EC9" w:rsidR="00F97C2B" w:rsidRPr="0098433E" w:rsidRDefault="00F97C2B" w:rsidP="0098433E">
      <w:pPr>
        <w:spacing w:line="276" w:lineRule="auto"/>
        <w:rPr>
          <w:rFonts w:cs="Arial"/>
          <w:sz w:val="16"/>
          <w:szCs w:val="16"/>
        </w:rPr>
      </w:pPr>
      <w:r w:rsidRPr="0098433E">
        <w:rPr>
          <w:rStyle w:val="FootnoteReference"/>
          <w:rFonts w:cs="Arial"/>
          <w:sz w:val="16"/>
          <w:szCs w:val="16"/>
        </w:rPr>
        <w:footnoteRef/>
      </w:r>
      <w:r w:rsidRPr="0098433E">
        <w:rPr>
          <w:rFonts w:cs="Arial"/>
          <w:sz w:val="16"/>
          <w:szCs w:val="16"/>
        </w:rPr>
        <w:t xml:space="preserve"> There </w:t>
      </w:r>
      <w:proofErr w:type="gramStart"/>
      <w:r w:rsidRPr="0098433E">
        <w:rPr>
          <w:rFonts w:cs="Arial"/>
          <w:sz w:val="16"/>
          <w:szCs w:val="16"/>
        </w:rPr>
        <w:t>were</w:t>
      </w:r>
      <w:proofErr w:type="gramEnd"/>
      <w:r w:rsidRPr="0098433E">
        <w:rPr>
          <w:rFonts w:cs="Arial"/>
          <w:sz w:val="16"/>
          <w:szCs w:val="16"/>
        </w:rPr>
        <w:t xml:space="preserve"> a total of 825 applications refused assistance under the means test in 2014/2015; Of the 825 applications refused assistance on means, 215 of the applications had either an ATSI background, were homeless or had a disability (26%); There was a reduction of 164 refusals in the newer financial year, potentially because of the modest mean test changes that were introduced in March 2016.</w:t>
      </w:r>
    </w:p>
  </w:footnote>
  <w:footnote w:id="34">
    <w:p w14:paraId="3AC31D00"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Section 8(3).</w:t>
      </w:r>
    </w:p>
  </w:footnote>
  <w:footnote w:id="35">
    <w:p w14:paraId="6A3C616A"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See generally Productivity Commission (2013) Deep and Persistent Disadvantage in Australia. Available at</w:t>
      </w:r>
      <w:r w:rsidRPr="0098433E">
        <w:rPr>
          <w:rFonts w:cs="Arial"/>
          <w:sz w:val="16"/>
          <w:szCs w:val="16"/>
        </w:rPr>
        <w:t xml:space="preserve"> </w:t>
      </w:r>
      <w:hyperlink r:id="rId7" w:history="1">
        <w:r w:rsidRPr="0098433E">
          <w:rPr>
            <w:rStyle w:val="Hyperlink"/>
            <w:rFonts w:cs="Arial"/>
            <w:sz w:val="16"/>
            <w:szCs w:val="16"/>
            <w:lang w:val="en-US"/>
          </w:rPr>
          <w:t>http://www.pc.gov.au/research/supporting/deep-persistent-disadvantage</w:t>
        </w:r>
      </w:hyperlink>
      <w:r w:rsidRPr="0098433E">
        <w:rPr>
          <w:rFonts w:cs="Arial"/>
          <w:sz w:val="16"/>
          <w:szCs w:val="16"/>
          <w:lang w:val="en-US"/>
        </w:rPr>
        <w:t xml:space="preserve">. </w:t>
      </w:r>
    </w:p>
  </w:footnote>
  <w:footnote w:id="36">
    <w:p w14:paraId="2972063C" w14:textId="77777777" w:rsidR="00F97C2B" w:rsidRPr="005110B3" w:rsidRDefault="00F97C2B" w:rsidP="006E4FC5">
      <w:pPr>
        <w:pStyle w:val="FootnoteText"/>
        <w:rPr>
          <w:rFonts w:asciiTheme="majorHAnsi" w:hAnsiTheme="majorHAnsi" w:cs="Arial"/>
          <w:sz w:val="16"/>
          <w:szCs w:val="16"/>
          <w:highlight w:val="yellow"/>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Ken Henry (6 December 2007) ‘Addressing extreme disadvantage through investment in capability development.’ Keynote address to the Australian Institute of Health and Welfare Conference on ‘Australia’s Welfare 2007’, Canberra.</w:t>
      </w:r>
      <w:r w:rsidRPr="00F54B9B">
        <w:rPr>
          <w:rFonts w:asciiTheme="majorHAnsi" w:hAnsiTheme="majorHAnsi" w:cs="Arial"/>
          <w:sz w:val="16"/>
          <w:szCs w:val="16"/>
          <w:lang w:val="en-US"/>
        </w:rPr>
        <w:t xml:space="preserve"> </w:t>
      </w:r>
    </w:p>
  </w:footnote>
  <w:footnote w:id="37">
    <w:p w14:paraId="166606C3"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See, for example Melbourne Institute of Applied Economic and Social Research  (University of Melbourne) ‘Household Expenditure Measure’ available at </w:t>
      </w:r>
      <w:r w:rsidRPr="0098433E">
        <w:rPr>
          <w:rFonts w:cs="Arial"/>
        </w:rPr>
        <w:t xml:space="preserve"> </w:t>
      </w:r>
      <w:hyperlink r:id="rId8" w:history="1">
        <w:r w:rsidRPr="0098433E">
          <w:rPr>
            <w:rStyle w:val="Hyperlink"/>
            <w:rFonts w:cs="Arial"/>
            <w:sz w:val="16"/>
            <w:szCs w:val="16"/>
          </w:rPr>
          <w:t>https://www.melbourneinstitute.com/miaesr/publications/indicators/hem.html</w:t>
        </w:r>
      </w:hyperlink>
      <w:r w:rsidRPr="0098433E">
        <w:rPr>
          <w:rFonts w:cs="Arial"/>
          <w:sz w:val="16"/>
          <w:szCs w:val="16"/>
        </w:rPr>
        <w:t>.</w:t>
      </w:r>
    </w:p>
  </w:footnote>
  <w:footnote w:id="38">
    <w:p w14:paraId="631E2DF2" w14:textId="77777777" w:rsidR="00F97C2B" w:rsidRPr="0098433E" w:rsidRDefault="00F97C2B" w:rsidP="006E4FC5">
      <w:pPr>
        <w:pStyle w:val="FootnoteText"/>
        <w:rPr>
          <w:rFonts w:cs="Arial"/>
          <w:sz w:val="16"/>
          <w:szCs w:val="16"/>
        </w:rPr>
      </w:pPr>
      <w:r w:rsidRPr="0098433E">
        <w:rPr>
          <w:rStyle w:val="FootnoteReference"/>
          <w:rFonts w:cs="Arial"/>
          <w:sz w:val="16"/>
          <w:szCs w:val="16"/>
        </w:rPr>
        <w:footnoteRef/>
      </w:r>
      <w:r w:rsidRPr="0098433E">
        <w:rPr>
          <w:rFonts w:cs="Arial"/>
          <w:sz w:val="16"/>
          <w:szCs w:val="16"/>
        </w:rPr>
        <w:t xml:space="preserve"> See, for example Crawford School of Public Policy (Australian National University) ‘Individual Deprivation Measure’ available at</w:t>
      </w:r>
      <w:r w:rsidRPr="0098433E">
        <w:rPr>
          <w:rFonts w:cs="Arial"/>
        </w:rPr>
        <w:t xml:space="preserve"> </w:t>
      </w:r>
      <w:hyperlink r:id="rId9" w:history="1">
        <w:r w:rsidRPr="0098433E">
          <w:rPr>
            <w:rStyle w:val="Hyperlink"/>
            <w:rFonts w:cs="Arial"/>
            <w:sz w:val="16"/>
            <w:szCs w:val="16"/>
          </w:rPr>
          <w:t>https://crawford.anu.edu.au/research/impact/6279/individual-deprivation-measure</w:t>
        </w:r>
      </w:hyperlink>
      <w:r w:rsidRPr="0098433E">
        <w:rPr>
          <w:rFonts w:cs="Arial"/>
          <w:sz w:val="16"/>
          <w:szCs w:val="16"/>
        </w:rPr>
        <w:t>.</w:t>
      </w:r>
    </w:p>
  </w:footnote>
  <w:footnote w:id="39">
    <w:p w14:paraId="17D58538" w14:textId="77777777" w:rsidR="00F97C2B" w:rsidRPr="0098433E" w:rsidRDefault="00F97C2B" w:rsidP="006E4FC5">
      <w:pPr>
        <w:pStyle w:val="FootnoteText"/>
        <w:rPr>
          <w:rFonts w:cs="Arial"/>
          <w:sz w:val="16"/>
          <w:szCs w:val="16"/>
        </w:rPr>
      </w:pPr>
      <w:r w:rsidRPr="0098433E">
        <w:rPr>
          <w:rStyle w:val="FootnoteReference"/>
          <w:rFonts w:cs="Arial"/>
          <w:sz w:val="16"/>
          <w:szCs w:val="16"/>
        </w:rPr>
        <w:footnoteRef/>
      </w:r>
      <w:r w:rsidRPr="0098433E">
        <w:rPr>
          <w:rFonts w:cs="Arial"/>
          <w:sz w:val="16"/>
          <w:szCs w:val="16"/>
        </w:rPr>
        <w:t xml:space="preserve"> See, for example NATSEM (2013) ‘Poverty Social Exclusion and Disadvantage in Australia’. Available at </w:t>
      </w:r>
      <w:hyperlink r:id="rId10" w:history="1">
        <w:r w:rsidRPr="0098433E">
          <w:rPr>
            <w:rStyle w:val="Hyperlink"/>
            <w:rFonts w:cs="Arial"/>
            <w:sz w:val="16"/>
            <w:szCs w:val="16"/>
          </w:rPr>
          <w:t>http://natsem.canberra.edu.au/storage/Poverty-Social-Exclusion-and-Disadvantage</w:t>
        </w:r>
      </w:hyperlink>
      <w:r w:rsidRPr="0098433E">
        <w:rPr>
          <w:rStyle w:val="Hyperlink"/>
          <w:rFonts w:cs="Arial"/>
          <w:sz w:val="16"/>
          <w:szCs w:val="16"/>
        </w:rPr>
        <w:t xml:space="preserve"> </w:t>
      </w:r>
      <w:r w:rsidRPr="0098433E">
        <w:rPr>
          <w:rFonts w:cs="Arial"/>
          <w:sz w:val="16"/>
          <w:szCs w:val="16"/>
        </w:rPr>
        <w:t xml:space="preserve">. Scutella, R., Wilkins, R., Horn, M., (2009) ‘Measuring Poverty and Social Exclusion in Australia: A Proposed Multidimensional Framework for Identifying Socio-Economic Disadvantage’  Melbourne Institute Working Paper No 9 Available at </w:t>
      </w:r>
      <w:hyperlink r:id="rId11" w:history="1">
        <w:r w:rsidRPr="0098433E">
          <w:rPr>
            <w:rStyle w:val="Hyperlink"/>
            <w:rFonts w:cs="Arial"/>
            <w:sz w:val="16"/>
            <w:szCs w:val="16"/>
          </w:rPr>
          <w:t>http://melbourneinstitute.com/downloads/working_paper_series/wp2009n04.pdf</w:t>
        </w:r>
      </w:hyperlink>
      <w:r w:rsidRPr="0098433E">
        <w:rPr>
          <w:rFonts w:cs="Arial"/>
          <w:sz w:val="16"/>
          <w:szCs w:val="16"/>
        </w:rPr>
        <w:t xml:space="preserve">. Saunders, P (2003) ‘Can social exclusion provide a new framework for measuring poverty?’ Social Policy Research Centre Working Paper. Available at </w:t>
      </w:r>
      <w:hyperlink r:id="rId12" w:history="1">
        <w:r w:rsidRPr="0098433E">
          <w:rPr>
            <w:rStyle w:val="Hyperlink"/>
            <w:rFonts w:cs="Arial"/>
            <w:sz w:val="16"/>
            <w:szCs w:val="16"/>
          </w:rPr>
          <w:t>https://www.sprc.unsw.edu.au/media/SPRCFile/DP127.pdf</w:t>
        </w:r>
      </w:hyperlink>
      <w:r w:rsidRPr="0098433E">
        <w:rPr>
          <w:rStyle w:val="Hyperlink"/>
          <w:rFonts w:cs="Arial"/>
          <w:sz w:val="16"/>
          <w:szCs w:val="16"/>
        </w:rPr>
        <w:t>.</w:t>
      </w:r>
    </w:p>
  </w:footnote>
  <w:footnote w:id="40">
    <w:p w14:paraId="756462D3"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See, for example Marks, G (2005) ‘Income Poverty, Subjective Poverty and Financial Stress</w:t>
      </w:r>
      <w:proofErr w:type="gramStart"/>
      <w:r w:rsidRPr="0098433E">
        <w:rPr>
          <w:rFonts w:cs="Arial"/>
          <w:sz w:val="16"/>
          <w:szCs w:val="16"/>
          <w:lang w:val="en-US"/>
        </w:rPr>
        <w:t>’  Melbourne</w:t>
      </w:r>
      <w:proofErr w:type="gramEnd"/>
      <w:r w:rsidRPr="0098433E">
        <w:rPr>
          <w:rFonts w:cs="Arial"/>
          <w:sz w:val="16"/>
          <w:szCs w:val="16"/>
          <w:lang w:val="en-US"/>
        </w:rPr>
        <w:t xml:space="preserve"> Institute of Applied Economic and Social Research.  Available at </w:t>
      </w:r>
      <w:hyperlink r:id="rId13" w:history="1">
        <w:r w:rsidRPr="0098433E">
          <w:rPr>
            <w:rStyle w:val="Hyperlink"/>
            <w:rFonts w:cs="Arial"/>
            <w:sz w:val="16"/>
            <w:szCs w:val="16"/>
          </w:rPr>
          <w:t>http://melbourneinstitute.com/downloads/labour/42_FinReport.pdf</w:t>
        </w:r>
      </w:hyperlink>
      <w:r w:rsidRPr="0098433E">
        <w:rPr>
          <w:rFonts w:cs="Arial"/>
          <w:sz w:val="16"/>
          <w:szCs w:val="16"/>
        </w:rPr>
        <w:t>.</w:t>
      </w:r>
    </w:p>
  </w:footnote>
  <w:footnote w:id="41">
    <w:p w14:paraId="27301C4F"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See, for example Hick, Rod (2012) The capability approach: insights for a new poverty focus</w:t>
      </w:r>
      <w:r w:rsidRPr="0098433E">
        <w:rPr>
          <w:rFonts w:cs="Arial"/>
          <w:i/>
          <w:sz w:val="16"/>
          <w:szCs w:val="16"/>
        </w:rPr>
        <w:t>. Journal of social policy</w:t>
      </w:r>
      <w:r w:rsidRPr="0098433E">
        <w:rPr>
          <w:rFonts w:cs="Arial"/>
          <w:sz w:val="16"/>
          <w:szCs w:val="16"/>
        </w:rPr>
        <w:t xml:space="preserve">. Available at </w:t>
      </w:r>
      <w:hyperlink r:id="rId14" w:history="1">
        <w:r w:rsidRPr="0098433E">
          <w:rPr>
            <w:rStyle w:val="Hyperlink"/>
            <w:rFonts w:cs="Arial"/>
            <w:sz w:val="16"/>
            <w:szCs w:val="16"/>
          </w:rPr>
          <w:t>http://eprints.lse.ac.uk/39745/1/The_capability_approach_Insights_for_a_new_poverty_focus_(lsero).pdf</w:t>
        </w:r>
      </w:hyperlink>
      <w:r w:rsidRPr="0098433E">
        <w:rPr>
          <w:rFonts w:cs="Arial"/>
          <w:sz w:val="16"/>
          <w:szCs w:val="16"/>
        </w:rPr>
        <w:t xml:space="preserve">. </w:t>
      </w:r>
    </w:p>
  </w:footnote>
  <w:footnote w:id="42">
    <w:p w14:paraId="7BBACCA6"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 xml:space="preserve">Saunders and Wong (2012) ‘Analysis of Legal Aid NSW Client Social Exclusion Survey Data (Report prepared for Legal Aid NSW), p 14. </w:t>
      </w:r>
    </w:p>
  </w:footnote>
  <w:footnote w:id="43">
    <w:p w14:paraId="484A0739"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Ibid.</w:t>
      </w:r>
    </w:p>
  </w:footnote>
  <w:footnote w:id="44">
    <w:p w14:paraId="5B03E68E"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 xml:space="preserve">Saunders and Wong (2012) ‘Analysis of Legal Aid NSW Client Social Exclusion Survey Data (Report prepared for Legal Aid NSW), p 16. </w:t>
      </w:r>
    </w:p>
  </w:footnote>
  <w:footnote w:id="45">
    <w:p w14:paraId="3FB0AF0D" w14:textId="77777777" w:rsidR="00F97C2B" w:rsidRPr="00F54B9B" w:rsidRDefault="00F97C2B" w:rsidP="006E4FC5">
      <w:pPr>
        <w:pStyle w:val="FootnoteText"/>
        <w:rPr>
          <w:rFonts w:asciiTheme="majorHAnsi" w:hAnsiTheme="majorHAnsi"/>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 xml:space="preserve">Ibid, p 18. </w:t>
      </w:r>
    </w:p>
  </w:footnote>
  <w:footnote w:id="46">
    <w:p w14:paraId="78385AEA"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Ibid</w:t>
      </w:r>
    </w:p>
  </w:footnote>
  <w:footnote w:id="47">
    <w:p w14:paraId="2504B101"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 xml:space="preserve">Ibid, p 19. </w:t>
      </w:r>
    </w:p>
  </w:footnote>
  <w:footnote w:id="48">
    <w:p w14:paraId="40073FB7"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Ibid</w:t>
      </w:r>
    </w:p>
  </w:footnote>
  <w:footnote w:id="49">
    <w:p w14:paraId="71242CD7" w14:textId="77777777" w:rsidR="00F97C2B" w:rsidRPr="0098433E" w:rsidRDefault="00F97C2B" w:rsidP="006E4FC5">
      <w:pPr>
        <w:pStyle w:val="FootnoteText"/>
        <w:rPr>
          <w:rFonts w:cs="Arial"/>
          <w:sz w:val="16"/>
          <w:szCs w:val="16"/>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Ibid</w:t>
      </w:r>
    </w:p>
  </w:footnote>
  <w:footnote w:id="50">
    <w:p w14:paraId="13D91A63" w14:textId="77777777" w:rsidR="00F97C2B" w:rsidRPr="005110B3" w:rsidRDefault="00F97C2B" w:rsidP="006E4FC5">
      <w:pPr>
        <w:pStyle w:val="FootnoteText"/>
        <w:rPr>
          <w:rFonts w:asciiTheme="majorHAnsi" w:hAnsiTheme="majorHAnsi"/>
          <w:sz w:val="16"/>
          <w:szCs w:val="16"/>
          <w:highlight w:val="yellow"/>
          <w:lang w:val="en-US"/>
        </w:rPr>
      </w:pPr>
      <w:r w:rsidRPr="0098433E">
        <w:rPr>
          <w:rStyle w:val="FootnoteReference"/>
          <w:rFonts w:cs="Arial"/>
          <w:sz w:val="16"/>
          <w:szCs w:val="16"/>
        </w:rPr>
        <w:footnoteRef/>
      </w:r>
      <w:r w:rsidRPr="0098433E">
        <w:rPr>
          <w:rFonts w:cs="Arial"/>
          <w:sz w:val="16"/>
          <w:szCs w:val="16"/>
        </w:rPr>
        <w:t xml:space="preserve"> </w:t>
      </w:r>
      <w:r w:rsidRPr="0098433E">
        <w:rPr>
          <w:rFonts w:cs="Arial"/>
          <w:sz w:val="16"/>
          <w:szCs w:val="16"/>
          <w:lang w:val="en-US"/>
        </w:rPr>
        <w:t>Ibid</w:t>
      </w:r>
      <w:r w:rsidRPr="00F54B9B">
        <w:rPr>
          <w:rFonts w:asciiTheme="majorHAnsi" w:hAnsiTheme="majorHAnsi"/>
          <w:sz w:val="16"/>
          <w:szCs w:val="16"/>
          <w:lang w:val="en-US"/>
        </w:rPr>
        <w:t xml:space="preserve"> </w:t>
      </w:r>
    </w:p>
  </w:footnote>
  <w:footnote w:id="51">
    <w:p w14:paraId="0AD5F932" w14:textId="77777777" w:rsidR="00F97C2B" w:rsidRPr="0098433E" w:rsidRDefault="00F97C2B">
      <w:pPr>
        <w:pStyle w:val="FootnoteText"/>
        <w:rPr>
          <w:sz w:val="16"/>
          <w:szCs w:val="16"/>
          <w:lang w:val="en-US"/>
        </w:rPr>
      </w:pPr>
      <w:r w:rsidRPr="0098433E">
        <w:rPr>
          <w:rStyle w:val="FootnoteReference"/>
          <w:sz w:val="16"/>
          <w:szCs w:val="16"/>
        </w:rPr>
        <w:footnoteRef/>
      </w:r>
      <w:r w:rsidRPr="0098433E">
        <w:rPr>
          <w:sz w:val="16"/>
          <w:szCs w:val="16"/>
        </w:rPr>
        <w:t xml:space="preserve"> Legal Aid Ontario, </w:t>
      </w:r>
      <w:hyperlink r:id="rId15" w:history="1">
        <w:r w:rsidRPr="0098433E">
          <w:rPr>
            <w:rStyle w:val="Hyperlink"/>
            <w:sz w:val="16"/>
            <w:szCs w:val="16"/>
          </w:rPr>
          <w:t>http://www.legalaid.on.ca/en/getting/eligibility.asp</w:t>
        </w:r>
      </w:hyperlink>
      <w:r w:rsidRPr="0098433E">
        <w:rPr>
          <w:sz w:val="16"/>
          <w:szCs w:val="16"/>
        </w:rPr>
        <w:t xml:space="preserve"> (Accessed 7 February 2017).</w:t>
      </w:r>
    </w:p>
  </w:footnote>
  <w:footnote w:id="52">
    <w:p w14:paraId="4DC5B39A" w14:textId="77777777" w:rsidR="00F97C2B" w:rsidRPr="006B338A" w:rsidRDefault="00F97C2B" w:rsidP="006E4FC5">
      <w:pPr>
        <w:pStyle w:val="FootnoteText"/>
        <w:rPr>
          <w:lang w:val="en-US"/>
        </w:rPr>
      </w:pPr>
      <w:r w:rsidRPr="0098433E">
        <w:rPr>
          <w:rStyle w:val="FootnoteReference"/>
          <w:sz w:val="16"/>
          <w:szCs w:val="16"/>
        </w:rPr>
        <w:footnoteRef/>
      </w:r>
      <w:r w:rsidRPr="0098433E">
        <w:rPr>
          <w:sz w:val="16"/>
          <w:szCs w:val="16"/>
        </w:rPr>
        <w:t xml:space="preserve"> </w:t>
      </w:r>
      <w:r w:rsidRPr="0098433E">
        <w:rPr>
          <w:sz w:val="16"/>
          <w:szCs w:val="16"/>
          <w:lang w:val="en-US"/>
        </w:rPr>
        <w:t xml:space="preserve">Japan Legal Support Center, </w:t>
      </w:r>
      <w:hyperlink r:id="rId16" w:history="1">
        <w:r w:rsidRPr="0098433E">
          <w:rPr>
            <w:rStyle w:val="Hyperlink"/>
            <w:sz w:val="16"/>
            <w:szCs w:val="16"/>
            <w:lang w:val="en-US"/>
          </w:rPr>
          <w:t>http://www.houterasu.or.jp/en/about_jlsc/operation2.html</w:t>
        </w:r>
      </w:hyperlink>
      <w:r w:rsidRPr="0098433E">
        <w:rPr>
          <w:sz w:val="16"/>
          <w:szCs w:val="16"/>
          <w:lang w:val="en-US"/>
        </w:rPr>
        <w:t xml:space="preserve"> (Accessed 7 February 2017).</w:t>
      </w:r>
    </w:p>
  </w:footnote>
  <w:footnote w:id="53">
    <w:p w14:paraId="3487FCE1" w14:textId="77777777" w:rsidR="00F97C2B" w:rsidRPr="0098433E" w:rsidRDefault="00F97C2B" w:rsidP="006E4FC5">
      <w:pPr>
        <w:pStyle w:val="FootnoteText"/>
        <w:rPr>
          <w:sz w:val="16"/>
          <w:szCs w:val="16"/>
          <w:lang w:val="en-US"/>
        </w:rPr>
      </w:pPr>
      <w:r w:rsidRPr="0098433E">
        <w:rPr>
          <w:rStyle w:val="FootnoteReference"/>
          <w:sz w:val="16"/>
          <w:szCs w:val="16"/>
        </w:rPr>
        <w:footnoteRef/>
      </w:r>
      <w:r w:rsidRPr="0098433E">
        <w:rPr>
          <w:sz w:val="16"/>
          <w:szCs w:val="16"/>
        </w:rPr>
        <w:t xml:space="preserve"> </w:t>
      </w:r>
      <w:r w:rsidRPr="0098433E">
        <w:rPr>
          <w:sz w:val="16"/>
          <w:szCs w:val="16"/>
          <w:lang w:val="en-US"/>
        </w:rPr>
        <w:t xml:space="preserve">Korea Legal Aid Corporation, </w:t>
      </w:r>
      <w:hyperlink r:id="rId17" w:history="1">
        <w:r w:rsidRPr="0098433E">
          <w:rPr>
            <w:rStyle w:val="Hyperlink"/>
            <w:sz w:val="16"/>
            <w:szCs w:val="16"/>
            <w:lang w:val="en-US"/>
          </w:rPr>
          <w:t>http://eng.klac.or.kr/english/infor/03.php</w:t>
        </w:r>
      </w:hyperlink>
      <w:r w:rsidRPr="0098433E">
        <w:rPr>
          <w:sz w:val="16"/>
          <w:szCs w:val="16"/>
          <w:lang w:val="en-US"/>
        </w:rPr>
        <w:t xml:space="preserve"> (Accessed 24 February 2017).</w:t>
      </w:r>
    </w:p>
  </w:footnote>
  <w:footnote w:id="54">
    <w:p w14:paraId="5FFD06B9" w14:textId="77777777" w:rsidR="00F97C2B" w:rsidRPr="003B69DC" w:rsidRDefault="00F97C2B">
      <w:pPr>
        <w:pStyle w:val="FootnoteText"/>
        <w:rPr>
          <w:lang w:val="en-US"/>
        </w:rPr>
      </w:pPr>
      <w:r w:rsidRPr="0098433E">
        <w:rPr>
          <w:rStyle w:val="FootnoteReference"/>
          <w:sz w:val="16"/>
          <w:szCs w:val="16"/>
        </w:rPr>
        <w:footnoteRef/>
      </w:r>
      <w:r w:rsidRPr="0098433E">
        <w:rPr>
          <w:sz w:val="16"/>
          <w:szCs w:val="16"/>
        </w:rPr>
        <w:t xml:space="preserve"> </w:t>
      </w:r>
      <w:r w:rsidRPr="0098433E">
        <w:rPr>
          <w:sz w:val="16"/>
          <w:szCs w:val="16"/>
          <w:lang w:val="en-US"/>
        </w:rPr>
        <w:t xml:space="preserve">Scottish Legal Aid Board, </w:t>
      </w:r>
      <w:hyperlink r:id="rId18" w:history="1">
        <w:r w:rsidRPr="0098433E">
          <w:rPr>
            <w:rStyle w:val="Hyperlink"/>
            <w:sz w:val="16"/>
            <w:szCs w:val="16"/>
            <w:lang w:val="en-US"/>
          </w:rPr>
          <w:t>http://www.slab.org.uk/public/civil/eligibility/</w:t>
        </w:r>
      </w:hyperlink>
      <w:r w:rsidRPr="0098433E">
        <w:rPr>
          <w:sz w:val="16"/>
          <w:szCs w:val="16"/>
          <w:lang w:val="en-US"/>
        </w:rPr>
        <w:t xml:space="preserve"> (Accessed 24 February 2017).</w:t>
      </w:r>
    </w:p>
  </w:footnote>
  <w:footnote w:id="55">
    <w:p w14:paraId="08F7CFE3" w14:textId="77777777" w:rsidR="00F97C2B" w:rsidRPr="0098433E" w:rsidRDefault="00F97C2B" w:rsidP="006E4FC5">
      <w:pPr>
        <w:pStyle w:val="FootnoteText"/>
        <w:rPr>
          <w:sz w:val="16"/>
          <w:szCs w:val="16"/>
        </w:rPr>
      </w:pPr>
      <w:r w:rsidRPr="0098433E">
        <w:rPr>
          <w:rStyle w:val="FootnoteReference"/>
          <w:sz w:val="16"/>
          <w:szCs w:val="16"/>
        </w:rPr>
        <w:footnoteRef/>
      </w:r>
      <w:r w:rsidRPr="0098433E">
        <w:rPr>
          <w:sz w:val="16"/>
          <w:szCs w:val="16"/>
        </w:rPr>
        <w:t xml:space="preserve"> See: http://www.lawscot.org.uk/members/legal-aid-and-access-to-justice/.</w:t>
      </w:r>
    </w:p>
  </w:footnote>
  <w:footnote w:id="56">
    <w:p w14:paraId="25EEE16D" w14:textId="77777777" w:rsidR="00F97C2B" w:rsidRPr="000A6977" w:rsidRDefault="00F97C2B">
      <w:pPr>
        <w:pStyle w:val="FootnoteText"/>
        <w:rPr>
          <w:lang w:val="en-US"/>
        </w:rPr>
      </w:pPr>
      <w:r w:rsidRPr="0098433E">
        <w:rPr>
          <w:rStyle w:val="FootnoteReference"/>
          <w:sz w:val="16"/>
          <w:szCs w:val="16"/>
        </w:rPr>
        <w:footnoteRef/>
      </w:r>
      <w:r w:rsidRPr="0098433E">
        <w:rPr>
          <w:sz w:val="16"/>
          <w:szCs w:val="16"/>
        </w:rPr>
        <w:t xml:space="preserve"> </w:t>
      </w:r>
      <w:r w:rsidRPr="0098433E">
        <w:rPr>
          <w:sz w:val="16"/>
          <w:szCs w:val="16"/>
          <w:lang w:val="en-US"/>
        </w:rPr>
        <w:t xml:space="preserve">Enable NSW: </w:t>
      </w:r>
      <w:hyperlink r:id="rId19" w:history="1">
        <w:r w:rsidRPr="0098433E">
          <w:rPr>
            <w:rStyle w:val="Hyperlink"/>
            <w:sz w:val="16"/>
            <w:szCs w:val="16"/>
            <w:lang w:val="en-US"/>
          </w:rPr>
          <w:t>http://www.enable.health.nsw.gov.au/home/applying_online/applying-for-assistance-from-enablensw</w:t>
        </w:r>
      </w:hyperlink>
      <w:r w:rsidRPr="0098433E">
        <w:rPr>
          <w:sz w:val="16"/>
          <w:szCs w:val="16"/>
          <w:lang w:val="en-US"/>
        </w:rPr>
        <w:t>.</w:t>
      </w:r>
    </w:p>
  </w:footnote>
  <w:footnote w:id="57">
    <w:p w14:paraId="584AE1A5" w14:textId="77777777" w:rsidR="00F97C2B" w:rsidRPr="0098433E" w:rsidRDefault="00F97C2B">
      <w:pPr>
        <w:pStyle w:val="FootnoteText"/>
        <w:rPr>
          <w:sz w:val="16"/>
          <w:szCs w:val="16"/>
          <w:lang w:val="en-US"/>
        </w:rPr>
      </w:pPr>
      <w:r w:rsidRPr="0098433E">
        <w:rPr>
          <w:rStyle w:val="FootnoteReference"/>
          <w:sz w:val="16"/>
          <w:szCs w:val="16"/>
        </w:rPr>
        <w:footnoteRef/>
      </w:r>
      <w:r w:rsidRPr="0098433E">
        <w:rPr>
          <w:sz w:val="16"/>
          <w:szCs w:val="16"/>
        </w:rPr>
        <w:t xml:space="preserve"> </w:t>
      </w:r>
      <w:r w:rsidRPr="0098433E">
        <w:rPr>
          <w:sz w:val="16"/>
          <w:szCs w:val="16"/>
          <w:lang w:val="en-US"/>
        </w:rPr>
        <w:t xml:space="preserve">Centrelink Income: </w:t>
      </w:r>
      <w:hyperlink r:id="rId20" w:history="1">
        <w:r w:rsidRPr="0098433E">
          <w:rPr>
            <w:rStyle w:val="Hyperlink"/>
            <w:sz w:val="16"/>
            <w:szCs w:val="16"/>
            <w:lang w:val="en-US"/>
          </w:rPr>
          <w:t>https://www.humanservices.gov.au/customer/enablers/income-test-newstart-allowance-partner-allowance-sickness-allowance-and-widow</w:t>
        </w:r>
      </w:hyperlink>
      <w:r w:rsidRPr="0098433E">
        <w:rPr>
          <w:sz w:val="16"/>
          <w:szCs w:val="16"/>
          <w:lang w:val="en-US"/>
        </w:rPr>
        <w:t xml:space="preserve">. </w:t>
      </w:r>
    </w:p>
  </w:footnote>
  <w:footnote w:id="58">
    <w:p w14:paraId="4BBF68FB" w14:textId="77777777" w:rsidR="00F97C2B" w:rsidRPr="00D0567A" w:rsidRDefault="00F97C2B">
      <w:pPr>
        <w:pStyle w:val="FootnoteText"/>
        <w:rPr>
          <w:lang w:val="en-US"/>
        </w:rPr>
      </w:pPr>
      <w:r w:rsidRPr="0098433E">
        <w:rPr>
          <w:rStyle w:val="FootnoteReference"/>
          <w:sz w:val="16"/>
          <w:szCs w:val="16"/>
        </w:rPr>
        <w:footnoteRef/>
      </w:r>
      <w:r w:rsidRPr="0098433E">
        <w:rPr>
          <w:sz w:val="16"/>
          <w:szCs w:val="16"/>
        </w:rPr>
        <w:t xml:space="preserve"> </w:t>
      </w:r>
      <w:r w:rsidRPr="0098433E">
        <w:rPr>
          <w:sz w:val="16"/>
          <w:szCs w:val="16"/>
          <w:lang w:val="en-US"/>
        </w:rPr>
        <w:t xml:space="preserve">Centrelink Assets: </w:t>
      </w:r>
      <w:hyperlink r:id="rId21" w:history="1">
        <w:r w:rsidRPr="0098433E">
          <w:rPr>
            <w:rStyle w:val="Hyperlink"/>
            <w:sz w:val="16"/>
            <w:szCs w:val="16"/>
            <w:lang w:val="en-US"/>
          </w:rPr>
          <w:t>https://www.humanservices.gov.au/customer/enablers/assets</w:t>
        </w:r>
      </w:hyperlink>
      <w:r w:rsidRPr="0098433E">
        <w:rPr>
          <w:sz w:val="16"/>
          <w:szCs w:val="16"/>
          <w:lang w:val="en-US"/>
        </w:rPr>
        <w:t>.</w:t>
      </w:r>
      <w:r>
        <w:rPr>
          <w:lang w:val="en-US"/>
        </w:rPr>
        <w:t xml:space="preserve"> </w:t>
      </w:r>
    </w:p>
  </w:footnote>
  <w:footnote w:id="59">
    <w:p w14:paraId="092B508F" w14:textId="77777777" w:rsidR="00F97C2B" w:rsidRPr="0098433E" w:rsidRDefault="00F97C2B">
      <w:pPr>
        <w:pStyle w:val="FootnoteText"/>
        <w:rPr>
          <w:sz w:val="16"/>
          <w:szCs w:val="16"/>
          <w:lang w:val="en-US"/>
        </w:rPr>
      </w:pPr>
      <w:r w:rsidRPr="0098433E">
        <w:rPr>
          <w:rStyle w:val="FootnoteReference"/>
          <w:sz w:val="16"/>
          <w:szCs w:val="16"/>
        </w:rPr>
        <w:footnoteRef/>
      </w:r>
      <w:r w:rsidRPr="0098433E">
        <w:rPr>
          <w:sz w:val="16"/>
          <w:szCs w:val="16"/>
        </w:rPr>
        <w:t xml:space="preserve"> </w:t>
      </w:r>
      <w:proofErr w:type="spellStart"/>
      <w:r w:rsidRPr="0098433E">
        <w:rPr>
          <w:sz w:val="16"/>
          <w:szCs w:val="16"/>
          <w:lang w:val="en-US"/>
        </w:rPr>
        <w:t>Austudy</w:t>
      </w:r>
      <w:proofErr w:type="spellEnd"/>
      <w:r w:rsidRPr="0098433E">
        <w:rPr>
          <w:sz w:val="16"/>
          <w:szCs w:val="16"/>
          <w:lang w:val="en-US"/>
        </w:rPr>
        <w:t xml:space="preserve"> Allowance: </w:t>
      </w:r>
      <w:hyperlink r:id="rId22" w:history="1">
        <w:r w:rsidRPr="0098433E">
          <w:rPr>
            <w:rStyle w:val="Hyperlink"/>
            <w:sz w:val="16"/>
            <w:szCs w:val="16"/>
            <w:lang w:val="en-US"/>
          </w:rPr>
          <w:t>https://www.humanservices.gov.au/customer/services/centrelink/austudy</w:t>
        </w:r>
      </w:hyperlink>
      <w:r w:rsidRPr="0098433E">
        <w:rPr>
          <w:sz w:val="16"/>
          <w:szCs w:val="16"/>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442C"/>
    <w:multiLevelType w:val="hybridMultilevel"/>
    <w:tmpl w:val="3CCA9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053AED"/>
    <w:multiLevelType w:val="hybridMultilevel"/>
    <w:tmpl w:val="C7221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B2968"/>
    <w:multiLevelType w:val="hybridMultilevel"/>
    <w:tmpl w:val="5686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C74860"/>
    <w:multiLevelType w:val="hybridMultilevel"/>
    <w:tmpl w:val="31BE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A07F74"/>
    <w:multiLevelType w:val="hybridMultilevel"/>
    <w:tmpl w:val="B51C7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1728F4"/>
    <w:multiLevelType w:val="hybridMultilevel"/>
    <w:tmpl w:val="873EC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EC74FB"/>
    <w:multiLevelType w:val="hybridMultilevel"/>
    <w:tmpl w:val="401C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75AB1"/>
    <w:multiLevelType w:val="hybridMultilevel"/>
    <w:tmpl w:val="EB3AB1A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031F4"/>
    <w:multiLevelType w:val="hybridMultilevel"/>
    <w:tmpl w:val="1EB0C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3364FB"/>
    <w:multiLevelType w:val="hybridMultilevel"/>
    <w:tmpl w:val="5C688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F902BC4"/>
    <w:multiLevelType w:val="hybridMultilevel"/>
    <w:tmpl w:val="85FCA7A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F902EE0"/>
    <w:multiLevelType w:val="hybridMultilevel"/>
    <w:tmpl w:val="0F44EED2"/>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474D8"/>
    <w:multiLevelType w:val="hybridMultilevel"/>
    <w:tmpl w:val="1C868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BE0EF1"/>
    <w:multiLevelType w:val="hybridMultilevel"/>
    <w:tmpl w:val="E7C292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9E6DAE"/>
    <w:multiLevelType w:val="hybridMultilevel"/>
    <w:tmpl w:val="FF840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551961"/>
    <w:multiLevelType w:val="hybridMultilevel"/>
    <w:tmpl w:val="84C85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010BA"/>
    <w:multiLevelType w:val="hybridMultilevel"/>
    <w:tmpl w:val="DE40C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3A7AEC"/>
    <w:multiLevelType w:val="hybridMultilevel"/>
    <w:tmpl w:val="E106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AE2F03"/>
    <w:multiLevelType w:val="hybridMultilevel"/>
    <w:tmpl w:val="9C56F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301044"/>
    <w:multiLevelType w:val="hybridMultilevel"/>
    <w:tmpl w:val="7BE0C7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5"/>
  </w:num>
  <w:num w:numId="5">
    <w:abstractNumId w:val="1"/>
  </w:num>
  <w:num w:numId="6">
    <w:abstractNumId w:val="0"/>
  </w:num>
  <w:num w:numId="7">
    <w:abstractNumId w:val="2"/>
  </w:num>
  <w:num w:numId="8">
    <w:abstractNumId w:val="3"/>
  </w:num>
  <w:num w:numId="9">
    <w:abstractNumId w:val="13"/>
  </w:num>
  <w:num w:numId="10">
    <w:abstractNumId w:val="18"/>
  </w:num>
  <w:num w:numId="11">
    <w:abstractNumId w:val="8"/>
  </w:num>
  <w:num w:numId="12">
    <w:abstractNumId w:val="16"/>
  </w:num>
  <w:num w:numId="13">
    <w:abstractNumId w:val="10"/>
  </w:num>
  <w:num w:numId="14">
    <w:abstractNumId w:val="19"/>
  </w:num>
  <w:num w:numId="15">
    <w:abstractNumId w:val="11"/>
  </w:num>
  <w:num w:numId="16">
    <w:abstractNumId w:val="7"/>
  </w:num>
  <w:num w:numId="17">
    <w:abstractNumId w:val="4"/>
  </w:num>
  <w:num w:numId="18">
    <w:abstractNumId w:val="9"/>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FC5"/>
    <w:rsid w:val="00013261"/>
    <w:rsid w:val="00027CCB"/>
    <w:rsid w:val="0006404F"/>
    <w:rsid w:val="000877CA"/>
    <w:rsid w:val="00092EBA"/>
    <w:rsid w:val="000A6977"/>
    <w:rsid w:val="000C3561"/>
    <w:rsid w:val="000F4EBC"/>
    <w:rsid w:val="00185BB0"/>
    <w:rsid w:val="00196D1B"/>
    <w:rsid w:val="001B4215"/>
    <w:rsid w:val="001F2369"/>
    <w:rsid w:val="001F23B7"/>
    <w:rsid w:val="001F2A4F"/>
    <w:rsid w:val="001F4ED1"/>
    <w:rsid w:val="001F56E3"/>
    <w:rsid w:val="00211AD9"/>
    <w:rsid w:val="00216908"/>
    <w:rsid w:val="00240785"/>
    <w:rsid w:val="00285EFE"/>
    <w:rsid w:val="00294457"/>
    <w:rsid w:val="002E08E4"/>
    <w:rsid w:val="002E2D92"/>
    <w:rsid w:val="00326621"/>
    <w:rsid w:val="00326F68"/>
    <w:rsid w:val="0036785C"/>
    <w:rsid w:val="003B69DC"/>
    <w:rsid w:val="003D1E51"/>
    <w:rsid w:val="00402F41"/>
    <w:rsid w:val="004077EC"/>
    <w:rsid w:val="0044086E"/>
    <w:rsid w:val="00451591"/>
    <w:rsid w:val="00471C35"/>
    <w:rsid w:val="004B4A64"/>
    <w:rsid w:val="005064A5"/>
    <w:rsid w:val="00536A40"/>
    <w:rsid w:val="00575C8A"/>
    <w:rsid w:val="005C7683"/>
    <w:rsid w:val="0064379C"/>
    <w:rsid w:val="006538CC"/>
    <w:rsid w:val="00692FC7"/>
    <w:rsid w:val="006E396C"/>
    <w:rsid w:val="006E4FC5"/>
    <w:rsid w:val="007332A7"/>
    <w:rsid w:val="00735BB3"/>
    <w:rsid w:val="00776294"/>
    <w:rsid w:val="007B788C"/>
    <w:rsid w:val="00815D38"/>
    <w:rsid w:val="00817252"/>
    <w:rsid w:val="00851651"/>
    <w:rsid w:val="00893DA1"/>
    <w:rsid w:val="008D3110"/>
    <w:rsid w:val="009110FE"/>
    <w:rsid w:val="00945C88"/>
    <w:rsid w:val="009762E9"/>
    <w:rsid w:val="0098433E"/>
    <w:rsid w:val="00994851"/>
    <w:rsid w:val="009C5656"/>
    <w:rsid w:val="00A21108"/>
    <w:rsid w:val="00A6500A"/>
    <w:rsid w:val="00A7002A"/>
    <w:rsid w:val="00AB0207"/>
    <w:rsid w:val="00AB6A62"/>
    <w:rsid w:val="00AC4C64"/>
    <w:rsid w:val="00AD0C0F"/>
    <w:rsid w:val="00AD44EB"/>
    <w:rsid w:val="00AE2E65"/>
    <w:rsid w:val="00AE3846"/>
    <w:rsid w:val="00B03E96"/>
    <w:rsid w:val="00B05605"/>
    <w:rsid w:val="00B10131"/>
    <w:rsid w:val="00B44A89"/>
    <w:rsid w:val="00B6611E"/>
    <w:rsid w:val="00B675DD"/>
    <w:rsid w:val="00B97407"/>
    <w:rsid w:val="00BC30AE"/>
    <w:rsid w:val="00C50BEE"/>
    <w:rsid w:val="00C56174"/>
    <w:rsid w:val="00C8395F"/>
    <w:rsid w:val="00CA513E"/>
    <w:rsid w:val="00CE1EF3"/>
    <w:rsid w:val="00CF5427"/>
    <w:rsid w:val="00D0567A"/>
    <w:rsid w:val="00D36E98"/>
    <w:rsid w:val="00D60608"/>
    <w:rsid w:val="00D606DE"/>
    <w:rsid w:val="00D92715"/>
    <w:rsid w:val="00DD58B0"/>
    <w:rsid w:val="00E06B62"/>
    <w:rsid w:val="00E35DF5"/>
    <w:rsid w:val="00EE578E"/>
    <w:rsid w:val="00F11D4E"/>
    <w:rsid w:val="00F408CB"/>
    <w:rsid w:val="00F501CA"/>
    <w:rsid w:val="00F97C2B"/>
    <w:rsid w:val="00FA7722"/>
    <w:rsid w:val="00FB687B"/>
    <w:rsid w:val="00FF4B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5762B"/>
  <w15:chartTrackingRefBased/>
  <w15:docId w15:val="{51EC4409-816F-4B1B-BBE2-61D45900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E4FC5"/>
    <w:pPr>
      <w:spacing w:after="120" w:line="300" w:lineRule="atLeast"/>
    </w:pPr>
    <w:rPr>
      <w:rFonts w:ascii="Arial" w:eastAsia="Times New Roman" w:hAnsi="Arial" w:cs="Times New Roman"/>
      <w:szCs w:val="24"/>
    </w:rPr>
  </w:style>
  <w:style w:type="paragraph" w:styleId="Heading1">
    <w:name w:val="heading 1"/>
    <w:next w:val="Normal"/>
    <w:link w:val="Heading1Char"/>
    <w:qFormat/>
    <w:rsid w:val="006E4FC5"/>
    <w:pPr>
      <w:keepNext/>
      <w:spacing w:before="240" w:after="120" w:line="300" w:lineRule="atLeast"/>
      <w:outlineLvl w:val="0"/>
    </w:pPr>
    <w:rPr>
      <w:rFonts w:ascii="Arial" w:eastAsia="Times New Roman" w:hAnsi="Arial" w:cs="Arial"/>
      <w:b/>
      <w:bCs/>
      <w:color w:val="971A4B"/>
      <w:kern w:val="32"/>
      <w:sz w:val="32"/>
      <w:szCs w:val="32"/>
      <w:lang w:eastAsia="en-AU"/>
    </w:rPr>
  </w:style>
  <w:style w:type="paragraph" w:styleId="Heading2">
    <w:name w:val="heading 2"/>
    <w:basedOn w:val="Normal"/>
    <w:next w:val="Normal"/>
    <w:link w:val="Heading2Char"/>
    <w:uiPriority w:val="9"/>
    <w:unhideWhenUsed/>
    <w:qFormat/>
    <w:rsid w:val="006E4F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4FC5"/>
    <w:rPr>
      <w:rFonts w:ascii="Arial" w:eastAsia="Times New Roman" w:hAnsi="Arial" w:cs="Arial"/>
      <w:b/>
      <w:bCs/>
      <w:color w:val="971A4B"/>
      <w:kern w:val="32"/>
      <w:sz w:val="32"/>
      <w:szCs w:val="32"/>
      <w:lang w:eastAsia="en-AU"/>
    </w:rPr>
  </w:style>
  <w:style w:type="character" w:customStyle="1" w:styleId="Heading2Char">
    <w:name w:val="Heading 2 Char"/>
    <w:basedOn w:val="DefaultParagraphFont"/>
    <w:link w:val="Heading2"/>
    <w:uiPriority w:val="9"/>
    <w:rsid w:val="006E4FC5"/>
    <w:rPr>
      <w:rFonts w:asciiTheme="majorHAnsi" w:eastAsiaTheme="majorEastAsia" w:hAnsiTheme="majorHAnsi" w:cstheme="majorBidi"/>
      <w:color w:val="2E74B5" w:themeColor="accent1" w:themeShade="BF"/>
      <w:sz w:val="26"/>
      <w:szCs w:val="26"/>
    </w:rPr>
  </w:style>
  <w:style w:type="paragraph" w:styleId="Title">
    <w:name w:val="Title"/>
    <w:link w:val="TitleChar"/>
    <w:qFormat/>
    <w:rsid w:val="006E4FC5"/>
    <w:pPr>
      <w:spacing w:before="9240" w:after="240" w:line="400" w:lineRule="exact"/>
      <w:outlineLvl w:val="0"/>
    </w:pPr>
    <w:rPr>
      <w:rFonts w:ascii="Arial Bold" w:eastAsia="Times New Roman" w:hAnsi="Arial Bold" w:cs="Arial"/>
      <w:b/>
      <w:bCs/>
      <w:color w:val="971A4B"/>
      <w:kern w:val="28"/>
      <w:sz w:val="36"/>
      <w:szCs w:val="32"/>
    </w:rPr>
  </w:style>
  <w:style w:type="character" w:customStyle="1" w:styleId="TitleChar">
    <w:name w:val="Title Char"/>
    <w:basedOn w:val="DefaultParagraphFont"/>
    <w:link w:val="Title"/>
    <w:rsid w:val="006E4FC5"/>
    <w:rPr>
      <w:rFonts w:ascii="Arial Bold" w:eastAsia="Times New Roman" w:hAnsi="Arial Bold" w:cs="Arial"/>
      <w:b/>
      <w:bCs/>
      <w:color w:val="971A4B"/>
      <w:kern w:val="28"/>
      <w:sz w:val="36"/>
      <w:szCs w:val="32"/>
    </w:rPr>
  </w:style>
  <w:style w:type="paragraph" w:styleId="FootnoteText">
    <w:name w:val="footnote text"/>
    <w:basedOn w:val="Normal"/>
    <w:link w:val="FootnoteTextChar"/>
    <w:uiPriority w:val="99"/>
    <w:rsid w:val="006E4FC5"/>
    <w:pPr>
      <w:ind w:left="284" w:hanging="284"/>
    </w:pPr>
    <w:rPr>
      <w:sz w:val="18"/>
      <w:szCs w:val="20"/>
    </w:rPr>
  </w:style>
  <w:style w:type="character" w:customStyle="1" w:styleId="FootnoteTextChar">
    <w:name w:val="Footnote Text Char"/>
    <w:basedOn w:val="DefaultParagraphFont"/>
    <w:link w:val="FootnoteText"/>
    <w:uiPriority w:val="99"/>
    <w:rsid w:val="006E4FC5"/>
    <w:rPr>
      <w:rFonts w:ascii="Arial" w:eastAsia="Times New Roman" w:hAnsi="Arial" w:cs="Times New Roman"/>
      <w:sz w:val="18"/>
      <w:szCs w:val="20"/>
    </w:rPr>
  </w:style>
  <w:style w:type="character" w:styleId="Hyperlink">
    <w:name w:val="Hyperlink"/>
    <w:uiPriority w:val="99"/>
    <w:rsid w:val="006E4FC5"/>
    <w:rPr>
      <w:rFonts w:ascii="Arial" w:hAnsi="Arial"/>
      <w:color w:val="0000FF"/>
      <w:u w:val="single"/>
      <w:lang w:val="en-AU"/>
    </w:rPr>
  </w:style>
  <w:style w:type="character" w:styleId="FootnoteReference">
    <w:name w:val="footnote reference"/>
    <w:uiPriority w:val="99"/>
    <w:rsid w:val="006E4FC5"/>
    <w:rPr>
      <w:rFonts w:ascii="Arial" w:hAnsi="Arial"/>
      <w:sz w:val="18"/>
      <w:vertAlign w:val="superscript"/>
    </w:rPr>
  </w:style>
  <w:style w:type="paragraph" w:styleId="ListParagraph">
    <w:name w:val="List Paragraph"/>
    <w:basedOn w:val="Normal"/>
    <w:uiPriority w:val="34"/>
    <w:qFormat/>
    <w:rsid w:val="006E4FC5"/>
    <w:pPr>
      <w:spacing w:after="0" w:line="240" w:lineRule="auto"/>
      <w:ind w:left="720"/>
      <w:contextualSpacing/>
    </w:pPr>
    <w:rPr>
      <w:rFonts w:ascii="Times New Roman" w:hAnsi="Times New Roman"/>
      <w:sz w:val="24"/>
      <w:lang w:eastAsia="en-AU"/>
    </w:rPr>
  </w:style>
  <w:style w:type="table" w:styleId="TableGrid">
    <w:name w:val="Table Grid"/>
    <w:basedOn w:val="TableNormal"/>
    <w:uiPriority w:val="39"/>
    <w:rsid w:val="006E4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4F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4FC5"/>
    <w:rPr>
      <w:rFonts w:ascii="Arial" w:eastAsia="Times New Roman" w:hAnsi="Arial" w:cs="Times New Roman"/>
      <w:szCs w:val="24"/>
    </w:rPr>
  </w:style>
  <w:style w:type="paragraph" w:styleId="Footer">
    <w:name w:val="footer"/>
    <w:basedOn w:val="Normal"/>
    <w:link w:val="FooterChar"/>
    <w:uiPriority w:val="99"/>
    <w:unhideWhenUsed/>
    <w:rsid w:val="006E4F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4FC5"/>
    <w:rPr>
      <w:rFonts w:ascii="Arial" w:eastAsia="Times New Roman" w:hAnsi="Arial" w:cs="Times New Roman"/>
      <w:szCs w:val="24"/>
    </w:rPr>
  </w:style>
  <w:style w:type="character" w:styleId="FollowedHyperlink">
    <w:name w:val="FollowedHyperlink"/>
    <w:basedOn w:val="DefaultParagraphFont"/>
    <w:uiPriority w:val="99"/>
    <w:semiHidden/>
    <w:unhideWhenUsed/>
    <w:rsid w:val="00F408CB"/>
    <w:rPr>
      <w:color w:val="954F72" w:themeColor="followedHyperlink"/>
      <w:u w:val="single"/>
    </w:rPr>
  </w:style>
  <w:style w:type="paragraph" w:styleId="NoSpacing">
    <w:name w:val="No Spacing"/>
    <w:uiPriority w:val="1"/>
    <w:qFormat/>
    <w:rsid w:val="00E35DF5"/>
    <w:pPr>
      <w:spacing w:after="0" w:line="240" w:lineRule="auto"/>
    </w:pPr>
    <w:rPr>
      <w:rFonts w:ascii="Arial" w:eastAsia="Times New Roman" w:hAnsi="Arial" w:cs="Times New Roman"/>
      <w:szCs w:val="24"/>
    </w:rPr>
  </w:style>
  <w:style w:type="character" w:styleId="CommentReference">
    <w:name w:val="annotation reference"/>
    <w:basedOn w:val="DefaultParagraphFont"/>
    <w:uiPriority w:val="99"/>
    <w:semiHidden/>
    <w:unhideWhenUsed/>
    <w:rsid w:val="00AC4C64"/>
    <w:rPr>
      <w:sz w:val="16"/>
      <w:szCs w:val="16"/>
    </w:rPr>
  </w:style>
  <w:style w:type="paragraph" w:styleId="CommentText">
    <w:name w:val="annotation text"/>
    <w:basedOn w:val="Normal"/>
    <w:link w:val="CommentTextChar"/>
    <w:uiPriority w:val="99"/>
    <w:semiHidden/>
    <w:unhideWhenUsed/>
    <w:rsid w:val="00AC4C64"/>
    <w:pPr>
      <w:spacing w:line="240" w:lineRule="auto"/>
    </w:pPr>
    <w:rPr>
      <w:sz w:val="20"/>
      <w:szCs w:val="20"/>
    </w:rPr>
  </w:style>
  <w:style w:type="character" w:customStyle="1" w:styleId="CommentTextChar">
    <w:name w:val="Comment Text Char"/>
    <w:basedOn w:val="DefaultParagraphFont"/>
    <w:link w:val="CommentText"/>
    <w:uiPriority w:val="99"/>
    <w:semiHidden/>
    <w:rsid w:val="00AC4C6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C4C64"/>
    <w:rPr>
      <w:b/>
      <w:bCs/>
    </w:rPr>
  </w:style>
  <w:style w:type="character" w:customStyle="1" w:styleId="CommentSubjectChar">
    <w:name w:val="Comment Subject Char"/>
    <w:basedOn w:val="CommentTextChar"/>
    <w:link w:val="CommentSubject"/>
    <w:uiPriority w:val="99"/>
    <w:semiHidden/>
    <w:rsid w:val="00AC4C64"/>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AC4C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C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handbook.vla.vic.gov.au/handbook/16-applying-for-grant-of-legal-assistanc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handbook.vla.vic.gov.au/handbook/12-means-test/whose-income-and-assets-are-assessed-in-means-test"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melbourneinstitute.com/miaesr/publications/indicators/hem.html" TargetMode="External"/><Relationship Id="rId13" Type="http://schemas.openxmlformats.org/officeDocument/2006/relationships/hyperlink" Target="http://melbourneinstitute.com/downloads/labour/42_FinReport.pdf" TargetMode="External"/><Relationship Id="rId18" Type="http://schemas.openxmlformats.org/officeDocument/2006/relationships/hyperlink" Target="http://www.slab.org.uk/public/civil/eligibility/" TargetMode="External"/><Relationship Id="rId3" Type="http://schemas.openxmlformats.org/officeDocument/2006/relationships/hyperlink" Target="http://natsem.canberra.edu.au/storage/AMP_NATSEM_31_Prices_these_days_The_cost_of_living_in_Australia.pdf" TargetMode="External"/><Relationship Id="rId21" Type="http://schemas.openxmlformats.org/officeDocument/2006/relationships/hyperlink" Target="https://www.humanservices.gov.au/customer/enablers/assets" TargetMode="External"/><Relationship Id="rId7" Type="http://schemas.openxmlformats.org/officeDocument/2006/relationships/hyperlink" Target="http://www.pc.gov.au/research/supporting/deep-persistent-disadvantage" TargetMode="External"/><Relationship Id="rId12" Type="http://schemas.openxmlformats.org/officeDocument/2006/relationships/hyperlink" Target="https://www.sprc.unsw.edu.au/media/SPRCFile/DP127.pdf" TargetMode="External"/><Relationship Id="rId17" Type="http://schemas.openxmlformats.org/officeDocument/2006/relationships/hyperlink" Target="http://eng.klac.or.kr/english/infor/03.php" TargetMode="External"/><Relationship Id="rId2" Type="http://schemas.openxmlformats.org/officeDocument/2006/relationships/hyperlink" Target="http://www.abs.gov.au/AUSSTATS/abs@.nsf/Lookup/6530.0Main+Features12009-10?OpenDocument" TargetMode="External"/><Relationship Id="rId16" Type="http://schemas.openxmlformats.org/officeDocument/2006/relationships/hyperlink" Target="http://www.houterasu.or.jp/en/about_jlsc/operation2.html" TargetMode="External"/><Relationship Id="rId20" Type="http://schemas.openxmlformats.org/officeDocument/2006/relationships/hyperlink" Target="https://www.humanservices.gov.au/customer/enablers/income-test-newstart-allowance-partner-allowance-sickness-allowance-and-widow" TargetMode="External"/><Relationship Id="rId1" Type="http://schemas.openxmlformats.org/officeDocument/2006/relationships/hyperlink" Target="http://www.lsc.gov/sites/default/files/LSC/pdfs/documenting_the_justice_gap_in_america_2009.pdf" TargetMode="External"/><Relationship Id="rId6" Type="http://schemas.openxmlformats.org/officeDocument/2006/relationships/hyperlink" Target="http://www.legalaid.vic.gov.au/about-us/our-organisation/strategic-plan" TargetMode="External"/><Relationship Id="rId11" Type="http://schemas.openxmlformats.org/officeDocument/2006/relationships/hyperlink" Target="http://melbourneinstitute.com/downloads/working_paper_series/wp2009n04.pdf" TargetMode="External"/><Relationship Id="rId5" Type="http://schemas.openxmlformats.org/officeDocument/2006/relationships/hyperlink" Target="https://www.legalaid.vic.gov.au/about-us/what-we-do/research-and-analysis/legal-needs-survey" TargetMode="External"/><Relationship Id="rId15" Type="http://schemas.openxmlformats.org/officeDocument/2006/relationships/hyperlink" Target="http://www.legalaid.on.ca/en/getting/eligibility.asp" TargetMode="External"/><Relationship Id="rId10" Type="http://schemas.openxmlformats.org/officeDocument/2006/relationships/hyperlink" Target="http://natsem.canberra.edu.au/storage/Poverty-Social-Exclusion-and-Disadvantage" TargetMode="External"/><Relationship Id="rId19" Type="http://schemas.openxmlformats.org/officeDocument/2006/relationships/hyperlink" Target="http://www.enable.health.nsw.gov.au/home/applying_online/applying-for-assistance-from-enablensw" TargetMode="External"/><Relationship Id="rId4" Type="http://schemas.openxmlformats.org/officeDocument/2006/relationships/hyperlink" Target="https://www.melbourneinstitute.com/hilda/" TargetMode="External"/><Relationship Id="rId9" Type="http://schemas.openxmlformats.org/officeDocument/2006/relationships/hyperlink" Target="https://crawford.anu.edu.au/research/impact/6279/individual-deprivation-measure" TargetMode="External"/><Relationship Id="rId14" Type="http://schemas.openxmlformats.org/officeDocument/2006/relationships/hyperlink" Target="http://eprints.lse.ac.uk/39745/1/The_capability_approach_Insights_for_a_new_poverty_focus_(lsero).pdf" TargetMode="External"/><Relationship Id="rId22" Type="http://schemas.openxmlformats.org/officeDocument/2006/relationships/hyperlink" Target="https://www.humanservices.gov.au/customer/services/centrelink/au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F0D66-7570-4BFD-9841-1767500B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4400</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Sharika Jeyakumar</dc:creator>
  <cp:keywords/>
  <dc:description/>
  <cp:lastModifiedBy/>
  <cp:revision>1</cp:revision>
  <dcterms:created xsi:type="dcterms:W3CDTF">2021-04-29T23:56:00Z</dcterms:created>
  <dcterms:modified xsi:type="dcterms:W3CDTF">2021-04-29T23:56:00Z</dcterms:modified>
</cp:coreProperties>
</file>

<file path=docProps/custom.xml><?xml version="1.0" encoding="utf-8"?>
<op:Properties xmlns:op="http://schemas.openxmlformats.org/officeDocument/2006/custom-properties">
  <op:property fmtid="{D5CDD505-2E9C-101B-9397-08002B2CF9AE}" pid="3" name="_MarkAsFinal">
    <vt:bool xmlns:vt="http://schemas.openxmlformats.org/officeDocument/2006/docPropsVTypes">true</vt:bool>
  </op:property>
</op:Properties>
</file>