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88C" w:rsidRPr="003F1956" w:rsidRDefault="00FF22FF" w:rsidP="00E6688C">
      <w:pPr>
        <w:pStyle w:val="VLAtitle"/>
      </w:pPr>
      <w:r w:rsidRPr="003F1956">
        <w:t>Sentencing guidance reference</w:t>
      </w:r>
    </w:p>
    <w:p w:rsidR="00E6688C" w:rsidRPr="003F1956" w:rsidRDefault="00C449F2" w:rsidP="00E6688C">
      <w:pPr>
        <w:pStyle w:val="VLAsubtitle"/>
      </w:pPr>
      <w:r w:rsidRPr="003F1956">
        <w:t>Submission to the Sentencing Advisory Council</w:t>
      </w:r>
    </w:p>
    <w:p w:rsidR="00E6688C" w:rsidRPr="003F1956" w:rsidRDefault="00E9306F" w:rsidP="00E6688C">
      <w:pPr>
        <w:pStyle w:val="VLAdate"/>
      </w:pPr>
      <w:r w:rsidRPr="003F1956">
        <w:t>1</w:t>
      </w:r>
      <w:r w:rsidR="002D273C" w:rsidRPr="003F1956">
        <w:t>2</w:t>
      </w:r>
      <w:r w:rsidR="003C1EBE" w:rsidRPr="003F1956">
        <w:t xml:space="preserve"> February</w:t>
      </w:r>
      <w:r w:rsidR="00C449F2" w:rsidRPr="003F1956">
        <w:t xml:space="preserve"> 2016</w:t>
      </w:r>
    </w:p>
    <w:p w:rsidR="00CC0C03" w:rsidRPr="003F1956" w:rsidRDefault="00CC0C03" w:rsidP="00CC0C03"/>
    <w:p w:rsidR="00853BDA" w:rsidRPr="003F1956" w:rsidRDefault="00853BDA" w:rsidP="00946548">
      <w:pPr>
        <w:sectPr w:rsidR="00853BDA" w:rsidRPr="003F1956" w:rsidSect="00DA29C4">
          <w:headerReference w:type="even" r:id="rId8"/>
          <w:headerReference w:type="default" r:id="rId9"/>
          <w:footerReference w:type="default" r:id="rId10"/>
          <w:headerReference w:type="first" r:id="rId11"/>
          <w:footerReference w:type="first" r:id="rId12"/>
          <w:type w:val="oddPage"/>
          <w:pgSz w:w="11906" w:h="16838" w:code="9"/>
          <w:pgMar w:top="1418" w:right="992" w:bottom="3969" w:left="1134" w:header="851" w:footer="2835" w:gutter="0"/>
          <w:paperSrc w:first="7" w:other="7"/>
          <w:cols w:space="720"/>
          <w:titlePg/>
          <w:docGrid w:linePitch="299"/>
        </w:sectPr>
      </w:pPr>
    </w:p>
    <w:p w:rsidR="00E52D83" w:rsidRPr="003F1956" w:rsidRDefault="002A7402" w:rsidP="008F0579">
      <w:pPr>
        <w:pStyle w:val="Confidentialityclause"/>
        <w:spacing w:before="12300"/>
        <w:rPr>
          <w:bCs w:val="0"/>
        </w:rPr>
      </w:pPr>
      <w:r w:rsidRPr="003F1956">
        <w:rPr>
          <w:rFonts w:cs="Arial"/>
          <w:color w:val="971A4B"/>
        </w:rPr>
        <w:lastRenderedPageBreak/>
        <w:t>©</w:t>
      </w:r>
      <w:r w:rsidRPr="003F1956">
        <w:rPr>
          <w:color w:val="971A4B"/>
        </w:rPr>
        <w:t xml:space="preserve"> </w:t>
      </w:r>
      <w:r w:rsidRPr="003F1956">
        <w:rPr>
          <w:color w:val="971A4B"/>
        </w:rPr>
        <w:fldChar w:fldCharType="begin"/>
      </w:r>
      <w:r w:rsidRPr="003F1956">
        <w:rPr>
          <w:color w:val="971A4B"/>
        </w:rPr>
        <w:instrText xml:space="preserve"> DATE  \@ "yyyy"  \* MERGEFORMAT </w:instrText>
      </w:r>
      <w:r w:rsidRPr="003F1956">
        <w:rPr>
          <w:color w:val="971A4B"/>
        </w:rPr>
        <w:fldChar w:fldCharType="separate"/>
      </w:r>
      <w:r w:rsidR="00FA5F59">
        <w:rPr>
          <w:noProof/>
          <w:color w:val="971A4B"/>
        </w:rPr>
        <w:t>2016</w:t>
      </w:r>
      <w:r w:rsidRPr="003F1956">
        <w:rPr>
          <w:color w:val="971A4B"/>
        </w:rPr>
        <w:fldChar w:fldCharType="end"/>
      </w:r>
      <w:r w:rsidRPr="003F1956">
        <w:rPr>
          <w:color w:val="971A4B"/>
        </w:rPr>
        <w:t xml:space="preserve"> Victoria Legal Aid.</w:t>
      </w:r>
      <w:r w:rsidRPr="003F1956">
        <w:t xml:space="preserve"> </w:t>
      </w:r>
      <w:r w:rsidR="006E2882" w:rsidRPr="003F1956">
        <w:rPr>
          <w:bCs w:val="0"/>
        </w:rPr>
        <w:t>Reproduction without express written permission is prohibited</w:t>
      </w:r>
      <w:r w:rsidR="00E52D83" w:rsidRPr="003F1956">
        <w:rPr>
          <w:bCs w:val="0"/>
        </w:rPr>
        <w:t>.</w:t>
      </w:r>
    </w:p>
    <w:p w:rsidR="00696BAC" w:rsidRPr="003F1956" w:rsidRDefault="006E2882" w:rsidP="002A7402">
      <w:pPr>
        <w:pStyle w:val="Confidentialityclause"/>
        <w:rPr>
          <w:bCs w:val="0"/>
        </w:rPr>
      </w:pPr>
      <w:r w:rsidRPr="003F1956">
        <w:rPr>
          <w:bCs w:val="0"/>
        </w:rPr>
        <w:t>Written requests should be directed to Victoria Legal Aid, Research and Communications, 350 Queen Street, Melbourne Vic</w:t>
      </w:r>
      <w:r w:rsidR="00C74608" w:rsidRPr="003F1956">
        <w:rPr>
          <w:bCs w:val="0"/>
        </w:rPr>
        <w:t xml:space="preserve"> </w:t>
      </w:r>
      <w:r w:rsidRPr="003F1956">
        <w:rPr>
          <w:bCs w:val="0"/>
        </w:rPr>
        <w:t>3000.</w:t>
      </w:r>
    </w:p>
    <w:p w:rsidR="00CE4C2F" w:rsidRPr="003F1956" w:rsidRDefault="00CE4C2F" w:rsidP="00CC0C03">
      <w:pPr>
        <w:sectPr w:rsidR="00CE4C2F" w:rsidRPr="003F1956" w:rsidSect="007538CC">
          <w:headerReference w:type="default" r:id="rId13"/>
          <w:footerReference w:type="default" r:id="rId14"/>
          <w:headerReference w:type="first" r:id="rId15"/>
          <w:footerReference w:type="first" r:id="rId16"/>
          <w:type w:val="evenPage"/>
          <w:pgSz w:w="11906" w:h="16838" w:code="9"/>
          <w:pgMar w:top="950" w:right="992" w:bottom="1134" w:left="1134" w:header="984" w:footer="429" w:gutter="0"/>
          <w:paperSrc w:first="7" w:other="7"/>
          <w:pgNumType w:start="1"/>
          <w:cols w:space="720"/>
          <w:titlePg/>
          <w:docGrid w:linePitch="299"/>
        </w:sectPr>
      </w:pPr>
    </w:p>
    <w:p w:rsidR="002B4970" w:rsidRPr="003F1956" w:rsidRDefault="002B4970" w:rsidP="0056464E">
      <w:pPr>
        <w:pStyle w:val="Contents"/>
      </w:pPr>
      <w:r w:rsidRPr="003F1956">
        <w:lastRenderedPageBreak/>
        <w:t>Contents</w:t>
      </w:r>
    </w:p>
    <w:p w:rsidR="007D6853" w:rsidRDefault="004E0688">
      <w:pPr>
        <w:pStyle w:val="TOC1"/>
        <w:rPr>
          <w:rFonts w:asciiTheme="minorHAnsi" w:eastAsiaTheme="minorEastAsia" w:hAnsiTheme="minorHAnsi" w:cstheme="minorBidi"/>
          <w:b w:val="0"/>
          <w:noProof/>
          <w:sz w:val="22"/>
          <w:szCs w:val="22"/>
          <w:lang w:eastAsia="en-AU"/>
        </w:rPr>
      </w:pPr>
      <w:r w:rsidRPr="003F1956">
        <w:fldChar w:fldCharType="begin"/>
      </w:r>
      <w:r w:rsidRPr="003F1956">
        <w:instrText xml:space="preserve"> TOC \h \z \t "Heading 1,1,Heading 2,2,Heading 3,3,Appendix,1" </w:instrText>
      </w:r>
      <w:r w:rsidRPr="003F1956">
        <w:fldChar w:fldCharType="separate"/>
      </w:r>
      <w:hyperlink w:anchor="_Toc443045568" w:history="1">
        <w:r w:rsidR="007D6853" w:rsidRPr="00E11268">
          <w:rPr>
            <w:rStyle w:val="Hyperlink"/>
            <w:noProof/>
          </w:rPr>
          <w:t>About Victoria Legal Aid</w:t>
        </w:r>
        <w:r w:rsidR="007D6853">
          <w:rPr>
            <w:noProof/>
            <w:webHidden/>
          </w:rPr>
          <w:tab/>
        </w:r>
        <w:r w:rsidR="007D6853">
          <w:rPr>
            <w:noProof/>
            <w:webHidden/>
          </w:rPr>
          <w:fldChar w:fldCharType="begin"/>
        </w:r>
        <w:r w:rsidR="007D6853">
          <w:rPr>
            <w:noProof/>
            <w:webHidden/>
          </w:rPr>
          <w:instrText xml:space="preserve"> PAGEREF _Toc443045568 \h </w:instrText>
        </w:r>
        <w:r w:rsidR="007D6853">
          <w:rPr>
            <w:noProof/>
            <w:webHidden/>
          </w:rPr>
        </w:r>
        <w:r w:rsidR="007D6853">
          <w:rPr>
            <w:noProof/>
            <w:webHidden/>
          </w:rPr>
          <w:fldChar w:fldCharType="separate"/>
        </w:r>
        <w:r w:rsidR="00FA5F59">
          <w:rPr>
            <w:noProof/>
            <w:webHidden/>
          </w:rPr>
          <w:t>1</w:t>
        </w:r>
        <w:r w:rsidR="007D6853">
          <w:rPr>
            <w:noProof/>
            <w:webHidden/>
          </w:rPr>
          <w:fldChar w:fldCharType="end"/>
        </w:r>
      </w:hyperlink>
    </w:p>
    <w:p w:rsidR="007D6853" w:rsidRDefault="00FA5F59">
      <w:pPr>
        <w:pStyle w:val="TOC1"/>
        <w:rPr>
          <w:rFonts w:asciiTheme="minorHAnsi" w:eastAsiaTheme="minorEastAsia" w:hAnsiTheme="minorHAnsi" w:cstheme="minorBidi"/>
          <w:b w:val="0"/>
          <w:noProof/>
          <w:sz w:val="22"/>
          <w:szCs w:val="22"/>
          <w:lang w:eastAsia="en-AU"/>
        </w:rPr>
      </w:pPr>
      <w:hyperlink w:anchor="_Toc443045569" w:history="1">
        <w:r w:rsidR="007D6853" w:rsidRPr="00E11268">
          <w:rPr>
            <w:rStyle w:val="Hyperlink"/>
            <w:noProof/>
          </w:rPr>
          <w:t>Executive Summary</w:t>
        </w:r>
        <w:r w:rsidR="007D6853">
          <w:rPr>
            <w:noProof/>
            <w:webHidden/>
          </w:rPr>
          <w:tab/>
        </w:r>
        <w:r w:rsidR="007D6853">
          <w:rPr>
            <w:noProof/>
            <w:webHidden/>
          </w:rPr>
          <w:fldChar w:fldCharType="begin"/>
        </w:r>
        <w:r w:rsidR="007D6853">
          <w:rPr>
            <w:noProof/>
            <w:webHidden/>
          </w:rPr>
          <w:instrText xml:space="preserve"> PAGEREF _Toc443045569 \h </w:instrText>
        </w:r>
        <w:r w:rsidR="007D6853">
          <w:rPr>
            <w:noProof/>
            <w:webHidden/>
          </w:rPr>
        </w:r>
        <w:r w:rsidR="007D6853">
          <w:rPr>
            <w:noProof/>
            <w:webHidden/>
          </w:rPr>
          <w:fldChar w:fldCharType="separate"/>
        </w:r>
        <w:r>
          <w:rPr>
            <w:noProof/>
            <w:webHidden/>
          </w:rPr>
          <w:t>2</w:t>
        </w:r>
        <w:r w:rsidR="007D6853">
          <w:rPr>
            <w:noProof/>
            <w:webHidden/>
          </w:rPr>
          <w:fldChar w:fldCharType="end"/>
        </w:r>
      </w:hyperlink>
    </w:p>
    <w:p w:rsidR="007D6853" w:rsidRDefault="00FA5F59">
      <w:pPr>
        <w:pStyle w:val="TOC1"/>
        <w:rPr>
          <w:rFonts w:asciiTheme="minorHAnsi" w:eastAsiaTheme="minorEastAsia" w:hAnsiTheme="minorHAnsi" w:cstheme="minorBidi"/>
          <w:b w:val="0"/>
          <w:noProof/>
          <w:sz w:val="22"/>
          <w:szCs w:val="22"/>
          <w:lang w:eastAsia="en-AU"/>
        </w:rPr>
      </w:pPr>
      <w:hyperlink w:anchor="_Toc443045570" w:history="1">
        <w:r w:rsidR="007D6853" w:rsidRPr="00E11268">
          <w:rPr>
            <w:rStyle w:val="Hyperlink"/>
            <w:noProof/>
          </w:rPr>
          <w:t>Is there a problem to be fixed?</w:t>
        </w:r>
        <w:r w:rsidR="007D6853">
          <w:rPr>
            <w:noProof/>
            <w:webHidden/>
          </w:rPr>
          <w:tab/>
        </w:r>
        <w:r w:rsidR="007D6853">
          <w:rPr>
            <w:noProof/>
            <w:webHidden/>
          </w:rPr>
          <w:fldChar w:fldCharType="begin"/>
        </w:r>
        <w:r w:rsidR="007D6853">
          <w:rPr>
            <w:noProof/>
            <w:webHidden/>
          </w:rPr>
          <w:instrText xml:space="preserve"> PAGEREF _Toc443045570 \h </w:instrText>
        </w:r>
        <w:r w:rsidR="007D6853">
          <w:rPr>
            <w:noProof/>
            <w:webHidden/>
          </w:rPr>
        </w:r>
        <w:r w:rsidR="007D6853">
          <w:rPr>
            <w:noProof/>
            <w:webHidden/>
          </w:rPr>
          <w:fldChar w:fldCharType="separate"/>
        </w:r>
        <w:r>
          <w:rPr>
            <w:noProof/>
            <w:webHidden/>
          </w:rPr>
          <w:t>3</w:t>
        </w:r>
        <w:r w:rsidR="007D6853">
          <w:rPr>
            <w:noProof/>
            <w:webHidden/>
          </w:rPr>
          <w:fldChar w:fldCharType="end"/>
        </w:r>
      </w:hyperlink>
    </w:p>
    <w:p w:rsidR="007D6853" w:rsidRDefault="00FA5F59">
      <w:pPr>
        <w:pStyle w:val="TOC1"/>
        <w:rPr>
          <w:rFonts w:asciiTheme="minorHAnsi" w:eastAsiaTheme="minorEastAsia" w:hAnsiTheme="minorHAnsi" w:cstheme="minorBidi"/>
          <w:b w:val="0"/>
          <w:noProof/>
          <w:sz w:val="22"/>
          <w:szCs w:val="22"/>
          <w:lang w:eastAsia="en-AU"/>
        </w:rPr>
      </w:pPr>
      <w:hyperlink w:anchor="_Toc443045571" w:history="1">
        <w:r w:rsidR="007D6853" w:rsidRPr="00E11268">
          <w:rPr>
            <w:rStyle w:val="Hyperlink"/>
            <w:noProof/>
          </w:rPr>
          <w:t>Mechanisms for sentencing guidance</w:t>
        </w:r>
        <w:r w:rsidR="007D6853">
          <w:rPr>
            <w:noProof/>
            <w:webHidden/>
          </w:rPr>
          <w:tab/>
        </w:r>
        <w:r w:rsidR="007D6853">
          <w:rPr>
            <w:noProof/>
            <w:webHidden/>
          </w:rPr>
          <w:fldChar w:fldCharType="begin"/>
        </w:r>
        <w:r w:rsidR="007D6853">
          <w:rPr>
            <w:noProof/>
            <w:webHidden/>
          </w:rPr>
          <w:instrText xml:space="preserve"> PAGEREF _Toc443045571 \h </w:instrText>
        </w:r>
        <w:r w:rsidR="007D6853">
          <w:rPr>
            <w:noProof/>
            <w:webHidden/>
          </w:rPr>
        </w:r>
        <w:r w:rsidR="007D6853">
          <w:rPr>
            <w:noProof/>
            <w:webHidden/>
          </w:rPr>
          <w:fldChar w:fldCharType="separate"/>
        </w:r>
        <w:r>
          <w:rPr>
            <w:noProof/>
            <w:webHidden/>
          </w:rPr>
          <w:t>6</w:t>
        </w:r>
        <w:r w:rsidR="007D6853">
          <w:rPr>
            <w:noProof/>
            <w:webHidden/>
          </w:rPr>
          <w:fldChar w:fldCharType="end"/>
        </w:r>
      </w:hyperlink>
    </w:p>
    <w:p w:rsidR="007D6853" w:rsidRDefault="00FA5F59">
      <w:pPr>
        <w:pStyle w:val="TOC1"/>
        <w:rPr>
          <w:rFonts w:asciiTheme="minorHAnsi" w:eastAsiaTheme="minorEastAsia" w:hAnsiTheme="minorHAnsi" w:cstheme="minorBidi"/>
          <w:b w:val="0"/>
          <w:noProof/>
          <w:sz w:val="22"/>
          <w:szCs w:val="22"/>
          <w:lang w:eastAsia="en-AU"/>
        </w:rPr>
      </w:pPr>
      <w:hyperlink w:anchor="_Toc443045572" w:history="1">
        <w:r w:rsidR="007D6853" w:rsidRPr="00E11268">
          <w:rPr>
            <w:rStyle w:val="Hyperlink"/>
            <w:noProof/>
          </w:rPr>
          <w:t>(a) Mandatory sentences</w:t>
        </w:r>
        <w:r w:rsidR="007D6853">
          <w:rPr>
            <w:noProof/>
            <w:webHidden/>
          </w:rPr>
          <w:tab/>
        </w:r>
        <w:r w:rsidR="007D6853">
          <w:rPr>
            <w:noProof/>
            <w:webHidden/>
          </w:rPr>
          <w:fldChar w:fldCharType="begin"/>
        </w:r>
        <w:r w:rsidR="007D6853">
          <w:rPr>
            <w:noProof/>
            <w:webHidden/>
          </w:rPr>
          <w:instrText xml:space="preserve"> PAGEREF _Toc443045572 \h </w:instrText>
        </w:r>
        <w:r w:rsidR="007D6853">
          <w:rPr>
            <w:noProof/>
            <w:webHidden/>
          </w:rPr>
        </w:r>
        <w:r w:rsidR="007D6853">
          <w:rPr>
            <w:noProof/>
            <w:webHidden/>
          </w:rPr>
          <w:fldChar w:fldCharType="separate"/>
        </w:r>
        <w:r>
          <w:rPr>
            <w:noProof/>
            <w:webHidden/>
          </w:rPr>
          <w:t>6</w:t>
        </w:r>
        <w:r w:rsidR="007D6853">
          <w:rPr>
            <w:noProof/>
            <w:webHidden/>
          </w:rPr>
          <w:fldChar w:fldCharType="end"/>
        </w:r>
      </w:hyperlink>
    </w:p>
    <w:p w:rsidR="007D6853" w:rsidRDefault="00FA5F59">
      <w:pPr>
        <w:pStyle w:val="TOC1"/>
        <w:rPr>
          <w:rFonts w:asciiTheme="minorHAnsi" w:eastAsiaTheme="minorEastAsia" w:hAnsiTheme="minorHAnsi" w:cstheme="minorBidi"/>
          <w:b w:val="0"/>
          <w:noProof/>
          <w:sz w:val="22"/>
          <w:szCs w:val="22"/>
          <w:lang w:eastAsia="en-AU"/>
        </w:rPr>
      </w:pPr>
      <w:hyperlink w:anchor="_Toc443045573" w:history="1">
        <w:r w:rsidR="007D6853" w:rsidRPr="00E11268">
          <w:rPr>
            <w:rStyle w:val="Hyperlink"/>
            <w:noProof/>
          </w:rPr>
          <w:t>(b) Grid sentencing</w:t>
        </w:r>
        <w:r w:rsidR="007D6853">
          <w:rPr>
            <w:noProof/>
            <w:webHidden/>
          </w:rPr>
          <w:tab/>
        </w:r>
        <w:r w:rsidR="007D6853">
          <w:rPr>
            <w:noProof/>
            <w:webHidden/>
          </w:rPr>
          <w:fldChar w:fldCharType="begin"/>
        </w:r>
        <w:r w:rsidR="007D6853">
          <w:rPr>
            <w:noProof/>
            <w:webHidden/>
          </w:rPr>
          <w:instrText xml:space="preserve"> PAGEREF _Toc443045573 \h </w:instrText>
        </w:r>
        <w:r w:rsidR="007D6853">
          <w:rPr>
            <w:noProof/>
            <w:webHidden/>
          </w:rPr>
        </w:r>
        <w:r w:rsidR="007D6853">
          <w:rPr>
            <w:noProof/>
            <w:webHidden/>
          </w:rPr>
          <w:fldChar w:fldCharType="separate"/>
        </w:r>
        <w:r>
          <w:rPr>
            <w:noProof/>
            <w:webHidden/>
          </w:rPr>
          <w:t>8</w:t>
        </w:r>
        <w:r w:rsidR="007D6853">
          <w:rPr>
            <w:noProof/>
            <w:webHidden/>
          </w:rPr>
          <w:fldChar w:fldCharType="end"/>
        </w:r>
      </w:hyperlink>
    </w:p>
    <w:p w:rsidR="007D6853" w:rsidRDefault="00FA5F59">
      <w:pPr>
        <w:pStyle w:val="TOC1"/>
        <w:rPr>
          <w:rFonts w:asciiTheme="minorHAnsi" w:eastAsiaTheme="minorEastAsia" w:hAnsiTheme="minorHAnsi" w:cstheme="minorBidi"/>
          <w:b w:val="0"/>
          <w:noProof/>
          <w:sz w:val="22"/>
          <w:szCs w:val="22"/>
          <w:lang w:eastAsia="en-AU"/>
        </w:rPr>
      </w:pPr>
      <w:hyperlink w:anchor="_Toc443045574" w:history="1">
        <w:r w:rsidR="007D6853" w:rsidRPr="00E11268">
          <w:rPr>
            <w:rStyle w:val="Hyperlink"/>
            <w:noProof/>
          </w:rPr>
          <w:t>(c) Guidance from juries</w:t>
        </w:r>
        <w:r w:rsidR="007D6853">
          <w:rPr>
            <w:noProof/>
            <w:webHidden/>
          </w:rPr>
          <w:tab/>
        </w:r>
        <w:r w:rsidR="007D6853">
          <w:rPr>
            <w:noProof/>
            <w:webHidden/>
          </w:rPr>
          <w:fldChar w:fldCharType="begin"/>
        </w:r>
        <w:r w:rsidR="007D6853">
          <w:rPr>
            <w:noProof/>
            <w:webHidden/>
          </w:rPr>
          <w:instrText xml:space="preserve"> PAGEREF _Toc443045574 \h </w:instrText>
        </w:r>
        <w:r w:rsidR="007D6853">
          <w:rPr>
            <w:noProof/>
            <w:webHidden/>
          </w:rPr>
        </w:r>
        <w:r w:rsidR="007D6853">
          <w:rPr>
            <w:noProof/>
            <w:webHidden/>
          </w:rPr>
          <w:fldChar w:fldCharType="separate"/>
        </w:r>
        <w:r>
          <w:rPr>
            <w:noProof/>
            <w:webHidden/>
          </w:rPr>
          <w:t>8</w:t>
        </w:r>
        <w:r w:rsidR="007D6853">
          <w:rPr>
            <w:noProof/>
            <w:webHidden/>
          </w:rPr>
          <w:fldChar w:fldCharType="end"/>
        </w:r>
      </w:hyperlink>
    </w:p>
    <w:p w:rsidR="007D6853" w:rsidRDefault="00FA5F59">
      <w:pPr>
        <w:pStyle w:val="TOC1"/>
        <w:rPr>
          <w:rFonts w:asciiTheme="minorHAnsi" w:eastAsiaTheme="minorEastAsia" w:hAnsiTheme="minorHAnsi" w:cstheme="minorBidi"/>
          <w:b w:val="0"/>
          <w:noProof/>
          <w:sz w:val="22"/>
          <w:szCs w:val="22"/>
          <w:lang w:eastAsia="en-AU"/>
        </w:rPr>
      </w:pPr>
      <w:hyperlink w:anchor="_Toc443045575" w:history="1">
        <w:r w:rsidR="007D6853" w:rsidRPr="00E11268">
          <w:rPr>
            <w:rStyle w:val="Hyperlink"/>
            <w:noProof/>
          </w:rPr>
          <w:t>(d) Baseline sentencing</w:t>
        </w:r>
        <w:r w:rsidR="007D6853">
          <w:rPr>
            <w:noProof/>
            <w:webHidden/>
          </w:rPr>
          <w:tab/>
        </w:r>
        <w:r w:rsidR="007D6853">
          <w:rPr>
            <w:noProof/>
            <w:webHidden/>
          </w:rPr>
          <w:fldChar w:fldCharType="begin"/>
        </w:r>
        <w:r w:rsidR="007D6853">
          <w:rPr>
            <w:noProof/>
            <w:webHidden/>
          </w:rPr>
          <w:instrText xml:space="preserve"> PAGEREF _Toc443045575 \h </w:instrText>
        </w:r>
        <w:r w:rsidR="007D6853">
          <w:rPr>
            <w:noProof/>
            <w:webHidden/>
          </w:rPr>
        </w:r>
        <w:r w:rsidR="007D6853">
          <w:rPr>
            <w:noProof/>
            <w:webHidden/>
          </w:rPr>
          <w:fldChar w:fldCharType="separate"/>
        </w:r>
        <w:r>
          <w:rPr>
            <w:noProof/>
            <w:webHidden/>
          </w:rPr>
          <w:t>9</w:t>
        </w:r>
        <w:r w:rsidR="007D6853">
          <w:rPr>
            <w:noProof/>
            <w:webHidden/>
          </w:rPr>
          <w:fldChar w:fldCharType="end"/>
        </w:r>
      </w:hyperlink>
    </w:p>
    <w:p w:rsidR="007D6853" w:rsidRDefault="00FA5F59">
      <w:pPr>
        <w:pStyle w:val="TOC1"/>
        <w:rPr>
          <w:rFonts w:asciiTheme="minorHAnsi" w:eastAsiaTheme="minorEastAsia" w:hAnsiTheme="minorHAnsi" w:cstheme="minorBidi"/>
          <w:b w:val="0"/>
          <w:noProof/>
          <w:sz w:val="22"/>
          <w:szCs w:val="22"/>
          <w:lang w:eastAsia="en-AU"/>
        </w:rPr>
      </w:pPr>
      <w:hyperlink w:anchor="_Toc443045576" w:history="1">
        <w:r w:rsidR="007D6853" w:rsidRPr="00E11268">
          <w:rPr>
            <w:rStyle w:val="Hyperlink"/>
            <w:noProof/>
          </w:rPr>
          <w:t>(e) Standard non-parole and standard sentence schemes</w:t>
        </w:r>
        <w:r w:rsidR="007D6853">
          <w:rPr>
            <w:noProof/>
            <w:webHidden/>
          </w:rPr>
          <w:tab/>
        </w:r>
        <w:r w:rsidR="007D6853">
          <w:rPr>
            <w:noProof/>
            <w:webHidden/>
          </w:rPr>
          <w:fldChar w:fldCharType="begin"/>
        </w:r>
        <w:r w:rsidR="007D6853">
          <w:rPr>
            <w:noProof/>
            <w:webHidden/>
          </w:rPr>
          <w:instrText xml:space="preserve"> PAGEREF _Toc443045576 \h </w:instrText>
        </w:r>
        <w:r w:rsidR="007D6853">
          <w:rPr>
            <w:noProof/>
            <w:webHidden/>
          </w:rPr>
        </w:r>
        <w:r w:rsidR="007D6853">
          <w:rPr>
            <w:noProof/>
            <w:webHidden/>
          </w:rPr>
          <w:fldChar w:fldCharType="separate"/>
        </w:r>
        <w:r>
          <w:rPr>
            <w:noProof/>
            <w:webHidden/>
          </w:rPr>
          <w:t>9</w:t>
        </w:r>
        <w:r w:rsidR="007D6853">
          <w:rPr>
            <w:noProof/>
            <w:webHidden/>
          </w:rPr>
          <w:fldChar w:fldCharType="end"/>
        </w:r>
      </w:hyperlink>
    </w:p>
    <w:p w:rsidR="007D6853" w:rsidRDefault="00FA5F59">
      <w:pPr>
        <w:pStyle w:val="TOC1"/>
        <w:rPr>
          <w:rFonts w:asciiTheme="minorHAnsi" w:eastAsiaTheme="minorEastAsia" w:hAnsiTheme="minorHAnsi" w:cstheme="minorBidi"/>
          <w:b w:val="0"/>
          <w:noProof/>
          <w:sz w:val="22"/>
          <w:szCs w:val="22"/>
          <w:lang w:eastAsia="en-AU"/>
        </w:rPr>
      </w:pPr>
      <w:hyperlink w:anchor="_Toc443045577" w:history="1">
        <w:r w:rsidR="007D6853" w:rsidRPr="00E11268">
          <w:rPr>
            <w:rStyle w:val="Hyperlink"/>
            <w:noProof/>
          </w:rPr>
          <w:t xml:space="preserve">(f) </w:t>
        </w:r>
        <w:bookmarkStart w:id="0" w:name="_GoBack"/>
        <w:bookmarkEnd w:id="0"/>
        <w:r w:rsidR="007D6853" w:rsidRPr="00E11268">
          <w:rPr>
            <w:rStyle w:val="Hyperlink"/>
            <w:noProof/>
          </w:rPr>
          <w:t>Maximum penalties</w:t>
        </w:r>
        <w:r w:rsidR="007D6853">
          <w:rPr>
            <w:noProof/>
            <w:webHidden/>
          </w:rPr>
          <w:tab/>
        </w:r>
        <w:r w:rsidR="007D6853">
          <w:rPr>
            <w:noProof/>
            <w:webHidden/>
          </w:rPr>
          <w:fldChar w:fldCharType="begin"/>
        </w:r>
        <w:r w:rsidR="007D6853">
          <w:rPr>
            <w:noProof/>
            <w:webHidden/>
          </w:rPr>
          <w:instrText xml:space="preserve"> PAGEREF _Toc443045577 \h </w:instrText>
        </w:r>
        <w:r w:rsidR="007D6853">
          <w:rPr>
            <w:noProof/>
            <w:webHidden/>
          </w:rPr>
        </w:r>
        <w:r w:rsidR="007D6853">
          <w:rPr>
            <w:noProof/>
            <w:webHidden/>
          </w:rPr>
          <w:fldChar w:fldCharType="separate"/>
        </w:r>
        <w:r>
          <w:rPr>
            <w:noProof/>
            <w:webHidden/>
          </w:rPr>
          <w:t>11</w:t>
        </w:r>
        <w:r w:rsidR="007D6853">
          <w:rPr>
            <w:noProof/>
            <w:webHidden/>
          </w:rPr>
          <w:fldChar w:fldCharType="end"/>
        </w:r>
      </w:hyperlink>
    </w:p>
    <w:p w:rsidR="007D6853" w:rsidRDefault="00FA5F59">
      <w:pPr>
        <w:pStyle w:val="TOC1"/>
        <w:rPr>
          <w:rFonts w:asciiTheme="minorHAnsi" w:eastAsiaTheme="minorEastAsia" w:hAnsiTheme="minorHAnsi" w:cstheme="minorBidi"/>
          <w:b w:val="0"/>
          <w:noProof/>
          <w:sz w:val="22"/>
          <w:szCs w:val="22"/>
          <w:lang w:eastAsia="en-AU"/>
        </w:rPr>
      </w:pPr>
      <w:hyperlink w:anchor="_Toc443045578" w:history="1">
        <w:r w:rsidR="007D6853" w:rsidRPr="00E11268">
          <w:rPr>
            <w:rStyle w:val="Hyperlink"/>
            <w:noProof/>
          </w:rPr>
          <w:t>(g) Sentencing guidelines and guideline judgments</w:t>
        </w:r>
        <w:r w:rsidR="007D6853">
          <w:rPr>
            <w:noProof/>
            <w:webHidden/>
          </w:rPr>
          <w:tab/>
        </w:r>
        <w:r w:rsidR="007D6853">
          <w:rPr>
            <w:noProof/>
            <w:webHidden/>
          </w:rPr>
          <w:fldChar w:fldCharType="begin"/>
        </w:r>
        <w:r w:rsidR="007D6853">
          <w:rPr>
            <w:noProof/>
            <w:webHidden/>
          </w:rPr>
          <w:instrText xml:space="preserve"> PAGEREF _Toc443045578 \h </w:instrText>
        </w:r>
        <w:r w:rsidR="007D6853">
          <w:rPr>
            <w:noProof/>
            <w:webHidden/>
          </w:rPr>
        </w:r>
        <w:r w:rsidR="007D6853">
          <w:rPr>
            <w:noProof/>
            <w:webHidden/>
          </w:rPr>
          <w:fldChar w:fldCharType="separate"/>
        </w:r>
        <w:r>
          <w:rPr>
            <w:noProof/>
            <w:webHidden/>
          </w:rPr>
          <w:t>12</w:t>
        </w:r>
        <w:r w:rsidR="007D6853">
          <w:rPr>
            <w:noProof/>
            <w:webHidden/>
          </w:rPr>
          <w:fldChar w:fldCharType="end"/>
        </w:r>
      </w:hyperlink>
    </w:p>
    <w:p w:rsidR="007D6853" w:rsidRDefault="00FA5F59">
      <w:pPr>
        <w:pStyle w:val="TOC1"/>
        <w:rPr>
          <w:rFonts w:asciiTheme="minorHAnsi" w:eastAsiaTheme="minorEastAsia" w:hAnsiTheme="minorHAnsi" w:cstheme="minorBidi"/>
          <w:b w:val="0"/>
          <w:noProof/>
          <w:sz w:val="22"/>
          <w:szCs w:val="22"/>
          <w:lang w:eastAsia="en-AU"/>
        </w:rPr>
      </w:pPr>
      <w:hyperlink w:anchor="_Toc443045579" w:history="1">
        <w:r w:rsidR="007D6853" w:rsidRPr="00E11268">
          <w:rPr>
            <w:rStyle w:val="Hyperlink"/>
            <w:noProof/>
          </w:rPr>
          <w:t>(h) Other sentencing schemes</w:t>
        </w:r>
        <w:r w:rsidR="007D6853">
          <w:rPr>
            <w:noProof/>
            <w:webHidden/>
          </w:rPr>
          <w:tab/>
        </w:r>
        <w:r w:rsidR="007D6853">
          <w:rPr>
            <w:noProof/>
            <w:webHidden/>
          </w:rPr>
          <w:fldChar w:fldCharType="begin"/>
        </w:r>
        <w:r w:rsidR="007D6853">
          <w:rPr>
            <w:noProof/>
            <w:webHidden/>
          </w:rPr>
          <w:instrText xml:space="preserve"> PAGEREF _Toc443045579 \h </w:instrText>
        </w:r>
        <w:r w:rsidR="007D6853">
          <w:rPr>
            <w:noProof/>
            <w:webHidden/>
          </w:rPr>
        </w:r>
        <w:r w:rsidR="007D6853">
          <w:rPr>
            <w:noProof/>
            <w:webHidden/>
          </w:rPr>
          <w:fldChar w:fldCharType="separate"/>
        </w:r>
        <w:r>
          <w:rPr>
            <w:noProof/>
            <w:webHidden/>
          </w:rPr>
          <w:t>15</w:t>
        </w:r>
        <w:r w:rsidR="007D6853">
          <w:rPr>
            <w:noProof/>
            <w:webHidden/>
          </w:rPr>
          <w:fldChar w:fldCharType="end"/>
        </w:r>
      </w:hyperlink>
    </w:p>
    <w:p w:rsidR="007D6853" w:rsidRDefault="00FA5F59">
      <w:pPr>
        <w:pStyle w:val="TOC1"/>
        <w:rPr>
          <w:rFonts w:asciiTheme="minorHAnsi" w:eastAsiaTheme="minorEastAsia" w:hAnsiTheme="minorHAnsi" w:cstheme="minorBidi"/>
          <w:b w:val="0"/>
          <w:noProof/>
          <w:sz w:val="22"/>
          <w:szCs w:val="22"/>
          <w:lang w:eastAsia="en-AU"/>
        </w:rPr>
      </w:pPr>
      <w:hyperlink w:anchor="_Toc443045580" w:history="1">
        <w:r w:rsidR="007D6853" w:rsidRPr="00E11268">
          <w:rPr>
            <w:rStyle w:val="Hyperlink"/>
            <w:noProof/>
          </w:rPr>
          <w:t>Preferred mechanisms for addressing public confidence and consistency</w:t>
        </w:r>
        <w:r w:rsidR="007D6853">
          <w:rPr>
            <w:noProof/>
            <w:webHidden/>
          </w:rPr>
          <w:tab/>
        </w:r>
        <w:r w:rsidR="007D6853">
          <w:rPr>
            <w:noProof/>
            <w:webHidden/>
          </w:rPr>
          <w:fldChar w:fldCharType="begin"/>
        </w:r>
        <w:r w:rsidR="007D6853">
          <w:rPr>
            <w:noProof/>
            <w:webHidden/>
          </w:rPr>
          <w:instrText xml:space="preserve"> PAGEREF _Toc443045580 \h </w:instrText>
        </w:r>
        <w:r w:rsidR="007D6853">
          <w:rPr>
            <w:noProof/>
            <w:webHidden/>
          </w:rPr>
        </w:r>
        <w:r w:rsidR="007D6853">
          <w:rPr>
            <w:noProof/>
            <w:webHidden/>
          </w:rPr>
          <w:fldChar w:fldCharType="separate"/>
        </w:r>
        <w:r>
          <w:rPr>
            <w:noProof/>
            <w:webHidden/>
          </w:rPr>
          <w:t>15</w:t>
        </w:r>
        <w:r w:rsidR="007D6853">
          <w:rPr>
            <w:noProof/>
            <w:webHidden/>
          </w:rPr>
          <w:fldChar w:fldCharType="end"/>
        </w:r>
      </w:hyperlink>
    </w:p>
    <w:p w:rsidR="007D6853" w:rsidRDefault="00FA5F59">
      <w:pPr>
        <w:pStyle w:val="TOC1"/>
        <w:rPr>
          <w:rFonts w:asciiTheme="minorHAnsi" w:eastAsiaTheme="minorEastAsia" w:hAnsiTheme="minorHAnsi" w:cstheme="minorBidi"/>
          <w:b w:val="0"/>
          <w:noProof/>
          <w:sz w:val="22"/>
          <w:szCs w:val="22"/>
          <w:lang w:eastAsia="en-AU"/>
        </w:rPr>
      </w:pPr>
      <w:hyperlink w:anchor="_Toc443045581" w:history="1">
        <w:r w:rsidR="007D6853" w:rsidRPr="00E11268">
          <w:rPr>
            <w:rStyle w:val="Hyperlink"/>
            <w:noProof/>
          </w:rPr>
          <w:t>Should a new guidance scheme replace current schemes?</w:t>
        </w:r>
        <w:r w:rsidR="007D6853">
          <w:rPr>
            <w:noProof/>
            <w:webHidden/>
          </w:rPr>
          <w:tab/>
        </w:r>
        <w:r w:rsidR="007D6853">
          <w:rPr>
            <w:noProof/>
            <w:webHidden/>
          </w:rPr>
          <w:fldChar w:fldCharType="begin"/>
        </w:r>
        <w:r w:rsidR="007D6853">
          <w:rPr>
            <w:noProof/>
            <w:webHidden/>
          </w:rPr>
          <w:instrText xml:space="preserve"> PAGEREF _Toc443045581 \h </w:instrText>
        </w:r>
        <w:r w:rsidR="007D6853">
          <w:rPr>
            <w:noProof/>
            <w:webHidden/>
          </w:rPr>
        </w:r>
        <w:r w:rsidR="007D6853">
          <w:rPr>
            <w:noProof/>
            <w:webHidden/>
          </w:rPr>
          <w:fldChar w:fldCharType="separate"/>
        </w:r>
        <w:r>
          <w:rPr>
            <w:noProof/>
            <w:webHidden/>
          </w:rPr>
          <w:t>17</w:t>
        </w:r>
        <w:r w:rsidR="007D6853">
          <w:rPr>
            <w:noProof/>
            <w:webHidden/>
          </w:rPr>
          <w:fldChar w:fldCharType="end"/>
        </w:r>
      </w:hyperlink>
    </w:p>
    <w:p w:rsidR="002B4970" w:rsidRPr="003F1956" w:rsidRDefault="004E0688" w:rsidP="00FA5F59">
      <w:pPr>
        <w:rPr>
          <w:lang w:eastAsia="en-AU"/>
        </w:rPr>
        <w:sectPr w:rsidR="002B4970" w:rsidRPr="003F1956" w:rsidSect="00DA29C4">
          <w:headerReference w:type="default" r:id="rId17"/>
          <w:footerReference w:type="default" r:id="rId18"/>
          <w:pgSz w:w="11906" w:h="16838"/>
          <w:pgMar w:top="1418" w:right="992" w:bottom="1134" w:left="1134" w:header="851" w:footer="284" w:gutter="0"/>
          <w:paperSrc w:first="7" w:other="7"/>
          <w:pgNumType w:fmt="lowerRoman" w:start="1"/>
          <w:cols w:space="720"/>
          <w:docGrid w:linePitch="299"/>
        </w:sectPr>
      </w:pPr>
      <w:r w:rsidRPr="003F1956">
        <w:fldChar w:fldCharType="end"/>
      </w:r>
    </w:p>
    <w:p w:rsidR="007550FB" w:rsidRPr="003F1956" w:rsidRDefault="007825F3" w:rsidP="00161EEF">
      <w:pPr>
        <w:pStyle w:val="Heading1"/>
      </w:pPr>
      <w:bookmarkStart w:id="1" w:name="_Toc443045568"/>
      <w:r w:rsidRPr="003F1956">
        <w:lastRenderedPageBreak/>
        <w:t xml:space="preserve">About Victoria </w:t>
      </w:r>
      <w:r w:rsidR="00B02819" w:rsidRPr="003F1956">
        <w:t>L</w:t>
      </w:r>
      <w:r w:rsidRPr="003F1956">
        <w:t>egal Aid</w:t>
      </w:r>
      <w:bookmarkEnd w:id="1"/>
    </w:p>
    <w:p w:rsidR="002171D9" w:rsidRPr="003F1956" w:rsidRDefault="00081356" w:rsidP="00C310E5">
      <w:pPr>
        <w:rPr>
          <w:rFonts w:ascii="Calibri" w:hAnsi="Calibri"/>
          <w:sz w:val="24"/>
        </w:rPr>
      </w:pPr>
      <w:r w:rsidRPr="003F1956">
        <w:t xml:space="preserve">Victoria Legal Aid (VLA) is an independent statutory </w:t>
      </w:r>
      <w:r w:rsidR="002171D9" w:rsidRPr="003F1956">
        <w:t xml:space="preserve">authority established under the </w:t>
      </w:r>
      <w:r w:rsidR="002171D9" w:rsidRPr="003F1956">
        <w:rPr>
          <w:i/>
        </w:rPr>
        <w:t>Legal Aid Act</w:t>
      </w:r>
      <w:r w:rsidR="002171D9" w:rsidRPr="003F1956">
        <w:t xml:space="preserve"> </w:t>
      </w:r>
      <w:r w:rsidR="00D336A2" w:rsidRPr="003F1956">
        <w:rPr>
          <w:i/>
        </w:rPr>
        <w:t xml:space="preserve">1978 </w:t>
      </w:r>
      <w:r w:rsidR="002171D9" w:rsidRPr="003F1956">
        <w:t>(Vic) to provide</w:t>
      </w:r>
      <w:r w:rsidRPr="003F1956">
        <w:t xml:space="preserve"> </w:t>
      </w:r>
      <w:r w:rsidR="002171D9" w:rsidRPr="003F1956">
        <w:t xml:space="preserve">the community with legal assistance and improved access to justice. </w:t>
      </w:r>
      <w:r w:rsidR="00D70525" w:rsidRPr="003F1956">
        <w:t>We provide</w:t>
      </w:r>
      <w:r w:rsidR="002171D9" w:rsidRPr="003F1956">
        <w:t xml:space="preserve"> legal representation, advice and assistance to socially and economically disadvantaged Victorians in areas including criminal law, child protection, family breakdown, family violence, crime compensation, mental health, guardianship and administration, immigration, social security, discrimination, tenancy, fines and debt. Many of VLA’s clients face multiple and intersecting legal problems across </w:t>
      </w:r>
      <w:r w:rsidR="00B8276D" w:rsidRPr="003F1956">
        <w:t xml:space="preserve">the </w:t>
      </w:r>
      <w:r w:rsidR="002171D9" w:rsidRPr="003F1956">
        <w:t>criminal, civil and family jurisdictions.</w:t>
      </w:r>
      <w:r w:rsidR="002171D9" w:rsidRPr="003F1956">
        <w:rPr>
          <w:rFonts w:ascii="Calibri" w:hAnsi="Calibri"/>
          <w:sz w:val="24"/>
        </w:rPr>
        <w:t xml:space="preserve"> </w:t>
      </w:r>
    </w:p>
    <w:p w:rsidR="00BC0A8A" w:rsidRPr="003F1956" w:rsidRDefault="00CF4DAF" w:rsidP="00BC0A8A">
      <w:r w:rsidRPr="003F1956">
        <w:t>As</w:t>
      </w:r>
      <w:r w:rsidR="00D336A2" w:rsidRPr="003F1956">
        <w:t xml:space="preserve"> the largest criminal </w:t>
      </w:r>
      <w:r w:rsidR="002171D9" w:rsidRPr="003F1956">
        <w:t>defence practice in the State</w:t>
      </w:r>
      <w:r w:rsidR="00C50731" w:rsidRPr="003F1956">
        <w:t>, VLA provides</w:t>
      </w:r>
      <w:r w:rsidR="00036CBE" w:rsidRPr="003F1956">
        <w:t xml:space="preserve"> duty </w:t>
      </w:r>
      <w:r w:rsidRPr="003F1956">
        <w:t>lawyer services, advice and representation to eligible persons charged with a criminal offence through our in-house criminal legal practice</w:t>
      </w:r>
      <w:r w:rsidR="00C86B61" w:rsidRPr="003F1956">
        <w:t>. VLA also funds</w:t>
      </w:r>
      <w:r w:rsidRPr="003F1956">
        <w:t xml:space="preserve"> </w:t>
      </w:r>
      <w:r w:rsidR="00C86B61" w:rsidRPr="003F1956">
        <w:t xml:space="preserve">eligible criminal law services provided by private practitioners, </w:t>
      </w:r>
      <w:r w:rsidRPr="003F1956">
        <w:t xml:space="preserve">delivers community legal education and provides a free telephone advice service. </w:t>
      </w:r>
      <w:r w:rsidR="006F3902" w:rsidRPr="003F1956">
        <w:t>In 2014-2015 VLA assisted 48,364 clients with a criminal law problem,</w:t>
      </w:r>
      <w:r w:rsidR="006F3902" w:rsidRPr="003F1956">
        <w:rPr>
          <w:rStyle w:val="FootnoteReference"/>
        </w:rPr>
        <w:footnoteReference w:id="1"/>
      </w:r>
      <w:r w:rsidR="006F3902" w:rsidRPr="003F1956">
        <w:t xml:space="preserve"> many of whom are socially and economically isolated, have a disability or mental illness and/or are from culturally and linguistically diverse backgrounds. </w:t>
      </w:r>
    </w:p>
    <w:p w:rsidR="00FE7411" w:rsidRPr="003F1956" w:rsidRDefault="006F3902" w:rsidP="00FE7411">
      <w:pPr>
        <w:autoSpaceDE w:val="0"/>
        <w:autoSpaceDN w:val="0"/>
        <w:adjustRightInd w:val="0"/>
        <w:spacing w:before="120" w:line="280" w:lineRule="exact"/>
        <w:rPr>
          <w:rFonts w:cs="Arial"/>
          <w:i/>
          <w:sz w:val="20"/>
          <w:szCs w:val="20"/>
        </w:rPr>
      </w:pPr>
      <w:r w:rsidRPr="003F1956">
        <w:t xml:space="preserve">Given our significant presence in both summary and indictable jurisdictions, </w:t>
      </w:r>
      <w:r w:rsidR="00FE7411" w:rsidRPr="003F1956">
        <w:t>VLA is in a unique position to comment on the questions r</w:t>
      </w:r>
      <w:r w:rsidR="00D70525" w:rsidRPr="003F1956">
        <w:t>aised by the Sentencing Guidance</w:t>
      </w:r>
      <w:r w:rsidR="00BC0A8A" w:rsidRPr="003F1956">
        <w:t xml:space="preserve"> Reference</w:t>
      </w:r>
      <w:r w:rsidR="00D336A2" w:rsidRPr="003F1956">
        <w:t xml:space="preserve">. </w:t>
      </w:r>
      <w:r w:rsidR="00BC0A8A" w:rsidRPr="003F1956">
        <w:t xml:space="preserve">VLA </w:t>
      </w:r>
      <w:r w:rsidR="00A849A8" w:rsidRPr="003F1956">
        <w:t>has</w:t>
      </w:r>
      <w:r w:rsidR="00BC0A8A" w:rsidRPr="003F1956">
        <w:t xml:space="preserve"> also been directly involved in two cases of particular </w:t>
      </w:r>
      <w:r w:rsidR="00FE7411" w:rsidRPr="003F1956">
        <w:t xml:space="preserve">relevance to this </w:t>
      </w:r>
      <w:r w:rsidR="00D70525" w:rsidRPr="003F1956">
        <w:t>R</w:t>
      </w:r>
      <w:r w:rsidR="00FE7411" w:rsidRPr="003F1956">
        <w:t xml:space="preserve">eference </w:t>
      </w:r>
      <w:r w:rsidR="00BC0A8A" w:rsidRPr="003F1956">
        <w:t>–</w:t>
      </w:r>
      <w:r w:rsidR="00FE7411" w:rsidRPr="003F1956">
        <w:t xml:space="preserve"> </w:t>
      </w:r>
      <w:r w:rsidR="00FE7411" w:rsidRPr="003F1956">
        <w:rPr>
          <w:i/>
        </w:rPr>
        <w:t>DPP v Walters</w:t>
      </w:r>
      <w:r w:rsidR="001362F0" w:rsidRPr="003F1956">
        <w:rPr>
          <w:i/>
        </w:rPr>
        <w:t xml:space="preserve"> </w:t>
      </w:r>
      <w:r w:rsidR="001362F0" w:rsidRPr="003F1956">
        <w:rPr>
          <w:i/>
          <w:lang w:eastAsia="en-AU"/>
        </w:rPr>
        <w:t>(a pseudonym)</w:t>
      </w:r>
      <w:r w:rsidR="00BC0A8A" w:rsidRPr="003F1956">
        <w:rPr>
          <w:rStyle w:val="FootnoteReference"/>
        </w:rPr>
        <w:footnoteReference w:id="2"/>
      </w:r>
      <w:r w:rsidR="00BC0A8A" w:rsidRPr="003F1956">
        <w:t xml:space="preserve"> </w:t>
      </w:r>
      <w:r w:rsidR="00FE7411" w:rsidRPr="003F1956">
        <w:t xml:space="preserve">and </w:t>
      </w:r>
      <w:proofErr w:type="spellStart"/>
      <w:r w:rsidR="00FE7411" w:rsidRPr="003F1956">
        <w:rPr>
          <w:i/>
        </w:rPr>
        <w:t>Boulton</w:t>
      </w:r>
      <w:proofErr w:type="spellEnd"/>
      <w:r w:rsidR="00FE7411" w:rsidRPr="003F1956">
        <w:rPr>
          <w:i/>
        </w:rPr>
        <w:t xml:space="preserve"> v The Queen</w:t>
      </w:r>
      <w:r w:rsidR="00BC0A8A" w:rsidRPr="003F1956">
        <w:t>.</w:t>
      </w:r>
      <w:r w:rsidR="00D336A2" w:rsidRPr="003F1956">
        <w:rPr>
          <w:rStyle w:val="FootnoteReference"/>
        </w:rPr>
        <w:footnoteReference w:id="3"/>
      </w:r>
    </w:p>
    <w:p w:rsidR="00244A60" w:rsidRPr="003F1956" w:rsidRDefault="00FE7411" w:rsidP="00FA5F59">
      <w:pPr>
        <w:autoSpaceDE w:val="0"/>
        <w:autoSpaceDN w:val="0"/>
        <w:adjustRightInd w:val="0"/>
        <w:spacing w:before="120" w:line="280" w:lineRule="exact"/>
      </w:pPr>
      <w:r w:rsidRPr="003F1956">
        <w:t>VLA’s submission is consistent with its duty to ensure legal aid is provided in a manner that dispels fear and distrust.</w:t>
      </w:r>
      <w:r w:rsidR="00BC0A8A" w:rsidRPr="003F1956">
        <w:rPr>
          <w:rStyle w:val="FootnoteReference"/>
        </w:rPr>
        <w:footnoteReference w:id="4"/>
      </w:r>
      <w:r w:rsidR="00BC0A8A" w:rsidRPr="003F1956">
        <w:t xml:space="preserve"> Pursuant to VLA’s Strategy 2015-2018, VLA is committed to encouraging a fair and transparent justice system and to using evidence and its experience to improve legal service delivery.</w:t>
      </w:r>
      <w:r w:rsidR="00BC0A8A" w:rsidRPr="003F1956">
        <w:rPr>
          <w:rStyle w:val="FootnoteReference"/>
        </w:rPr>
        <w:footnoteReference w:id="5"/>
      </w:r>
    </w:p>
    <w:p w:rsidR="007825F3" w:rsidRPr="003F1956" w:rsidRDefault="007D7535" w:rsidP="00161EEF">
      <w:pPr>
        <w:pStyle w:val="Heading1"/>
      </w:pPr>
      <w:r w:rsidRPr="003F1956">
        <w:br w:type="page"/>
      </w:r>
      <w:bookmarkStart w:id="2" w:name="_Toc443045569"/>
      <w:r w:rsidR="007825F3" w:rsidRPr="003F1956">
        <w:lastRenderedPageBreak/>
        <w:t xml:space="preserve">Executive </w:t>
      </w:r>
      <w:r w:rsidR="00FA5F59" w:rsidRPr="003F1956">
        <w:t>summary</w:t>
      </w:r>
      <w:bookmarkEnd w:id="2"/>
    </w:p>
    <w:p w:rsidR="00FD3ABB" w:rsidRPr="003F1956" w:rsidRDefault="00D336A2" w:rsidP="00F70DD6">
      <w:pPr>
        <w:pStyle w:val="VLALetterText"/>
        <w:outlineLvl w:val="0"/>
      </w:pPr>
      <w:r w:rsidRPr="003F1956">
        <w:t>VLA’s submission pr</w:t>
      </w:r>
      <w:r w:rsidR="00AF6134" w:rsidRPr="003F1956">
        <w:t>ioritises the need for evidence-</w:t>
      </w:r>
      <w:r w:rsidRPr="003F1956">
        <w:t xml:space="preserve">based decision making. </w:t>
      </w:r>
      <w:r w:rsidR="006F3902" w:rsidRPr="003F1956">
        <w:t>If a new legislat</w:t>
      </w:r>
      <w:r w:rsidR="00EB30B3" w:rsidRPr="003F1956">
        <w:t xml:space="preserve">ive mechanism is to be adopted, </w:t>
      </w:r>
      <w:r w:rsidR="00A84861" w:rsidRPr="003F1956">
        <w:t>there must be a demonstrated n</w:t>
      </w:r>
      <w:r w:rsidR="00BF2273" w:rsidRPr="003F1956">
        <w:t>eed for it</w:t>
      </w:r>
      <w:r w:rsidR="00312431" w:rsidRPr="003F1956">
        <w:t>: there must be a problem to be fixed, and th</w:t>
      </w:r>
      <w:r w:rsidR="008F52B9" w:rsidRPr="003F1956">
        <w:t xml:space="preserve">e solution </w:t>
      </w:r>
      <w:r w:rsidR="00F0425C" w:rsidRPr="003F1956">
        <w:t>must</w:t>
      </w:r>
      <w:r w:rsidR="008F52B9" w:rsidRPr="003F1956">
        <w:t xml:space="preserve"> be fit for purpose. </w:t>
      </w:r>
    </w:p>
    <w:p w:rsidR="0082631B" w:rsidRPr="003F1956" w:rsidRDefault="006F3902" w:rsidP="00650B16">
      <w:pPr>
        <w:pStyle w:val="VLALetterText"/>
        <w:outlineLvl w:val="0"/>
      </w:pPr>
      <w:r w:rsidRPr="003F1956">
        <w:t>The Terms of Reference seek guidance on the most effective legislative mechanism to provide sentencing guidance to courts</w:t>
      </w:r>
      <w:r w:rsidR="00CA1AE0" w:rsidRPr="003F1956">
        <w:t>,</w:t>
      </w:r>
      <w:r w:rsidRPr="003F1956">
        <w:t xml:space="preserve"> in a way that promotes consist</w:t>
      </w:r>
      <w:r w:rsidR="00B515BD" w:rsidRPr="003F1956">
        <w:t>ency of approach in sentencing</w:t>
      </w:r>
      <w:r w:rsidRPr="003F1956">
        <w:t xml:space="preserve"> and promotes public confidence in the criminal justice system.</w:t>
      </w:r>
      <w:r w:rsidR="001E05EA" w:rsidRPr="003F1956">
        <w:t xml:space="preserve"> </w:t>
      </w:r>
      <w:r w:rsidR="00AF6134" w:rsidRPr="003F1956">
        <w:t>There is, however,</w:t>
      </w:r>
      <w:r w:rsidR="00EB30B3" w:rsidRPr="003F1956">
        <w:t xml:space="preserve"> a lack of </w:t>
      </w:r>
      <w:r w:rsidR="001E05EA" w:rsidRPr="003F1956">
        <w:t>evidence of a systematic and unjustified disparity in sentencing approach</w:t>
      </w:r>
      <w:r w:rsidR="009E7D5E" w:rsidRPr="003F1956">
        <w:t xml:space="preserve"> </w:t>
      </w:r>
      <w:r w:rsidR="00AF6134" w:rsidRPr="003F1956">
        <w:rPr>
          <w:lang w:eastAsia="en-AU"/>
        </w:rPr>
        <w:t>in respect of particular offences or offence categories</w:t>
      </w:r>
      <w:r w:rsidR="00AF7E3A" w:rsidRPr="003F1956">
        <w:t>. Further</w:t>
      </w:r>
      <w:r w:rsidR="003472ED" w:rsidRPr="003F1956">
        <w:t>,</w:t>
      </w:r>
      <w:r w:rsidR="00AF7E3A" w:rsidRPr="003F1956">
        <w:t xml:space="preserve"> the evidence to date suggests that when informed, </w:t>
      </w:r>
      <w:r w:rsidR="001E05EA" w:rsidRPr="003F1956">
        <w:t>public views of appropriate sentencing outcomes are roughly consistent with the outcomes imposed</w:t>
      </w:r>
      <w:r w:rsidR="0082631B" w:rsidRPr="003F1956">
        <w:t xml:space="preserve">. The threshold question – whether there is a demonstrated need for a new form of </w:t>
      </w:r>
      <w:r w:rsidR="00775DFF" w:rsidRPr="003F1956">
        <w:t>legislative</w:t>
      </w:r>
      <w:r w:rsidR="0082631B" w:rsidRPr="003F1956">
        <w:t xml:space="preserve"> guidance – is not made out.</w:t>
      </w:r>
      <w:r w:rsidR="00116B17" w:rsidRPr="003F1956">
        <w:t xml:space="preserve"> </w:t>
      </w:r>
      <w:r w:rsidR="00116B17" w:rsidRPr="003F1956">
        <w:rPr>
          <w:lang w:eastAsia="en-AU"/>
        </w:rPr>
        <w:t>To the extent an evidence base does not exist, the focus should be on obtaining that evidence, rather than legislating in a vacuum.</w:t>
      </w:r>
      <w:r w:rsidR="00E8492E" w:rsidRPr="003F1956">
        <w:rPr>
          <w:lang w:eastAsia="en-AU"/>
        </w:rPr>
        <w:t xml:space="preserve"> </w:t>
      </w:r>
    </w:p>
    <w:p w:rsidR="00FD56E4" w:rsidRPr="003F1956" w:rsidRDefault="00650B16" w:rsidP="00650B16">
      <w:pPr>
        <w:pStyle w:val="VLALetterText"/>
        <w:outlineLvl w:val="0"/>
      </w:pPr>
      <w:r w:rsidRPr="003F1956">
        <w:t xml:space="preserve">There is also an absence of evidence that </w:t>
      </w:r>
      <w:r w:rsidR="002816D4" w:rsidRPr="003F1956">
        <w:t xml:space="preserve">mandatory sentencing and other discretion-limiting </w:t>
      </w:r>
      <w:r w:rsidRPr="003F1956">
        <w:t xml:space="preserve">schemes canvassed in the Consultation Paper are </w:t>
      </w:r>
      <w:r w:rsidRPr="003F1956">
        <w:rPr>
          <w:i/>
        </w:rPr>
        <w:t>capable</w:t>
      </w:r>
      <w:r w:rsidRPr="003F1956">
        <w:t xml:space="preserve"> of improving informed public confidence and consistency in sentencing approach. </w:t>
      </w:r>
      <w:r w:rsidR="00116B17" w:rsidRPr="003F1956">
        <w:t xml:space="preserve">To the contrary, </w:t>
      </w:r>
      <w:r w:rsidR="004A13D0" w:rsidRPr="003F1956">
        <w:t>evidence suggests</w:t>
      </w:r>
      <w:r w:rsidR="00116B17" w:rsidRPr="003F1956">
        <w:t xml:space="preserve"> that many of these schemes are counterproductive</w:t>
      </w:r>
      <w:r w:rsidR="00FD56E4" w:rsidRPr="003F1956">
        <w:t>. For example, mandatory and standard non-parole period (SNPP) schemes fail to eliminate inconsistency by displacing discretion to prosecutors</w:t>
      </w:r>
      <w:r w:rsidR="00A408B9" w:rsidRPr="003F1956">
        <w:t xml:space="preserve">. They </w:t>
      </w:r>
      <w:r w:rsidR="00FD56E4" w:rsidRPr="003F1956">
        <w:t>offend principles of individualised justice, proportionality and parsimony, which may reduce public confidence</w:t>
      </w:r>
      <w:r w:rsidR="00A32909" w:rsidRPr="003F1956">
        <w:t xml:space="preserve">. They also have other disadvantages: they do not work in deterring crime; </w:t>
      </w:r>
      <w:r w:rsidR="00FD56E4" w:rsidRPr="003F1956">
        <w:t>resu</w:t>
      </w:r>
      <w:r w:rsidR="00A32909" w:rsidRPr="003F1956">
        <w:t>lt in significant economic cost</w:t>
      </w:r>
      <w:r w:rsidR="005027AF" w:rsidRPr="003F1956">
        <w:t>;</w:t>
      </w:r>
      <w:r w:rsidR="00FD56E4" w:rsidRPr="003F1956">
        <w:t xml:space="preserve"> and have a disproportionate impact on disadvantaged offenders.</w:t>
      </w:r>
    </w:p>
    <w:p w:rsidR="00A32909" w:rsidRPr="003F1956" w:rsidRDefault="00A32909" w:rsidP="00A32909">
      <w:pPr>
        <w:pStyle w:val="VLALetterText"/>
        <w:spacing w:after="0"/>
        <w:outlineLvl w:val="0"/>
        <w:rPr>
          <w:lang w:eastAsia="en-AU"/>
        </w:rPr>
      </w:pPr>
      <w:r w:rsidRPr="003F1956">
        <w:rPr>
          <w:lang w:eastAsia="en-AU"/>
        </w:rPr>
        <w:t>VLA's practice experience is that judicial discretion in sentencing is central to the administration of</w:t>
      </w:r>
    </w:p>
    <w:p w:rsidR="00322FF0" w:rsidRPr="003F1956" w:rsidRDefault="00A32909" w:rsidP="00A32909">
      <w:pPr>
        <w:pStyle w:val="VLALetterText"/>
        <w:outlineLvl w:val="0"/>
        <w:rPr>
          <w:lang w:eastAsia="en-AU"/>
        </w:rPr>
      </w:pPr>
      <w:proofErr w:type="gramStart"/>
      <w:r w:rsidRPr="003F1956">
        <w:rPr>
          <w:lang w:eastAsia="en-AU"/>
        </w:rPr>
        <w:t>justice</w:t>
      </w:r>
      <w:proofErr w:type="gramEnd"/>
      <w:r w:rsidRPr="003F1956">
        <w:rPr>
          <w:lang w:eastAsia="en-AU"/>
        </w:rPr>
        <w:t>.</w:t>
      </w:r>
      <w:r w:rsidR="002F5B29" w:rsidRPr="003F1956">
        <w:rPr>
          <w:lang w:eastAsia="en-AU"/>
        </w:rPr>
        <w:t xml:space="preserve"> C</w:t>
      </w:r>
      <w:r w:rsidR="005347BD" w:rsidRPr="003F1956">
        <w:rPr>
          <w:lang w:eastAsia="en-AU"/>
        </w:rPr>
        <w:t xml:space="preserve">onsistency in sentencing </w:t>
      </w:r>
      <w:r w:rsidR="00C67188" w:rsidRPr="003F1956">
        <w:rPr>
          <w:lang w:eastAsia="en-AU"/>
        </w:rPr>
        <w:t xml:space="preserve">approach </w:t>
      </w:r>
      <w:r w:rsidR="00CC3C4C" w:rsidRPr="003F1956">
        <w:rPr>
          <w:lang w:eastAsia="en-AU"/>
        </w:rPr>
        <w:t>cannot be properly</w:t>
      </w:r>
      <w:r w:rsidR="00C67188" w:rsidRPr="003F1956">
        <w:rPr>
          <w:lang w:eastAsia="en-AU"/>
        </w:rPr>
        <w:t xml:space="preserve"> or appropriately</w:t>
      </w:r>
      <w:r w:rsidR="00CC3C4C" w:rsidRPr="003F1956">
        <w:rPr>
          <w:lang w:eastAsia="en-AU"/>
        </w:rPr>
        <w:t xml:space="preserve"> facilitated</w:t>
      </w:r>
      <w:r w:rsidR="005347BD" w:rsidRPr="003F1956">
        <w:rPr>
          <w:lang w:eastAsia="en-AU"/>
        </w:rPr>
        <w:t xml:space="preserve"> by</w:t>
      </w:r>
      <w:r w:rsidR="002F5B29" w:rsidRPr="003F1956">
        <w:rPr>
          <w:lang w:eastAsia="en-AU"/>
        </w:rPr>
        <w:t xml:space="preserve"> treating unlike cases alike. </w:t>
      </w:r>
      <w:r w:rsidR="005347BD" w:rsidRPr="003F1956">
        <w:rPr>
          <w:lang w:eastAsia="en-AU"/>
        </w:rPr>
        <w:t>Courts must also retain the capacity to treat different cases differently.</w:t>
      </w:r>
      <w:r w:rsidR="005347BD" w:rsidRPr="003F1956">
        <w:rPr>
          <w:rStyle w:val="FootnoteReference"/>
          <w:lang w:eastAsia="en-AU"/>
        </w:rPr>
        <w:footnoteReference w:id="6"/>
      </w:r>
      <w:r w:rsidR="005347BD" w:rsidRPr="003F1956">
        <w:rPr>
          <w:lang w:eastAsia="en-AU"/>
        </w:rPr>
        <w:t xml:space="preserve"> </w:t>
      </w:r>
    </w:p>
    <w:p w:rsidR="00F0425C" w:rsidRPr="003F1956" w:rsidRDefault="003902F7" w:rsidP="00A32909">
      <w:pPr>
        <w:pStyle w:val="VLALetterText"/>
        <w:outlineLvl w:val="0"/>
        <w:rPr>
          <w:lang w:eastAsia="en-AU"/>
        </w:rPr>
      </w:pPr>
      <w:r w:rsidRPr="003F1956">
        <w:rPr>
          <w:lang w:eastAsia="en-AU"/>
        </w:rPr>
        <w:t xml:space="preserve">Of the mechanisms set out in the Consultation Paper, </w:t>
      </w:r>
      <w:r w:rsidR="00B8276D" w:rsidRPr="003F1956">
        <w:rPr>
          <w:lang w:eastAsia="en-AU"/>
        </w:rPr>
        <w:t>guideline judgments are likely to be most</w:t>
      </w:r>
      <w:r w:rsidRPr="003F1956">
        <w:rPr>
          <w:lang w:eastAsia="en-AU"/>
        </w:rPr>
        <w:t xml:space="preserve"> effective in</w:t>
      </w:r>
      <w:r w:rsidR="002816D4" w:rsidRPr="003F1956">
        <w:rPr>
          <w:lang w:eastAsia="en-AU"/>
        </w:rPr>
        <w:t xml:space="preserve"> provid</w:t>
      </w:r>
      <w:r w:rsidRPr="003F1956">
        <w:rPr>
          <w:lang w:eastAsia="en-AU"/>
        </w:rPr>
        <w:t>ing</w:t>
      </w:r>
      <w:r w:rsidR="002816D4" w:rsidRPr="003F1956">
        <w:rPr>
          <w:lang w:eastAsia="en-AU"/>
        </w:rPr>
        <w:t xml:space="preserve"> sentencing guidance to courts</w:t>
      </w:r>
      <w:r w:rsidR="00FD5308" w:rsidRPr="003F1956">
        <w:rPr>
          <w:lang w:eastAsia="en-AU"/>
        </w:rPr>
        <w:t xml:space="preserve"> in a way that promotes consistency of approach and public confidence in sentencing</w:t>
      </w:r>
      <w:r w:rsidR="002816D4" w:rsidRPr="003F1956">
        <w:rPr>
          <w:lang w:eastAsia="en-AU"/>
        </w:rPr>
        <w:t xml:space="preserve">. </w:t>
      </w:r>
      <w:r w:rsidR="00F0425C" w:rsidRPr="003F1956">
        <w:rPr>
          <w:lang w:eastAsia="en-AU"/>
        </w:rPr>
        <w:t>By structuring rather than restricting discretion, guideline judgments allow for the individual circumstances of a case to be taken into account</w:t>
      </w:r>
      <w:r w:rsidR="005104C9" w:rsidRPr="003F1956">
        <w:rPr>
          <w:lang w:eastAsia="en-AU"/>
        </w:rPr>
        <w:t>,</w:t>
      </w:r>
      <w:r w:rsidR="00F0425C" w:rsidRPr="003F1956">
        <w:rPr>
          <w:lang w:eastAsia="en-AU"/>
        </w:rPr>
        <w:t xml:space="preserve"> while also promoting consistency, transparency and therefore public confidence. Guidelines can better take into account community views</w:t>
      </w:r>
      <w:r w:rsidR="009222C6" w:rsidRPr="003F1956">
        <w:rPr>
          <w:lang w:eastAsia="en-AU"/>
        </w:rPr>
        <w:t xml:space="preserve"> (through the role of the Sentencing Advisory Council)</w:t>
      </w:r>
      <w:r w:rsidR="005104C9" w:rsidRPr="003F1956">
        <w:rPr>
          <w:lang w:eastAsia="en-AU"/>
        </w:rPr>
        <w:t xml:space="preserve">, </w:t>
      </w:r>
      <w:r w:rsidR="005B1444" w:rsidRPr="003F1956">
        <w:rPr>
          <w:lang w:eastAsia="en-AU"/>
        </w:rPr>
        <w:t xml:space="preserve">can </w:t>
      </w:r>
      <w:r w:rsidR="002816D4" w:rsidRPr="003F1956">
        <w:rPr>
          <w:lang w:eastAsia="en-AU"/>
        </w:rPr>
        <w:t>allow for incremental development of the law</w:t>
      </w:r>
      <w:r w:rsidR="00F26E0A" w:rsidRPr="003F1956">
        <w:rPr>
          <w:lang w:eastAsia="en-AU"/>
        </w:rPr>
        <w:t>, can respond to changing circumstances, and are</w:t>
      </w:r>
      <w:r w:rsidR="00B8276D" w:rsidRPr="003F1956">
        <w:rPr>
          <w:lang w:eastAsia="en-AU"/>
        </w:rPr>
        <w:t xml:space="preserve"> consistent with </w:t>
      </w:r>
      <w:r w:rsidR="00F26E0A" w:rsidRPr="003F1956">
        <w:rPr>
          <w:lang w:eastAsia="en-AU"/>
        </w:rPr>
        <w:t xml:space="preserve">the </w:t>
      </w:r>
      <w:r w:rsidR="00B8276D" w:rsidRPr="003F1956">
        <w:rPr>
          <w:lang w:eastAsia="en-AU"/>
        </w:rPr>
        <w:t>existing appellate process.</w:t>
      </w:r>
      <w:r w:rsidR="00386CDB" w:rsidRPr="003F1956">
        <w:rPr>
          <w:rStyle w:val="FootnoteReference"/>
          <w:lang w:eastAsia="en-AU"/>
        </w:rPr>
        <w:footnoteReference w:id="7"/>
      </w:r>
      <w:r w:rsidR="00B8276D" w:rsidRPr="003F1956">
        <w:rPr>
          <w:lang w:eastAsia="en-AU"/>
        </w:rPr>
        <w:t xml:space="preserve"> Guidelines can also avoid</w:t>
      </w:r>
      <w:r w:rsidR="00F0425C" w:rsidRPr="003F1956">
        <w:rPr>
          <w:lang w:eastAsia="en-AU"/>
        </w:rPr>
        <w:t xml:space="preserve"> many of the weaknesses of mandatory legislative regimes.</w:t>
      </w:r>
      <w:r w:rsidR="0086698D" w:rsidRPr="003F1956">
        <w:rPr>
          <w:rStyle w:val="FootnoteReference"/>
          <w:lang w:eastAsia="en-AU"/>
        </w:rPr>
        <w:footnoteReference w:id="8"/>
      </w:r>
      <w:r w:rsidR="005B1444" w:rsidRPr="003F1956">
        <w:rPr>
          <w:lang w:eastAsia="en-AU"/>
        </w:rPr>
        <w:t xml:space="preserve"> </w:t>
      </w:r>
    </w:p>
    <w:p w:rsidR="00B921BF" w:rsidRPr="003F1956" w:rsidRDefault="003902F7" w:rsidP="003902F7">
      <w:pPr>
        <w:pStyle w:val="VLALetterText"/>
        <w:outlineLvl w:val="0"/>
        <w:rPr>
          <w:lang w:eastAsia="en-AU"/>
        </w:rPr>
      </w:pPr>
      <w:r w:rsidRPr="003F1956">
        <w:rPr>
          <w:lang w:eastAsia="en-AU"/>
        </w:rPr>
        <w:t>I</w:t>
      </w:r>
      <w:r w:rsidR="00836A4D" w:rsidRPr="003F1956">
        <w:rPr>
          <w:lang w:eastAsia="en-AU"/>
        </w:rPr>
        <w:t>f</w:t>
      </w:r>
      <w:r w:rsidR="009222C6" w:rsidRPr="003F1956">
        <w:rPr>
          <w:lang w:eastAsia="en-AU"/>
        </w:rPr>
        <w:t xml:space="preserve"> we are serious about improving public confidence and consistency,</w:t>
      </w:r>
      <w:r w:rsidR="000C661A" w:rsidRPr="003F1956">
        <w:rPr>
          <w:lang w:eastAsia="en-AU"/>
        </w:rPr>
        <w:t xml:space="preserve"> </w:t>
      </w:r>
      <w:r w:rsidR="00593883" w:rsidRPr="003F1956">
        <w:rPr>
          <w:lang w:eastAsia="en-AU"/>
        </w:rPr>
        <w:t xml:space="preserve">non-legislative measures such as community education, </w:t>
      </w:r>
      <w:r w:rsidRPr="003F1956">
        <w:rPr>
          <w:lang w:eastAsia="en-AU"/>
        </w:rPr>
        <w:t>research</w:t>
      </w:r>
      <w:r w:rsidR="00593883" w:rsidRPr="003F1956">
        <w:rPr>
          <w:lang w:eastAsia="en-AU"/>
        </w:rPr>
        <w:t xml:space="preserve"> and</w:t>
      </w:r>
      <w:r w:rsidRPr="003F1956">
        <w:rPr>
          <w:lang w:eastAsia="en-AU"/>
        </w:rPr>
        <w:t xml:space="preserve"> </w:t>
      </w:r>
      <w:r w:rsidR="00836A4D" w:rsidRPr="003F1956">
        <w:rPr>
          <w:lang w:eastAsia="en-AU"/>
        </w:rPr>
        <w:t>evaluation</w:t>
      </w:r>
      <w:r w:rsidR="00593883" w:rsidRPr="003F1956">
        <w:rPr>
          <w:lang w:eastAsia="en-AU"/>
        </w:rPr>
        <w:t xml:space="preserve"> should </w:t>
      </w:r>
      <w:r w:rsidR="00F26E0A" w:rsidRPr="003F1956">
        <w:rPr>
          <w:lang w:eastAsia="en-AU"/>
        </w:rPr>
        <w:t xml:space="preserve">also </w:t>
      </w:r>
      <w:r w:rsidR="00593883" w:rsidRPr="003F1956">
        <w:rPr>
          <w:lang w:eastAsia="en-AU"/>
        </w:rPr>
        <w:t>be prioritised and properly resourced</w:t>
      </w:r>
      <w:r w:rsidRPr="003F1956">
        <w:rPr>
          <w:lang w:eastAsia="en-AU"/>
        </w:rPr>
        <w:t>.</w:t>
      </w:r>
    </w:p>
    <w:p w:rsidR="003902F7" w:rsidRPr="003F1956" w:rsidRDefault="003902F7">
      <w:pPr>
        <w:spacing w:after="0" w:line="240" w:lineRule="auto"/>
        <w:rPr>
          <w:rFonts w:cs="Arial"/>
          <w:b/>
          <w:bCs/>
          <w:color w:val="971A4B"/>
          <w:kern w:val="32"/>
          <w:sz w:val="32"/>
          <w:szCs w:val="32"/>
          <w:lang w:eastAsia="en-AU"/>
        </w:rPr>
      </w:pPr>
      <w:r w:rsidRPr="003F1956">
        <w:br w:type="page"/>
      </w:r>
    </w:p>
    <w:p w:rsidR="008879BC" w:rsidRPr="003F1956" w:rsidRDefault="004B6273" w:rsidP="008879BC">
      <w:pPr>
        <w:pStyle w:val="Heading1"/>
      </w:pPr>
      <w:bookmarkStart w:id="3" w:name="_Toc443045570"/>
      <w:r w:rsidRPr="003F1956">
        <w:lastRenderedPageBreak/>
        <w:t>Is there a problem to be fixed?</w:t>
      </w:r>
      <w:bookmarkEnd w:id="3"/>
    </w:p>
    <w:p w:rsidR="005E2EFC" w:rsidRPr="003F1956" w:rsidRDefault="005E2EFC" w:rsidP="008879BC">
      <w:pPr>
        <w:pStyle w:val="VLALetterText"/>
        <w:outlineLvl w:val="0"/>
        <w:rPr>
          <w:lang w:eastAsia="en-AU"/>
        </w:rPr>
      </w:pPr>
      <w:r w:rsidRPr="003F1956">
        <w:rPr>
          <w:lang w:eastAsia="en-AU"/>
        </w:rPr>
        <w:t>The imposition of a new sentencing guidance scheme should be predicated on</w:t>
      </w:r>
      <w:r w:rsidR="005027AF" w:rsidRPr="003F1956">
        <w:rPr>
          <w:lang w:eastAsia="en-AU"/>
        </w:rPr>
        <w:t>:</w:t>
      </w:r>
      <w:r w:rsidRPr="003F1956">
        <w:rPr>
          <w:lang w:eastAsia="en-AU"/>
        </w:rPr>
        <w:t xml:space="preserve"> </w:t>
      </w:r>
      <w:r w:rsidR="000C01A9" w:rsidRPr="003F1956">
        <w:rPr>
          <w:lang w:eastAsia="en-AU"/>
        </w:rPr>
        <w:t xml:space="preserve">(a) </w:t>
      </w:r>
      <w:r w:rsidRPr="003F1956">
        <w:rPr>
          <w:lang w:eastAsia="en-AU"/>
        </w:rPr>
        <w:t>whether there is a problem to be fixed</w:t>
      </w:r>
      <w:r w:rsidR="00192FC1" w:rsidRPr="003F1956">
        <w:rPr>
          <w:lang w:eastAsia="en-AU"/>
        </w:rPr>
        <w:t xml:space="preserve">; and (b) whether the proposed scheme </w:t>
      </w:r>
      <w:r w:rsidR="008529DB" w:rsidRPr="003F1956">
        <w:rPr>
          <w:lang w:eastAsia="en-AU"/>
        </w:rPr>
        <w:t xml:space="preserve">is capable of </w:t>
      </w:r>
      <w:r w:rsidR="00192FC1" w:rsidRPr="003F1956">
        <w:rPr>
          <w:lang w:eastAsia="en-AU"/>
        </w:rPr>
        <w:t>effectively address</w:t>
      </w:r>
      <w:r w:rsidR="008529DB" w:rsidRPr="003F1956">
        <w:rPr>
          <w:lang w:eastAsia="en-AU"/>
        </w:rPr>
        <w:t>ing</w:t>
      </w:r>
      <w:r w:rsidR="00192FC1" w:rsidRPr="003F1956">
        <w:rPr>
          <w:lang w:eastAsia="en-AU"/>
        </w:rPr>
        <w:t xml:space="preserve"> the problem</w:t>
      </w:r>
      <w:r w:rsidRPr="003F1956">
        <w:rPr>
          <w:lang w:eastAsia="en-AU"/>
        </w:rPr>
        <w:t>.</w:t>
      </w:r>
    </w:p>
    <w:p w:rsidR="008879BC" w:rsidRPr="003F1956" w:rsidRDefault="008879BC" w:rsidP="00FA5F59">
      <w:pPr>
        <w:pStyle w:val="Heading2"/>
      </w:pPr>
      <w:r w:rsidRPr="003F1956">
        <w:t>Is there evidence of inconsistency of approach in sentencing offenders?</w:t>
      </w:r>
    </w:p>
    <w:p w:rsidR="000C661A" w:rsidRPr="003F1956" w:rsidRDefault="00B512C1" w:rsidP="008879BC">
      <w:pPr>
        <w:pStyle w:val="VLALetterText"/>
        <w:outlineLvl w:val="0"/>
        <w:rPr>
          <w:lang w:eastAsia="en-AU"/>
        </w:rPr>
      </w:pPr>
      <w:r w:rsidRPr="003F1956">
        <w:rPr>
          <w:lang w:eastAsia="en-AU"/>
        </w:rPr>
        <w:t>E</w:t>
      </w:r>
      <w:r w:rsidR="008879BC" w:rsidRPr="003F1956">
        <w:rPr>
          <w:lang w:eastAsia="en-AU"/>
        </w:rPr>
        <w:t xml:space="preserve">mpirical evidence of systematic, unjustifiable disparity in sentencing </w:t>
      </w:r>
      <w:r w:rsidR="005E2EFC" w:rsidRPr="003F1956">
        <w:rPr>
          <w:i/>
          <w:lang w:eastAsia="en-AU"/>
        </w:rPr>
        <w:t>approach</w:t>
      </w:r>
      <w:r w:rsidR="008879BC" w:rsidRPr="003F1956">
        <w:rPr>
          <w:lang w:eastAsia="en-AU"/>
        </w:rPr>
        <w:t xml:space="preserve"> </w:t>
      </w:r>
      <w:r w:rsidRPr="003F1956">
        <w:rPr>
          <w:lang w:eastAsia="en-AU"/>
        </w:rPr>
        <w:t xml:space="preserve">is </w:t>
      </w:r>
      <w:r w:rsidR="008520C4" w:rsidRPr="003F1956">
        <w:rPr>
          <w:lang w:eastAsia="en-AU"/>
        </w:rPr>
        <w:t xml:space="preserve">currently </w:t>
      </w:r>
      <w:r w:rsidRPr="003F1956">
        <w:rPr>
          <w:lang w:eastAsia="en-AU"/>
        </w:rPr>
        <w:t xml:space="preserve">lacking </w:t>
      </w:r>
      <w:r w:rsidR="008879BC" w:rsidRPr="003F1956">
        <w:rPr>
          <w:lang w:eastAsia="en-AU"/>
        </w:rPr>
        <w:t>in respect of particular offences or offence categories.</w:t>
      </w:r>
      <w:r w:rsidR="00704AD7" w:rsidRPr="003F1956">
        <w:rPr>
          <w:rStyle w:val="FootnoteReference"/>
          <w:lang w:eastAsia="en-AU"/>
        </w:rPr>
        <w:footnoteReference w:id="9"/>
      </w:r>
    </w:p>
    <w:p w:rsidR="00094AED" w:rsidRPr="003F1956" w:rsidRDefault="00B512C1" w:rsidP="00094AED">
      <w:pPr>
        <w:pStyle w:val="VLALetterText"/>
        <w:outlineLvl w:val="0"/>
        <w:rPr>
          <w:lang w:eastAsia="en-AU"/>
        </w:rPr>
      </w:pPr>
      <w:r w:rsidRPr="003F1956">
        <w:rPr>
          <w:lang w:eastAsia="en-AU"/>
        </w:rPr>
        <w:t xml:space="preserve">Determining whether there is unjustifiable inconsistency of approach requires empirical </w:t>
      </w:r>
      <w:r w:rsidR="00F26E0A" w:rsidRPr="003F1956">
        <w:rPr>
          <w:lang w:eastAsia="en-AU"/>
        </w:rPr>
        <w:t>data</w:t>
      </w:r>
      <w:r w:rsidR="006A4971" w:rsidRPr="003F1956">
        <w:rPr>
          <w:lang w:eastAsia="en-AU"/>
        </w:rPr>
        <w:t xml:space="preserve"> and</w:t>
      </w:r>
      <w:r w:rsidR="00F26E0A" w:rsidRPr="003F1956">
        <w:rPr>
          <w:lang w:eastAsia="en-AU"/>
        </w:rPr>
        <w:t xml:space="preserve"> </w:t>
      </w:r>
      <w:r w:rsidRPr="003F1956">
        <w:rPr>
          <w:lang w:eastAsia="en-AU"/>
        </w:rPr>
        <w:t xml:space="preserve">evaluation </w:t>
      </w:r>
      <w:r w:rsidR="006A4971" w:rsidRPr="003F1956">
        <w:rPr>
          <w:lang w:eastAsia="en-AU"/>
        </w:rPr>
        <w:t xml:space="preserve">(which the SAC is well positioned to provide) </w:t>
      </w:r>
      <w:r w:rsidRPr="003F1956">
        <w:rPr>
          <w:lang w:eastAsia="en-AU"/>
        </w:rPr>
        <w:t>and proper consultation</w:t>
      </w:r>
      <w:r w:rsidR="00094AED" w:rsidRPr="003F1956">
        <w:rPr>
          <w:lang w:eastAsia="en-AU"/>
        </w:rPr>
        <w:t xml:space="preserve">. It should not occur in haste or absent evidence simply to fill a perceived gap left by the failure of </w:t>
      </w:r>
      <w:r w:rsidR="00FC00C1" w:rsidRPr="003F1956">
        <w:rPr>
          <w:lang w:eastAsia="en-AU"/>
        </w:rPr>
        <w:t xml:space="preserve">the </w:t>
      </w:r>
      <w:r w:rsidR="00094AED" w:rsidRPr="003F1956">
        <w:rPr>
          <w:lang w:eastAsia="en-AU"/>
        </w:rPr>
        <w:t>baseline s</w:t>
      </w:r>
      <w:r w:rsidR="00FC00C1" w:rsidRPr="003F1956">
        <w:rPr>
          <w:lang w:eastAsia="en-AU"/>
        </w:rPr>
        <w:t>cheme</w:t>
      </w:r>
      <w:r w:rsidR="00094AED" w:rsidRPr="003F1956">
        <w:rPr>
          <w:lang w:eastAsia="en-AU"/>
        </w:rPr>
        <w:t>.</w:t>
      </w:r>
    </w:p>
    <w:p w:rsidR="005B676C" w:rsidRPr="003F1956" w:rsidRDefault="00894C55" w:rsidP="002E023A">
      <w:pPr>
        <w:pStyle w:val="VLALetterText"/>
        <w:outlineLvl w:val="0"/>
        <w:rPr>
          <w:lang w:eastAsia="en-AU"/>
        </w:rPr>
      </w:pPr>
      <w:proofErr w:type="spellStart"/>
      <w:r w:rsidRPr="003F1956">
        <w:rPr>
          <w:i/>
          <w:lang w:eastAsia="en-AU"/>
        </w:rPr>
        <w:t>Boulton</w:t>
      </w:r>
      <w:proofErr w:type="spellEnd"/>
      <w:r w:rsidRPr="003F1956">
        <w:rPr>
          <w:i/>
          <w:lang w:eastAsia="en-AU"/>
        </w:rPr>
        <w:t xml:space="preserve"> v The Queen</w:t>
      </w:r>
      <w:r w:rsidRPr="003F1956">
        <w:rPr>
          <w:lang w:eastAsia="en-AU"/>
        </w:rPr>
        <w:t>,</w:t>
      </w:r>
      <w:r w:rsidR="00036CBE" w:rsidRPr="003F1956">
        <w:rPr>
          <w:rStyle w:val="FootnoteReference"/>
          <w:lang w:eastAsia="en-AU"/>
        </w:rPr>
        <w:footnoteReference w:id="10"/>
      </w:r>
      <w:r w:rsidRPr="003F1956">
        <w:rPr>
          <w:lang w:eastAsia="en-AU"/>
        </w:rPr>
        <w:t xml:space="preserve"> Victoria’s first guideline judgment, </w:t>
      </w:r>
      <w:r w:rsidR="00C45712" w:rsidRPr="003F1956">
        <w:rPr>
          <w:lang w:eastAsia="en-AU"/>
        </w:rPr>
        <w:t xml:space="preserve">provides </w:t>
      </w:r>
      <w:r w:rsidR="00261B9C" w:rsidRPr="003F1956">
        <w:rPr>
          <w:lang w:eastAsia="en-AU"/>
        </w:rPr>
        <w:t>a good example</w:t>
      </w:r>
      <w:r w:rsidR="005E1158" w:rsidRPr="003F1956">
        <w:rPr>
          <w:lang w:eastAsia="en-AU"/>
        </w:rPr>
        <w:t xml:space="preserve"> </w:t>
      </w:r>
      <w:r w:rsidR="00981F6A" w:rsidRPr="003F1956">
        <w:rPr>
          <w:lang w:eastAsia="en-AU"/>
        </w:rPr>
        <w:t>of the importance of evidence-based decision making</w:t>
      </w:r>
      <w:r w:rsidR="009879A6" w:rsidRPr="003F1956">
        <w:rPr>
          <w:lang w:eastAsia="en-AU"/>
        </w:rPr>
        <w:t xml:space="preserve">. </w:t>
      </w:r>
      <w:r w:rsidR="00261B9C" w:rsidRPr="003F1956">
        <w:rPr>
          <w:lang w:eastAsia="en-AU"/>
        </w:rPr>
        <w:t xml:space="preserve">In that case, </w:t>
      </w:r>
      <w:r w:rsidR="00C45712" w:rsidRPr="003F1956">
        <w:rPr>
          <w:lang w:eastAsia="en-AU"/>
        </w:rPr>
        <w:t xml:space="preserve">the qualitative and quantitative </w:t>
      </w:r>
      <w:r w:rsidR="00261B9C" w:rsidRPr="003F1956">
        <w:rPr>
          <w:lang w:eastAsia="en-AU"/>
        </w:rPr>
        <w:t>data, monitoring and analysis</w:t>
      </w:r>
      <w:r w:rsidR="00C45712" w:rsidRPr="003F1956">
        <w:rPr>
          <w:lang w:eastAsia="en-AU"/>
        </w:rPr>
        <w:t xml:space="preserve"> </w:t>
      </w:r>
      <w:r w:rsidR="00F009C7" w:rsidRPr="003F1956">
        <w:rPr>
          <w:lang w:eastAsia="en-AU"/>
        </w:rPr>
        <w:t>produced</w:t>
      </w:r>
      <w:r w:rsidR="009879A6" w:rsidRPr="003F1956">
        <w:rPr>
          <w:lang w:eastAsia="en-AU"/>
        </w:rPr>
        <w:t xml:space="preserve"> by</w:t>
      </w:r>
      <w:r w:rsidR="00C45712" w:rsidRPr="003F1956">
        <w:rPr>
          <w:lang w:eastAsia="en-AU"/>
        </w:rPr>
        <w:t xml:space="preserve"> the S</w:t>
      </w:r>
      <w:r w:rsidR="00BA1EF1" w:rsidRPr="003F1956">
        <w:rPr>
          <w:lang w:eastAsia="en-AU"/>
        </w:rPr>
        <w:t>entencing Advisory Council (SAC)</w:t>
      </w:r>
      <w:r w:rsidR="00261B9C" w:rsidRPr="003F1956">
        <w:rPr>
          <w:lang w:eastAsia="en-AU"/>
        </w:rPr>
        <w:t>, and the considered submissions of key institutional parties</w:t>
      </w:r>
      <w:r w:rsidR="00C45712" w:rsidRPr="003F1956">
        <w:rPr>
          <w:lang w:eastAsia="en-AU"/>
        </w:rPr>
        <w:t>,</w:t>
      </w:r>
      <w:r w:rsidR="00261B9C" w:rsidRPr="003F1956">
        <w:rPr>
          <w:lang w:eastAsia="en-AU"/>
        </w:rPr>
        <w:t xml:space="preserve"> provided </w:t>
      </w:r>
      <w:r w:rsidR="009879A6" w:rsidRPr="003F1956">
        <w:rPr>
          <w:lang w:eastAsia="en-AU"/>
        </w:rPr>
        <w:t xml:space="preserve">a </w:t>
      </w:r>
      <w:r w:rsidR="00261B9C" w:rsidRPr="003F1956">
        <w:rPr>
          <w:lang w:eastAsia="en-AU"/>
        </w:rPr>
        <w:t xml:space="preserve">sound basis for </w:t>
      </w:r>
      <w:r w:rsidR="00F009C7" w:rsidRPr="003F1956">
        <w:rPr>
          <w:lang w:eastAsia="en-AU"/>
        </w:rPr>
        <w:t>identifying an</w:t>
      </w:r>
      <w:r w:rsidR="00986D99" w:rsidRPr="003F1956">
        <w:rPr>
          <w:lang w:eastAsia="en-AU"/>
        </w:rPr>
        <w:t xml:space="preserve">d addressing </w:t>
      </w:r>
      <w:r w:rsidR="00C7643B" w:rsidRPr="003F1956">
        <w:rPr>
          <w:lang w:eastAsia="en-AU"/>
        </w:rPr>
        <w:t xml:space="preserve">an unjustifiable disparity </w:t>
      </w:r>
      <w:r w:rsidR="00F009C7" w:rsidRPr="003F1956">
        <w:rPr>
          <w:lang w:eastAsia="en-AU"/>
        </w:rPr>
        <w:t xml:space="preserve">in approach in the use of </w:t>
      </w:r>
      <w:r w:rsidR="00986D99" w:rsidRPr="003F1956">
        <w:rPr>
          <w:lang w:eastAsia="en-AU"/>
        </w:rPr>
        <w:t xml:space="preserve">a particular sanction type, </w:t>
      </w:r>
      <w:r w:rsidR="00DD4A85" w:rsidRPr="003F1956">
        <w:rPr>
          <w:lang w:eastAsia="en-AU"/>
        </w:rPr>
        <w:t xml:space="preserve">namely </w:t>
      </w:r>
      <w:r w:rsidR="00F009C7" w:rsidRPr="003F1956">
        <w:rPr>
          <w:lang w:eastAsia="en-AU"/>
        </w:rPr>
        <w:t>community correction orders</w:t>
      </w:r>
      <w:r w:rsidR="00986D99" w:rsidRPr="003F1956">
        <w:rPr>
          <w:lang w:eastAsia="en-AU"/>
        </w:rPr>
        <w:t xml:space="preserve"> (CCOs)</w:t>
      </w:r>
      <w:r w:rsidR="002E023A" w:rsidRPr="003F1956">
        <w:rPr>
          <w:lang w:eastAsia="en-AU"/>
        </w:rPr>
        <w:t>.</w:t>
      </w:r>
    </w:p>
    <w:p w:rsidR="008879BC" w:rsidRPr="003F1956" w:rsidRDefault="008879BC" w:rsidP="00FA5F59">
      <w:pPr>
        <w:pStyle w:val="Heading2"/>
      </w:pPr>
      <w:r w:rsidRPr="003F1956">
        <w:t>Is there evidence of a lack of public confidence in the criminal justice system?</w:t>
      </w:r>
    </w:p>
    <w:p w:rsidR="008529DB" w:rsidRPr="003F1956" w:rsidRDefault="00704AD7" w:rsidP="008529DB">
      <w:pPr>
        <w:pStyle w:val="VLALetterText"/>
        <w:outlineLvl w:val="0"/>
        <w:rPr>
          <w:lang w:eastAsia="en-AU"/>
        </w:rPr>
      </w:pPr>
      <w:r w:rsidRPr="003F1956">
        <w:rPr>
          <w:lang w:eastAsia="en-AU"/>
        </w:rPr>
        <w:t>T</w:t>
      </w:r>
      <w:r w:rsidR="008529DB" w:rsidRPr="003F1956">
        <w:rPr>
          <w:lang w:eastAsia="en-AU"/>
        </w:rPr>
        <w:t>he concept of “public conf</w:t>
      </w:r>
      <w:r w:rsidR="006F0961" w:rsidRPr="003F1956">
        <w:rPr>
          <w:lang w:eastAsia="en-AU"/>
        </w:rPr>
        <w:t>idence” is inherently ambiguous</w:t>
      </w:r>
      <w:r w:rsidR="008529DB" w:rsidRPr="003F1956">
        <w:rPr>
          <w:lang w:eastAsia="en-AU"/>
        </w:rPr>
        <w:t xml:space="preserve"> and subject to wide and varied interpretation.</w:t>
      </w:r>
      <w:r w:rsidR="00D87E34" w:rsidRPr="003F1956">
        <w:rPr>
          <w:rStyle w:val="FootnoteReference"/>
          <w:lang w:eastAsia="en-AU"/>
        </w:rPr>
        <w:footnoteReference w:id="11"/>
      </w:r>
      <w:r w:rsidR="008529DB" w:rsidRPr="003F1956">
        <w:rPr>
          <w:lang w:eastAsia="en-AU"/>
        </w:rPr>
        <w:t xml:space="preserve"> To be used to justify more restrictive sentencing regimes, </w:t>
      </w:r>
      <w:r w:rsidR="00186868" w:rsidRPr="003F1956">
        <w:rPr>
          <w:lang w:eastAsia="en-AU"/>
        </w:rPr>
        <w:t xml:space="preserve">a perceived lack of confidence </w:t>
      </w:r>
      <w:r w:rsidR="00B03BFA" w:rsidRPr="003F1956">
        <w:rPr>
          <w:lang w:eastAsia="en-AU"/>
        </w:rPr>
        <w:t>reflected</w:t>
      </w:r>
      <w:r w:rsidR="008529DB" w:rsidRPr="003F1956">
        <w:rPr>
          <w:lang w:eastAsia="en-AU"/>
        </w:rPr>
        <w:t xml:space="preserve"> in </w:t>
      </w:r>
      <w:r w:rsidR="00DB4850" w:rsidRPr="003F1956">
        <w:rPr>
          <w:lang w:eastAsia="en-AU"/>
        </w:rPr>
        <w:t xml:space="preserve">the tabloid media </w:t>
      </w:r>
      <w:r w:rsidR="008529DB" w:rsidRPr="003F1956">
        <w:rPr>
          <w:lang w:eastAsia="en-AU"/>
        </w:rPr>
        <w:t xml:space="preserve">cannot be sufficient. There must be actual and informed lack of confidence. </w:t>
      </w:r>
    </w:p>
    <w:p w:rsidR="000D700F" w:rsidRPr="003F1956" w:rsidRDefault="008879BC" w:rsidP="008879BC">
      <w:pPr>
        <w:pStyle w:val="VLALetterText"/>
        <w:outlineLvl w:val="0"/>
        <w:rPr>
          <w:lang w:eastAsia="en-AU"/>
        </w:rPr>
      </w:pPr>
      <w:r w:rsidRPr="003F1956">
        <w:rPr>
          <w:lang w:eastAsia="en-AU"/>
        </w:rPr>
        <w:t xml:space="preserve">There have been few Australian studies that have examined public perceptions in sentencing. Each of those studies have found that when the </w:t>
      </w:r>
      <w:r w:rsidR="002E023A" w:rsidRPr="003F1956">
        <w:rPr>
          <w:lang w:eastAsia="en-AU"/>
        </w:rPr>
        <w:t>community</w:t>
      </w:r>
      <w:r w:rsidRPr="003F1956">
        <w:rPr>
          <w:lang w:eastAsia="en-AU"/>
        </w:rPr>
        <w:t xml:space="preserve"> is informed, there is s</w:t>
      </w:r>
      <w:r w:rsidR="00AD652C" w:rsidRPr="003F1956">
        <w:rPr>
          <w:lang w:eastAsia="en-AU"/>
        </w:rPr>
        <w:t>ubstantial</w:t>
      </w:r>
      <w:r w:rsidRPr="003F1956">
        <w:rPr>
          <w:lang w:eastAsia="en-AU"/>
        </w:rPr>
        <w:t xml:space="preserve"> support for the sentencing outcome imposed. For example, a study conducted by the </w:t>
      </w:r>
      <w:r w:rsidR="002D273C" w:rsidRPr="003F1956">
        <w:rPr>
          <w:lang w:eastAsia="en-AU"/>
        </w:rPr>
        <w:t>SAC</w:t>
      </w:r>
      <w:r w:rsidRPr="003F1956">
        <w:rPr>
          <w:lang w:eastAsia="en-AU"/>
        </w:rPr>
        <w:t xml:space="preserve"> using 3 years of “</w:t>
      </w:r>
      <w:r w:rsidR="005D6E43" w:rsidRPr="003F1956">
        <w:rPr>
          <w:lang w:eastAsia="en-AU"/>
        </w:rPr>
        <w:t xml:space="preserve">Virtual </w:t>
      </w:r>
      <w:r w:rsidR="00036CBE" w:rsidRPr="003F1956">
        <w:rPr>
          <w:lang w:eastAsia="en-AU"/>
        </w:rPr>
        <w:t>Y</w:t>
      </w:r>
      <w:r w:rsidRPr="003F1956">
        <w:rPr>
          <w:lang w:eastAsia="en-AU"/>
        </w:rPr>
        <w:t xml:space="preserve">ou </w:t>
      </w:r>
      <w:r w:rsidR="00036CBE" w:rsidRPr="003F1956">
        <w:rPr>
          <w:lang w:eastAsia="en-AU"/>
        </w:rPr>
        <w:t>B</w:t>
      </w:r>
      <w:r w:rsidRPr="003F1956">
        <w:rPr>
          <w:lang w:eastAsia="en-AU"/>
        </w:rPr>
        <w:t xml:space="preserve">e </w:t>
      </w:r>
      <w:proofErr w:type="gramStart"/>
      <w:r w:rsidR="00036CBE" w:rsidRPr="003F1956">
        <w:rPr>
          <w:lang w:eastAsia="en-AU"/>
        </w:rPr>
        <w:t>T</w:t>
      </w:r>
      <w:r w:rsidRPr="003F1956">
        <w:rPr>
          <w:lang w:eastAsia="en-AU"/>
        </w:rPr>
        <w:t>he</w:t>
      </w:r>
      <w:proofErr w:type="gramEnd"/>
      <w:r w:rsidRPr="003F1956">
        <w:rPr>
          <w:lang w:eastAsia="en-AU"/>
        </w:rPr>
        <w:t xml:space="preserve"> Judge” data found that most users imposed sentenc</w:t>
      </w:r>
      <w:r w:rsidR="00AD652C" w:rsidRPr="003F1956">
        <w:rPr>
          <w:lang w:eastAsia="en-AU"/>
        </w:rPr>
        <w:t>es that were</w:t>
      </w:r>
      <w:r w:rsidRPr="003F1956">
        <w:rPr>
          <w:lang w:eastAsia="en-AU"/>
        </w:rPr>
        <w:t xml:space="preserve"> roughly consistent with that imposed by the judicial official.</w:t>
      </w:r>
      <w:r w:rsidRPr="003F1956">
        <w:rPr>
          <w:rStyle w:val="FootnoteReference"/>
          <w:lang w:eastAsia="en-AU"/>
        </w:rPr>
        <w:footnoteReference w:id="12"/>
      </w:r>
      <w:r w:rsidRPr="003F1956">
        <w:rPr>
          <w:rStyle w:val="FootnoteReference"/>
          <w:lang w:eastAsia="en-AU"/>
        </w:rPr>
        <w:t xml:space="preserve"> </w:t>
      </w:r>
      <w:r w:rsidRPr="003F1956">
        <w:rPr>
          <w:lang w:eastAsia="en-AU"/>
        </w:rPr>
        <w:t>A Tasmanian Jury Sentencing Study determined that “the more information people have about an offender and their offence, the more likely they are to agree with sentence imposed by the court.”</w:t>
      </w:r>
      <w:r w:rsidRPr="003F1956">
        <w:rPr>
          <w:rStyle w:val="FootnoteReference"/>
          <w:lang w:eastAsia="en-AU"/>
        </w:rPr>
        <w:footnoteReference w:id="13"/>
      </w:r>
      <w:r w:rsidR="00D60F54" w:rsidRPr="003F1956">
        <w:rPr>
          <w:lang w:eastAsia="en-AU"/>
        </w:rPr>
        <w:t xml:space="preserve"> </w:t>
      </w:r>
      <w:r w:rsidR="000D700F" w:rsidRPr="003F1956">
        <w:rPr>
          <w:lang w:eastAsia="en-AU"/>
        </w:rPr>
        <w:t>In that study</w:t>
      </w:r>
      <w:r w:rsidR="00D60F54" w:rsidRPr="003F1956">
        <w:rPr>
          <w:lang w:eastAsia="en-AU"/>
        </w:rPr>
        <w:t xml:space="preserve">, </w:t>
      </w:r>
      <w:r w:rsidR="001A4F51" w:rsidRPr="003F1956">
        <w:rPr>
          <w:lang w:eastAsia="en-AU"/>
        </w:rPr>
        <w:t xml:space="preserve">more than half of the jurors surveyed would have </w:t>
      </w:r>
      <w:r w:rsidR="001A4F51" w:rsidRPr="003F1956">
        <w:rPr>
          <w:lang w:eastAsia="en-AU"/>
        </w:rPr>
        <w:lastRenderedPageBreak/>
        <w:t xml:space="preserve">imposed a more lenient sentence, with </w:t>
      </w:r>
      <w:r w:rsidR="00D60F54" w:rsidRPr="003F1956">
        <w:rPr>
          <w:lang w:eastAsia="en-AU"/>
        </w:rPr>
        <w:t>90% of jurors rat</w:t>
      </w:r>
      <w:r w:rsidR="001A4F51" w:rsidRPr="003F1956">
        <w:rPr>
          <w:lang w:eastAsia="en-AU"/>
        </w:rPr>
        <w:t>ing</w:t>
      </w:r>
      <w:r w:rsidR="00D60F54" w:rsidRPr="003F1956">
        <w:rPr>
          <w:lang w:eastAsia="en-AU"/>
        </w:rPr>
        <w:t xml:space="preserve"> the sentence imposed by the judge as </w:t>
      </w:r>
      <w:r w:rsidR="004D6C1A" w:rsidRPr="003F1956">
        <w:rPr>
          <w:lang w:eastAsia="en-AU"/>
        </w:rPr>
        <w:t xml:space="preserve">(at least) </w:t>
      </w:r>
      <w:r w:rsidR="00D60F54" w:rsidRPr="003F1956">
        <w:rPr>
          <w:lang w:eastAsia="en-AU"/>
        </w:rPr>
        <w:t>“appropriate”.</w:t>
      </w:r>
      <w:r w:rsidR="000D700F" w:rsidRPr="003F1956">
        <w:rPr>
          <w:rStyle w:val="FootnoteReference"/>
          <w:lang w:eastAsia="en-AU"/>
        </w:rPr>
        <w:footnoteReference w:id="14"/>
      </w:r>
      <w:r w:rsidR="00985F71" w:rsidRPr="003F1956">
        <w:rPr>
          <w:lang w:eastAsia="en-AU"/>
        </w:rPr>
        <w:t xml:space="preserve"> </w:t>
      </w:r>
    </w:p>
    <w:p w:rsidR="009916D9" w:rsidRPr="003F1956" w:rsidRDefault="00D60F54" w:rsidP="009916D9">
      <w:pPr>
        <w:pStyle w:val="VLALetterText"/>
        <w:outlineLvl w:val="0"/>
        <w:rPr>
          <w:lang w:eastAsia="en-AU"/>
        </w:rPr>
      </w:pPr>
      <w:r w:rsidRPr="003F1956">
        <w:rPr>
          <w:lang w:eastAsia="en-AU"/>
        </w:rPr>
        <w:t xml:space="preserve">Of the offences considered in the Tasmanian Jury </w:t>
      </w:r>
      <w:r w:rsidR="000D700F" w:rsidRPr="003F1956">
        <w:rPr>
          <w:lang w:eastAsia="en-AU"/>
        </w:rPr>
        <w:t>Study</w:t>
      </w:r>
      <w:r w:rsidRPr="003F1956">
        <w:rPr>
          <w:lang w:eastAsia="en-AU"/>
        </w:rPr>
        <w:t xml:space="preserve">, </w:t>
      </w:r>
      <w:r w:rsidR="00AD652C" w:rsidRPr="003F1956">
        <w:rPr>
          <w:lang w:eastAsia="en-AU"/>
        </w:rPr>
        <w:t>jurors were least satisfied with sentences imposed for sex and drug offences.</w:t>
      </w:r>
      <w:r w:rsidR="00362524" w:rsidRPr="003F1956">
        <w:rPr>
          <w:rStyle w:val="FootnoteReference"/>
          <w:lang w:eastAsia="en-AU"/>
        </w:rPr>
        <w:footnoteReference w:id="15"/>
      </w:r>
      <w:r w:rsidR="00362524" w:rsidRPr="003F1956">
        <w:rPr>
          <w:lang w:eastAsia="en-AU"/>
        </w:rPr>
        <w:t xml:space="preserve"> </w:t>
      </w:r>
      <w:r w:rsidR="009916D9" w:rsidRPr="003F1956">
        <w:rPr>
          <w:lang w:eastAsia="en-AU"/>
        </w:rPr>
        <w:t>If the jury study currently underway in Victoria arrives at similar findings, it may provide some evidence of a lack of public confidence in specific offence categories.</w:t>
      </w:r>
      <w:r w:rsidR="009916D9" w:rsidRPr="003F1956">
        <w:rPr>
          <w:rStyle w:val="FootnoteReference"/>
          <w:lang w:eastAsia="en-AU"/>
        </w:rPr>
        <w:footnoteReference w:id="16"/>
      </w:r>
    </w:p>
    <w:p w:rsidR="009916D9" w:rsidRPr="003F1956" w:rsidRDefault="009916D9" w:rsidP="009916D9">
      <w:pPr>
        <w:pStyle w:val="VLALetterText"/>
        <w:outlineLvl w:val="0"/>
        <w:rPr>
          <w:lang w:eastAsia="en-AU"/>
        </w:rPr>
      </w:pPr>
      <w:r w:rsidRPr="003F1956">
        <w:rPr>
          <w:lang w:eastAsia="en-AU"/>
        </w:rPr>
        <w:t>Public perceptions of sentencing severity may differ depend</w:t>
      </w:r>
      <w:r w:rsidR="00FC00C1" w:rsidRPr="003F1956">
        <w:rPr>
          <w:lang w:eastAsia="en-AU"/>
        </w:rPr>
        <w:t>ing</w:t>
      </w:r>
      <w:r w:rsidRPr="003F1956">
        <w:rPr>
          <w:lang w:eastAsia="en-AU"/>
        </w:rPr>
        <w:t xml:space="preserve"> on the type of sexual or drug offence. Although the numbers were too small to be statistically significant, further analysis of the Tasmanian </w:t>
      </w:r>
      <w:r w:rsidR="00036CBE" w:rsidRPr="003F1956">
        <w:rPr>
          <w:lang w:eastAsia="en-AU"/>
        </w:rPr>
        <w:t>j</w:t>
      </w:r>
      <w:r w:rsidRPr="003F1956">
        <w:rPr>
          <w:lang w:eastAsia="en-AU"/>
        </w:rPr>
        <w:t>ury data suggests that sexual offences may not be treated homogenously: jurors were more likely to suggest a more severe sentence for an offence involving child sexual assault; and more likely to suggest a more lenient sentence where the offence involved consensual sex with an under-age teenager.</w:t>
      </w:r>
      <w:r w:rsidRPr="003F1956">
        <w:rPr>
          <w:rStyle w:val="FootnoteReference"/>
          <w:lang w:eastAsia="en-AU"/>
        </w:rPr>
        <w:footnoteReference w:id="17"/>
      </w:r>
      <w:r w:rsidRPr="003F1956">
        <w:rPr>
          <w:lang w:eastAsia="en-AU"/>
        </w:rPr>
        <w:t xml:space="preserve"> Further research is required to test these preliminary findings</w:t>
      </w:r>
      <w:r w:rsidR="009253A4" w:rsidRPr="003F1956">
        <w:rPr>
          <w:lang w:eastAsia="en-AU"/>
        </w:rPr>
        <w:t xml:space="preserve"> and to ensure their relevance to the Victorian context</w:t>
      </w:r>
      <w:r w:rsidRPr="003F1956">
        <w:rPr>
          <w:lang w:eastAsia="en-AU"/>
        </w:rPr>
        <w:t>.</w:t>
      </w:r>
    </w:p>
    <w:p w:rsidR="00F52AE0" w:rsidRPr="003F1956" w:rsidRDefault="009253A4" w:rsidP="008879BC">
      <w:pPr>
        <w:pStyle w:val="VLALetterText"/>
        <w:outlineLvl w:val="0"/>
        <w:rPr>
          <w:lang w:eastAsia="en-AU"/>
        </w:rPr>
      </w:pPr>
      <w:r w:rsidRPr="003F1956">
        <w:rPr>
          <w:lang w:eastAsia="en-AU"/>
        </w:rPr>
        <w:t>A</w:t>
      </w:r>
      <w:r w:rsidR="00B611FB" w:rsidRPr="003F1956">
        <w:rPr>
          <w:lang w:eastAsia="en-AU"/>
        </w:rPr>
        <w:t>s</w:t>
      </w:r>
      <w:r w:rsidR="005B676C" w:rsidRPr="003F1956">
        <w:rPr>
          <w:lang w:eastAsia="en-AU"/>
        </w:rPr>
        <w:t xml:space="preserve"> a matter of objective offence seriousness, specific sex offences </w:t>
      </w:r>
      <w:r w:rsidR="00B611FB" w:rsidRPr="003F1956">
        <w:rPr>
          <w:lang w:eastAsia="en-AU"/>
        </w:rPr>
        <w:t>have been rated by members of the Victorian community</w:t>
      </w:r>
      <w:r w:rsidR="005B676C" w:rsidRPr="003F1956">
        <w:rPr>
          <w:lang w:eastAsia="en-AU"/>
        </w:rPr>
        <w:t xml:space="preserve"> as being particularly serious. According to the SAC 2012 study on community attitudes to offence seriousness, sexual penetration</w:t>
      </w:r>
      <w:r w:rsidR="00B611FB" w:rsidRPr="003F1956">
        <w:rPr>
          <w:lang w:eastAsia="en-AU"/>
        </w:rPr>
        <w:t xml:space="preserve"> of a child under 12 was rated equally</w:t>
      </w:r>
      <w:r w:rsidR="005B676C" w:rsidRPr="003F1956">
        <w:rPr>
          <w:lang w:eastAsia="en-AU"/>
        </w:rPr>
        <w:t xml:space="preserve"> </w:t>
      </w:r>
      <w:r w:rsidR="00B611FB" w:rsidRPr="003F1956">
        <w:rPr>
          <w:lang w:eastAsia="en-AU"/>
        </w:rPr>
        <w:t>to</w:t>
      </w:r>
      <w:r w:rsidR="005B676C" w:rsidRPr="003F1956">
        <w:rPr>
          <w:lang w:eastAsia="en-AU"/>
        </w:rPr>
        <w:t xml:space="preserve"> murder (with each receiving a seriousness rating of 10).</w:t>
      </w:r>
      <w:r w:rsidR="0079243B" w:rsidRPr="003F1956">
        <w:rPr>
          <w:rStyle w:val="FootnoteReference"/>
          <w:lang w:eastAsia="en-AU"/>
        </w:rPr>
        <w:footnoteReference w:id="18"/>
      </w:r>
      <w:r w:rsidR="005B676C" w:rsidRPr="003F1956">
        <w:rPr>
          <w:lang w:eastAsia="en-AU"/>
        </w:rPr>
        <w:t xml:space="preserve"> </w:t>
      </w:r>
      <w:r w:rsidR="00F52AE0" w:rsidRPr="003F1956">
        <w:rPr>
          <w:lang w:eastAsia="en-AU"/>
        </w:rPr>
        <w:t xml:space="preserve">This study, when compared </w:t>
      </w:r>
      <w:r w:rsidR="00BA1EF1" w:rsidRPr="003F1956">
        <w:rPr>
          <w:lang w:eastAsia="en-AU"/>
        </w:rPr>
        <w:t xml:space="preserve">with the </w:t>
      </w:r>
      <w:r w:rsidR="00F52AE0" w:rsidRPr="003F1956">
        <w:rPr>
          <w:lang w:eastAsia="en-AU"/>
        </w:rPr>
        <w:t>sentence distribution</w:t>
      </w:r>
      <w:r w:rsidR="00021B5B" w:rsidRPr="003F1956">
        <w:rPr>
          <w:lang w:eastAsia="en-AU"/>
        </w:rPr>
        <w:t>, maximum penalty</w:t>
      </w:r>
      <w:r w:rsidR="00B611FB" w:rsidRPr="003F1956">
        <w:rPr>
          <w:lang w:eastAsia="en-AU"/>
        </w:rPr>
        <w:t xml:space="preserve"> </w:t>
      </w:r>
      <w:r w:rsidR="00B611FB" w:rsidRPr="003F1956">
        <w:rPr>
          <w:i/>
          <w:lang w:eastAsia="en-AU"/>
        </w:rPr>
        <w:t>and</w:t>
      </w:r>
      <w:r w:rsidR="00B611FB" w:rsidRPr="003F1956">
        <w:rPr>
          <w:lang w:eastAsia="en-AU"/>
        </w:rPr>
        <w:t xml:space="preserve"> case detail for each of the</w:t>
      </w:r>
      <w:r w:rsidR="00F52AE0" w:rsidRPr="003F1956">
        <w:rPr>
          <w:lang w:eastAsia="en-AU"/>
        </w:rPr>
        <w:t>se</w:t>
      </w:r>
      <w:r w:rsidR="00B611FB" w:rsidRPr="003F1956">
        <w:rPr>
          <w:lang w:eastAsia="en-AU"/>
        </w:rPr>
        <w:t xml:space="preserve"> offences</w:t>
      </w:r>
      <w:r w:rsidR="005B676C" w:rsidRPr="003F1956">
        <w:rPr>
          <w:lang w:eastAsia="en-AU"/>
        </w:rPr>
        <w:t xml:space="preserve">, may provide some basis to suggest there is a disparity between </w:t>
      </w:r>
      <w:r w:rsidR="00592B53" w:rsidRPr="003F1956">
        <w:rPr>
          <w:lang w:eastAsia="en-AU"/>
        </w:rPr>
        <w:t xml:space="preserve">current </w:t>
      </w:r>
      <w:r w:rsidR="005B676C" w:rsidRPr="003F1956">
        <w:rPr>
          <w:lang w:eastAsia="en-AU"/>
        </w:rPr>
        <w:t xml:space="preserve">sentences </w:t>
      </w:r>
      <w:r w:rsidR="00592B53" w:rsidRPr="003F1956">
        <w:rPr>
          <w:lang w:eastAsia="en-AU"/>
        </w:rPr>
        <w:t xml:space="preserve">for sexual penetration of a child under 12 </w:t>
      </w:r>
      <w:r w:rsidR="005B676C" w:rsidRPr="003F1956">
        <w:rPr>
          <w:lang w:eastAsia="en-AU"/>
        </w:rPr>
        <w:t>and community views.</w:t>
      </w:r>
      <w:r w:rsidR="00592B53" w:rsidRPr="003F1956">
        <w:rPr>
          <w:lang w:eastAsia="en-AU"/>
        </w:rPr>
        <w:t xml:space="preserve"> However, </w:t>
      </w:r>
      <w:r w:rsidR="00036CBE" w:rsidRPr="003F1956">
        <w:rPr>
          <w:lang w:eastAsia="en-AU"/>
        </w:rPr>
        <w:t xml:space="preserve">if research of this nature is undertaken, </w:t>
      </w:r>
      <w:r w:rsidRPr="003F1956">
        <w:rPr>
          <w:lang w:eastAsia="en-AU"/>
        </w:rPr>
        <w:t>account should be taken</w:t>
      </w:r>
      <w:r w:rsidR="003921FD" w:rsidRPr="003F1956">
        <w:rPr>
          <w:lang w:eastAsia="en-AU"/>
        </w:rPr>
        <w:t xml:space="preserve"> </w:t>
      </w:r>
      <w:r w:rsidRPr="003F1956">
        <w:rPr>
          <w:lang w:eastAsia="en-AU"/>
        </w:rPr>
        <w:t>of</w:t>
      </w:r>
      <w:r w:rsidR="003921FD" w:rsidRPr="003F1956">
        <w:rPr>
          <w:lang w:eastAsia="en-AU"/>
        </w:rPr>
        <w:t xml:space="preserve"> possible statistical deficiencies,</w:t>
      </w:r>
      <w:r w:rsidR="003921FD" w:rsidRPr="003F1956">
        <w:rPr>
          <w:rStyle w:val="FootnoteReference"/>
          <w:lang w:eastAsia="en-AU"/>
        </w:rPr>
        <w:footnoteReference w:id="19"/>
      </w:r>
      <w:r w:rsidR="003921FD" w:rsidRPr="003F1956">
        <w:rPr>
          <w:lang w:eastAsia="en-AU"/>
        </w:rPr>
        <w:t xml:space="preserve"> and to a potential </w:t>
      </w:r>
      <w:r w:rsidR="00B611FB" w:rsidRPr="003F1956">
        <w:rPr>
          <w:lang w:eastAsia="en-AU"/>
        </w:rPr>
        <w:t xml:space="preserve">“perception gap” between </w:t>
      </w:r>
      <w:r w:rsidR="009E120D" w:rsidRPr="003F1956">
        <w:rPr>
          <w:lang w:eastAsia="en-AU"/>
        </w:rPr>
        <w:t xml:space="preserve">responses to abstract questions and </w:t>
      </w:r>
      <w:r w:rsidR="00F52AE0" w:rsidRPr="003F1956">
        <w:rPr>
          <w:lang w:eastAsia="en-AU"/>
        </w:rPr>
        <w:t>those based on exposure to an individual case.</w:t>
      </w:r>
      <w:r w:rsidR="009E120D" w:rsidRPr="003F1956">
        <w:rPr>
          <w:rStyle w:val="FootnoteReference"/>
          <w:lang w:eastAsia="en-AU"/>
        </w:rPr>
        <w:footnoteReference w:id="20"/>
      </w:r>
      <w:r w:rsidR="009E120D" w:rsidRPr="003F1956">
        <w:rPr>
          <w:lang w:eastAsia="en-AU"/>
        </w:rPr>
        <w:t xml:space="preserve"> </w:t>
      </w:r>
    </w:p>
    <w:p w:rsidR="00A41D4D" w:rsidRPr="003F1956" w:rsidRDefault="009253A4" w:rsidP="00A41D4D">
      <w:pPr>
        <w:pStyle w:val="VLALetterText"/>
        <w:outlineLvl w:val="0"/>
        <w:rPr>
          <w:lang w:eastAsia="en-AU"/>
        </w:rPr>
      </w:pPr>
      <w:r w:rsidRPr="003F1956">
        <w:rPr>
          <w:lang w:eastAsia="en-AU"/>
        </w:rPr>
        <w:t xml:space="preserve">The studies to date suggest there is a gap between </w:t>
      </w:r>
      <w:r w:rsidR="00B42E73" w:rsidRPr="003F1956">
        <w:rPr>
          <w:lang w:eastAsia="en-AU"/>
        </w:rPr>
        <w:t>the views of informed and uninformed members of the community</w:t>
      </w:r>
      <w:r w:rsidR="00021B5B" w:rsidRPr="003F1956">
        <w:rPr>
          <w:lang w:eastAsia="en-AU"/>
        </w:rPr>
        <w:t xml:space="preserve">, with “informed members of the public overwhelmingly </w:t>
      </w:r>
      <w:proofErr w:type="spellStart"/>
      <w:r w:rsidR="00021B5B" w:rsidRPr="003F1956">
        <w:rPr>
          <w:lang w:eastAsia="en-AU"/>
        </w:rPr>
        <w:t>approv</w:t>
      </w:r>
      <w:proofErr w:type="spellEnd"/>
      <w:r w:rsidR="00021B5B" w:rsidRPr="003F1956">
        <w:rPr>
          <w:lang w:eastAsia="en-AU"/>
        </w:rPr>
        <w:t>[</w:t>
      </w:r>
      <w:proofErr w:type="spellStart"/>
      <w:r w:rsidR="00021B5B" w:rsidRPr="003F1956">
        <w:rPr>
          <w:lang w:eastAsia="en-AU"/>
        </w:rPr>
        <w:t>ing</w:t>
      </w:r>
      <w:proofErr w:type="spellEnd"/>
      <w:r w:rsidR="00021B5B" w:rsidRPr="003F1956">
        <w:rPr>
          <w:lang w:eastAsia="en-AU"/>
        </w:rPr>
        <w:t>] of the sentences given by our judges”</w:t>
      </w:r>
      <w:r w:rsidR="00B42E73" w:rsidRPr="003F1956">
        <w:rPr>
          <w:lang w:eastAsia="en-AU"/>
        </w:rPr>
        <w:t>.</w:t>
      </w:r>
      <w:r w:rsidR="00021B5B" w:rsidRPr="003F1956">
        <w:rPr>
          <w:rStyle w:val="FootnoteReference"/>
          <w:lang w:eastAsia="en-AU"/>
        </w:rPr>
        <w:footnoteReference w:id="21"/>
      </w:r>
      <w:r w:rsidR="00B42E73" w:rsidRPr="003F1956">
        <w:rPr>
          <w:lang w:eastAsia="en-AU"/>
        </w:rPr>
        <w:t xml:space="preserve"> There may also be a gap in opinion depending on the type of offence involved</w:t>
      </w:r>
      <w:r w:rsidR="00021B5B" w:rsidRPr="003F1956">
        <w:rPr>
          <w:lang w:eastAsia="en-AU"/>
        </w:rPr>
        <w:t>, however this requires further research and evaluation</w:t>
      </w:r>
      <w:r w:rsidR="00B42E73" w:rsidRPr="003F1956">
        <w:rPr>
          <w:lang w:eastAsia="en-AU"/>
        </w:rPr>
        <w:t xml:space="preserve">. </w:t>
      </w:r>
      <w:r w:rsidR="00A41D4D" w:rsidRPr="003F1956">
        <w:rPr>
          <w:lang w:eastAsia="en-AU"/>
        </w:rPr>
        <w:t>While harsher sentencing will not necessarily lead to greater public confidence in criminal justice processes,</w:t>
      </w:r>
      <w:r w:rsidR="00A41D4D" w:rsidRPr="003F1956">
        <w:rPr>
          <w:rStyle w:val="FootnoteReference"/>
          <w:lang w:eastAsia="en-AU"/>
        </w:rPr>
        <w:footnoteReference w:id="22"/>
      </w:r>
      <w:r w:rsidR="00A41D4D" w:rsidRPr="003F1956">
        <w:rPr>
          <w:lang w:eastAsia="en-AU"/>
        </w:rPr>
        <w:t xml:space="preserve"> it </w:t>
      </w:r>
      <w:r w:rsidR="00B42E73" w:rsidRPr="003F1956">
        <w:rPr>
          <w:lang w:eastAsia="en-AU"/>
        </w:rPr>
        <w:t xml:space="preserve">is </w:t>
      </w:r>
      <w:r w:rsidR="00A41D4D" w:rsidRPr="003F1956">
        <w:rPr>
          <w:lang w:eastAsia="en-AU"/>
        </w:rPr>
        <w:t xml:space="preserve">clear that </w:t>
      </w:r>
      <w:r w:rsidR="00B42E73" w:rsidRPr="003F1956">
        <w:rPr>
          <w:lang w:eastAsia="en-AU"/>
        </w:rPr>
        <w:t xml:space="preserve">more meaningful engagement </w:t>
      </w:r>
      <w:r w:rsidR="00C50F92" w:rsidRPr="003F1956">
        <w:rPr>
          <w:lang w:eastAsia="en-AU"/>
        </w:rPr>
        <w:t xml:space="preserve">and understanding of </w:t>
      </w:r>
      <w:r w:rsidR="00B42E73" w:rsidRPr="003F1956">
        <w:rPr>
          <w:lang w:eastAsia="en-AU"/>
        </w:rPr>
        <w:t xml:space="preserve">the criminal justice system </w:t>
      </w:r>
      <w:r w:rsidR="00C50F92" w:rsidRPr="003F1956">
        <w:rPr>
          <w:lang w:eastAsia="en-AU"/>
        </w:rPr>
        <w:t>are</w:t>
      </w:r>
      <w:r w:rsidR="00B42E73" w:rsidRPr="003F1956">
        <w:rPr>
          <w:lang w:eastAsia="en-AU"/>
        </w:rPr>
        <w:t xml:space="preserve"> critical</w:t>
      </w:r>
      <w:r w:rsidR="00C50F92" w:rsidRPr="003F1956">
        <w:rPr>
          <w:lang w:eastAsia="en-AU"/>
        </w:rPr>
        <w:t xml:space="preserve"> to improving public confidence</w:t>
      </w:r>
      <w:r w:rsidR="00B42E73" w:rsidRPr="003F1956">
        <w:rPr>
          <w:lang w:eastAsia="en-AU"/>
        </w:rPr>
        <w:t>. More needs to be done to</w:t>
      </w:r>
      <w:r w:rsidR="00036CBE" w:rsidRPr="003F1956">
        <w:rPr>
          <w:lang w:eastAsia="en-AU"/>
        </w:rPr>
        <w:t xml:space="preserve"> “</w:t>
      </w:r>
      <w:r w:rsidR="00312431" w:rsidRPr="003F1956">
        <w:rPr>
          <w:lang w:eastAsia="en-AU"/>
        </w:rPr>
        <w:t>‘</w:t>
      </w:r>
      <w:r w:rsidR="00B42E73" w:rsidRPr="003F1956">
        <w:rPr>
          <w:lang w:eastAsia="en-AU"/>
        </w:rPr>
        <w:t>deal the public in</w:t>
      </w:r>
      <w:r w:rsidR="00312431" w:rsidRPr="003F1956">
        <w:rPr>
          <w:lang w:eastAsia="en-AU"/>
        </w:rPr>
        <w:t>’ in</w:t>
      </w:r>
      <w:r w:rsidR="00B42E73" w:rsidRPr="003F1956">
        <w:rPr>
          <w:lang w:eastAsia="en-AU"/>
        </w:rPr>
        <w:t xml:space="preserve"> the debate </w:t>
      </w:r>
      <w:r w:rsidR="00A26B48" w:rsidRPr="003F1956">
        <w:rPr>
          <w:lang w:eastAsia="en-AU"/>
        </w:rPr>
        <w:t>about sentencing and punishment</w:t>
      </w:r>
      <w:r w:rsidR="00312431" w:rsidRPr="003F1956">
        <w:rPr>
          <w:lang w:eastAsia="en-AU"/>
        </w:rPr>
        <w:t>”</w:t>
      </w:r>
      <w:r w:rsidR="00312431" w:rsidRPr="003F1956">
        <w:rPr>
          <w:rStyle w:val="FootnoteReference"/>
          <w:lang w:eastAsia="en-AU"/>
        </w:rPr>
        <w:t xml:space="preserve"> </w:t>
      </w:r>
      <w:r w:rsidR="00312431" w:rsidRPr="003F1956">
        <w:rPr>
          <w:rStyle w:val="FootnoteReference"/>
          <w:lang w:eastAsia="en-AU"/>
        </w:rPr>
        <w:footnoteReference w:id="23"/>
      </w:r>
      <w:r w:rsidR="00312431" w:rsidRPr="003F1956">
        <w:rPr>
          <w:lang w:eastAsia="en-AU"/>
        </w:rPr>
        <w:t xml:space="preserve"> </w:t>
      </w:r>
      <w:r w:rsidR="00A41D4D" w:rsidRPr="003F1956">
        <w:rPr>
          <w:lang w:eastAsia="en-AU"/>
        </w:rPr>
        <w:t>(see further, page</w:t>
      </w:r>
      <w:r w:rsidR="00993B2F" w:rsidRPr="003F1956">
        <w:rPr>
          <w:lang w:eastAsia="en-AU"/>
        </w:rPr>
        <w:t>s</w:t>
      </w:r>
      <w:r w:rsidR="00A41D4D" w:rsidRPr="003F1956">
        <w:rPr>
          <w:lang w:eastAsia="en-AU"/>
        </w:rPr>
        <w:t xml:space="preserve"> </w:t>
      </w:r>
      <w:r w:rsidR="00AA0AB4" w:rsidRPr="003F1956">
        <w:rPr>
          <w:lang w:eastAsia="en-AU"/>
        </w:rPr>
        <w:t>1</w:t>
      </w:r>
      <w:r w:rsidR="00EB2BF3" w:rsidRPr="003F1956">
        <w:rPr>
          <w:lang w:eastAsia="en-AU"/>
        </w:rPr>
        <w:t>5</w:t>
      </w:r>
      <w:r w:rsidR="00993B2F" w:rsidRPr="003F1956">
        <w:rPr>
          <w:lang w:eastAsia="en-AU"/>
        </w:rPr>
        <w:t>-1</w:t>
      </w:r>
      <w:r w:rsidR="00A611C3" w:rsidRPr="003F1956">
        <w:rPr>
          <w:lang w:eastAsia="en-AU"/>
        </w:rPr>
        <w:t>7</w:t>
      </w:r>
      <w:r w:rsidR="00A41D4D" w:rsidRPr="003F1956">
        <w:rPr>
          <w:lang w:eastAsia="en-AU"/>
        </w:rPr>
        <w:t xml:space="preserve"> below). As with other key institutions, VLA has an educative role to play. VLA also has a role in challenging uninformed public perceptions as part of our legislative mandate to “dispel fear and distrust”.</w:t>
      </w:r>
      <w:r w:rsidR="00A41D4D" w:rsidRPr="003F1956">
        <w:rPr>
          <w:rStyle w:val="FootnoteReference"/>
          <w:lang w:eastAsia="en-AU"/>
        </w:rPr>
        <w:footnoteReference w:id="24"/>
      </w:r>
      <w:r w:rsidR="00A41D4D" w:rsidRPr="003F1956">
        <w:rPr>
          <w:lang w:eastAsia="en-AU"/>
        </w:rPr>
        <w:t xml:space="preserve"> </w:t>
      </w:r>
    </w:p>
    <w:p w:rsidR="008879BC" w:rsidRPr="003F1956" w:rsidRDefault="008879BC" w:rsidP="00FA5F59">
      <w:pPr>
        <w:pStyle w:val="Heading2"/>
      </w:pPr>
      <w:r w:rsidRPr="003F1956">
        <w:lastRenderedPageBreak/>
        <w:t>Is there concern regarding the current sentencing practices for the offence, or a subcategory of the offence?</w:t>
      </w:r>
    </w:p>
    <w:p w:rsidR="006F0961" w:rsidRPr="003F1956" w:rsidRDefault="008879BC" w:rsidP="008879BC">
      <w:pPr>
        <w:pStyle w:val="VLALetterText"/>
        <w:outlineLvl w:val="0"/>
        <w:rPr>
          <w:lang w:eastAsia="en-AU"/>
        </w:rPr>
      </w:pPr>
      <w:r w:rsidRPr="003F1956">
        <w:rPr>
          <w:lang w:eastAsia="en-AU"/>
        </w:rPr>
        <w:t xml:space="preserve">The Court of Appeal has expressed concern </w:t>
      </w:r>
      <w:r w:rsidR="003118D2" w:rsidRPr="003F1956">
        <w:rPr>
          <w:lang w:eastAsia="en-AU"/>
        </w:rPr>
        <w:t>with</w:t>
      </w:r>
      <w:r w:rsidRPr="003F1956">
        <w:rPr>
          <w:lang w:eastAsia="en-AU"/>
        </w:rPr>
        <w:t xml:space="preserve"> current sentencing practices</w:t>
      </w:r>
      <w:r w:rsidR="006F4119" w:rsidRPr="003F1956">
        <w:rPr>
          <w:rStyle w:val="FootnoteReference"/>
          <w:lang w:eastAsia="en-AU"/>
        </w:rPr>
        <w:footnoteReference w:id="25"/>
      </w:r>
      <w:r w:rsidRPr="003F1956">
        <w:rPr>
          <w:lang w:eastAsia="en-AU"/>
        </w:rPr>
        <w:t xml:space="preserve"> in respect of a </w:t>
      </w:r>
      <w:r w:rsidR="00DC23F4" w:rsidRPr="003F1956">
        <w:rPr>
          <w:lang w:eastAsia="en-AU"/>
        </w:rPr>
        <w:t xml:space="preserve">number of offences, including </w:t>
      </w:r>
      <w:r w:rsidR="00550CAC" w:rsidRPr="003F1956">
        <w:rPr>
          <w:lang w:eastAsia="en-AU"/>
        </w:rPr>
        <w:t>recklessly</w:t>
      </w:r>
      <w:r w:rsidR="00880E08" w:rsidRPr="003F1956">
        <w:rPr>
          <w:lang w:eastAsia="en-AU"/>
        </w:rPr>
        <w:t xml:space="preserve"> causing serious injury by </w:t>
      </w:r>
      <w:r w:rsidR="00092B0D" w:rsidRPr="003F1956">
        <w:rPr>
          <w:lang w:eastAsia="en-AU"/>
        </w:rPr>
        <w:t xml:space="preserve">glassing, ‘confrontational’ aggravated burglary and </w:t>
      </w:r>
      <w:r w:rsidR="00DC23F4" w:rsidRPr="003F1956">
        <w:rPr>
          <w:lang w:eastAsia="en-AU"/>
        </w:rPr>
        <w:t xml:space="preserve">sexual penetration </w:t>
      </w:r>
      <w:r w:rsidR="00036CBE" w:rsidRPr="003F1956">
        <w:rPr>
          <w:lang w:eastAsia="en-AU"/>
        </w:rPr>
        <w:t>of</w:t>
      </w:r>
      <w:r w:rsidR="00DC23F4" w:rsidRPr="003F1956">
        <w:rPr>
          <w:lang w:eastAsia="en-AU"/>
        </w:rPr>
        <w:t xml:space="preserve"> a child under 10.</w:t>
      </w:r>
      <w:r w:rsidR="00DC23F4" w:rsidRPr="003F1956">
        <w:rPr>
          <w:rStyle w:val="FootnoteReference"/>
          <w:lang w:eastAsia="en-AU"/>
        </w:rPr>
        <w:footnoteReference w:id="26"/>
      </w:r>
    </w:p>
    <w:p w:rsidR="008125D5" w:rsidRPr="003F1956" w:rsidRDefault="008125D5" w:rsidP="008879BC">
      <w:pPr>
        <w:pStyle w:val="VLALetterText"/>
        <w:outlineLvl w:val="0"/>
        <w:rPr>
          <w:lang w:eastAsia="en-AU"/>
        </w:rPr>
      </w:pPr>
      <w:r w:rsidRPr="003F1956">
        <w:rPr>
          <w:lang w:eastAsia="en-AU"/>
        </w:rPr>
        <w:t xml:space="preserve">For example, in </w:t>
      </w:r>
      <w:r w:rsidRPr="003F1956">
        <w:rPr>
          <w:i/>
          <w:lang w:eastAsia="en-AU"/>
        </w:rPr>
        <w:t>DPP v CPD</w:t>
      </w:r>
      <w:r w:rsidRPr="003F1956">
        <w:rPr>
          <w:lang w:eastAsia="en-AU"/>
        </w:rPr>
        <w:t>,</w:t>
      </w:r>
      <w:r w:rsidR="00036CBE" w:rsidRPr="003F1956">
        <w:rPr>
          <w:rStyle w:val="FootnoteReference"/>
          <w:lang w:eastAsia="en-AU"/>
        </w:rPr>
        <w:footnoteReference w:id="27"/>
      </w:r>
      <w:r w:rsidRPr="003F1956">
        <w:rPr>
          <w:lang w:eastAsia="en-AU"/>
        </w:rPr>
        <w:t xml:space="preserve"> the Court of Appeal held that the sentencing statistics for the offence of sexual penetration of a child under 10 “appear difficult to reconcile” with the maximum penalty of 25 years set for the offence – which “reflects the community’s abhorrence of sexual crimes against children.”</w:t>
      </w:r>
      <w:r w:rsidRPr="003F1956">
        <w:rPr>
          <w:rStyle w:val="FootnoteReference"/>
          <w:lang w:eastAsia="en-AU"/>
        </w:rPr>
        <w:footnoteReference w:id="28"/>
      </w:r>
    </w:p>
    <w:p w:rsidR="00550CAC" w:rsidRPr="003F1956" w:rsidRDefault="008125D5" w:rsidP="008879BC">
      <w:pPr>
        <w:pStyle w:val="VLALetterText"/>
        <w:outlineLvl w:val="0"/>
        <w:rPr>
          <w:lang w:eastAsia="en-AU"/>
        </w:rPr>
      </w:pPr>
      <w:r w:rsidRPr="003F1956">
        <w:rPr>
          <w:lang w:eastAsia="en-AU"/>
        </w:rPr>
        <w:t>T</w:t>
      </w:r>
      <w:r w:rsidR="003628D1" w:rsidRPr="003F1956">
        <w:rPr>
          <w:lang w:eastAsia="en-AU"/>
        </w:rPr>
        <w:t xml:space="preserve">he Court of Appeal is well placed to comment on the adequacy of current sentencing practices, to </w:t>
      </w:r>
      <w:r w:rsidR="006C6416" w:rsidRPr="003F1956">
        <w:rPr>
          <w:lang w:eastAsia="en-AU"/>
        </w:rPr>
        <w:t xml:space="preserve">determine the extent to which courts should be constrained by current sentencing practices, and to </w:t>
      </w:r>
      <w:r w:rsidR="003628D1" w:rsidRPr="003F1956">
        <w:rPr>
          <w:lang w:eastAsia="en-AU"/>
        </w:rPr>
        <w:t xml:space="preserve">provide guidance </w:t>
      </w:r>
      <w:r w:rsidR="002D6AD4" w:rsidRPr="003F1956">
        <w:rPr>
          <w:lang w:eastAsia="en-AU"/>
        </w:rPr>
        <w:t xml:space="preserve">as to </w:t>
      </w:r>
      <w:r w:rsidR="00092B0D" w:rsidRPr="003F1956">
        <w:rPr>
          <w:lang w:eastAsia="en-AU"/>
        </w:rPr>
        <w:t>the type of sentence appropriate in the circumstances</w:t>
      </w:r>
      <w:r w:rsidR="002D6AD4" w:rsidRPr="003F1956">
        <w:rPr>
          <w:lang w:eastAsia="en-AU"/>
        </w:rPr>
        <w:t xml:space="preserve">. </w:t>
      </w:r>
      <w:r w:rsidRPr="003F1956">
        <w:rPr>
          <w:lang w:eastAsia="en-AU"/>
        </w:rPr>
        <w:t>I</w:t>
      </w:r>
      <w:r w:rsidR="009F197D" w:rsidRPr="003F1956">
        <w:rPr>
          <w:lang w:eastAsia="en-AU"/>
        </w:rPr>
        <w:t xml:space="preserve">ntermediate appellate courts can appropriately </w:t>
      </w:r>
      <w:r w:rsidR="00245530" w:rsidRPr="003F1956">
        <w:rPr>
          <w:lang w:eastAsia="en-AU"/>
        </w:rPr>
        <w:t xml:space="preserve">interfere to </w:t>
      </w:r>
      <w:r w:rsidR="009F197D" w:rsidRPr="003F1956">
        <w:rPr>
          <w:lang w:eastAsia="en-AU"/>
        </w:rPr>
        <w:t>uplift current sentencing practices where</w:t>
      </w:r>
      <w:r w:rsidRPr="003F1956">
        <w:rPr>
          <w:lang w:eastAsia="en-AU"/>
        </w:rPr>
        <w:t>,</w:t>
      </w:r>
      <w:r w:rsidR="009F197D" w:rsidRPr="003F1956">
        <w:rPr>
          <w:lang w:eastAsia="en-AU"/>
        </w:rPr>
        <w:t xml:space="preserve"> for example</w:t>
      </w:r>
      <w:r w:rsidRPr="003F1956">
        <w:rPr>
          <w:lang w:eastAsia="en-AU"/>
        </w:rPr>
        <w:t>,</w:t>
      </w:r>
      <w:r w:rsidR="009F197D" w:rsidRPr="003F1956">
        <w:rPr>
          <w:lang w:eastAsia="en-AU"/>
        </w:rPr>
        <w:t xml:space="preserve"> there is a shift in community expectations, </w:t>
      </w:r>
      <w:r w:rsidR="00F3461C" w:rsidRPr="003F1956">
        <w:rPr>
          <w:lang w:eastAsia="en-AU"/>
        </w:rPr>
        <w:t>there are</w:t>
      </w:r>
      <w:r w:rsidR="009F197D" w:rsidRPr="003F1956">
        <w:rPr>
          <w:lang w:eastAsia="en-AU"/>
        </w:rPr>
        <w:t xml:space="preserve"> expressions of disquiet; where the objective seriousness of particular conduct has been wrongly categorised, or where evidence suggests the offence has become more prevalent.</w:t>
      </w:r>
      <w:r w:rsidR="009F197D" w:rsidRPr="003F1956">
        <w:rPr>
          <w:rStyle w:val="FootnoteReference"/>
          <w:lang w:eastAsia="en-AU"/>
        </w:rPr>
        <w:footnoteReference w:id="29"/>
      </w:r>
      <w:r w:rsidR="009F197D" w:rsidRPr="003F1956">
        <w:rPr>
          <w:lang w:eastAsia="en-AU"/>
        </w:rPr>
        <w:t xml:space="preserve"> </w:t>
      </w:r>
      <w:r w:rsidR="008879BC" w:rsidRPr="003F1956">
        <w:rPr>
          <w:lang w:eastAsia="en-AU"/>
        </w:rPr>
        <w:t>Unlike mandatory sentencing, Court of Appeal engagement enables the complexity of sentencing practices to be taken into account and modified over time</w:t>
      </w:r>
      <w:r w:rsidR="009F197D" w:rsidRPr="003F1956">
        <w:rPr>
          <w:lang w:eastAsia="en-AU"/>
        </w:rPr>
        <w:t>.</w:t>
      </w:r>
      <w:r w:rsidR="00550CAC" w:rsidRPr="003F1956">
        <w:rPr>
          <w:lang w:eastAsia="en-AU"/>
        </w:rPr>
        <w:t xml:space="preserve"> </w:t>
      </w:r>
    </w:p>
    <w:p w:rsidR="00550CAC" w:rsidRPr="003F1956" w:rsidRDefault="00550CAC" w:rsidP="008879BC">
      <w:pPr>
        <w:pStyle w:val="VLALetterText"/>
        <w:outlineLvl w:val="0"/>
        <w:rPr>
          <w:lang w:eastAsia="en-AU"/>
        </w:rPr>
      </w:pPr>
      <w:r w:rsidRPr="003F1956">
        <w:rPr>
          <w:lang w:eastAsia="en-AU"/>
        </w:rPr>
        <w:t>The prosecution, by virtue of its statutory functions, also plays an important role in this space. Together with the Court, the prosecution operates as “the custodian of sentencing standards in this State… If current sentencing practices need to change, that is the place to start.”</w:t>
      </w:r>
      <w:r w:rsidRPr="003F1956">
        <w:rPr>
          <w:rStyle w:val="FootnoteReference"/>
          <w:lang w:eastAsia="en-AU"/>
        </w:rPr>
        <w:footnoteReference w:id="30"/>
      </w:r>
    </w:p>
    <w:p w:rsidR="009F197D" w:rsidRPr="003F1956" w:rsidRDefault="008125D5" w:rsidP="008879BC">
      <w:pPr>
        <w:pStyle w:val="VLALetterText"/>
        <w:outlineLvl w:val="0"/>
        <w:rPr>
          <w:lang w:eastAsia="en-AU"/>
        </w:rPr>
      </w:pPr>
      <w:r w:rsidRPr="003F1956">
        <w:rPr>
          <w:lang w:eastAsia="en-AU"/>
        </w:rPr>
        <w:t xml:space="preserve">Further consideration should be given to the extent to which Court of Appeal guidance has </w:t>
      </w:r>
      <w:r w:rsidR="00F3461C" w:rsidRPr="003F1956">
        <w:rPr>
          <w:lang w:eastAsia="en-AU"/>
        </w:rPr>
        <w:t>affected</w:t>
      </w:r>
      <w:r w:rsidRPr="003F1956">
        <w:rPr>
          <w:lang w:eastAsia="en-AU"/>
        </w:rPr>
        <w:t xml:space="preserve"> sentencing distribution (with regard to be had to both quantitative and qualitative characteristics). If </w:t>
      </w:r>
      <w:r w:rsidR="00F3461C" w:rsidRPr="003F1956">
        <w:rPr>
          <w:lang w:eastAsia="en-AU"/>
        </w:rPr>
        <w:t>there is compelling evidence to suggest that, despite Court of Appeal engagement, the system has not sufficiently self-corrected, consideration should be given to greater use of guideline judgment provisions, rather than prescriptive legislative sentencing mechanisms that cannot adequately address concerns of consistency or public confidence (see further, page</w:t>
      </w:r>
      <w:r w:rsidR="00AA0AB4" w:rsidRPr="003F1956">
        <w:rPr>
          <w:lang w:eastAsia="en-AU"/>
        </w:rPr>
        <w:t>s 6-1</w:t>
      </w:r>
      <w:r w:rsidR="00993B2F" w:rsidRPr="003F1956">
        <w:rPr>
          <w:lang w:eastAsia="en-AU"/>
        </w:rPr>
        <w:t>1</w:t>
      </w:r>
      <w:r w:rsidR="00F3461C" w:rsidRPr="003F1956">
        <w:rPr>
          <w:lang w:eastAsia="en-AU"/>
        </w:rPr>
        <w:t xml:space="preserve"> below).</w:t>
      </w:r>
    </w:p>
    <w:p w:rsidR="00627C6E" w:rsidRPr="003F1956" w:rsidRDefault="00972C17" w:rsidP="00FA5F59">
      <w:pPr>
        <w:pStyle w:val="Heading2"/>
      </w:pPr>
      <w:r w:rsidRPr="003F1956">
        <w:t>Selection of offences subject to a new sentencing guidance scheme</w:t>
      </w:r>
    </w:p>
    <w:p w:rsidR="00F3461C" w:rsidRPr="003F1956" w:rsidRDefault="003C075B" w:rsidP="00F3461C">
      <w:pPr>
        <w:pStyle w:val="VLALetterText"/>
        <w:outlineLvl w:val="0"/>
        <w:rPr>
          <w:lang w:eastAsia="en-AU"/>
        </w:rPr>
      </w:pPr>
      <w:r w:rsidRPr="003F1956">
        <w:rPr>
          <w:lang w:eastAsia="en-AU"/>
        </w:rPr>
        <w:t xml:space="preserve">The first step must be to ensure an evidence-base exists: is there a problem to be fixed in respect of the particular offence? </w:t>
      </w:r>
      <w:r w:rsidR="008A208A" w:rsidRPr="003F1956">
        <w:rPr>
          <w:lang w:eastAsia="en-AU"/>
        </w:rPr>
        <w:t>Second</w:t>
      </w:r>
      <w:r w:rsidRPr="003F1956">
        <w:rPr>
          <w:lang w:eastAsia="en-AU"/>
        </w:rPr>
        <w:t xml:space="preserve">, </w:t>
      </w:r>
      <w:r w:rsidR="008A208A" w:rsidRPr="003F1956">
        <w:rPr>
          <w:lang w:eastAsia="en-AU"/>
        </w:rPr>
        <w:t xml:space="preserve">the </w:t>
      </w:r>
      <w:r w:rsidRPr="003F1956">
        <w:rPr>
          <w:lang w:eastAsia="en-AU"/>
        </w:rPr>
        <w:t xml:space="preserve">offences </w:t>
      </w:r>
      <w:r w:rsidR="008A208A" w:rsidRPr="003F1956">
        <w:rPr>
          <w:lang w:eastAsia="en-AU"/>
        </w:rPr>
        <w:t xml:space="preserve">targeted </w:t>
      </w:r>
      <w:r w:rsidRPr="003F1956">
        <w:rPr>
          <w:lang w:eastAsia="en-AU"/>
        </w:rPr>
        <w:t xml:space="preserve">should be sufficiently </w:t>
      </w:r>
      <w:r w:rsidR="008A208A" w:rsidRPr="003F1956">
        <w:rPr>
          <w:lang w:eastAsia="en-AU"/>
        </w:rPr>
        <w:t xml:space="preserve">prevalent and higher in </w:t>
      </w:r>
      <w:r w:rsidR="00036CBE" w:rsidRPr="003F1956">
        <w:rPr>
          <w:lang w:eastAsia="en-AU"/>
        </w:rPr>
        <w:t xml:space="preserve">objective </w:t>
      </w:r>
      <w:r w:rsidR="008A208A" w:rsidRPr="003F1956">
        <w:rPr>
          <w:lang w:eastAsia="en-AU"/>
        </w:rPr>
        <w:t>offence seriousness. Depending on the sentencing scheme adopted, o</w:t>
      </w:r>
      <w:r w:rsidR="00F3461C" w:rsidRPr="003F1956">
        <w:rPr>
          <w:lang w:eastAsia="en-AU"/>
        </w:rPr>
        <w:t xml:space="preserve">ffences that span a wider degree of behaviour and objective seriousness should be excluded, given the potential for unfairness and unintended consequences. </w:t>
      </w:r>
    </w:p>
    <w:p w:rsidR="003C075B" w:rsidRPr="003F1956" w:rsidRDefault="003C075B">
      <w:pPr>
        <w:spacing w:after="0" w:line="240" w:lineRule="auto"/>
        <w:rPr>
          <w:rFonts w:cs="Arial"/>
          <w:b/>
          <w:bCs/>
          <w:color w:val="971A4B"/>
          <w:kern w:val="32"/>
          <w:sz w:val="28"/>
          <w:szCs w:val="28"/>
          <w:lang w:eastAsia="en-AU"/>
        </w:rPr>
      </w:pPr>
      <w:r w:rsidRPr="003F1956">
        <w:rPr>
          <w:sz w:val="28"/>
          <w:szCs w:val="28"/>
        </w:rPr>
        <w:br w:type="page"/>
      </w:r>
    </w:p>
    <w:p w:rsidR="004B6273" w:rsidRPr="003F1956" w:rsidRDefault="006D6838" w:rsidP="00FD5308">
      <w:pPr>
        <w:pStyle w:val="Heading1"/>
        <w:rPr>
          <w:sz w:val="28"/>
          <w:szCs w:val="28"/>
        </w:rPr>
      </w:pPr>
      <w:bookmarkStart w:id="4" w:name="_Toc443045571"/>
      <w:r w:rsidRPr="003F1956">
        <w:rPr>
          <w:sz w:val="28"/>
          <w:szCs w:val="28"/>
        </w:rPr>
        <w:lastRenderedPageBreak/>
        <w:t>M</w:t>
      </w:r>
      <w:r w:rsidR="001362F0" w:rsidRPr="003F1956">
        <w:rPr>
          <w:sz w:val="28"/>
          <w:szCs w:val="28"/>
        </w:rPr>
        <w:t>echanisms for sentencing guidance</w:t>
      </w:r>
      <w:bookmarkEnd w:id="4"/>
    </w:p>
    <w:p w:rsidR="00C864B0" w:rsidRPr="003F1956" w:rsidRDefault="00A75111" w:rsidP="00FA5F59">
      <w:pPr>
        <w:pStyle w:val="Heading2"/>
      </w:pPr>
      <w:bookmarkStart w:id="5" w:name="_Toc443045572"/>
      <w:r w:rsidRPr="003F1956">
        <w:t xml:space="preserve">(a) </w:t>
      </w:r>
      <w:r w:rsidR="004B6273" w:rsidRPr="003F1956">
        <w:t xml:space="preserve">Mandatory </w:t>
      </w:r>
      <w:r w:rsidR="00036CBE" w:rsidRPr="003F1956">
        <w:t>s</w:t>
      </w:r>
      <w:r w:rsidR="004B6273" w:rsidRPr="003F1956">
        <w:t>entences</w:t>
      </w:r>
      <w:bookmarkEnd w:id="5"/>
    </w:p>
    <w:p w:rsidR="00C864B0" w:rsidRPr="003F1956" w:rsidRDefault="00C864B0" w:rsidP="00FA5F59">
      <w:pPr>
        <w:pStyle w:val="Heading3"/>
      </w:pPr>
      <w:r w:rsidRPr="003F1956">
        <w:t>Should mandatory sentences be introduced?</w:t>
      </w:r>
    </w:p>
    <w:p w:rsidR="00877F88" w:rsidRPr="003F1956" w:rsidRDefault="00877F88" w:rsidP="002B0F04">
      <w:pPr>
        <w:pStyle w:val="VLALetterText"/>
        <w:spacing w:after="0"/>
        <w:outlineLvl w:val="0"/>
        <w:rPr>
          <w:lang w:eastAsia="en-AU"/>
        </w:rPr>
      </w:pPr>
      <w:r w:rsidRPr="003F1956">
        <w:rPr>
          <w:lang w:eastAsia="en-AU"/>
        </w:rPr>
        <w:t xml:space="preserve">VLA's </w:t>
      </w:r>
      <w:r w:rsidR="002B0F04" w:rsidRPr="003F1956">
        <w:rPr>
          <w:lang w:eastAsia="en-AU"/>
        </w:rPr>
        <w:t xml:space="preserve">practice </w:t>
      </w:r>
      <w:r w:rsidRPr="003F1956">
        <w:rPr>
          <w:lang w:eastAsia="en-AU"/>
        </w:rPr>
        <w:t>experience is that judicial discretion in sentencing is central to the administration of</w:t>
      </w:r>
    </w:p>
    <w:p w:rsidR="003E020E" w:rsidRPr="003F1956" w:rsidRDefault="00877F88" w:rsidP="00C15C7C">
      <w:pPr>
        <w:pStyle w:val="VLALetterText"/>
        <w:spacing w:after="0"/>
        <w:outlineLvl w:val="0"/>
        <w:rPr>
          <w:lang w:eastAsia="en-AU"/>
        </w:rPr>
      </w:pPr>
      <w:proofErr w:type="gramStart"/>
      <w:r w:rsidRPr="003F1956">
        <w:rPr>
          <w:lang w:eastAsia="en-AU"/>
        </w:rPr>
        <w:t>justice</w:t>
      </w:r>
      <w:proofErr w:type="gramEnd"/>
      <w:r w:rsidRPr="003F1956">
        <w:rPr>
          <w:lang w:eastAsia="en-AU"/>
        </w:rPr>
        <w:t xml:space="preserve">. </w:t>
      </w:r>
      <w:r w:rsidR="002B0F04" w:rsidRPr="003F1956">
        <w:rPr>
          <w:lang w:eastAsia="en-AU"/>
        </w:rPr>
        <w:t>E</w:t>
      </w:r>
      <w:r w:rsidRPr="003F1956">
        <w:rPr>
          <w:lang w:eastAsia="en-AU"/>
        </w:rPr>
        <w:t xml:space="preserve">very criminal case is different and requires a tailored response. </w:t>
      </w:r>
      <w:r w:rsidR="002B0F04" w:rsidRPr="003F1956">
        <w:rPr>
          <w:lang w:eastAsia="en-AU"/>
        </w:rPr>
        <w:t>In some cases lengthy terms of imprisonment are required; in others</w:t>
      </w:r>
      <w:r w:rsidR="00A54495" w:rsidRPr="003F1956">
        <w:rPr>
          <w:lang w:eastAsia="en-AU"/>
        </w:rPr>
        <w:t>,</w:t>
      </w:r>
      <w:r w:rsidR="002B0F04" w:rsidRPr="003F1956">
        <w:rPr>
          <w:lang w:eastAsia="en-AU"/>
        </w:rPr>
        <w:t xml:space="preserve"> the right outcome having regard to the offending and the offender, is a merciful one. Our practitioners are acutely aware of the difficulties </w:t>
      </w:r>
      <w:r w:rsidR="00AE00C0" w:rsidRPr="003F1956">
        <w:rPr>
          <w:lang w:eastAsia="en-AU"/>
        </w:rPr>
        <w:t>faced when</w:t>
      </w:r>
      <w:r w:rsidR="002B0F04" w:rsidRPr="003F1956">
        <w:rPr>
          <w:lang w:eastAsia="en-AU"/>
        </w:rPr>
        <w:t xml:space="preserve"> cases and offenders </w:t>
      </w:r>
      <w:r w:rsidR="00AE00C0" w:rsidRPr="003F1956">
        <w:rPr>
          <w:lang w:eastAsia="en-AU"/>
        </w:rPr>
        <w:t xml:space="preserve">are placed </w:t>
      </w:r>
      <w:r w:rsidR="002B0F04" w:rsidRPr="003F1956">
        <w:rPr>
          <w:lang w:eastAsia="en-AU"/>
        </w:rPr>
        <w:t>into strict categories</w:t>
      </w:r>
      <w:r w:rsidR="003E020E" w:rsidRPr="003F1956">
        <w:rPr>
          <w:lang w:eastAsia="en-AU"/>
        </w:rPr>
        <w:t>.</w:t>
      </w:r>
      <w:r w:rsidR="00AE00C0" w:rsidRPr="003F1956">
        <w:rPr>
          <w:lang w:eastAsia="en-AU"/>
        </w:rPr>
        <w:t xml:space="preserve"> </w:t>
      </w:r>
      <w:r w:rsidR="009A6798" w:rsidRPr="003F1956">
        <w:rPr>
          <w:lang w:eastAsia="en-AU"/>
        </w:rPr>
        <w:t>VLA’s experience in assisting people</w:t>
      </w:r>
      <w:r w:rsidR="005F3B19" w:rsidRPr="003F1956">
        <w:rPr>
          <w:lang w:eastAsia="en-AU"/>
        </w:rPr>
        <w:t xml:space="preserve"> </w:t>
      </w:r>
      <w:r w:rsidR="009A6798" w:rsidRPr="003F1956">
        <w:rPr>
          <w:lang w:eastAsia="en-AU"/>
        </w:rPr>
        <w:t xml:space="preserve">charged </w:t>
      </w:r>
      <w:r w:rsidR="00036CBE" w:rsidRPr="003F1956">
        <w:rPr>
          <w:lang w:eastAsia="en-AU"/>
        </w:rPr>
        <w:t>with</w:t>
      </w:r>
      <w:r w:rsidR="009A6798" w:rsidRPr="003F1956">
        <w:rPr>
          <w:lang w:eastAsia="en-AU"/>
        </w:rPr>
        <w:t xml:space="preserve"> people smuggling provides an apt example</w:t>
      </w:r>
      <w:r w:rsidR="0050056A" w:rsidRPr="003F1956">
        <w:rPr>
          <w:lang w:eastAsia="en-AU"/>
        </w:rPr>
        <w:t>.</w:t>
      </w:r>
    </w:p>
    <w:p w:rsidR="00EB1B74" w:rsidRPr="003F1956" w:rsidRDefault="00EB1B74" w:rsidP="002B0F04">
      <w:pPr>
        <w:pStyle w:val="VLALetterText"/>
        <w:outlineLvl w:val="0"/>
        <w:rPr>
          <w:lang w:eastAsia="en-AU"/>
        </w:rPr>
      </w:pPr>
    </w:p>
    <w:p w:rsidR="005F3B19" w:rsidRPr="003F1956" w:rsidRDefault="005F3B19" w:rsidP="005F3B19">
      <w:pPr>
        <w:pStyle w:val="VLALetterText"/>
        <w:shd w:val="clear" w:color="auto" w:fill="D9D9D9" w:themeFill="background1" w:themeFillShade="D9"/>
        <w:spacing w:after="240"/>
        <w:ind w:left="709"/>
        <w:outlineLvl w:val="0"/>
        <w:rPr>
          <w:sz w:val="21"/>
          <w:szCs w:val="21"/>
        </w:rPr>
      </w:pPr>
      <w:r w:rsidRPr="003F1956">
        <w:rPr>
          <w:lang w:eastAsia="en-AU"/>
        </w:rPr>
        <w:t>In 2011</w:t>
      </w:r>
      <w:r w:rsidR="00C15C7C" w:rsidRPr="003F1956">
        <w:rPr>
          <w:lang w:eastAsia="en-AU"/>
        </w:rPr>
        <w:t>-2012</w:t>
      </w:r>
      <w:r w:rsidRPr="003F1956">
        <w:rPr>
          <w:lang w:eastAsia="en-AU"/>
        </w:rPr>
        <w:t xml:space="preserve"> VLA assisted or arranged legal representation for 6</w:t>
      </w:r>
      <w:r w:rsidR="00C15C7C" w:rsidRPr="003F1956">
        <w:rPr>
          <w:lang w:eastAsia="en-AU"/>
        </w:rPr>
        <w:t>6</w:t>
      </w:r>
      <w:r w:rsidRPr="003F1956">
        <w:rPr>
          <w:lang w:eastAsia="en-AU"/>
        </w:rPr>
        <w:t xml:space="preserve"> people charged with the offence of aggravated people smuggling </w:t>
      </w:r>
      <w:r w:rsidR="008A62CE" w:rsidRPr="003F1956">
        <w:rPr>
          <w:lang w:eastAsia="en-AU"/>
        </w:rPr>
        <w:t xml:space="preserve">under the </w:t>
      </w:r>
      <w:r w:rsidR="008A62CE" w:rsidRPr="003F1956">
        <w:rPr>
          <w:i/>
          <w:lang w:eastAsia="en-AU"/>
        </w:rPr>
        <w:t>Migration Act</w:t>
      </w:r>
      <w:r w:rsidRPr="003F1956">
        <w:rPr>
          <w:i/>
          <w:lang w:eastAsia="en-AU"/>
        </w:rPr>
        <w:t xml:space="preserve"> 1958 </w:t>
      </w:r>
      <w:r w:rsidRPr="003F1956">
        <w:rPr>
          <w:lang w:eastAsia="en-AU"/>
        </w:rPr>
        <w:t>(</w:t>
      </w:r>
      <w:proofErr w:type="spellStart"/>
      <w:r w:rsidRPr="003F1956">
        <w:rPr>
          <w:lang w:eastAsia="en-AU"/>
        </w:rPr>
        <w:t>Cth</w:t>
      </w:r>
      <w:proofErr w:type="spellEnd"/>
      <w:r w:rsidR="00C15C7C" w:rsidRPr="003F1956">
        <w:rPr>
          <w:lang w:eastAsia="en-AU"/>
        </w:rPr>
        <w:t>), an offence that</w:t>
      </w:r>
      <w:r w:rsidRPr="003F1956">
        <w:rPr>
          <w:sz w:val="21"/>
          <w:szCs w:val="21"/>
        </w:rPr>
        <w:t xml:space="preserve"> attracts a mandatory minimum sentence of imprison</w:t>
      </w:r>
      <w:r w:rsidR="00F36D12" w:rsidRPr="003F1956">
        <w:rPr>
          <w:sz w:val="21"/>
          <w:szCs w:val="21"/>
        </w:rPr>
        <w:t>ment of five years with a three-</w:t>
      </w:r>
      <w:r w:rsidRPr="003F1956">
        <w:rPr>
          <w:sz w:val="21"/>
          <w:szCs w:val="21"/>
        </w:rPr>
        <w:t>year non-parole period.</w:t>
      </w:r>
    </w:p>
    <w:p w:rsidR="00C15C7C" w:rsidRPr="003F1956" w:rsidRDefault="00C15C7C" w:rsidP="005F3B19">
      <w:pPr>
        <w:pStyle w:val="VLALetterText"/>
        <w:shd w:val="clear" w:color="auto" w:fill="D9D9D9" w:themeFill="background1" w:themeFillShade="D9"/>
        <w:spacing w:after="240"/>
        <w:ind w:left="709"/>
        <w:outlineLvl w:val="0"/>
        <w:rPr>
          <w:lang w:eastAsia="en-AU"/>
        </w:rPr>
      </w:pPr>
      <w:r w:rsidRPr="003F1956">
        <w:rPr>
          <w:lang w:eastAsia="en-AU"/>
        </w:rPr>
        <w:t xml:space="preserve">Most of those charged were poor, illiterate Indonesian fishermen who were either tricked or promised a paltry sum to transport passengers. Many were unaware they would be travelling to Australia or transporting a human cargo until they were already at sea and had no choice but to continue. </w:t>
      </w:r>
    </w:p>
    <w:p w:rsidR="00A54495" w:rsidRPr="003F1956" w:rsidRDefault="002B0F04" w:rsidP="00EB1B74">
      <w:pPr>
        <w:pStyle w:val="VLALetterText"/>
        <w:shd w:val="clear" w:color="auto" w:fill="D9D9D9" w:themeFill="background1" w:themeFillShade="D9"/>
        <w:spacing w:after="240"/>
        <w:ind w:left="709"/>
        <w:outlineLvl w:val="0"/>
        <w:rPr>
          <w:lang w:eastAsia="en-AU"/>
        </w:rPr>
      </w:pPr>
      <w:r w:rsidRPr="003F1956">
        <w:rPr>
          <w:lang w:eastAsia="en-AU"/>
        </w:rPr>
        <w:t xml:space="preserve">The removal of sentencing discretion resulted in </w:t>
      </w:r>
      <w:r w:rsidR="00D3598A" w:rsidRPr="003F1956">
        <w:rPr>
          <w:lang w:eastAsia="en-AU"/>
        </w:rPr>
        <w:t xml:space="preserve">the imposition of </w:t>
      </w:r>
      <w:r w:rsidRPr="003F1956">
        <w:rPr>
          <w:lang w:eastAsia="en-AU"/>
        </w:rPr>
        <w:t xml:space="preserve">disproportionately lengthy imprisonment terms </w:t>
      </w:r>
      <w:r w:rsidR="00D3598A" w:rsidRPr="003F1956">
        <w:rPr>
          <w:lang w:eastAsia="en-AU"/>
        </w:rPr>
        <w:t xml:space="preserve">on ‘expendable boat crew members’ </w:t>
      </w:r>
      <w:r w:rsidRPr="003F1956">
        <w:rPr>
          <w:lang w:eastAsia="en-AU"/>
        </w:rPr>
        <w:t xml:space="preserve">for low culpability offending. </w:t>
      </w:r>
    </w:p>
    <w:p w:rsidR="002B0F04" w:rsidRPr="003F1956" w:rsidRDefault="00A54495" w:rsidP="00A54495">
      <w:pPr>
        <w:pStyle w:val="VLALetterText"/>
        <w:shd w:val="clear" w:color="auto" w:fill="D9D9D9" w:themeFill="background1" w:themeFillShade="D9"/>
        <w:spacing w:after="240"/>
        <w:ind w:left="709"/>
        <w:outlineLvl w:val="0"/>
        <w:rPr>
          <w:lang w:eastAsia="en-AU"/>
        </w:rPr>
      </w:pPr>
      <w:r w:rsidRPr="003F1956">
        <w:rPr>
          <w:lang w:eastAsia="en-AU"/>
        </w:rPr>
        <w:t xml:space="preserve">In a practical sense, the consequence was </w:t>
      </w:r>
      <w:r w:rsidR="00D3598A" w:rsidRPr="003F1956">
        <w:rPr>
          <w:lang w:eastAsia="en-AU"/>
        </w:rPr>
        <w:t>an enormous backlog of trials</w:t>
      </w:r>
      <w:r w:rsidR="001165F0" w:rsidRPr="003F1956">
        <w:rPr>
          <w:lang w:eastAsia="en-AU"/>
        </w:rPr>
        <w:t xml:space="preserve">, with the </w:t>
      </w:r>
      <w:r w:rsidR="00023D59" w:rsidRPr="003F1956">
        <w:rPr>
          <w:lang w:eastAsia="en-AU"/>
        </w:rPr>
        <w:t xml:space="preserve">County </w:t>
      </w:r>
      <w:r w:rsidR="001165F0" w:rsidRPr="003F1956">
        <w:rPr>
          <w:lang w:eastAsia="en-AU"/>
        </w:rPr>
        <w:t xml:space="preserve">Court listing super mentions in its </w:t>
      </w:r>
      <w:r w:rsidR="00023D59" w:rsidRPr="003F1956">
        <w:rPr>
          <w:lang w:eastAsia="en-AU"/>
        </w:rPr>
        <w:t>‘</w:t>
      </w:r>
      <w:r w:rsidR="001165F0" w:rsidRPr="003F1956">
        <w:rPr>
          <w:lang w:eastAsia="en-AU"/>
        </w:rPr>
        <w:t xml:space="preserve">ceremonial </w:t>
      </w:r>
      <w:r w:rsidR="00036CBE" w:rsidRPr="003F1956">
        <w:rPr>
          <w:lang w:eastAsia="en-AU"/>
        </w:rPr>
        <w:t>C</w:t>
      </w:r>
      <w:r w:rsidR="001165F0" w:rsidRPr="003F1956">
        <w:rPr>
          <w:lang w:eastAsia="en-AU"/>
        </w:rPr>
        <w:t>ourt</w:t>
      </w:r>
      <w:r w:rsidR="00023D59" w:rsidRPr="003F1956">
        <w:rPr>
          <w:lang w:eastAsia="en-AU"/>
        </w:rPr>
        <w:t>’</w:t>
      </w:r>
      <w:r w:rsidR="001165F0" w:rsidRPr="003F1956">
        <w:rPr>
          <w:lang w:eastAsia="en-AU"/>
        </w:rPr>
        <w:t xml:space="preserve"> in an attempt to expedite matters</w:t>
      </w:r>
      <w:r w:rsidR="00D3598A" w:rsidRPr="003F1956">
        <w:rPr>
          <w:lang w:eastAsia="en-AU"/>
        </w:rPr>
        <w:t>. Without an incentive to plead guilty, most proceeded to trial, with significant resourcing and delay implications</w:t>
      </w:r>
      <w:r w:rsidR="00B21F06" w:rsidRPr="003F1956">
        <w:rPr>
          <w:lang w:eastAsia="en-AU"/>
        </w:rPr>
        <w:t xml:space="preserve"> for courts, legal services and custodial facilities</w:t>
      </w:r>
      <w:r w:rsidR="00D3598A" w:rsidRPr="003F1956">
        <w:rPr>
          <w:lang w:eastAsia="en-AU"/>
        </w:rPr>
        <w:t xml:space="preserve">. </w:t>
      </w:r>
    </w:p>
    <w:p w:rsidR="00023D59" w:rsidRPr="003F1956" w:rsidRDefault="00993B2F" w:rsidP="00023D59">
      <w:pPr>
        <w:pStyle w:val="VLALetterText"/>
        <w:shd w:val="clear" w:color="auto" w:fill="D9D9D9" w:themeFill="background1" w:themeFillShade="D9"/>
        <w:spacing w:after="240"/>
        <w:ind w:left="709"/>
        <w:outlineLvl w:val="0"/>
        <w:rPr>
          <w:lang w:eastAsia="en-AU"/>
        </w:rPr>
      </w:pPr>
      <w:r w:rsidRPr="003F1956">
        <w:rPr>
          <w:lang w:eastAsia="en-AU"/>
        </w:rPr>
        <w:t>In re</w:t>
      </w:r>
      <w:r w:rsidR="00023D59" w:rsidRPr="003F1956">
        <w:rPr>
          <w:lang w:eastAsia="en-AU"/>
        </w:rPr>
        <w:t>sponse to the backlog of prosecutions</w:t>
      </w:r>
      <w:r w:rsidRPr="003F1956">
        <w:rPr>
          <w:lang w:eastAsia="en-AU"/>
        </w:rPr>
        <w:t xml:space="preserve"> and pressure on the courts</w:t>
      </w:r>
      <w:r w:rsidR="00023D59" w:rsidRPr="003F1956">
        <w:rPr>
          <w:lang w:eastAsia="en-AU"/>
        </w:rPr>
        <w:t>,</w:t>
      </w:r>
      <w:r w:rsidRPr="003F1956">
        <w:rPr>
          <w:lang w:eastAsia="en-AU"/>
        </w:rPr>
        <w:t xml:space="preserve"> and in recognition of the injustice of mandatory minimum provisions, </w:t>
      </w:r>
      <w:r w:rsidR="00023D59" w:rsidRPr="003F1956">
        <w:rPr>
          <w:lang w:eastAsia="en-AU"/>
        </w:rPr>
        <w:t xml:space="preserve">in 2012 the Attorney-General issued a people smuggling </w:t>
      </w:r>
      <w:r w:rsidR="002D273C" w:rsidRPr="003F1956">
        <w:rPr>
          <w:lang w:eastAsia="en-AU"/>
        </w:rPr>
        <w:t>D</w:t>
      </w:r>
      <w:r w:rsidR="00023D59" w:rsidRPr="003F1956">
        <w:rPr>
          <w:lang w:eastAsia="en-AU"/>
        </w:rPr>
        <w:t xml:space="preserve">irection. That Direction precluded the Commonwealth Director of Public Prosecutions (CDPP) from charging first time, low culpability offenders with offences that carried mandatory minimum penalties, </w:t>
      </w:r>
      <w:r w:rsidR="00036CBE" w:rsidRPr="003F1956">
        <w:rPr>
          <w:lang w:eastAsia="en-AU"/>
        </w:rPr>
        <w:t>instead directing</w:t>
      </w:r>
      <w:r w:rsidR="00023D59" w:rsidRPr="003F1956">
        <w:rPr>
          <w:lang w:eastAsia="en-AU"/>
        </w:rPr>
        <w:t xml:space="preserve"> the CDPP to pursue an alternative charge (without a mandatory minimum).</w:t>
      </w:r>
      <w:r w:rsidR="00023D59" w:rsidRPr="003F1956">
        <w:rPr>
          <w:rStyle w:val="FootnoteReference"/>
          <w:lang w:eastAsia="en-AU"/>
        </w:rPr>
        <w:footnoteReference w:id="31"/>
      </w:r>
    </w:p>
    <w:p w:rsidR="003F2117" w:rsidRPr="003F1956" w:rsidRDefault="006368C5" w:rsidP="00D3598A">
      <w:r w:rsidRPr="003F1956">
        <w:t>The example above demonstrates how mandatory sentencing laws</w:t>
      </w:r>
      <w:r w:rsidR="003F2117" w:rsidRPr="003F1956">
        <w:t xml:space="preserve"> “conceived in the abstract” </w:t>
      </w:r>
      <w:r w:rsidR="001165F0" w:rsidRPr="003F1956">
        <w:t xml:space="preserve">can often </w:t>
      </w:r>
      <w:r w:rsidR="003F2117" w:rsidRPr="003F1956">
        <w:t>become “absurdities in practice” – with disproportionate impact on the disadvantaged.</w:t>
      </w:r>
      <w:r w:rsidR="003F2117" w:rsidRPr="003F1956">
        <w:rPr>
          <w:rStyle w:val="FootnoteReference"/>
          <w:lang w:eastAsia="en-AU"/>
        </w:rPr>
        <w:footnoteReference w:id="32"/>
      </w:r>
      <w:r w:rsidR="003F2117" w:rsidRPr="003F1956">
        <w:t xml:space="preserve"> </w:t>
      </w:r>
    </w:p>
    <w:p w:rsidR="00FD15B2" w:rsidRPr="003F1956" w:rsidRDefault="00FD15B2" w:rsidP="00FD15B2">
      <w:r w:rsidRPr="003F1956">
        <w:rPr>
          <w:lang w:eastAsia="en-AU"/>
        </w:rPr>
        <w:t>Mandatory sentencing regimes are not supp</w:t>
      </w:r>
      <w:r w:rsidR="00036CBE" w:rsidRPr="003F1956">
        <w:rPr>
          <w:lang w:eastAsia="en-AU"/>
        </w:rPr>
        <w:t>orted by the rationale proposed,</w:t>
      </w:r>
      <w:r w:rsidRPr="003F1956">
        <w:rPr>
          <w:lang w:eastAsia="en-AU"/>
        </w:rPr>
        <w:t xml:space="preserve"> namely increased consistency and enhanced public confidence.</w:t>
      </w:r>
    </w:p>
    <w:p w:rsidR="00FD15B2" w:rsidRPr="003F1956" w:rsidRDefault="0030112F" w:rsidP="00FD15B2">
      <w:r w:rsidRPr="003F1956">
        <w:t xml:space="preserve">While mandatory sentences </w:t>
      </w:r>
      <w:r w:rsidR="00F74D76" w:rsidRPr="003F1956">
        <w:rPr>
          <w:i/>
        </w:rPr>
        <w:t>appear</w:t>
      </w:r>
      <w:r w:rsidR="00F74D76" w:rsidRPr="003F1956">
        <w:t xml:space="preserve"> to produce</w:t>
      </w:r>
      <w:r w:rsidRPr="003F1956">
        <w:t xml:space="preserve"> consistency in </w:t>
      </w:r>
      <w:r w:rsidR="00F74D76" w:rsidRPr="003F1956">
        <w:t xml:space="preserve">sentencing </w:t>
      </w:r>
      <w:r w:rsidRPr="003F1956">
        <w:t xml:space="preserve">approach, practice experience </w:t>
      </w:r>
      <w:r w:rsidR="00122328" w:rsidRPr="003F1956">
        <w:t>dictates</w:t>
      </w:r>
      <w:r w:rsidRPr="003F1956">
        <w:t xml:space="preserve"> that </w:t>
      </w:r>
      <w:r w:rsidR="00D55D39" w:rsidRPr="003F1956">
        <w:t xml:space="preserve">any </w:t>
      </w:r>
      <w:r w:rsidR="00F74D76" w:rsidRPr="003F1956">
        <w:t>consistency is largely superficial. D</w:t>
      </w:r>
      <w:r w:rsidRPr="003F1956">
        <w:t xml:space="preserve">iscretion is simply shifted to </w:t>
      </w:r>
      <w:r w:rsidRPr="003F1956">
        <w:lastRenderedPageBreak/>
        <w:t>prosecutors and law enforcement agencies where there is reduced transparency and accountability</w:t>
      </w:r>
      <w:r w:rsidR="00F74D76" w:rsidRPr="003F1956">
        <w:t>,</w:t>
      </w:r>
      <w:r w:rsidR="00C85612" w:rsidRPr="003F1956">
        <w:t xml:space="preserve"> and </w:t>
      </w:r>
      <w:r w:rsidR="00795CD8" w:rsidRPr="003F1956">
        <w:t xml:space="preserve">where </w:t>
      </w:r>
      <w:r w:rsidR="00C85612" w:rsidRPr="003F1956">
        <w:t>inconsistencies in approach are hidden (for example through the plea bargaining process)</w:t>
      </w:r>
      <w:r w:rsidRPr="003F1956">
        <w:t xml:space="preserve">. </w:t>
      </w:r>
      <w:r w:rsidR="00122328" w:rsidRPr="003F1956">
        <w:t>J</w:t>
      </w:r>
      <w:r w:rsidR="006368C5" w:rsidRPr="003F1956">
        <w:t xml:space="preserve">uries, judges and practitioners </w:t>
      </w:r>
      <w:r w:rsidR="00122328" w:rsidRPr="003F1956">
        <w:t xml:space="preserve">find </w:t>
      </w:r>
      <w:r w:rsidR="006368C5" w:rsidRPr="003F1956">
        <w:t>ways to circumvent the unfairness of mandatory sentencing</w:t>
      </w:r>
      <w:r w:rsidR="00A96986" w:rsidRPr="003F1956">
        <w:t>.</w:t>
      </w:r>
      <w:r w:rsidR="00312431" w:rsidRPr="003F1956">
        <w:rPr>
          <w:rStyle w:val="FootnoteReference"/>
        </w:rPr>
        <w:footnoteReference w:id="33"/>
      </w:r>
      <w:r w:rsidR="00A96986" w:rsidRPr="003F1956">
        <w:t xml:space="preserve"> </w:t>
      </w:r>
    </w:p>
    <w:p w:rsidR="00795CD8" w:rsidRPr="003F1956" w:rsidRDefault="00F74D76" w:rsidP="00FD15B2">
      <w:pPr>
        <w:rPr>
          <w:lang w:eastAsia="en-AU"/>
        </w:rPr>
      </w:pPr>
      <w:r w:rsidRPr="003F1956">
        <w:t xml:space="preserve">Under the guise of enhancing consistency, mandatory schemes </w:t>
      </w:r>
      <w:r w:rsidRPr="003F1956">
        <w:rPr>
          <w:lang w:eastAsia="en-AU"/>
        </w:rPr>
        <w:t xml:space="preserve">produce arbitrary and </w:t>
      </w:r>
      <w:r w:rsidRPr="003F1956">
        <w:rPr>
          <w:i/>
        </w:rPr>
        <w:t>unjustly</w:t>
      </w:r>
      <w:r w:rsidRPr="003F1956">
        <w:t xml:space="preserve"> consistent outcomes, and in doing so, offend against other </w:t>
      </w:r>
      <w:r w:rsidRPr="003F1956">
        <w:rPr>
          <w:lang w:eastAsia="en-AU"/>
        </w:rPr>
        <w:t xml:space="preserve">important principles of sentencing, including individualised justice, proportionality and parsimony. </w:t>
      </w:r>
      <w:r w:rsidRPr="003F1956">
        <w:t>F</w:t>
      </w:r>
      <w:r w:rsidR="00795CD8" w:rsidRPr="003F1956">
        <w:t>or</w:t>
      </w:r>
      <w:r w:rsidR="00BD1929" w:rsidRPr="003F1956">
        <w:t xml:space="preserve"> consistency </w:t>
      </w:r>
      <w:r w:rsidR="00FD15B2" w:rsidRPr="003F1956">
        <w:t>to be meaningful</w:t>
      </w:r>
      <w:r w:rsidR="00BD1929" w:rsidRPr="003F1956">
        <w:t xml:space="preserve"> as a rationale</w:t>
      </w:r>
      <w:r w:rsidR="00FD15B2" w:rsidRPr="003F1956">
        <w:t xml:space="preserve"> for a new sentencing regime</w:t>
      </w:r>
      <w:r w:rsidR="00BD1929" w:rsidRPr="003F1956">
        <w:t xml:space="preserve">, it should require </w:t>
      </w:r>
      <w:r w:rsidR="00FD15B2" w:rsidRPr="003F1956">
        <w:t xml:space="preserve">a </w:t>
      </w:r>
      <w:r w:rsidR="00BD1929" w:rsidRPr="003F1956">
        <w:rPr>
          <w:i/>
        </w:rPr>
        <w:t>similar</w:t>
      </w:r>
      <w:r w:rsidR="00BD1929" w:rsidRPr="003F1956">
        <w:t xml:space="preserve"> </w:t>
      </w:r>
      <w:r w:rsidR="00FD15B2" w:rsidRPr="003F1956">
        <w:t>approach to sentencing</w:t>
      </w:r>
      <w:r w:rsidR="00BD1929" w:rsidRPr="003F1956">
        <w:t xml:space="preserve"> for </w:t>
      </w:r>
      <w:r w:rsidR="00BD1929" w:rsidRPr="003F1956">
        <w:rPr>
          <w:i/>
        </w:rPr>
        <w:t>similar</w:t>
      </w:r>
      <w:r w:rsidR="00BD1929" w:rsidRPr="003F1956">
        <w:t xml:space="preserve"> be</w:t>
      </w:r>
      <w:r w:rsidR="00FD15B2" w:rsidRPr="003F1956">
        <w:t>haviour</w:t>
      </w:r>
      <w:r w:rsidR="00C7726D" w:rsidRPr="003F1956">
        <w:t>. It</w:t>
      </w:r>
      <w:r w:rsidR="00FD15B2" w:rsidRPr="003F1956">
        <w:t xml:space="preserve"> should not require the </w:t>
      </w:r>
      <w:r w:rsidR="00FD15B2" w:rsidRPr="003F1956">
        <w:rPr>
          <w:i/>
        </w:rPr>
        <w:t>same</w:t>
      </w:r>
      <w:r w:rsidR="00FD15B2" w:rsidRPr="003F1956">
        <w:t xml:space="preserve"> punishment to be imposed where offending behaviour and factors personal to the accused dramatically differ</w:t>
      </w:r>
      <w:r w:rsidRPr="003F1956">
        <w:t>, simply</w:t>
      </w:r>
      <w:r w:rsidR="00FD15B2" w:rsidRPr="003F1956">
        <w:t xml:space="preserve"> because the case falls into a particular offence category.</w:t>
      </w:r>
      <w:r w:rsidR="00FD15B2" w:rsidRPr="003F1956">
        <w:rPr>
          <w:rStyle w:val="FootnoteReference"/>
        </w:rPr>
        <w:footnoteReference w:id="34"/>
      </w:r>
      <w:r w:rsidR="00FD15B2" w:rsidRPr="003F1956">
        <w:t xml:space="preserve"> </w:t>
      </w:r>
    </w:p>
    <w:p w:rsidR="001165F0" w:rsidRPr="003F1956" w:rsidRDefault="001165F0" w:rsidP="00D3598A">
      <w:r w:rsidRPr="003F1956">
        <w:t xml:space="preserve">The public outcry over </w:t>
      </w:r>
      <w:r w:rsidR="00FE51AD" w:rsidRPr="003F1956">
        <w:t xml:space="preserve">the injustice of </w:t>
      </w:r>
      <w:r w:rsidRPr="003F1956">
        <w:t>mandatory sentencing regimes</w:t>
      </w:r>
      <w:r w:rsidR="00FE51AD" w:rsidRPr="003F1956">
        <w:t xml:space="preserve"> (for example people smuggling, or mandatory schemes in operation in the </w:t>
      </w:r>
      <w:r w:rsidR="00447C30" w:rsidRPr="003F1956">
        <w:t>N</w:t>
      </w:r>
      <w:r w:rsidR="002D273C" w:rsidRPr="003F1956">
        <w:t xml:space="preserve">orthern </w:t>
      </w:r>
      <w:r w:rsidR="00447C30" w:rsidRPr="003F1956">
        <w:t>T</w:t>
      </w:r>
      <w:r w:rsidR="002D273C" w:rsidRPr="003F1956">
        <w:t>erritory</w:t>
      </w:r>
      <w:r w:rsidR="00FE51AD" w:rsidRPr="003F1956">
        <w:t xml:space="preserve"> or </w:t>
      </w:r>
      <w:r w:rsidR="00447C30" w:rsidRPr="003F1956">
        <w:t>W</w:t>
      </w:r>
      <w:r w:rsidR="002D273C" w:rsidRPr="003F1956">
        <w:t xml:space="preserve">estern </w:t>
      </w:r>
      <w:r w:rsidR="00447C30" w:rsidRPr="003F1956">
        <w:t>A</w:t>
      </w:r>
      <w:r w:rsidR="002D273C" w:rsidRPr="003F1956">
        <w:t>ustralia</w:t>
      </w:r>
      <w:r w:rsidR="00FE51AD" w:rsidRPr="003F1956">
        <w:t>)</w:t>
      </w:r>
      <w:r w:rsidRPr="003F1956">
        <w:rPr>
          <w:lang w:eastAsia="en-AU"/>
        </w:rPr>
        <w:t>, also challenges the assumption that mandatory sentencing will inevitably be effective in enhancing informed public confidence in the criminal justice system.</w:t>
      </w:r>
      <w:r w:rsidR="00AA0AB4" w:rsidRPr="003F1956">
        <w:rPr>
          <w:rStyle w:val="FootnoteReference"/>
          <w:lang w:eastAsia="en-AU"/>
        </w:rPr>
        <w:footnoteReference w:id="35"/>
      </w:r>
    </w:p>
    <w:p w:rsidR="003F2117" w:rsidRPr="003F1956" w:rsidRDefault="00FE51AD" w:rsidP="00B00B79">
      <w:r w:rsidRPr="003F1956">
        <w:t>Consistency and public confidence aside, mandatory sentencing cannot be said to achieve its other stated aims. Mandatory schemes do not deter criminal offending either on a specific or a general basis,</w:t>
      </w:r>
      <w:r w:rsidRPr="003F1956">
        <w:rPr>
          <w:rStyle w:val="FootnoteReference"/>
        </w:rPr>
        <w:footnoteReference w:id="36"/>
      </w:r>
      <w:r w:rsidRPr="003F1956">
        <w:t xml:space="preserve"> and do not protect the community because of the extent to which prison makes it more likely that a person will re-offend.</w:t>
      </w:r>
      <w:r w:rsidRPr="003F1956">
        <w:rPr>
          <w:rStyle w:val="FootnoteReference"/>
        </w:rPr>
        <w:footnoteReference w:id="37"/>
      </w:r>
      <w:r w:rsidRPr="003F1956">
        <w:t xml:space="preserve"> </w:t>
      </w:r>
      <w:r w:rsidR="00C7726D" w:rsidRPr="003F1956">
        <w:t xml:space="preserve">There are also significant </w:t>
      </w:r>
      <w:r w:rsidR="00C85612" w:rsidRPr="003F1956">
        <w:t xml:space="preserve">costs </w:t>
      </w:r>
      <w:r w:rsidR="00C7726D" w:rsidRPr="003F1956">
        <w:t>associated with mandatory sentencing</w:t>
      </w:r>
      <w:r w:rsidR="00A96986" w:rsidRPr="003F1956">
        <w:t>.</w:t>
      </w:r>
      <w:r w:rsidR="00F74D76" w:rsidRPr="003F1956">
        <w:t xml:space="preserve"> </w:t>
      </w:r>
      <w:r w:rsidR="00176A23" w:rsidRPr="003F1956">
        <w:t>For example, m</w:t>
      </w:r>
      <w:r w:rsidR="00C322E4" w:rsidRPr="003F1956">
        <w:t>atters may more likely proceed to trial and then appea</w:t>
      </w:r>
      <w:r w:rsidR="00036CBE" w:rsidRPr="003F1956">
        <w:t>l to avoid a mandatory penalty,</w:t>
      </w:r>
      <w:r w:rsidR="00C322E4" w:rsidRPr="003F1956">
        <w:t xml:space="preserve"> resulting in </w:t>
      </w:r>
      <w:r w:rsidR="00E071BE" w:rsidRPr="003F1956">
        <w:t xml:space="preserve">protracted court processes </w:t>
      </w:r>
      <w:r w:rsidR="00C85612" w:rsidRPr="003F1956">
        <w:t>which m</w:t>
      </w:r>
      <w:r w:rsidR="00C322E4" w:rsidRPr="003F1956">
        <w:t xml:space="preserve">ay impact negatively on victims, </w:t>
      </w:r>
      <w:r w:rsidR="00C85612" w:rsidRPr="003F1956">
        <w:t>cause system-wide delay</w:t>
      </w:r>
      <w:r w:rsidR="00C322E4" w:rsidRPr="003F1956">
        <w:t xml:space="preserve"> and be resource intensive for </w:t>
      </w:r>
      <w:r w:rsidR="002D273C" w:rsidRPr="003F1956">
        <w:t xml:space="preserve">the </w:t>
      </w:r>
      <w:r w:rsidR="00C322E4" w:rsidRPr="003F1956">
        <w:t>defence, prosecution, courts and custodial facilities</w:t>
      </w:r>
      <w:r w:rsidR="00176A23" w:rsidRPr="003F1956">
        <w:t xml:space="preserve"> (which are already at or near capacity)</w:t>
      </w:r>
      <w:r w:rsidR="00C322E4" w:rsidRPr="003F1956">
        <w:t>.</w:t>
      </w:r>
      <w:r w:rsidR="00D55D39" w:rsidRPr="003F1956">
        <w:rPr>
          <w:rStyle w:val="FootnoteReference"/>
        </w:rPr>
        <w:footnoteReference w:id="38"/>
      </w:r>
      <w:r w:rsidR="00176A23" w:rsidRPr="003F1956">
        <w:t xml:space="preserve"> </w:t>
      </w:r>
      <w:r w:rsidR="00D55D39" w:rsidRPr="003F1956">
        <w:t>The immediate and long-term costs of increased incarceration must also be taken into account</w:t>
      </w:r>
      <w:r w:rsidR="002D273C" w:rsidRPr="003F1956">
        <w:t>. These are more</w:t>
      </w:r>
      <w:r w:rsidR="00D55D39" w:rsidRPr="003F1956">
        <w:t xml:space="preserve"> </w:t>
      </w:r>
      <w:r w:rsidR="00B00B79" w:rsidRPr="003F1956">
        <w:t>likely to impact</w:t>
      </w:r>
      <w:r w:rsidR="00D55D39" w:rsidRPr="003F1956">
        <w:t xml:space="preserve"> disproportionately on </w:t>
      </w:r>
      <w:r w:rsidR="00B00B79" w:rsidRPr="003F1956">
        <w:t xml:space="preserve">low culpability offenders and </w:t>
      </w:r>
      <w:r w:rsidR="00D55D39" w:rsidRPr="003F1956">
        <w:t xml:space="preserve">more </w:t>
      </w:r>
      <w:r w:rsidR="002D273C" w:rsidRPr="003F1956">
        <w:t>marginalised members of society</w:t>
      </w:r>
      <w:r w:rsidR="00D55D39" w:rsidRPr="003F1956">
        <w:t>.</w:t>
      </w:r>
    </w:p>
    <w:p w:rsidR="004B6273" w:rsidRPr="003F1956" w:rsidRDefault="004B6273" w:rsidP="00FA5F59">
      <w:pPr>
        <w:pStyle w:val="Heading3"/>
      </w:pPr>
      <w:r w:rsidRPr="003F1956">
        <w:t>Should there be exceptions if a mandatory scheme is introduced?</w:t>
      </w:r>
    </w:p>
    <w:p w:rsidR="00B00B79" w:rsidRPr="003F1956" w:rsidRDefault="00B00B79" w:rsidP="004B6273">
      <w:pPr>
        <w:pStyle w:val="VLALetterText"/>
        <w:outlineLvl w:val="0"/>
        <w:rPr>
          <w:lang w:eastAsia="en-AU"/>
        </w:rPr>
      </w:pPr>
      <w:r w:rsidRPr="003F1956">
        <w:rPr>
          <w:lang w:eastAsia="en-AU"/>
        </w:rPr>
        <w:t xml:space="preserve">As outlined above, </w:t>
      </w:r>
      <w:r w:rsidR="004B6273" w:rsidRPr="003F1956">
        <w:rPr>
          <w:lang w:eastAsia="en-AU"/>
        </w:rPr>
        <w:t xml:space="preserve">VLA does not support a mandatory sentencing scheme. </w:t>
      </w:r>
    </w:p>
    <w:p w:rsidR="004B6273" w:rsidRPr="003F1956" w:rsidRDefault="004B6273" w:rsidP="004B6273">
      <w:pPr>
        <w:pStyle w:val="VLALetterText"/>
        <w:outlineLvl w:val="0"/>
        <w:rPr>
          <w:lang w:eastAsia="en-AU"/>
        </w:rPr>
      </w:pPr>
      <w:r w:rsidRPr="003F1956">
        <w:rPr>
          <w:lang w:eastAsia="en-AU"/>
        </w:rPr>
        <w:t xml:space="preserve">If a mandatory scheme is imposed, judicial discretion must be retained for cases </w:t>
      </w:r>
      <w:r w:rsidR="00B00B79" w:rsidRPr="003F1956">
        <w:rPr>
          <w:lang w:eastAsia="en-AU"/>
        </w:rPr>
        <w:t>where there are sufficient</w:t>
      </w:r>
      <w:r w:rsidRPr="003F1956">
        <w:rPr>
          <w:lang w:eastAsia="en-AU"/>
        </w:rPr>
        <w:t xml:space="preserve"> mitigating factors. </w:t>
      </w:r>
      <w:r w:rsidR="00B00B79" w:rsidRPr="003F1956">
        <w:rPr>
          <w:lang w:eastAsia="en-AU"/>
        </w:rPr>
        <w:t>A list that provides exceptions for young people, and for those with, but not limited to, mental illness</w:t>
      </w:r>
      <w:r w:rsidR="00D72E35" w:rsidRPr="003F1956">
        <w:rPr>
          <w:lang w:eastAsia="en-AU"/>
        </w:rPr>
        <w:t xml:space="preserve">, cognitive impairment and </w:t>
      </w:r>
      <w:r w:rsidR="00B00B79" w:rsidRPr="003F1956">
        <w:rPr>
          <w:lang w:eastAsia="en-AU"/>
        </w:rPr>
        <w:t>intellectual disability is appropriate, similar</w:t>
      </w:r>
      <w:r w:rsidRPr="003F1956">
        <w:rPr>
          <w:lang w:eastAsia="en-AU"/>
        </w:rPr>
        <w:t xml:space="preserve"> to </w:t>
      </w:r>
      <w:r w:rsidRPr="003F1956">
        <w:rPr>
          <w:lang w:eastAsia="en-AU"/>
        </w:rPr>
        <w:lastRenderedPageBreak/>
        <w:t>th</w:t>
      </w:r>
      <w:r w:rsidR="00D72E35" w:rsidRPr="003F1956">
        <w:rPr>
          <w:lang w:eastAsia="en-AU"/>
        </w:rPr>
        <w:t>e exceptions</w:t>
      </w:r>
      <w:r w:rsidRPr="003F1956">
        <w:rPr>
          <w:lang w:eastAsia="en-AU"/>
        </w:rPr>
        <w:t xml:space="preserve"> currently contained in section 10A of the </w:t>
      </w:r>
      <w:r w:rsidRPr="003F1956">
        <w:rPr>
          <w:i/>
          <w:lang w:eastAsia="en-AU"/>
        </w:rPr>
        <w:t>Sentencing Act</w:t>
      </w:r>
      <w:r w:rsidR="00B00B79" w:rsidRPr="003F1956">
        <w:rPr>
          <w:i/>
          <w:lang w:eastAsia="en-AU"/>
        </w:rPr>
        <w:t xml:space="preserve"> 1991 </w:t>
      </w:r>
      <w:r w:rsidR="00B00B79" w:rsidRPr="003F1956">
        <w:rPr>
          <w:lang w:eastAsia="en-AU"/>
        </w:rPr>
        <w:t>(Vic).</w:t>
      </w:r>
      <w:r w:rsidR="00D72E35" w:rsidRPr="003F1956">
        <w:rPr>
          <w:rStyle w:val="FootnoteReference"/>
          <w:lang w:eastAsia="en-AU"/>
        </w:rPr>
        <w:footnoteReference w:id="39"/>
      </w:r>
      <w:r w:rsidR="00B00B79" w:rsidRPr="003F1956">
        <w:rPr>
          <w:lang w:eastAsia="en-AU"/>
        </w:rPr>
        <w:t xml:space="preserve"> A non-exhaustive list of special reasons is required, given the likelihood of the uncontemplated case.</w:t>
      </w:r>
    </w:p>
    <w:p w:rsidR="004B6273" w:rsidRPr="003F1956" w:rsidRDefault="004B6273" w:rsidP="00DF5256">
      <w:pPr>
        <w:pStyle w:val="VLALetterText"/>
        <w:outlineLvl w:val="0"/>
        <w:rPr>
          <w:lang w:eastAsia="en-AU"/>
        </w:rPr>
      </w:pPr>
      <w:r w:rsidRPr="003F1956">
        <w:rPr>
          <w:lang w:eastAsia="en-AU"/>
        </w:rPr>
        <w:t xml:space="preserve">The exception in section </w:t>
      </w:r>
      <w:proofErr w:type="gramStart"/>
      <w:r w:rsidRPr="003F1956">
        <w:rPr>
          <w:lang w:eastAsia="en-AU"/>
        </w:rPr>
        <w:t>10A(</w:t>
      </w:r>
      <w:proofErr w:type="gramEnd"/>
      <w:r w:rsidRPr="003F1956">
        <w:rPr>
          <w:lang w:eastAsia="en-AU"/>
        </w:rPr>
        <w:t xml:space="preserve">2)(b) of the </w:t>
      </w:r>
      <w:r w:rsidRPr="003F1956">
        <w:rPr>
          <w:i/>
          <w:lang w:eastAsia="en-AU"/>
        </w:rPr>
        <w:t>Sentencing Act</w:t>
      </w:r>
      <w:r w:rsidRPr="003F1956">
        <w:rPr>
          <w:lang w:eastAsia="en-AU"/>
        </w:rPr>
        <w:t xml:space="preserve"> for offenders under the age of 21 who are able to prove they have a particular psychosocial immaturity, should, however, be expanded to offenders up to the age of 25 to reflect the evidence that young people mature at inconsistent rates, and that for some, </w:t>
      </w:r>
      <w:r w:rsidR="002D273C" w:rsidRPr="003F1956">
        <w:rPr>
          <w:lang w:eastAsia="en-AU"/>
        </w:rPr>
        <w:t xml:space="preserve">their </w:t>
      </w:r>
      <w:r w:rsidRPr="003F1956">
        <w:rPr>
          <w:lang w:eastAsia="en-AU"/>
        </w:rPr>
        <w:t xml:space="preserve">cognitive, emotional and physiological systems may not approximate a mature adult before </w:t>
      </w:r>
      <w:r w:rsidR="00036CBE" w:rsidRPr="003F1956">
        <w:rPr>
          <w:lang w:eastAsia="en-AU"/>
        </w:rPr>
        <w:t xml:space="preserve">the </w:t>
      </w:r>
      <w:r w:rsidRPr="003F1956">
        <w:rPr>
          <w:lang w:eastAsia="en-AU"/>
        </w:rPr>
        <w:t xml:space="preserve">age </w:t>
      </w:r>
      <w:r w:rsidR="00036CBE" w:rsidRPr="003F1956">
        <w:rPr>
          <w:lang w:eastAsia="en-AU"/>
        </w:rPr>
        <w:t xml:space="preserve">of </w:t>
      </w:r>
      <w:r w:rsidRPr="003F1956">
        <w:rPr>
          <w:lang w:eastAsia="en-AU"/>
        </w:rPr>
        <w:t>21.</w:t>
      </w:r>
      <w:r w:rsidR="00B00B79" w:rsidRPr="003F1956">
        <w:rPr>
          <w:rStyle w:val="FootnoteReference"/>
          <w:lang w:eastAsia="en-AU"/>
        </w:rPr>
        <w:footnoteReference w:id="40"/>
      </w:r>
    </w:p>
    <w:p w:rsidR="004B6273" w:rsidRPr="003F1956" w:rsidRDefault="004B6273" w:rsidP="00FA5F59">
      <w:pPr>
        <w:pStyle w:val="Heading2"/>
      </w:pPr>
      <w:bookmarkStart w:id="6" w:name="_Toc443045573"/>
      <w:r w:rsidRPr="003F1956">
        <w:t>(</w:t>
      </w:r>
      <w:r w:rsidR="001362F0" w:rsidRPr="003F1956">
        <w:t>b</w:t>
      </w:r>
      <w:r w:rsidRPr="003F1956">
        <w:t>) Grid sentencing</w:t>
      </w:r>
      <w:bookmarkEnd w:id="6"/>
    </w:p>
    <w:p w:rsidR="004B6273" w:rsidRPr="003F1956" w:rsidRDefault="004B6273" w:rsidP="00FA5F59">
      <w:pPr>
        <w:pStyle w:val="Heading3"/>
      </w:pPr>
      <w:r w:rsidRPr="003F1956">
        <w:t xml:space="preserve">Should </w:t>
      </w:r>
      <w:r w:rsidR="00B02819" w:rsidRPr="003F1956">
        <w:t>a grid or matrix scheme be introduced in Victoria</w:t>
      </w:r>
      <w:r w:rsidRPr="003F1956">
        <w:t>?</w:t>
      </w:r>
    </w:p>
    <w:p w:rsidR="00B02819" w:rsidRPr="003F1956" w:rsidRDefault="00B02819" w:rsidP="00B02819">
      <w:pPr>
        <w:pStyle w:val="VLALetterText"/>
        <w:outlineLvl w:val="0"/>
        <w:rPr>
          <w:lang w:eastAsia="en-AU"/>
        </w:rPr>
      </w:pPr>
      <w:r w:rsidRPr="003F1956">
        <w:rPr>
          <w:lang w:eastAsia="en-AU"/>
        </w:rPr>
        <w:t>VLA does not support a sentencing grid or matrix scheme.</w:t>
      </w:r>
    </w:p>
    <w:p w:rsidR="001362F0" w:rsidRPr="003F1956" w:rsidRDefault="00B02819" w:rsidP="001362F0">
      <w:pPr>
        <w:pStyle w:val="VLALetterText"/>
        <w:outlineLvl w:val="0"/>
        <w:rPr>
          <w:lang w:eastAsia="en-AU"/>
        </w:rPr>
      </w:pPr>
      <w:r w:rsidRPr="003F1956">
        <w:rPr>
          <w:lang w:eastAsia="en-AU"/>
        </w:rPr>
        <w:t xml:space="preserve">As with mandatory sentencing, grids and matrix schemes have the potential to </w:t>
      </w:r>
      <w:r w:rsidR="00405889" w:rsidRPr="003F1956">
        <w:rPr>
          <w:lang w:eastAsia="en-AU"/>
        </w:rPr>
        <w:t>operate in an arbitrary and</w:t>
      </w:r>
      <w:r w:rsidRPr="003F1956">
        <w:rPr>
          <w:lang w:eastAsia="en-AU"/>
        </w:rPr>
        <w:t xml:space="preserve"> </w:t>
      </w:r>
      <w:r w:rsidR="00405889" w:rsidRPr="003F1956">
        <w:rPr>
          <w:lang w:eastAsia="en-AU"/>
        </w:rPr>
        <w:t>unjust manner, and are unlikely to be effective in promoting public confidence and enhancing consistency (in more than a superficial sense)</w:t>
      </w:r>
      <w:r w:rsidRPr="003F1956">
        <w:rPr>
          <w:lang w:eastAsia="en-AU"/>
        </w:rPr>
        <w:t>. They are too blunt an instrument to deal with the complexities of sentencing, and are likely to result in discretion being d</w:t>
      </w:r>
      <w:r w:rsidR="00405889" w:rsidRPr="003F1956">
        <w:rPr>
          <w:lang w:eastAsia="en-AU"/>
        </w:rPr>
        <w:t xml:space="preserve">isplaced, rather than reduced. </w:t>
      </w:r>
    </w:p>
    <w:p w:rsidR="004B6273" w:rsidRPr="003F1956" w:rsidRDefault="004B6273" w:rsidP="00FA5F59">
      <w:pPr>
        <w:pStyle w:val="Heading2"/>
      </w:pPr>
      <w:bookmarkStart w:id="7" w:name="_Toc443045574"/>
      <w:r w:rsidRPr="003F1956">
        <w:t>(</w:t>
      </w:r>
      <w:r w:rsidR="001362F0" w:rsidRPr="003F1956">
        <w:t>c</w:t>
      </w:r>
      <w:r w:rsidRPr="003F1956">
        <w:t>) Guidance from juries</w:t>
      </w:r>
      <w:bookmarkEnd w:id="7"/>
    </w:p>
    <w:p w:rsidR="004B6273" w:rsidRPr="003F1956" w:rsidRDefault="004B6273" w:rsidP="00FA5F59">
      <w:pPr>
        <w:pStyle w:val="Heading3"/>
      </w:pPr>
      <w:r w:rsidRPr="003F1956">
        <w:t xml:space="preserve">Should </w:t>
      </w:r>
      <w:r w:rsidR="00B02819" w:rsidRPr="003F1956">
        <w:t>the jury in Victorian criminal trials be involved in the sentencing process?</w:t>
      </w:r>
    </w:p>
    <w:p w:rsidR="00405889" w:rsidRPr="003F1956" w:rsidRDefault="00B02819" w:rsidP="00B02819">
      <w:pPr>
        <w:pStyle w:val="VLALetterText"/>
        <w:outlineLvl w:val="0"/>
        <w:rPr>
          <w:lang w:eastAsia="en-AU"/>
        </w:rPr>
      </w:pPr>
      <w:r w:rsidRPr="003F1956">
        <w:rPr>
          <w:lang w:eastAsia="en-AU"/>
        </w:rPr>
        <w:t xml:space="preserve">VLA opposes </w:t>
      </w:r>
      <w:r w:rsidR="000C01A9" w:rsidRPr="003F1956">
        <w:rPr>
          <w:lang w:eastAsia="en-AU"/>
        </w:rPr>
        <w:t xml:space="preserve">jurors being involved in the sentencing process. </w:t>
      </w:r>
      <w:r w:rsidR="005100FD" w:rsidRPr="003F1956">
        <w:rPr>
          <w:lang w:eastAsia="en-AU"/>
        </w:rPr>
        <w:t>P</w:t>
      </w:r>
      <w:r w:rsidRPr="003F1956">
        <w:rPr>
          <w:lang w:eastAsia="en-AU"/>
        </w:rPr>
        <w:t xml:space="preserve">ractical and </w:t>
      </w:r>
      <w:r w:rsidR="00405889" w:rsidRPr="003F1956">
        <w:rPr>
          <w:lang w:eastAsia="en-AU"/>
        </w:rPr>
        <w:t>methodological</w:t>
      </w:r>
      <w:r w:rsidRPr="003F1956">
        <w:rPr>
          <w:lang w:eastAsia="en-AU"/>
        </w:rPr>
        <w:t xml:space="preserve"> difficulties render this proposal unworkable</w:t>
      </w:r>
      <w:r w:rsidR="00C424F6" w:rsidRPr="003F1956">
        <w:rPr>
          <w:lang w:eastAsia="en-AU"/>
        </w:rPr>
        <w:t>.</w:t>
      </w:r>
      <w:r w:rsidR="00BC518C" w:rsidRPr="003F1956">
        <w:rPr>
          <w:rStyle w:val="FootnoteReference"/>
          <w:lang w:eastAsia="en-AU"/>
        </w:rPr>
        <w:footnoteReference w:id="41"/>
      </w:r>
      <w:r w:rsidR="00C424F6" w:rsidRPr="003F1956">
        <w:rPr>
          <w:lang w:eastAsia="en-AU"/>
        </w:rPr>
        <w:t xml:space="preserve"> </w:t>
      </w:r>
      <w:r w:rsidR="00BC518C" w:rsidRPr="003F1956">
        <w:rPr>
          <w:lang w:eastAsia="en-AU"/>
        </w:rPr>
        <w:t>Juror participation in sentencing is also likely to be counterproduct</w:t>
      </w:r>
      <w:r w:rsidR="00E71F77" w:rsidRPr="003F1956">
        <w:rPr>
          <w:lang w:eastAsia="en-AU"/>
        </w:rPr>
        <w:t xml:space="preserve">ive if the aims are </w:t>
      </w:r>
      <w:r w:rsidR="005A04D1" w:rsidRPr="003F1956">
        <w:rPr>
          <w:lang w:eastAsia="en-AU"/>
        </w:rPr>
        <w:t xml:space="preserve">to promote </w:t>
      </w:r>
      <w:r w:rsidR="00E71F77" w:rsidRPr="003F1956">
        <w:rPr>
          <w:lang w:eastAsia="en-AU"/>
        </w:rPr>
        <w:t>consistency</w:t>
      </w:r>
      <w:r w:rsidR="00BC518C" w:rsidRPr="003F1956">
        <w:rPr>
          <w:lang w:eastAsia="en-AU"/>
        </w:rPr>
        <w:t xml:space="preserve"> and</w:t>
      </w:r>
      <w:r w:rsidR="00E71F77" w:rsidRPr="003F1956">
        <w:rPr>
          <w:lang w:eastAsia="en-AU"/>
        </w:rPr>
        <w:t xml:space="preserve"> greater</w:t>
      </w:r>
      <w:r w:rsidR="00BC518C" w:rsidRPr="003F1956">
        <w:rPr>
          <w:lang w:eastAsia="en-AU"/>
        </w:rPr>
        <w:t xml:space="preserve"> public confidence.</w:t>
      </w:r>
    </w:p>
    <w:p w:rsidR="00E71F77" w:rsidRPr="003F1956" w:rsidRDefault="005100FD" w:rsidP="005100FD">
      <w:pPr>
        <w:pStyle w:val="VLALetterText"/>
        <w:outlineLvl w:val="0"/>
        <w:rPr>
          <w:lang w:eastAsia="en-AU"/>
        </w:rPr>
      </w:pPr>
      <w:r w:rsidRPr="003F1956">
        <w:rPr>
          <w:lang w:eastAsia="en-AU"/>
        </w:rPr>
        <w:t>Sentencing is a task “where experience and expertise is at a premium”.</w:t>
      </w:r>
      <w:r w:rsidRPr="003F1956">
        <w:rPr>
          <w:rStyle w:val="FootnoteReference"/>
          <w:lang w:eastAsia="en-AU"/>
        </w:rPr>
        <w:footnoteReference w:id="42"/>
      </w:r>
      <w:r w:rsidRPr="003F1956">
        <w:rPr>
          <w:lang w:eastAsia="en-AU"/>
        </w:rPr>
        <w:t xml:space="preserve"> To delegate this task</w:t>
      </w:r>
      <w:r w:rsidR="00540BB2" w:rsidRPr="003F1956">
        <w:rPr>
          <w:lang w:eastAsia="en-AU"/>
        </w:rPr>
        <w:t>, or parts of this task,</w:t>
      </w:r>
      <w:r w:rsidRPr="003F1956">
        <w:rPr>
          <w:lang w:eastAsia="en-AU"/>
        </w:rPr>
        <w:t xml:space="preserve"> to a “discontinuous and non-expert body”</w:t>
      </w:r>
      <w:r w:rsidRPr="003F1956">
        <w:rPr>
          <w:rStyle w:val="FootnoteReference"/>
          <w:lang w:eastAsia="en-AU"/>
        </w:rPr>
        <w:footnoteReference w:id="43"/>
      </w:r>
      <w:r w:rsidRPr="003F1956">
        <w:rPr>
          <w:lang w:eastAsia="en-AU"/>
        </w:rPr>
        <w:t xml:space="preserve"> would be highly ineffic</w:t>
      </w:r>
      <w:r w:rsidR="00E71F77" w:rsidRPr="003F1956">
        <w:rPr>
          <w:lang w:eastAsia="en-AU"/>
        </w:rPr>
        <w:t>ient</w:t>
      </w:r>
      <w:r w:rsidR="001362F0" w:rsidRPr="003F1956">
        <w:rPr>
          <w:lang w:eastAsia="en-AU"/>
        </w:rPr>
        <w:t xml:space="preserve"> and</w:t>
      </w:r>
      <w:r w:rsidR="00E71F77" w:rsidRPr="003F1956">
        <w:rPr>
          <w:lang w:eastAsia="en-AU"/>
        </w:rPr>
        <w:t xml:space="preserve"> </w:t>
      </w:r>
      <w:r w:rsidR="00C424F6" w:rsidRPr="003F1956">
        <w:rPr>
          <w:lang w:eastAsia="en-AU"/>
        </w:rPr>
        <w:t xml:space="preserve">lead to </w:t>
      </w:r>
      <w:r w:rsidRPr="003F1956">
        <w:rPr>
          <w:lang w:eastAsia="en-AU"/>
        </w:rPr>
        <w:t>enormous inconsistenc</w:t>
      </w:r>
      <w:r w:rsidR="00C424F6" w:rsidRPr="003F1956">
        <w:rPr>
          <w:lang w:eastAsia="en-AU"/>
        </w:rPr>
        <w:t>ies in sentencing approach</w:t>
      </w:r>
      <w:r w:rsidR="00E71F77" w:rsidRPr="003F1956">
        <w:rPr>
          <w:lang w:eastAsia="en-AU"/>
        </w:rPr>
        <w:t xml:space="preserve"> </w:t>
      </w:r>
      <w:r w:rsidR="001362F0" w:rsidRPr="003F1956">
        <w:rPr>
          <w:lang w:eastAsia="en-AU"/>
        </w:rPr>
        <w:t xml:space="preserve">– </w:t>
      </w:r>
      <w:r w:rsidR="00E71F77" w:rsidRPr="003F1956">
        <w:rPr>
          <w:lang w:eastAsia="en-AU"/>
        </w:rPr>
        <w:t>between juries</w:t>
      </w:r>
      <w:r w:rsidR="009C1AA4" w:rsidRPr="003F1956">
        <w:rPr>
          <w:lang w:eastAsia="en-AU"/>
        </w:rPr>
        <w:t xml:space="preserve">, </w:t>
      </w:r>
      <w:r w:rsidR="00036CBE" w:rsidRPr="003F1956">
        <w:rPr>
          <w:lang w:eastAsia="en-AU"/>
        </w:rPr>
        <w:t>and</w:t>
      </w:r>
      <w:r w:rsidR="009C1AA4" w:rsidRPr="003F1956">
        <w:rPr>
          <w:lang w:eastAsia="en-AU"/>
        </w:rPr>
        <w:t xml:space="preserve"> also between offenders</w:t>
      </w:r>
      <w:r w:rsidR="00E71F77" w:rsidRPr="003F1956">
        <w:rPr>
          <w:lang w:eastAsia="en-AU"/>
        </w:rPr>
        <w:t xml:space="preserve"> who plead guilty </w:t>
      </w:r>
      <w:r w:rsidR="001362F0" w:rsidRPr="003F1956">
        <w:rPr>
          <w:lang w:eastAsia="en-AU"/>
        </w:rPr>
        <w:t xml:space="preserve">and those who contest their charges (with the former </w:t>
      </w:r>
      <w:r w:rsidR="00036CBE" w:rsidRPr="003F1956">
        <w:rPr>
          <w:lang w:eastAsia="en-AU"/>
        </w:rPr>
        <w:t>being dealt with by</w:t>
      </w:r>
      <w:r w:rsidR="001362F0" w:rsidRPr="003F1956">
        <w:rPr>
          <w:lang w:eastAsia="en-AU"/>
        </w:rPr>
        <w:t xml:space="preserve"> a judge alone, and the latter involving a jury). </w:t>
      </w:r>
    </w:p>
    <w:p w:rsidR="005100FD" w:rsidRPr="003F1956" w:rsidRDefault="009C1AA4" w:rsidP="005100FD">
      <w:pPr>
        <w:pStyle w:val="VLALetterText"/>
        <w:outlineLvl w:val="0"/>
        <w:rPr>
          <w:lang w:eastAsia="en-AU"/>
        </w:rPr>
      </w:pPr>
      <w:r w:rsidRPr="003F1956">
        <w:rPr>
          <w:lang w:eastAsia="en-AU"/>
        </w:rPr>
        <w:t>Not only is this proposal likely to</w:t>
      </w:r>
      <w:r w:rsidR="00036CBE" w:rsidRPr="003F1956">
        <w:rPr>
          <w:lang w:eastAsia="en-AU"/>
        </w:rPr>
        <w:t xml:space="preserve"> lead to greater inconsistencies (which may diminish public confidence), it may also discourage jury service</w:t>
      </w:r>
      <w:r w:rsidR="00036CBE" w:rsidRPr="003F1956">
        <w:rPr>
          <w:rStyle w:val="FootnoteReference"/>
          <w:lang w:eastAsia="en-AU"/>
        </w:rPr>
        <w:footnoteReference w:id="44"/>
      </w:r>
      <w:r w:rsidR="00036CBE" w:rsidRPr="003F1956">
        <w:rPr>
          <w:lang w:eastAsia="en-AU"/>
        </w:rPr>
        <w:t xml:space="preserve"> and adversely</w:t>
      </w:r>
      <w:r w:rsidR="00E71F77" w:rsidRPr="003F1956">
        <w:rPr>
          <w:lang w:eastAsia="en-AU"/>
        </w:rPr>
        <w:t xml:space="preserve"> impact on a defendant’s right to a fair hearing. It may</w:t>
      </w:r>
      <w:r w:rsidR="005100FD" w:rsidRPr="003F1956">
        <w:rPr>
          <w:lang w:eastAsia="en-AU"/>
        </w:rPr>
        <w:t xml:space="preserve"> </w:t>
      </w:r>
      <w:r w:rsidR="00C424F6" w:rsidRPr="003F1956">
        <w:rPr>
          <w:lang w:eastAsia="en-AU"/>
        </w:rPr>
        <w:t>distract jurors from the</w:t>
      </w:r>
      <w:r w:rsidR="00E71F77" w:rsidRPr="003F1956">
        <w:rPr>
          <w:lang w:eastAsia="en-AU"/>
        </w:rPr>
        <w:t>ir</w:t>
      </w:r>
      <w:r w:rsidR="00C424F6" w:rsidRPr="003F1956">
        <w:rPr>
          <w:lang w:eastAsia="en-AU"/>
        </w:rPr>
        <w:t xml:space="preserve"> primary task</w:t>
      </w:r>
      <w:r w:rsidR="00540BB2" w:rsidRPr="003F1956">
        <w:rPr>
          <w:lang w:eastAsia="en-AU"/>
        </w:rPr>
        <w:t>. F</w:t>
      </w:r>
      <w:r w:rsidR="005100FD" w:rsidRPr="003F1956">
        <w:rPr>
          <w:lang w:eastAsia="en-AU"/>
        </w:rPr>
        <w:t>or example, a jury might determine a guilty plea is appropriate if they could ensure a lighter sentence is imposed</w:t>
      </w:r>
      <w:r w:rsidR="000F4E46" w:rsidRPr="003F1956">
        <w:rPr>
          <w:lang w:eastAsia="en-AU"/>
        </w:rPr>
        <w:t>. It may also</w:t>
      </w:r>
      <w:r w:rsidR="00E71F77" w:rsidRPr="003F1956">
        <w:rPr>
          <w:lang w:eastAsia="en-AU"/>
        </w:rPr>
        <w:t xml:space="preserve"> compromise </w:t>
      </w:r>
      <w:r w:rsidR="00E71F77" w:rsidRPr="003F1956">
        <w:rPr>
          <w:lang w:eastAsia="en-AU"/>
        </w:rPr>
        <w:lastRenderedPageBreak/>
        <w:t xml:space="preserve">procedural fairness (where in camera discussions are held between judge and jury), and result in determinations being </w:t>
      </w:r>
      <w:r w:rsidR="005703AC" w:rsidRPr="003F1956">
        <w:rPr>
          <w:lang w:eastAsia="en-AU"/>
        </w:rPr>
        <w:t xml:space="preserve">primarily </w:t>
      </w:r>
      <w:r w:rsidR="00E71F77" w:rsidRPr="003F1956">
        <w:rPr>
          <w:lang w:eastAsia="en-AU"/>
        </w:rPr>
        <w:t xml:space="preserve">made </w:t>
      </w:r>
      <w:r w:rsidR="005703AC" w:rsidRPr="003F1956">
        <w:rPr>
          <w:lang w:eastAsia="en-AU"/>
        </w:rPr>
        <w:t>in pursuit of</w:t>
      </w:r>
      <w:r w:rsidR="00E71F77" w:rsidRPr="003F1956">
        <w:rPr>
          <w:lang w:eastAsia="en-AU"/>
        </w:rPr>
        <w:t xml:space="preserve"> personal views and biases, rather than in accordance with legal principle.</w:t>
      </w:r>
      <w:r w:rsidR="005703AC" w:rsidRPr="003F1956">
        <w:rPr>
          <w:rStyle w:val="FootnoteReference"/>
          <w:lang w:eastAsia="en-AU"/>
        </w:rPr>
        <w:footnoteReference w:id="45"/>
      </w:r>
    </w:p>
    <w:p w:rsidR="004B6273" w:rsidRPr="003F1956" w:rsidRDefault="004B6273" w:rsidP="00FA5F59">
      <w:pPr>
        <w:pStyle w:val="Heading2"/>
      </w:pPr>
      <w:bookmarkStart w:id="8" w:name="_Toc443045575"/>
      <w:r w:rsidRPr="003F1956">
        <w:t>(d) Baseline sentencing</w:t>
      </w:r>
      <w:bookmarkEnd w:id="8"/>
    </w:p>
    <w:p w:rsidR="00B02819" w:rsidRPr="003F1956" w:rsidRDefault="004B6273" w:rsidP="00FA5F59">
      <w:pPr>
        <w:pStyle w:val="Heading3"/>
      </w:pPr>
      <w:r w:rsidRPr="003F1956">
        <w:t xml:space="preserve">Should </w:t>
      </w:r>
      <w:r w:rsidR="00B02819" w:rsidRPr="003F1956">
        <w:t xml:space="preserve">the baseline sentencing scheme be repealed in its </w:t>
      </w:r>
      <w:r w:rsidR="007E40E8" w:rsidRPr="003F1956">
        <w:t>entirety</w:t>
      </w:r>
      <w:r w:rsidR="00B02819" w:rsidRPr="003F1956">
        <w:t>?</w:t>
      </w:r>
    </w:p>
    <w:p w:rsidR="000F4E46" w:rsidRPr="003F1956" w:rsidRDefault="007E40E8" w:rsidP="00B02819">
      <w:pPr>
        <w:pStyle w:val="VLALetterText"/>
        <w:outlineLvl w:val="0"/>
        <w:rPr>
          <w:lang w:eastAsia="en-AU"/>
        </w:rPr>
      </w:pPr>
      <w:r w:rsidRPr="003F1956">
        <w:rPr>
          <w:lang w:eastAsia="en-AU"/>
        </w:rPr>
        <w:t xml:space="preserve">The baseline sentencing scheme should be repealed in its entirety. </w:t>
      </w:r>
      <w:r w:rsidR="00B90A51" w:rsidRPr="003F1956">
        <w:rPr>
          <w:lang w:eastAsia="en-AU"/>
        </w:rPr>
        <w:t xml:space="preserve">No elements of the baseline scheme should be replicated in a new sentencing guidance model. </w:t>
      </w:r>
    </w:p>
    <w:p w:rsidR="00E46C9D" w:rsidRPr="003F1956" w:rsidRDefault="007E40E8" w:rsidP="00B02819">
      <w:pPr>
        <w:pStyle w:val="VLALetterText"/>
        <w:outlineLvl w:val="0"/>
        <w:rPr>
          <w:lang w:eastAsia="en-AU"/>
        </w:rPr>
      </w:pPr>
      <w:r w:rsidRPr="003F1956">
        <w:rPr>
          <w:lang w:eastAsia="en-AU"/>
        </w:rPr>
        <w:t xml:space="preserve">Not only is the scheme “incapable of being given any practical operation” as found by the Court of Appeal majority in </w:t>
      </w:r>
      <w:r w:rsidRPr="003F1956">
        <w:rPr>
          <w:i/>
          <w:lang w:eastAsia="en-AU"/>
        </w:rPr>
        <w:t>DPP v Walters</w:t>
      </w:r>
      <w:r w:rsidRPr="003F1956">
        <w:rPr>
          <w:lang w:eastAsia="en-AU"/>
        </w:rPr>
        <w:t>,</w:t>
      </w:r>
      <w:r w:rsidR="00036CBE" w:rsidRPr="003F1956">
        <w:rPr>
          <w:rStyle w:val="FootnoteReference"/>
          <w:lang w:eastAsia="en-AU"/>
        </w:rPr>
        <w:footnoteReference w:id="46"/>
      </w:r>
      <w:r w:rsidRPr="003F1956">
        <w:rPr>
          <w:lang w:eastAsia="en-AU"/>
        </w:rPr>
        <w:t xml:space="preserve"> </w:t>
      </w:r>
      <w:r w:rsidR="00AF2A04" w:rsidRPr="003F1956">
        <w:rPr>
          <w:lang w:eastAsia="en-AU"/>
        </w:rPr>
        <w:t>it is</w:t>
      </w:r>
      <w:r w:rsidR="00036CBE" w:rsidRPr="003F1956">
        <w:rPr>
          <w:lang w:eastAsia="en-AU"/>
        </w:rPr>
        <w:t xml:space="preserve"> also</w:t>
      </w:r>
      <w:r w:rsidR="00AF2A04" w:rsidRPr="003F1956">
        <w:rPr>
          <w:lang w:eastAsia="en-AU"/>
        </w:rPr>
        <w:t xml:space="preserve"> far too complex.</w:t>
      </w:r>
    </w:p>
    <w:p w:rsidR="00550CAC" w:rsidRPr="003F1956" w:rsidRDefault="008A64D5" w:rsidP="00D066FE">
      <w:pPr>
        <w:pStyle w:val="VLALetterText"/>
        <w:outlineLvl w:val="0"/>
        <w:rPr>
          <w:lang w:eastAsia="en-AU"/>
        </w:rPr>
      </w:pPr>
      <w:r w:rsidRPr="003F1956">
        <w:rPr>
          <w:lang w:eastAsia="en-AU"/>
        </w:rPr>
        <w:t xml:space="preserve">In VLA’s </w:t>
      </w:r>
      <w:r w:rsidR="00550CAC" w:rsidRPr="003F1956">
        <w:rPr>
          <w:lang w:eastAsia="en-AU"/>
        </w:rPr>
        <w:t>experience,</w:t>
      </w:r>
      <w:r w:rsidR="00550CAC" w:rsidRPr="003F1956">
        <w:rPr>
          <w:rStyle w:val="CommentReference"/>
          <w:rFonts w:ascii="Tw Cen MT" w:eastAsia="Tw Cen MT" w:hAnsi="Tw Cen MT"/>
        </w:rPr>
        <w:t xml:space="preserve"> </w:t>
      </w:r>
      <w:r w:rsidR="00550CAC" w:rsidRPr="003F1956">
        <w:rPr>
          <w:lang w:eastAsia="en-AU"/>
        </w:rPr>
        <w:t>the</w:t>
      </w:r>
      <w:r w:rsidR="00425A8B" w:rsidRPr="003F1956">
        <w:rPr>
          <w:lang w:eastAsia="en-AU"/>
        </w:rPr>
        <w:t xml:space="preserve"> ambiguity </w:t>
      </w:r>
      <w:r w:rsidR="00492DDE" w:rsidRPr="003F1956">
        <w:rPr>
          <w:lang w:eastAsia="en-AU"/>
        </w:rPr>
        <w:t xml:space="preserve">and mathematical technicality </w:t>
      </w:r>
      <w:r w:rsidR="00425A8B" w:rsidRPr="003F1956">
        <w:rPr>
          <w:lang w:eastAsia="en-AU"/>
        </w:rPr>
        <w:t xml:space="preserve">of the provisions made it extremely difficult </w:t>
      </w:r>
      <w:r w:rsidR="00CF28DF" w:rsidRPr="003F1956">
        <w:rPr>
          <w:lang w:eastAsia="en-AU"/>
        </w:rPr>
        <w:t xml:space="preserve">for lawyers and judges, let alone accused persons to navigate. Significant resources were expended by </w:t>
      </w:r>
      <w:r w:rsidR="007F0DD3" w:rsidRPr="003F1956">
        <w:rPr>
          <w:lang w:eastAsia="en-AU"/>
        </w:rPr>
        <w:t>an already stretched</w:t>
      </w:r>
      <w:r w:rsidR="00CF28DF" w:rsidRPr="003F1956">
        <w:rPr>
          <w:lang w:eastAsia="en-AU"/>
        </w:rPr>
        <w:t xml:space="preserve"> profession in </w:t>
      </w:r>
      <w:r w:rsidR="00492DDE" w:rsidRPr="003F1956">
        <w:rPr>
          <w:lang w:eastAsia="en-AU"/>
        </w:rPr>
        <w:t>an attempt</w:t>
      </w:r>
      <w:r w:rsidR="00CF28DF" w:rsidRPr="003F1956">
        <w:rPr>
          <w:lang w:eastAsia="en-AU"/>
        </w:rPr>
        <w:t xml:space="preserve"> to comprehend the scheme. </w:t>
      </w:r>
      <w:r w:rsidR="00492DDE" w:rsidRPr="003F1956">
        <w:rPr>
          <w:lang w:eastAsia="en-AU"/>
        </w:rPr>
        <w:t xml:space="preserve">Its </w:t>
      </w:r>
      <w:r w:rsidR="00067995" w:rsidRPr="003F1956">
        <w:rPr>
          <w:lang w:eastAsia="en-AU"/>
        </w:rPr>
        <w:t xml:space="preserve">statistical </w:t>
      </w:r>
      <w:r w:rsidR="00492DDE" w:rsidRPr="003F1956">
        <w:rPr>
          <w:lang w:eastAsia="en-AU"/>
        </w:rPr>
        <w:t xml:space="preserve">complexity </w:t>
      </w:r>
      <w:r w:rsidR="00FB5744" w:rsidRPr="003F1956">
        <w:rPr>
          <w:lang w:eastAsia="en-AU"/>
        </w:rPr>
        <w:t xml:space="preserve">also </w:t>
      </w:r>
      <w:r w:rsidR="00984399" w:rsidRPr="003F1956">
        <w:rPr>
          <w:lang w:eastAsia="en-AU"/>
        </w:rPr>
        <w:t xml:space="preserve">made it </w:t>
      </w:r>
      <w:r w:rsidR="00492DDE" w:rsidRPr="003F1956">
        <w:rPr>
          <w:lang w:eastAsia="en-AU"/>
        </w:rPr>
        <w:t>virtually impossible</w:t>
      </w:r>
      <w:r w:rsidR="00CF28DF" w:rsidRPr="003F1956">
        <w:rPr>
          <w:lang w:eastAsia="en-AU"/>
        </w:rPr>
        <w:t xml:space="preserve"> for defence practitioners to </w:t>
      </w:r>
      <w:r w:rsidRPr="003F1956">
        <w:rPr>
          <w:lang w:eastAsia="en-AU"/>
        </w:rPr>
        <w:t xml:space="preserve">fulfil their ethical duty of providing </w:t>
      </w:r>
      <w:r w:rsidR="003A406E" w:rsidRPr="003F1956">
        <w:rPr>
          <w:lang w:eastAsia="en-AU"/>
        </w:rPr>
        <w:t>“</w:t>
      </w:r>
      <w:r w:rsidR="00492DDE" w:rsidRPr="003F1956">
        <w:rPr>
          <w:lang w:eastAsia="en-AU"/>
        </w:rPr>
        <w:t xml:space="preserve">clear and timely advice </w:t>
      </w:r>
      <w:r w:rsidR="003A406E" w:rsidRPr="003F1956">
        <w:rPr>
          <w:lang w:eastAsia="en-AU"/>
        </w:rPr>
        <w:t>to assist a client to understand relevant legal issues and to make informed choices about action to be taken”.</w:t>
      </w:r>
      <w:r w:rsidR="003A406E" w:rsidRPr="003F1956">
        <w:rPr>
          <w:rStyle w:val="FootnoteReference"/>
          <w:lang w:eastAsia="en-AU"/>
        </w:rPr>
        <w:footnoteReference w:id="47"/>
      </w:r>
      <w:r w:rsidR="003A406E" w:rsidRPr="003F1956">
        <w:rPr>
          <w:lang w:eastAsia="en-AU"/>
        </w:rPr>
        <w:t xml:space="preserve"> </w:t>
      </w:r>
    </w:p>
    <w:p w:rsidR="00DD777B" w:rsidRPr="003F1956" w:rsidRDefault="007F0DD3" w:rsidP="00D066FE">
      <w:pPr>
        <w:pStyle w:val="VLALetterText"/>
        <w:outlineLvl w:val="0"/>
        <w:rPr>
          <w:lang w:eastAsia="en-AU"/>
        </w:rPr>
      </w:pPr>
      <w:r w:rsidRPr="003F1956">
        <w:rPr>
          <w:lang w:eastAsia="en-AU"/>
        </w:rPr>
        <w:t xml:space="preserve">The technicality of the </w:t>
      </w:r>
      <w:r w:rsidR="00FB5744" w:rsidRPr="003F1956">
        <w:rPr>
          <w:lang w:eastAsia="en-AU"/>
        </w:rPr>
        <w:t xml:space="preserve">baseline </w:t>
      </w:r>
      <w:r w:rsidRPr="003F1956">
        <w:rPr>
          <w:lang w:eastAsia="en-AU"/>
        </w:rPr>
        <w:t xml:space="preserve">legislation compromises sentencing transparency, </w:t>
      </w:r>
      <w:r w:rsidR="00FF33BC" w:rsidRPr="003F1956">
        <w:rPr>
          <w:lang w:eastAsia="en-AU"/>
        </w:rPr>
        <w:t>which in turn has the potential to compromise</w:t>
      </w:r>
      <w:r w:rsidRPr="003F1956">
        <w:rPr>
          <w:lang w:eastAsia="en-AU"/>
        </w:rPr>
        <w:t xml:space="preserve"> public confidence</w:t>
      </w:r>
      <w:r w:rsidR="00067995" w:rsidRPr="003F1956">
        <w:rPr>
          <w:lang w:eastAsia="en-AU"/>
        </w:rPr>
        <w:t xml:space="preserve">. </w:t>
      </w:r>
      <w:r w:rsidR="00DD777B" w:rsidRPr="003F1956">
        <w:rPr>
          <w:lang w:eastAsia="en-AU"/>
        </w:rPr>
        <w:t xml:space="preserve">To the extent that the legislation aimed to promote greater predictability and consistency in sentencing, it failed. </w:t>
      </w:r>
    </w:p>
    <w:p w:rsidR="00913E7B" w:rsidRPr="003F1956" w:rsidRDefault="00913E7B" w:rsidP="00D066FE">
      <w:pPr>
        <w:pStyle w:val="VLALetterText"/>
        <w:outlineLvl w:val="0"/>
        <w:rPr>
          <w:lang w:eastAsia="en-AU"/>
        </w:rPr>
      </w:pPr>
      <w:r w:rsidRPr="003F1956">
        <w:rPr>
          <w:lang w:eastAsia="en-AU"/>
        </w:rPr>
        <w:t>Had it not been deemed “incurably defective” by the Court of Appeal,</w:t>
      </w:r>
      <w:r w:rsidR="00D51B33" w:rsidRPr="003F1956">
        <w:rPr>
          <w:rStyle w:val="FootnoteReference"/>
          <w:lang w:eastAsia="en-AU"/>
        </w:rPr>
        <w:footnoteReference w:id="48"/>
      </w:r>
      <w:r w:rsidRPr="003F1956">
        <w:rPr>
          <w:lang w:eastAsia="en-AU"/>
        </w:rPr>
        <w:t xml:space="preserve"> more matters would have proceeded to committal and trial when they may have otherwise resolved to an early plea, compounding court delays. Longer hearings and more appeals against sentence would have been inevitable, exacerbating system-wide inefficiencies.</w:t>
      </w:r>
    </w:p>
    <w:p w:rsidR="009F1228" w:rsidRPr="003F1956" w:rsidRDefault="008B5442" w:rsidP="00B02819">
      <w:pPr>
        <w:pStyle w:val="VLALetterText"/>
        <w:outlineLvl w:val="0"/>
        <w:rPr>
          <w:lang w:eastAsia="en-AU"/>
        </w:rPr>
      </w:pPr>
      <w:r w:rsidRPr="003F1956">
        <w:rPr>
          <w:lang w:eastAsia="en-AU"/>
        </w:rPr>
        <w:t xml:space="preserve">Any new </w:t>
      </w:r>
      <w:r w:rsidR="006C29E7" w:rsidRPr="003F1956">
        <w:rPr>
          <w:lang w:eastAsia="en-AU"/>
        </w:rPr>
        <w:t xml:space="preserve">attempt at legislative </w:t>
      </w:r>
      <w:r w:rsidRPr="003F1956">
        <w:rPr>
          <w:lang w:eastAsia="en-AU"/>
        </w:rPr>
        <w:t xml:space="preserve">guidance </w:t>
      </w:r>
      <w:r w:rsidR="006C29E7" w:rsidRPr="003F1956">
        <w:rPr>
          <w:lang w:eastAsia="en-AU"/>
        </w:rPr>
        <w:t>should avoid replicating</w:t>
      </w:r>
      <w:r w:rsidRPr="003F1956">
        <w:rPr>
          <w:lang w:eastAsia="en-AU"/>
        </w:rPr>
        <w:t xml:space="preserve"> the mistakes of baseline sentencing. </w:t>
      </w:r>
      <w:r w:rsidR="005118FC" w:rsidRPr="003F1956">
        <w:rPr>
          <w:lang w:eastAsia="en-AU"/>
        </w:rPr>
        <w:t xml:space="preserve">In particular, sentencing </w:t>
      </w:r>
      <w:r w:rsidR="006F4119" w:rsidRPr="003F1956">
        <w:rPr>
          <w:lang w:eastAsia="en-AU"/>
        </w:rPr>
        <w:t>should not be framed as a “mathematical exercise</w:t>
      </w:r>
      <w:r w:rsidR="005118FC" w:rsidRPr="003F1956">
        <w:rPr>
          <w:lang w:eastAsia="en-AU"/>
        </w:rPr>
        <w:t>: mathematical precision is inimical to instinctive synthesis”.</w:t>
      </w:r>
      <w:r w:rsidR="005118FC" w:rsidRPr="003F1956">
        <w:rPr>
          <w:rStyle w:val="FootnoteReference"/>
          <w:lang w:eastAsia="en-AU"/>
        </w:rPr>
        <w:footnoteReference w:id="49"/>
      </w:r>
      <w:r w:rsidR="00D51B33" w:rsidRPr="003F1956">
        <w:rPr>
          <w:lang w:eastAsia="en-AU"/>
        </w:rPr>
        <w:t xml:space="preserve"> </w:t>
      </w:r>
      <w:r w:rsidR="006C29E7" w:rsidRPr="003F1956">
        <w:rPr>
          <w:lang w:eastAsia="en-AU"/>
        </w:rPr>
        <w:t xml:space="preserve">A quick fix to replace baseline sentencing should also be avoided. Implementing a new sentencing guidance scheme without sufficient time for scrutiny, consultation, policy deliberation and informed public input and debate, is unlikely </w:t>
      </w:r>
      <w:r w:rsidR="009F1228" w:rsidRPr="003F1956">
        <w:rPr>
          <w:lang w:eastAsia="en-AU"/>
        </w:rPr>
        <w:t>to achieve the purposes of consistency and public confidence, and may be counterproductive</w:t>
      </w:r>
      <w:r w:rsidR="0075718B" w:rsidRPr="003F1956">
        <w:rPr>
          <w:lang w:eastAsia="en-AU"/>
        </w:rPr>
        <w:t>.</w:t>
      </w:r>
    </w:p>
    <w:p w:rsidR="004B6273" w:rsidRPr="003F1956" w:rsidRDefault="004B6273" w:rsidP="00FA5F59">
      <w:pPr>
        <w:pStyle w:val="Heading2"/>
      </w:pPr>
      <w:bookmarkStart w:id="9" w:name="_Toc443045576"/>
      <w:r w:rsidRPr="003F1956">
        <w:t xml:space="preserve">(e) Standard non-parole </w:t>
      </w:r>
      <w:r w:rsidR="00892C36" w:rsidRPr="003F1956">
        <w:t xml:space="preserve">and standard sentence </w:t>
      </w:r>
      <w:r w:rsidRPr="003F1956">
        <w:t>schemes</w:t>
      </w:r>
      <w:bookmarkEnd w:id="9"/>
    </w:p>
    <w:p w:rsidR="004B6273" w:rsidRPr="003F1956" w:rsidRDefault="004B6273" w:rsidP="00FA5F59">
      <w:pPr>
        <w:pStyle w:val="Heading3"/>
      </w:pPr>
      <w:r w:rsidRPr="003F1956">
        <w:t xml:space="preserve">Should </w:t>
      </w:r>
      <w:r w:rsidR="00CF4DAF" w:rsidRPr="003F1956">
        <w:t xml:space="preserve">a standard </w:t>
      </w:r>
      <w:r w:rsidR="00FF2868" w:rsidRPr="003F1956">
        <w:t xml:space="preserve">non-parole period </w:t>
      </w:r>
      <w:r w:rsidR="00892C36" w:rsidRPr="003F1956">
        <w:t xml:space="preserve">or standard sentence </w:t>
      </w:r>
      <w:r w:rsidR="00CF4DAF" w:rsidRPr="003F1956">
        <w:t>scheme be introduced</w:t>
      </w:r>
      <w:r w:rsidRPr="003F1956">
        <w:t>?</w:t>
      </w:r>
    </w:p>
    <w:p w:rsidR="00FF2868" w:rsidRPr="003F1956" w:rsidRDefault="00B02819" w:rsidP="00B02819">
      <w:pPr>
        <w:pStyle w:val="VLALetterText"/>
        <w:outlineLvl w:val="0"/>
        <w:rPr>
          <w:lang w:eastAsia="en-AU"/>
        </w:rPr>
      </w:pPr>
      <w:r w:rsidRPr="003F1956">
        <w:rPr>
          <w:lang w:eastAsia="en-AU"/>
        </w:rPr>
        <w:t>V</w:t>
      </w:r>
      <w:r w:rsidR="00FF2868" w:rsidRPr="003F1956">
        <w:rPr>
          <w:lang w:eastAsia="en-AU"/>
        </w:rPr>
        <w:t>LA opposes the introduction of a</w:t>
      </w:r>
      <w:r w:rsidR="00CF4DAF" w:rsidRPr="003F1956">
        <w:rPr>
          <w:lang w:eastAsia="en-AU"/>
        </w:rPr>
        <w:t xml:space="preserve"> </w:t>
      </w:r>
      <w:r w:rsidR="00FF2868" w:rsidRPr="003F1956">
        <w:rPr>
          <w:lang w:eastAsia="en-AU"/>
        </w:rPr>
        <w:t xml:space="preserve">standard minimum non-parole period (SNPP) </w:t>
      </w:r>
      <w:r w:rsidR="00892C36" w:rsidRPr="003F1956">
        <w:rPr>
          <w:lang w:eastAsia="en-AU"/>
        </w:rPr>
        <w:t xml:space="preserve">or presumptive sentence </w:t>
      </w:r>
      <w:r w:rsidR="00FF2868" w:rsidRPr="003F1956">
        <w:rPr>
          <w:lang w:eastAsia="en-AU"/>
        </w:rPr>
        <w:t>scheme</w:t>
      </w:r>
      <w:r w:rsidRPr="003F1956">
        <w:rPr>
          <w:lang w:eastAsia="en-AU"/>
        </w:rPr>
        <w:t>.</w:t>
      </w:r>
      <w:r w:rsidR="00223A57" w:rsidRPr="003F1956">
        <w:rPr>
          <w:lang w:eastAsia="en-AU"/>
        </w:rPr>
        <w:t xml:space="preserve"> </w:t>
      </w:r>
    </w:p>
    <w:p w:rsidR="00FF2868" w:rsidRPr="003F1956" w:rsidRDefault="00223A57" w:rsidP="00B02819">
      <w:pPr>
        <w:pStyle w:val="VLALetterText"/>
        <w:outlineLvl w:val="0"/>
        <w:rPr>
          <w:lang w:eastAsia="en-AU"/>
        </w:rPr>
      </w:pPr>
      <w:r w:rsidRPr="003F1956">
        <w:rPr>
          <w:lang w:eastAsia="en-AU"/>
        </w:rPr>
        <w:lastRenderedPageBreak/>
        <w:t xml:space="preserve">VLA’s experience is that rigid </w:t>
      </w:r>
      <w:r w:rsidR="005A3407" w:rsidRPr="003F1956">
        <w:rPr>
          <w:lang w:eastAsia="en-AU"/>
        </w:rPr>
        <w:t xml:space="preserve">rules </w:t>
      </w:r>
      <w:r w:rsidR="00405889" w:rsidRPr="003F1956">
        <w:rPr>
          <w:lang w:eastAsia="en-AU"/>
        </w:rPr>
        <w:t>too often create injustice in individual cases</w:t>
      </w:r>
      <w:r w:rsidR="00701F9E" w:rsidRPr="003F1956">
        <w:rPr>
          <w:lang w:eastAsia="en-AU"/>
        </w:rPr>
        <w:t xml:space="preserve"> and unnecessary complexity</w:t>
      </w:r>
      <w:r w:rsidR="00405889" w:rsidRPr="003F1956">
        <w:rPr>
          <w:lang w:eastAsia="en-AU"/>
        </w:rPr>
        <w:t>.</w:t>
      </w:r>
      <w:r w:rsidRPr="003F1956">
        <w:rPr>
          <w:lang w:eastAsia="en-AU"/>
        </w:rPr>
        <w:t xml:space="preserve"> VLA’s experience is echoed by Legal Aid</w:t>
      </w:r>
      <w:r w:rsidR="00E47201" w:rsidRPr="003F1956">
        <w:rPr>
          <w:lang w:eastAsia="en-AU"/>
        </w:rPr>
        <w:t xml:space="preserve"> New South Wales</w:t>
      </w:r>
      <w:r w:rsidRPr="003F1956">
        <w:rPr>
          <w:lang w:eastAsia="en-AU"/>
        </w:rPr>
        <w:t>, who have advised that the</w:t>
      </w:r>
      <w:r w:rsidR="004E3E64" w:rsidRPr="003F1956">
        <w:rPr>
          <w:lang w:eastAsia="en-AU"/>
        </w:rPr>
        <w:t>ir</w:t>
      </w:r>
      <w:r w:rsidRPr="003F1956">
        <w:rPr>
          <w:lang w:eastAsia="en-AU"/>
        </w:rPr>
        <w:t xml:space="preserve"> </w:t>
      </w:r>
      <w:r w:rsidR="00036CBE" w:rsidRPr="003F1956">
        <w:rPr>
          <w:lang w:eastAsia="en-AU"/>
        </w:rPr>
        <w:t>SNPP</w:t>
      </w:r>
      <w:r w:rsidRPr="003F1956">
        <w:rPr>
          <w:lang w:eastAsia="en-AU"/>
        </w:rPr>
        <w:t xml:space="preserve"> </w:t>
      </w:r>
      <w:r w:rsidR="001D7244" w:rsidRPr="003F1956">
        <w:rPr>
          <w:lang w:eastAsia="en-AU"/>
        </w:rPr>
        <w:t xml:space="preserve">scheme </w:t>
      </w:r>
      <w:r w:rsidRPr="003F1956">
        <w:rPr>
          <w:lang w:eastAsia="en-AU"/>
        </w:rPr>
        <w:t xml:space="preserve">has made sentencing in </w:t>
      </w:r>
      <w:r w:rsidR="002D273C" w:rsidRPr="003F1956">
        <w:rPr>
          <w:lang w:eastAsia="en-AU"/>
        </w:rPr>
        <w:t>New South Wales</w:t>
      </w:r>
      <w:r w:rsidRPr="003F1956">
        <w:rPr>
          <w:lang w:eastAsia="en-AU"/>
        </w:rPr>
        <w:t xml:space="preserve"> </w:t>
      </w:r>
      <w:r w:rsidR="006F0570" w:rsidRPr="003F1956">
        <w:rPr>
          <w:lang w:eastAsia="en-AU"/>
        </w:rPr>
        <w:t>unnecessarily</w:t>
      </w:r>
      <w:r w:rsidRPr="003F1956">
        <w:rPr>
          <w:lang w:eastAsia="en-AU"/>
        </w:rPr>
        <w:t xml:space="preserve"> complex.</w:t>
      </w:r>
      <w:r w:rsidR="00701F9E" w:rsidRPr="003F1956">
        <w:rPr>
          <w:rStyle w:val="FootnoteReference"/>
          <w:lang w:eastAsia="en-AU"/>
        </w:rPr>
        <w:footnoteReference w:id="50"/>
      </w:r>
      <w:r w:rsidRPr="003F1956">
        <w:rPr>
          <w:lang w:eastAsia="en-AU"/>
        </w:rPr>
        <w:t xml:space="preserve"> </w:t>
      </w:r>
    </w:p>
    <w:p w:rsidR="00953C0F" w:rsidRPr="003F1956" w:rsidRDefault="00223A57" w:rsidP="00B02819">
      <w:pPr>
        <w:pStyle w:val="VLALetterText"/>
        <w:outlineLvl w:val="0"/>
        <w:rPr>
          <w:lang w:eastAsia="en-AU"/>
        </w:rPr>
      </w:pPr>
      <w:r w:rsidRPr="003F1956">
        <w:rPr>
          <w:lang w:eastAsia="en-AU"/>
        </w:rPr>
        <w:t>According to Legal Aid</w:t>
      </w:r>
      <w:r w:rsidR="00E47201" w:rsidRPr="003F1956">
        <w:rPr>
          <w:lang w:eastAsia="en-AU"/>
        </w:rPr>
        <w:t xml:space="preserve"> New South Wales</w:t>
      </w:r>
      <w:r w:rsidRPr="003F1956">
        <w:rPr>
          <w:lang w:eastAsia="en-AU"/>
        </w:rPr>
        <w:t xml:space="preserve">, the scheme has </w:t>
      </w:r>
      <w:r w:rsidR="006F0570" w:rsidRPr="003F1956">
        <w:rPr>
          <w:lang w:eastAsia="en-AU"/>
        </w:rPr>
        <w:t>resulted in</w:t>
      </w:r>
      <w:r w:rsidRPr="003F1956">
        <w:rPr>
          <w:lang w:eastAsia="en-AU"/>
        </w:rPr>
        <w:t xml:space="preserve"> a greater degree of plea bargaining (in an attempt to avoid offences with a SNPP), protracted litigation on the nuances </w:t>
      </w:r>
      <w:r w:rsidR="000E1DEC" w:rsidRPr="003F1956">
        <w:rPr>
          <w:lang w:eastAsia="en-AU"/>
        </w:rPr>
        <w:t xml:space="preserve">and ambiguities </w:t>
      </w:r>
      <w:r w:rsidRPr="003F1956">
        <w:rPr>
          <w:lang w:eastAsia="en-AU"/>
        </w:rPr>
        <w:t xml:space="preserve">of the scheme and several </w:t>
      </w:r>
      <w:r w:rsidR="006613A1" w:rsidRPr="003F1956">
        <w:rPr>
          <w:lang w:eastAsia="en-AU"/>
        </w:rPr>
        <w:t xml:space="preserve">unintended </w:t>
      </w:r>
      <w:r w:rsidR="001352D0" w:rsidRPr="003F1956">
        <w:rPr>
          <w:lang w:eastAsia="en-AU"/>
        </w:rPr>
        <w:t>“</w:t>
      </w:r>
      <w:r w:rsidR="006613A1" w:rsidRPr="003F1956">
        <w:rPr>
          <w:lang w:eastAsia="en-AU"/>
        </w:rPr>
        <w:t>curiosities</w:t>
      </w:r>
      <w:r w:rsidR="001352D0" w:rsidRPr="003F1956">
        <w:rPr>
          <w:lang w:eastAsia="en-AU"/>
        </w:rPr>
        <w:t>”</w:t>
      </w:r>
      <w:r w:rsidR="006613A1" w:rsidRPr="003F1956">
        <w:rPr>
          <w:lang w:eastAsia="en-AU"/>
        </w:rPr>
        <w:t xml:space="preserve">. </w:t>
      </w:r>
      <w:r w:rsidRPr="003F1956">
        <w:rPr>
          <w:lang w:eastAsia="en-AU"/>
        </w:rPr>
        <w:t>For example, a SNPP does</w:t>
      </w:r>
      <w:r w:rsidR="00E47201" w:rsidRPr="003F1956">
        <w:rPr>
          <w:lang w:eastAsia="en-AU"/>
        </w:rPr>
        <w:t xml:space="preserve"> </w:t>
      </w:r>
      <w:r w:rsidRPr="003F1956">
        <w:rPr>
          <w:lang w:eastAsia="en-AU"/>
        </w:rPr>
        <w:t>n</w:t>
      </w:r>
      <w:r w:rsidR="00E47201" w:rsidRPr="003F1956">
        <w:rPr>
          <w:lang w:eastAsia="en-AU"/>
        </w:rPr>
        <w:t>o</w:t>
      </w:r>
      <w:r w:rsidRPr="003F1956">
        <w:rPr>
          <w:lang w:eastAsia="en-AU"/>
        </w:rPr>
        <w:t>t operate in</w:t>
      </w:r>
      <w:r w:rsidR="006613A1" w:rsidRPr="003F1956">
        <w:rPr>
          <w:lang w:eastAsia="en-AU"/>
        </w:rPr>
        <w:t xml:space="preserve"> the </w:t>
      </w:r>
      <w:r w:rsidR="002D273C" w:rsidRPr="003F1956">
        <w:rPr>
          <w:lang w:eastAsia="en-AU"/>
        </w:rPr>
        <w:t>New South Wales</w:t>
      </w:r>
      <w:r w:rsidR="006613A1" w:rsidRPr="003F1956">
        <w:rPr>
          <w:lang w:eastAsia="en-AU"/>
        </w:rPr>
        <w:t xml:space="preserve"> local court, but if a summary jurisdiction application is refused or an accused elects to have the matter heard in a higher court, a SNPP applies. A</w:t>
      </w:r>
      <w:r w:rsidRPr="003F1956">
        <w:rPr>
          <w:lang w:eastAsia="en-AU"/>
        </w:rPr>
        <w:t xml:space="preserve"> SNPP applies to some offences but not others</w:t>
      </w:r>
      <w:r w:rsidR="001352D0" w:rsidRPr="003F1956">
        <w:rPr>
          <w:lang w:eastAsia="en-AU"/>
        </w:rPr>
        <w:t>, without clear rationale</w:t>
      </w:r>
      <w:r w:rsidRPr="003F1956">
        <w:rPr>
          <w:lang w:eastAsia="en-AU"/>
        </w:rPr>
        <w:t xml:space="preserve">. Some offences have </w:t>
      </w:r>
      <w:r w:rsidR="001352D0" w:rsidRPr="003F1956">
        <w:rPr>
          <w:lang w:eastAsia="en-AU"/>
        </w:rPr>
        <w:t>an</w:t>
      </w:r>
      <w:r w:rsidRPr="003F1956">
        <w:rPr>
          <w:lang w:eastAsia="en-AU"/>
        </w:rPr>
        <w:t xml:space="preserve"> SNPP </w:t>
      </w:r>
      <w:r w:rsidR="001352D0" w:rsidRPr="003F1956">
        <w:rPr>
          <w:lang w:eastAsia="en-AU"/>
        </w:rPr>
        <w:t xml:space="preserve">that sit too closely to the </w:t>
      </w:r>
      <w:r w:rsidR="006F0570" w:rsidRPr="003F1956">
        <w:rPr>
          <w:lang w:eastAsia="en-AU"/>
        </w:rPr>
        <w:t>maximum penalty</w:t>
      </w:r>
      <w:r w:rsidR="00F76A63" w:rsidRPr="003F1956">
        <w:rPr>
          <w:lang w:eastAsia="en-AU"/>
        </w:rPr>
        <w:t>,</w:t>
      </w:r>
      <w:r w:rsidR="001352D0" w:rsidRPr="003F1956">
        <w:rPr>
          <w:lang w:eastAsia="en-AU"/>
        </w:rPr>
        <w:t xml:space="preserve"> skewing </w:t>
      </w:r>
      <w:r w:rsidR="006F0570" w:rsidRPr="003F1956">
        <w:rPr>
          <w:lang w:eastAsia="en-AU"/>
        </w:rPr>
        <w:t>its distribution</w:t>
      </w:r>
      <w:r w:rsidRPr="003F1956">
        <w:rPr>
          <w:lang w:eastAsia="en-AU"/>
        </w:rPr>
        <w:t xml:space="preserve"> (</w:t>
      </w:r>
      <w:r w:rsidR="00036CBE" w:rsidRPr="003F1956">
        <w:rPr>
          <w:lang w:eastAsia="en-AU"/>
        </w:rPr>
        <w:t>for example,</w:t>
      </w:r>
      <w:r w:rsidRPr="003F1956">
        <w:rPr>
          <w:lang w:eastAsia="en-AU"/>
        </w:rPr>
        <w:t xml:space="preserve"> aggravated indecent assault has an SNPP of </w:t>
      </w:r>
      <w:r w:rsidR="001352D0" w:rsidRPr="003F1956">
        <w:rPr>
          <w:lang w:eastAsia="en-AU"/>
        </w:rPr>
        <w:t>8 years and a maximum penalty of 10 years</w:t>
      </w:r>
      <w:r w:rsidRPr="003F1956">
        <w:rPr>
          <w:lang w:eastAsia="en-AU"/>
        </w:rPr>
        <w:t>)</w:t>
      </w:r>
      <w:r w:rsidR="006613A1" w:rsidRPr="003F1956">
        <w:rPr>
          <w:lang w:eastAsia="en-AU"/>
        </w:rPr>
        <w:t xml:space="preserve">. </w:t>
      </w:r>
      <w:r w:rsidR="002D273C" w:rsidRPr="003F1956">
        <w:rPr>
          <w:lang w:eastAsia="en-AU"/>
        </w:rPr>
        <w:t>New South Wales</w:t>
      </w:r>
      <w:r w:rsidR="001D7244" w:rsidRPr="003F1956">
        <w:rPr>
          <w:lang w:eastAsia="en-AU"/>
        </w:rPr>
        <w:t xml:space="preserve"> practitioners have advised that t</w:t>
      </w:r>
      <w:r w:rsidR="006613A1" w:rsidRPr="003F1956">
        <w:rPr>
          <w:lang w:eastAsia="en-AU"/>
        </w:rPr>
        <w:t xml:space="preserve">hese complexities and </w:t>
      </w:r>
      <w:r w:rsidR="00FF2868" w:rsidRPr="003F1956">
        <w:rPr>
          <w:lang w:eastAsia="en-AU"/>
        </w:rPr>
        <w:t>nuances</w:t>
      </w:r>
      <w:r w:rsidR="006613A1" w:rsidRPr="003F1956">
        <w:rPr>
          <w:lang w:eastAsia="en-AU"/>
        </w:rPr>
        <w:t xml:space="preserve"> make </w:t>
      </w:r>
      <w:r w:rsidR="006F0570" w:rsidRPr="003F1956">
        <w:rPr>
          <w:lang w:eastAsia="en-AU"/>
        </w:rPr>
        <w:t>the scheme</w:t>
      </w:r>
      <w:r w:rsidR="006613A1" w:rsidRPr="003F1956">
        <w:rPr>
          <w:lang w:eastAsia="en-AU"/>
        </w:rPr>
        <w:t xml:space="preserve"> very difficult </w:t>
      </w:r>
      <w:r w:rsidR="001352D0" w:rsidRPr="003F1956">
        <w:rPr>
          <w:lang w:eastAsia="en-AU"/>
        </w:rPr>
        <w:t xml:space="preserve">to </w:t>
      </w:r>
      <w:r w:rsidR="006F0570" w:rsidRPr="003F1956">
        <w:rPr>
          <w:lang w:eastAsia="en-AU"/>
        </w:rPr>
        <w:t>explain to</w:t>
      </w:r>
      <w:r w:rsidR="00F65B6A" w:rsidRPr="003F1956">
        <w:rPr>
          <w:lang w:eastAsia="en-AU"/>
        </w:rPr>
        <w:t xml:space="preserve"> </w:t>
      </w:r>
      <w:r w:rsidR="00FF2868" w:rsidRPr="003F1956">
        <w:rPr>
          <w:lang w:eastAsia="en-AU"/>
        </w:rPr>
        <w:t>accused persons</w:t>
      </w:r>
      <w:r w:rsidR="00F65B6A" w:rsidRPr="003F1956">
        <w:rPr>
          <w:lang w:eastAsia="en-AU"/>
        </w:rPr>
        <w:t xml:space="preserve">. </w:t>
      </w:r>
    </w:p>
    <w:p w:rsidR="006F0570" w:rsidRPr="003F1956" w:rsidRDefault="006F0570" w:rsidP="00B02819">
      <w:pPr>
        <w:pStyle w:val="VLALetterText"/>
        <w:outlineLvl w:val="0"/>
        <w:rPr>
          <w:lang w:eastAsia="en-AU"/>
        </w:rPr>
      </w:pPr>
      <w:r w:rsidRPr="003F1956">
        <w:rPr>
          <w:lang w:eastAsia="en-AU"/>
        </w:rPr>
        <w:t xml:space="preserve">For most </w:t>
      </w:r>
      <w:r w:rsidR="00FF2868" w:rsidRPr="003F1956">
        <w:rPr>
          <w:lang w:eastAsia="en-AU"/>
        </w:rPr>
        <w:t>people charged with SNPP offences</w:t>
      </w:r>
      <w:r w:rsidR="00F65B6A" w:rsidRPr="003F1956">
        <w:rPr>
          <w:lang w:eastAsia="en-AU"/>
        </w:rPr>
        <w:t>, the system is difficult to comprehend and lacks transparency.</w:t>
      </w:r>
      <w:r w:rsidR="00953C0F" w:rsidRPr="003F1956">
        <w:rPr>
          <w:lang w:eastAsia="en-AU"/>
        </w:rPr>
        <w:t xml:space="preserve"> This </w:t>
      </w:r>
      <w:r w:rsidR="00F81107" w:rsidRPr="003F1956">
        <w:rPr>
          <w:lang w:eastAsia="en-AU"/>
        </w:rPr>
        <w:t xml:space="preserve">must </w:t>
      </w:r>
      <w:r w:rsidR="00953C0F" w:rsidRPr="003F1956">
        <w:rPr>
          <w:lang w:eastAsia="en-AU"/>
        </w:rPr>
        <w:t xml:space="preserve">only be exacerbated for many legal aid clients who are from linguistically diverse backgrounds and who present with cognitive, mental or intellectual disability. </w:t>
      </w:r>
    </w:p>
    <w:p w:rsidR="00F65B6A" w:rsidRPr="003F1956" w:rsidRDefault="00F65B6A" w:rsidP="00B02819">
      <w:pPr>
        <w:pStyle w:val="VLALetterText"/>
        <w:outlineLvl w:val="0"/>
        <w:rPr>
          <w:lang w:eastAsia="en-AU"/>
        </w:rPr>
      </w:pPr>
      <w:r w:rsidRPr="003F1956">
        <w:rPr>
          <w:lang w:eastAsia="en-AU"/>
        </w:rPr>
        <w:t xml:space="preserve">Legal Aid </w:t>
      </w:r>
      <w:r w:rsidR="00E47201" w:rsidRPr="003F1956">
        <w:rPr>
          <w:lang w:eastAsia="en-AU"/>
        </w:rPr>
        <w:t xml:space="preserve">New South Wales </w:t>
      </w:r>
      <w:r w:rsidRPr="003F1956">
        <w:rPr>
          <w:lang w:eastAsia="en-AU"/>
        </w:rPr>
        <w:t xml:space="preserve">also notes the </w:t>
      </w:r>
      <w:r w:rsidR="00953C0F" w:rsidRPr="003F1956">
        <w:rPr>
          <w:lang w:eastAsia="en-AU"/>
        </w:rPr>
        <w:t xml:space="preserve">SNPP scheme has resulted in an increased workload for </w:t>
      </w:r>
      <w:r w:rsidRPr="003F1956">
        <w:rPr>
          <w:lang w:eastAsia="en-AU"/>
        </w:rPr>
        <w:t>defence, prosecution and the courts</w:t>
      </w:r>
      <w:r w:rsidR="00B15AF0" w:rsidRPr="003F1956">
        <w:rPr>
          <w:lang w:eastAsia="en-AU"/>
        </w:rPr>
        <w:t>. Hearings are longer and submissions and sentencing reasons are more complex and detailed.</w:t>
      </w:r>
      <w:r w:rsidR="00953C0F" w:rsidRPr="003F1956">
        <w:rPr>
          <w:lang w:eastAsia="en-AU"/>
        </w:rPr>
        <w:t xml:space="preserve"> </w:t>
      </w:r>
    </w:p>
    <w:p w:rsidR="00701F9E" w:rsidRPr="003F1956" w:rsidRDefault="002C091F" w:rsidP="002C091F">
      <w:pPr>
        <w:pStyle w:val="VLALetterText"/>
        <w:outlineLvl w:val="0"/>
        <w:rPr>
          <w:lang w:eastAsia="en-AU"/>
        </w:rPr>
      </w:pPr>
      <w:r w:rsidRPr="003F1956">
        <w:rPr>
          <w:lang w:eastAsia="en-AU"/>
        </w:rPr>
        <w:t xml:space="preserve">While there is ample evidence to suggest that the SNPP scheme makes the process more time consuming and expensive, there is insufficient evidence to suggest that </w:t>
      </w:r>
      <w:r w:rsidR="00701F9E" w:rsidRPr="003F1956">
        <w:rPr>
          <w:lang w:eastAsia="en-AU"/>
        </w:rPr>
        <w:t xml:space="preserve">SNPP schemes achieve </w:t>
      </w:r>
      <w:r w:rsidRPr="003F1956">
        <w:rPr>
          <w:lang w:eastAsia="en-AU"/>
        </w:rPr>
        <w:t xml:space="preserve">greater </w:t>
      </w:r>
      <w:r w:rsidR="00701F9E" w:rsidRPr="003F1956">
        <w:rPr>
          <w:lang w:eastAsia="en-AU"/>
        </w:rPr>
        <w:t>public confidence</w:t>
      </w:r>
      <w:r w:rsidR="00F76A63" w:rsidRPr="003F1956">
        <w:rPr>
          <w:lang w:eastAsia="en-AU"/>
        </w:rPr>
        <w:t xml:space="preserve"> or consistency (in the sense of like cases being treated alike)</w:t>
      </w:r>
      <w:r w:rsidRPr="003F1956">
        <w:rPr>
          <w:lang w:eastAsia="en-AU"/>
        </w:rPr>
        <w:t>.</w:t>
      </w:r>
      <w:r w:rsidRPr="003F1956">
        <w:rPr>
          <w:rStyle w:val="FootnoteReference"/>
          <w:lang w:eastAsia="en-AU"/>
        </w:rPr>
        <w:footnoteReference w:id="51"/>
      </w:r>
      <w:r w:rsidRPr="003F1956">
        <w:rPr>
          <w:lang w:eastAsia="en-AU"/>
        </w:rPr>
        <w:t xml:space="preserve"> To the contrary, reduced transparency, and </w:t>
      </w:r>
      <w:r w:rsidR="00FF2868" w:rsidRPr="003F1956">
        <w:rPr>
          <w:lang w:eastAsia="en-AU"/>
        </w:rPr>
        <w:t>the extent to which discretion is displaced elsewhere</w:t>
      </w:r>
      <w:r w:rsidRPr="003F1956">
        <w:rPr>
          <w:lang w:eastAsia="en-AU"/>
        </w:rPr>
        <w:t xml:space="preserve"> suggest otherwise.  </w:t>
      </w:r>
    </w:p>
    <w:p w:rsidR="00F471FC" w:rsidRPr="003F1956" w:rsidRDefault="00F471FC" w:rsidP="002C091F">
      <w:pPr>
        <w:pStyle w:val="VLALetterText"/>
        <w:outlineLvl w:val="0"/>
        <w:rPr>
          <w:lang w:eastAsia="en-AU"/>
        </w:rPr>
      </w:pPr>
      <w:r w:rsidRPr="003F1956">
        <w:rPr>
          <w:lang w:eastAsia="en-AU"/>
        </w:rPr>
        <w:t xml:space="preserve">VLA </w:t>
      </w:r>
      <w:r w:rsidR="00FF2868" w:rsidRPr="003F1956">
        <w:rPr>
          <w:lang w:eastAsia="en-AU"/>
        </w:rPr>
        <w:t xml:space="preserve">opposes a defined percentage </w:t>
      </w:r>
      <w:r w:rsidR="00892C36" w:rsidRPr="003F1956">
        <w:rPr>
          <w:lang w:eastAsia="en-AU"/>
        </w:rPr>
        <w:t xml:space="preserve">and presumptive standard sentence </w:t>
      </w:r>
      <w:r w:rsidR="00FF2868" w:rsidRPr="003F1956">
        <w:rPr>
          <w:lang w:eastAsia="en-AU"/>
        </w:rPr>
        <w:t>scheme</w:t>
      </w:r>
      <w:r w:rsidRPr="003F1956">
        <w:rPr>
          <w:lang w:eastAsia="en-AU"/>
        </w:rPr>
        <w:t xml:space="preserve"> for similar reasons – </w:t>
      </w:r>
      <w:r w:rsidR="00DF7306" w:rsidRPr="003F1956">
        <w:rPr>
          <w:lang w:eastAsia="en-AU"/>
        </w:rPr>
        <w:t xml:space="preserve">such schemes </w:t>
      </w:r>
      <w:r w:rsidR="00E63B15" w:rsidRPr="003F1956">
        <w:rPr>
          <w:lang w:eastAsia="en-AU"/>
        </w:rPr>
        <w:t xml:space="preserve">are likely to </w:t>
      </w:r>
      <w:r w:rsidR="00DF7306" w:rsidRPr="003F1956">
        <w:rPr>
          <w:lang w:eastAsia="en-AU"/>
        </w:rPr>
        <w:t>increase</w:t>
      </w:r>
      <w:r w:rsidRPr="003F1956">
        <w:rPr>
          <w:lang w:eastAsia="en-AU"/>
        </w:rPr>
        <w:t xml:space="preserve"> sentencing complexity, are resource intensive (in time and cost) and </w:t>
      </w:r>
      <w:r w:rsidR="00E63B15" w:rsidRPr="003F1956">
        <w:rPr>
          <w:lang w:eastAsia="en-AU"/>
        </w:rPr>
        <w:t xml:space="preserve">have the potential to </w:t>
      </w:r>
      <w:r w:rsidRPr="003F1956">
        <w:rPr>
          <w:lang w:eastAsia="en-AU"/>
        </w:rPr>
        <w:t xml:space="preserve">disproportionately impact </w:t>
      </w:r>
      <w:r w:rsidR="00E60B03" w:rsidRPr="003F1956">
        <w:rPr>
          <w:lang w:eastAsia="en-AU"/>
        </w:rPr>
        <w:t xml:space="preserve">the </w:t>
      </w:r>
      <w:r w:rsidRPr="003F1956">
        <w:rPr>
          <w:lang w:eastAsia="en-AU"/>
        </w:rPr>
        <w:t xml:space="preserve">disadvantaged. There is also a lack of evidence to suggest that they </w:t>
      </w:r>
      <w:r w:rsidR="00E60B03" w:rsidRPr="003F1956">
        <w:rPr>
          <w:lang w:eastAsia="en-AU"/>
        </w:rPr>
        <w:t xml:space="preserve">work in achieving consistency and greater </w:t>
      </w:r>
      <w:r w:rsidRPr="003F1956">
        <w:rPr>
          <w:lang w:eastAsia="en-AU"/>
        </w:rPr>
        <w:t>public confidence.</w:t>
      </w:r>
      <w:r w:rsidRPr="003F1956">
        <w:rPr>
          <w:rStyle w:val="FootnoteReference"/>
          <w:lang w:eastAsia="en-AU"/>
        </w:rPr>
        <w:footnoteReference w:id="52"/>
      </w:r>
      <w:r w:rsidRPr="003F1956">
        <w:rPr>
          <w:lang w:eastAsia="en-AU"/>
        </w:rPr>
        <w:t xml:space="preserve"> </w:t>
      </w:r>
      <w:r w:rsidR="00E60B03" w:rsidRPr="003F1956">
        <w:rPr>
          <w:lang w:eastAsia="en-AU"/>
        </w:rPr>
        <w:t xml:space="preserve">VLA does however agree with the Queensland Sentencing Council </w:t>
      </w:r>
      <w:r w:rsidR="00DF7306" w:rsidRPr="003F1956">
        <w:rPr>
          <w:lang w:eastAsia="en-AU"/>
        </w:rPr>
        <w:t xml:space="preserve">in its report on Minimum Standard Non-Parole Periods </w:t>
      </w:r>
      <w:r w:rsidR="00E60B03" w:rsidRPr="003F1956">
        <w:rPr>
          <w:lang w:eastAsia="en-AU"/>
        </w:rPr>
        <w:t xml:space="preserve">that a defined percentage scheme </w:t>
      </w:r>
      <w:r w:rsidR="00DF7306" w:rsidRPr="003F1956">
        <w:rPr>
          <w:lang w:eastAsia="en-AU"/>
        </w:rPr>
        <w:t>is</w:t>
      </w:r>
      <w:r w:rsidR="00E60B03" w:rsidRPr="003F1956">
        <w:rPr>
          <w:lang w:eastAsia="en-AU"/>
        </w:rPr>
        <w:t xml:space="preserve"> </w:t>
      </w:r>
      <w:r w:rsidR="00023D59" w:rsidRPr="003F1956">
        <w:rPr>
          <w:lang w:eastAsia="en-AU"/>
        </w:rPr>
        <w:t xml:space="preserve">far </w:t>
      </w:r>
      <w:r w:rsidR="00E60B03" w:rsidRPr="003F1956">
        <w:rPr>
          <w:lang w:eastAsia="en-AU"/>
        </w:rPr>
        <w:t xml:space="preserve">preferable </w:t>
      </w:r>
      <w:r w:rsidR="00E63B15" w:rsidRPr="003F1956">
        <w:rPr>
          <w:lang w:eastAsia="en-AU"/>
        </w:rPr>
        <w:t>to</w:t>
      </w:r>
      <w:r w:rsidR="00E60B03" w:rsidRPr="003F1956">
        <w:rPr>
          <w:lang w:eastAsia="en-AU"/>
        </w:rPr>
        <w:t xml:space="preserve"> a defined term scheme.</w:t>
      </w:r>
      <w:r w:rsidR="00DF7306" w:rsidRPr="003F1956">
        <w:rPr>
          <w:rStyle w:val="FootnoteReference"/>
          <w:lang w:eastAsia="en-AU"/>
        </w:rPr>
        <w:footnoteReference w:id="53"/>
      </w:r>
      <w:r w:rsidR="0075718B" w:rsidRPr="003F1956">
        <w:rPr>
          <w:lang w:eastAsia="en-AU"/>
        </w:rPr>
        <w:t xml:space="preserve"> </w:t>
      </w:r>
    </w:p>
    <w:p w:rsidR="00DF7306" w:rsidRPr="003F1956" w:rsidRDefault="004E3E64" w:rsidP="00FA5F59">
      <w:pPr>
        <w:pStyle w:val="Heading3"/>
      </w:pPr>
      <w:r w:rsidRPr="003F1956">
        <w:t>If a</w:t>
      </w:r>
      <w:r w:rsidR="00E63B15" w:rsidRPr="003F1956">
        <w:t>n</w:t>
      </w:r>
      <w:r w:rsidRPr="003F1956">
        <w:t xml:space="preserve"> SNPP </w:t>
      </w:r>
      <w:r w:rsidR="00892C36" w:rsidRPr="003F1956">
        <w:t xml:space="preserve">or standard sentence </w:t>
      </w:r>
      <w:r w:rsidR="00E63B15" w:rsidRPr="003F1956">
        <w:t>scheme is</w:t>
      </w:r>
      <w:r w:rsidRPr="003F1956">
        <w:t xml:space="preserve"> introduced, </w:t>
      </w:r>
      <w:r w:rsidR="00DD7A52" w:rsidRPr="003F1956">
        <w:t>what should it look like</w:t>
      </w:r>
      <w:r w:rsidRPr="003F1956">
        <w:t>?</w:t>
      </w:r>
    </w:p>
    <w:p w:rsidR="00250E46" w:rsidRPr="003F1956" w:rsidRDefault="00250E46" w:rsidP="00B02819">
      <w:pPr>
        <w:pStyle w:val="VLALetterText"/>
        <w:outlineLvl w:val="0"/>
        <w:rPr>
          <w:lang w:eastAsia="en-AU"/>
        </w:rPr>
      </w:pPr>
      <w:r w:rsidRPr="003F1956">
        <w:rPr>
          <w:lang w:eastAsia="en-AU"/>
        </w:rPr>
        <w:t xml:space="preserve">VLA opposes the introduction of </w:t>
      </w:r>
      <w:r w:rsidR="00892C36" w:rsidRPr="003F1956">
        <w:rPr>
          <w:lang w:eastAsia="en-AU"/>
        </w:rPr>
        <w:t>a SNPP or standard sentence scheme</w:t>
      </w:r>
      <w:r w:rsidR="00E63B15" w:rsidRPr="003F1956">
        <w:rPr>
          <w:lang w:eastAsia="en-AU"/>
        </w:rPr>
        <w:t>.</w:t>
      </w:r>
      <w:r w:rsidRPr="003F1956">
        <w:rPr>
          <w:lang w:eastAsia="en-AU"/>
        </w:rPr>
        <w:t xml:space="preserve"> </w:t>
      </w:r>
    </w:p>
    <w:p w:rsidR="001D7244" w:rsidRPr="003F1956" w:rsidRDefault="00B02819" w:rsidP="00B02819">
      <w:pPr>
        <w:pStyle w:val="VLALetterText"/>
        <w:outlineLvl w:val="0"/>
        <w:rPr>
          <w:lang w:eastAsia="en-AU"/>
        </w:rPr>
      </w:pPr>
      <w:r w:rsidRPr="003F1956">
        <w:rPr>
          <w:lang w:eastAsia="en-AU"/>
        </w:rPr>
        <w:lastRenderedPageBreak/>
        <w:t xml:space="preserve">If </w:t>
      </w:r>
      <w:r w:rsidR="00FF2868" w:rsidRPr="003F1956">
        <w:rPr>
          <w:lang w:eastAsia="en-AU"/>
        </w:rPr>
        <w:t>a</w:t>
      </w:r>
      <w:r w:rsidR="00E63B15" w:rsidRPr="003F1956">
        <w:rPr>
          <w:lang w:eastAsia="en-AU"/>
        </w:rPr>
        <w:t>n</w:t>
      </w:r>
      <w:r w:rsidR="00FF2868" w:rsidRPr="003F1956">
        <w:rPr>
          <w:lang w:eastAsia="en-AU"/>
        </w:rPr>
        <w:t xml:space="preserve"> SNPP </w:t>
      </w:r>
      <w:r w:rsidRPr="003F1956">
        <w:rPr>
          <w:lang w:eastAsia="en-AU"/>
        </w:rPr>
        <w:t xml:space="preserve">is introduced, the </w:t>
      </w:r>
      <w:r w:rsidR="00E63B15" w:rsidRPr="003F1956">
        <w:rPr>
          <w:lang w:eastAsia="en-AU"/>
        </w:rPr>
        <w:t>defined terms</w:t>
      </w:r>
      <w:r w:rsidRPr="003F1956">
        <w:rPr>
          <w:lang w:eastAsia="en-AU"/>
        </w:rPr>
        <w:t xml:space="preserve">, or percentage standard non-parole periods </w:t>
      </w:r>
      <w:r w:rsidR="00A75111" w:rsidRPr="003F1956">
        <w:rPr>
          <w:lang w:eastAsia="en-AU"/>
        </w:rPr>
        <w:t xml:space="preserve">set </w:t>
      </w:r>
      <w:r w:rsidRPr="003F1956">
        <w:rPr>
          <w:lang w:eastAsia="en-AU"/>
        </w:rPr>
        <w:t>shou</w:t>
      </w:r>
      <w:r w:rsidR="00FC078C" w:rsidRPr="003F1956">
        <w:rPr>
          <w:lang w:eastAsia="en-AU"/>
        </w:rPr>
        <w:t>ld be evidence-based, avoid two-</w:t>
      </w:r>
      <w:r w:rsidRPr="003F1956">
        <w:rPr>
          <w:lang w:eastAsia="en-AU"/>
        </w:rPr>
        <w:t>stage sentencing</w:t>
      </w:r>
      <w:r w:rsidR="00A75111" w:rsidRPr="003F1956">
        <w:rPr>
          <w:lang w:eastAsia="en-AU"/>
        </w:rPr>
        <w:t xml:space="preserve"> and</w:t>
      </w:r>
      <w:r w:rsidRPr="003F1956">
        <w:rPr>
          <w:lang w:eastAsia="en-AU"/>
        </w:rPr>
        <w:t xml:space="preserve"> retain exemptions for a non-exhaustive list of special reasons </w:t>
      </w:r>
      <w:r w:rsidR="001D7244" w:rsidRPr="003F1956">
        <w:rPr>
          <w:lang w:eastAsia="en-AU"/>
        </w:rPr>
        <w:t xml:space="preserve">(see </w:t>
      </w:r>
      <w:r w:rsidR="0085776F">
        <w:rPr>
          <w:lang w:eastAsia="en-AU"/>
        </w:rPr>
        <w:t>pages 7-</w:t>
      </w:r>
      <w:r w:rsidR="00993B2F" w:rsidRPr="003F1956">
        <w:rPr>
          <w:lang w:eastAsia="en-AU"/>
        </w:rPr>
        <w:t>8</w:t>
      </w:r>
      <w:r w:rsidR="00DD7A52" w:rsidRPr="003F1956">
        <w:rPr>
          <w:lang w:eastAsia="en-AU"/>
        </w:rPr>
        <w:t xml:space="preserve"> </w:t>
      </w:r>
      <w:r w:rsidR="001D7244" w:rsidRPr="003F1956">
        <w:rPr>
          <w:lang w:eastAsia="en-AU"/>
        </w:rPr>
        <w:t>above)</w:t>
      </w:r>
      <w:r w:rsidR="00A75111" w:rsidRPr="003F1956">
        <w:rPr>
          <w:lang w:eastAsia="en-AU"/>
        </w:rPr>
        <w:t>. A SNPP scheme should</w:t>
      </w:r>
      <w:r w:rsidR="001D7244" w:rsidRPr="003F1956">
        <w:rPr>
          <w:lang w:eastAsia="en-AU"/>
        </w:rPr>
        <w:t xml:space="preserve"> </w:t>
      </w:r>
      <w:r w:rsidRPr="003F1956">
        <w:rPr>
          <w:lang w:eastAsia="en-AU"/>
        </w:rPr>
        <w:t xml:space="preserve">exclude </w:t>
      </w:r>
      <w:r w:rsidR="00DD7A52" w:rsidRPr="003F1956">
        <w:rPr>
          <w:lang w:eastAsia="en-AU"/>
        </w:rPr>
        <w:t xml:space="preserve">from its ambit </w:t>
      </w:r>
      <w:r w:rsidRPr="003F1956">
        <w:rPr>
          <w:lang w:eastAsia="en-AU"/>
        </w:rPr>
        <w:t xml:space="preserve">offenders under the age of 21 at the time of offending (to retain </w:t>
      </w:r>
      <w:r w:rsidR="001D7244" w:rsidRPr="003F1956">
        <w:rPr>
          <w:lang w:eastAsia="en-AU"/>
        </w:rPr>
        <w:t>youth parole</w:t>
      </w:r>
      <w:r w:rsidRPr="003F1956">
        <w:rPr>
          <w:lang w:eastAsia="en-AU"/>
        </w:rPr>
        <w:t>), offenders sentenced to life imprisonment or an indefinite term</w:t>
      </w:r>
      <w:r w:rsidR="00A4589B" w:rsidRPr="003F1956">
        <w:rPr>
          <w:lang w:eastAsia="en-AU"/>
        </w:rPr>
        <w:t xml:space="preserve"> (on the basis that doing so is illogical)</w:t>
      </w:r>
      <w:r w:rsidR="001D7244" w:rsidRPr="003F1956">
        <w:rPr>
          <w:lang w:eastAsia="en-AU"/>
        </w:rPr>
        <w:t>, and offences determined summarily</w:t>
      </w:r>
      <w:r w:rsidRPr="003F1956">
        <w:rPr>
          <w:lang w:eastAsia="en-AU"/>
        </w:rPr>
        <w:t xml:space="preserve">. </w:t>
      </w:r>
    </w:p>
    <w:p w:rsidR="00032AEA" w:rsidRPr="003F1956" w:rsidRDefault="00A75111" w:rsidP="00B02819">
      <w:pPr>
        <w:pStyle w:val="VLALetterText"/>
        <w:outlineLvl w:val="0"/>
        <w:rPr>
          <w:lang w:eastAsia="en-AU"/>
        </w:rPr>
      </w:pPr>
      <w:r w:rsidRPr="003F1956">
        <w:rPr>
          <w:lang w:eastAsia="en-AU"/>
        </w:rPr>
        <w:t>A SNPP</w:t>
      </w:r>
      <w:r w:rsidR="001D7244" w:rsidRPr="003F1956">
        <w:rPr>
          <w:lang w:eastAsia="en-AU"/>
        </w:rPr>
        <w:t xml:space="preserve"> scheme should</w:t>
      </w:r>
      <w:r w:rsidR="00C50731" w:rsidRPr="003F1956">
        <w:rPr>
          <w:lang w:eastAsia="en-AU"/>
        </w:rPr>
        <w:t xml:space="preserve"> only attach to a restricted set of offences</w:t>
      </w:r>
      <w:r w:rsidR="00032AEA" w:rsidRPr="003F1956">
        <w:rPr>
          <w:lang w:eastAsia="en-AU"/>
        </w:rPr>
        <w:t xml:space="preserve">, and </w:t>
      </w:r>
      <w:r w:rsidR="00023D59" w:rsidRPr="003F1956">
        <w:rPr>
          <w:lang w:eastAsia="en-AU"/>
        </w:rPr>
        <w:t>to offending at the higher end of the range of objective offence seriousness.</w:t>
      </w:r>
      <w:r w:rsidR="00023D59" w:rsidRPr="003F1956">
        <w:rPr>
          <w:rStyle w:val="FootnoteReference"/>
          <w:lang w:eastAsia="en-AU"/>
        </w:rPr>
        <w:footnoteReference w:id="54"/>
      </w:r>
      <w:r w:rsidR="00023D59" w:rsidRPr="003F1956">
        <w:rPr>
          <w:lang w:eastAsia="en-AU"/>
        </w:rPr>
        <w:t xml:space="preserve">  </w:t>
      </w:r>
      <w:r w:rsidR="00032AEA" w:rsidRPr="003F1956">
        <w:rPr>
          <w:lang w:eastAsia="en-AU"/>
        </w:rPr>
        <w:t>Offences that span a wider degree of</w:t>
      </w:r>
      <w:r w:rsidR="00E859D4" w:rsidRPr="003F1956">
        <w:rPr>
          <w:lang w:eastAsia="en-AU"/>
        </w:rPr>
        <w:t xml:space="preserve"> behaviour and</w:t>
      </w:r>
      <w:r w:rsidR="00032AEA" w:rsidRPr="003F1956">
        <w:rPr>
          <w:lang w:eastAsia="en-AU"/>
        </w:rPr>
        <w:t xml:space="preserve"> objective offence seriousness should be excluded, given the potential for unfairness and unintended consequences</w:t>
      </w:r>
      <w:r w:rsidR="008F3558" w:rsidRPr="003F1956">
        <w:rPr>
          <w:lang w:eastAsia="en-AU"/>
        </w:rPr>
        <w:t xml:space="preserve">. </w:t>
      </w:r>
      <w:r w:rsidR="001D569F" w:rsidRPr="003F1956">
        <w:rPr>
          <w:lang w:eastAsia="en-AU"/>
        </w:rPr>
        <w:t>As demonstrated by the N</w:t>
      </w:r>
      <w:r w:rsidR="002D273C" w:rsidRPr="003F1956">
        <w:rPr>
          <w:lang w:eastAsia="en-AU"/>
        </w:rPr>
        <w:t>ew South Wales</w:t>
      </w:r>
      <w:r w:rsidR="001D569F" w:rsidRPr="003F1956">
        <w:rPr>
          <w:lang w:eastAsia="en-AU"/>
        </w:rPr>
        <w:t xml:space="preserve"> experience, adopting a sentencing methodology that requires an intermediate determination of objective offence seriousness, absent consideration of the circumstances of the accused, is inherently problematic.</w:t>
      </w:r>
    </w:p>
    <w:p w:rsidR="00892C36" w:rsidRPr="003F1956" w:rsidRDefault="00892C36" w:rsidP="00B02819">
      <w:pPr>
        <w:pStyle w:val="VLALetterText"/>
        <w:outlineLvl w:val="0"/>
        <w:rPr>
          <w:lang w:eastAsia="en-AU"/>
        </w:rPr>
      </w:pPr>
      <w:r w:rsidRPr="003F1956">
        <w:rPr>
          <w:lang w:eastAsia="en-AU"/>
        </w:rPr>
        <w:t>If a standard sentence scheme is introduced, it should operate as a ‘guidepost’ (as another factor in the instinctive synthesis process; it should not require two-stage sentencing). It should represent a sentence</w:t>
      </w:r>
      <w:r w:rsidR="00FC078C" w:rsidRPr="003F1956">
        <w:rPr>
          <w:lang w:eastAsia="en-AU"/>
        </w:rPr>
        <w:t xml:space="preserve"> for a hypothetical charge</w:t>
      </w:r>
      <w:r w:rsidRPr="003F1956">
        <w:rPr>
          <w:lang w:eastAsia="en-AU"/>
        </w:rPr>
        <w:t>, rather than a non-parole period</w:t>
      </w:r>
      <w:r w:rsidR="00F76A63" w:rsidRPr="003F1956">
        <w:rPr>
          <w:lang w:eastAsia="en-AU"/>
        </w:rPr>
        <w:t>, and apply to offences prior to a guilty plea</w:t>
      </w:r>
      <w:r w:rsidR="00FC078C" w:rsidRPr="003F1956">
        <w:rPr>
          <w:lang w:eastAsia="en-AU"/>
        </w:rPr>
        <w:t xml:space="preserve">. As set out in respect of SNPP schemes (see above), a standard sentence scheme should retain exemptions for a non-exhaustive list of special reasons and apply to a </w:t>
      </w:r>
      <w:r w:rsidR="00BD12F6" w:rsidRPr="003F1956">
        <w:rPr>
          <w:lang w:eastAsia="en-AU"/>
        </w:rPr>
        <w:t>narrowly targeted</w:t>
      </w:r>
      <w:r w:rsidR="00FC078C" w:rsidRPr="003F1956">
        <w:rPr>
          <w:lang w:eastAsia="en-AU"/>
        </w:rPr>
        <w:t xml:space="preserve"> set of </w:t>
      </w:r>
      <w:r w:rsidR="00BD12F6" w:rsidRPr="003F1956">
        <w:rPr>
          <w:lang w:eastAsia="en-AU"/>
        </w:rPr>
        <w:t xml:space="preserve">more serious </w:t>
      </w:r>
      <w:r w:rsidR="00FC078C" w:rsidRPr="003F1956">
        <w:rPr>
          <w:lang w:eastAsia="en-AU"/>
        </w:rPr>
        <w:t xml:space="preserve">offences. </w:t>
      </w:r>
    </w:p>
    <w:p w:rsidR="001362F0" w:rsidRPr="003F1956" w:rsidRDefault="001362F0" w:rsidP="00FA5F59">
      <w:pPr>
        <w:pStyle w:val="Heading2"/>
      </w:pPr>
      <w:bookmarkStart w:id="10" w:name="_Toc443045577"/>
      <w:r w:rsidRPr="003F1956">
        <w:t>(</w:t>
      </w:r>
      <w:r w:rsidR="00892C36" w:rsidRPr="003F1956">
        <w:t>f</w:t>
      </w:r>
      <w:r w:rsidRPr="003F1956">
        <w:t xml:space="preserve">) Maximum </w:t>
      </w:r>
      <w:r w:rsidR="00036CBE" w:rsidRPr="003F1956">
        <w:t>p</w:t>
      </w:r>
      <w:r w:rsidRPr="003F1956">
        <w:t>enalties</w:t>
      </w:r>
      <w:bookmarkEnd w:id="10"/>
      <w:r w:rsidR="00223A57" w:rsidRPr="003F1956">
        <w:t xml:space="preserve"> </w:t>
      </w:r>
    </w:p>
    <w:p w:rsidR="00444824" w:rsidRPr="003F1956" w:rsidRDefault="00444824" w:rsidP="00FA5F59">
      <w:pPr>
        <w:pStyle w:val="Heading3"/>
      </w:pPr>
      <w:r w:rsidRPr="003F1956">
        <w:t>Are there any issues with current maximum penalties?</w:t>
      </w:r>
    </w:p>
    <w:p w:rsidR="00D508E1" w:rsidRPr="003F1956" w:rsidRDefault="00444824" w:rsidP="001362F0">
      <w:pPr>
        <w:pStyle w:val="VLALetterText"/>
        <w:outlineLvl w:val="0"/>
        <w:rPr>
          <w:lang w:eastAsia="en-AU"/>
        </w:rPr>
      </w:pPr>
      <w:r w:rsidRPr="003F1956">
        <w:rPr>
          <w:lang w:eastAsia="en-AU"/>
        </w:rPr>
        <w:t xml:space="preserve">Some of the perceived lack of confidence in the sentencing system arises from a lack of understanding of the </w:t>
      </w:r>
      <w:r w:rsidR="00044208" w:rsidRPr="003F1956">
        <w:rPr>
          <w:lang w:eastAsia="en-AU"/>
        </w:rPr>
        <w:t xml:space="preserve">role and </w:t>
      </w:r>
      <w:r w:rsidRPr="003F1956">
        <w:rPr>
          <w:lang w:eastAsia="en-AU"/>
        </w:rPr>
        <w:t xml:space="preserve">purpose of maximum penalties. </w:t>
      </w:r>
      <w:r w:rsidR="006A0723" w:rsidRPr="003F1956">
        <w:rPr>
          <w:lang w:eastAsia="en-AU"/>
        </w:rPr>
        <w:t xml:space="preserve">Too often the media reduces the complexity of sentencing to a simple proposition – if a sentence is substantially lower than the prescribed maximum penalty, the </w:t>
      </w:r>
      <w:proofErr w:type="spellStart"/>
      <w:r w:rsidR="006A0723" w:rsidRPr="003F1956">
        <w:rPr>
          <w:lang w:eastAsia="en-AU"/>
        </w:rPr>
        <w:t>sentencer</w:t>
      </w:r>
      <w:proofErr w:type="spellEnd"/>
      <w:r w:rsidR="006A0723" w:rsidRPr="003F1956">
        <w:rPr>
          <w:lang w:eastAsia="en-AU"/>
        </w:rPr>
        <w:t xml:space="preserve"> has failed to have r</w:t>
      </w:r>
      <w:r w:rsidR="002D273C" w:rsidRPr="003F1956">
        <w:rPr>
          <w:lang w:eastAsia="en-AU"/>
        </w:rPr>
        <w:t xml:space="preserve">egard to the gravity with which </w:t>
      </w:r>
      <w:r w:rsidR="00F76A63" w:rsidRPr="003F1956">
        <w:rPr>
          <w:lang w:eastAsia="en-AU"/>
        </w:rPr>
        <w:t>P</w:t>
      </w:r>
      <w:r w:rsidR="00D508E1" w:rsidRPr="003F1956">
        <w:rPr>
          <w:lang w:eastAsia="en-AU"/>
        </w:rPr>
        <w:t>arliament (</w:t>
      </w:r>
      <w:r w:rsidR="006A0723" w:rsidRPr="003F1956">
        <w:rPr>
          <w:lang w:eastAsia="en-AU"/>
        </w:rPr>
        <w:t>and therefore the community</w:t>
      </w:r>
      <w:r w:rsidR="00D508E1" w:rsidRPr="003F1956">
        <w:rPr>
          <w:lang w:eastAsia="en-AU"/>
        </w:rPr>
        <w:t>)</w:t>
      </w:r>
      <w:r w:rsidR="006A0723" w:rsidRPr="003F1956">
        <w:rPr>
          <w:lang w:eastAsia="en-AU"/>
        </w:rPr>
        <w:t xml:space="preserve">, views the offence. </w:t>
      </w:r>
      <w:r w:rsidR="00D508E1" w:rsidRPr="003F1956">
        <w:rPr>
          <w:lang w:eastAsia="en-AU"/>
        </w:rPr>
        <w:t xml:space="preserve">However, maximum penalties are </w:t>
      </w:r>
      <w:r w:rsidR="0072683B" w:rsidRPr="003F1956">
        <w:rPr>
          <w:lang w:eastAsia="en-AU"/>
        </w:rPr>
        <w:t>only</w:t>
      </w:r>
      <w:r w:rsidR="00156F81" w:rsidRPr="003F1956">
        <w:rPr>
          <w:lang w:eastAsia="en-AU"/>
        </w:rPr>
        <w:t xml:space="preserve"> </w:t>
      </w:r>
      <w:r w:rsidR="00D508E1" w:rsidRPr="003F1956">
        <w:rPr>
          <w:lang w:eastAsia="en-AU"/>
        </w:rPr>
        <w:t>one of a number of factors the sentencing judge must take into account</w:t>
      </w:r>
      <w:r w:rsidR="0072683B" w:rsidRPr="003F1956">
        <w:rPr>
          <w:lang w:eastAsia="en-AU"/>
        </w:rPr>
        <w:t xml:space="preserve"> – </w:t>
      </w:r>
      <w:r w:rsidR="00156F81" w:rsidRPr="003F1956">
        <w:rPr>
          <w:lang w:eastAsia="en-AU"/>
        </w:rPr>
        <w:t>maximum penalties</w:t>
      </w:r>
      <w:r w:rsidR="0072683B" w:rsidRPr="003F1956">
        <w:rPr>
          <w:lang w:eastAsia="en-AU"/>
        </w:rPr>
        <w:t xml:space="preserve"> are not</w:t>
      </w:r>
      <w:r w:rsidR="00156F81" w:rsidRPr="003F1956">
        <w:rPr>
          <w:lang w:eastAsia="en-AU"/>
        </w:rPr>
        <w:t xml:space="preserve">, and </w:t>
      </w:r>
      <w:r w:rsidR="00156F81" w:rsidRPr="003F1956">
        <w:rPr>
          <w:i/>
          <w:lang w:eastAsia="en-AU"/>
        </w:rPr>
        <w:t>should not</w:t>
      </w:r>
      <w:r w:rsidR="00156F81" w:rsidRPr="003F1956">
        <w:rPr>
          <w:lang w:eastAsia="en-AU"/>
        </w:rPr>
        <w:t>, be</w:t>
      </w:r>
      <w:r w:rsidR="0072683B" w:rsidRPr="003F1956">
        <w:rPr>
          <w:lang w:eastAsia="en-AU"/>
        </w:rPr>
        <w:t xml:space="preserve"> singularly determinative or “</w:t>
      </w:r>
      <w:r w:rsidR="00F76A63" w:rsidRPr="003F1956">
        <w:rPr>
          <w:lang w:eastAsia="en-AU"/>
        </w:rPr>
        <w:t>‘</w:t>
      </w:r>
      <w:r w:rsidR="0072683B" w:rsidRPr="003F1956">
        <w:rPr>
          <w:lang w:eastAsia="en-AU"/>
        </w:rPr>
        <w:t>fundamenta</w:t>
      </w:r>
      <w:r w:rsidR="00156F81" w:rsidRPr="003F1956">
        <w:rPr>
          <w:lang w:eastAsia="en-AU"/>
        </w:rPr>
        <w:t>l</w:t>
      </w:r>
      <w:r w:rsidR="00A36B6A" w:rsidRPr="003F1956">
        <w:rPr>
          <w:lang w:eastAsia="en-AU"/>
        </w:rPr>
        <w:t>’</w:t>
      </w:r>
      <w:r w:rsidR="0072683B" w:rsidRPr="003F1956">
        <w:rPr>
          <w:lang w:eastAsia="en-AU"/>
        </w:rPr>
        <w:t xml:space="preserve"> to the </w:t>
      </w:r>
      <w:r w:rsidR="00A36B6A" w:rsidRPr="003F1956">
        <w:rPr>
          <w:lang w:eastAsia="en-AU"/>
        </w:rPr>
        <w:t>fixing of a sentence”</w:t>
      </w:r>
      <w:r w:rsidR="0072683B" w:rsidRPr="003F1956">
        <w:rPr>
          <w:lang w:eastAsia="en-AU"/>
        </w:rPr>
        <w:t>.</w:t>
      </w:r>
      <w:r w:rsidR="0072683B" w:rsidRPr="003F1956">
        <w:rPr>
          <w:rStyle w:val="FootnoteReference"/>
          <w:lang w:eastAsia="en-AU"/>
        </w:rPr>
        <w:footnoteReference w:id="55"/>
      </w:r>
    </w:p>
    <w:p w:rsidR="00D508E1" w:rsidRPr="003F1956" w:rsidRDefault="00D508E1" w:rsidP="001362F0">
      <w:pPr>
        <w:pStyle w:val="VLALetterText"/>
        <w:outlineLvl w:val="0"/>
        <w:rPr>
          <w:lang w:eastAsia="en-AU"/>
        </w:rPr>
      </w:pPr>
      <w:r w:rsidRPr="003F1956">
        <w:rPr>
          <w:lang w:eastAsia="en-AU"/>
        </w:rPr>
        <w:t>There is also a lack of understanding that some offences may be constituted by a wide variation in offender behaviour and culpability. For example, aggravated burglary, threat to kill and arson cover a wide variety of conduct, but each have a single maximum penalty</w:t>
      </w:r>
      <w:r w:rsidR="007F4F62" w:rsidRPr="003F1956">
        <w:rPr>
          <w:lang w:eastAsia="en-AU"/>
        </w:rPr>
        <w:t xml:space="preserve">. There is likely to be substantial difference between the sentence for lower level offending within these categories and the maximum penalty (which reflects </w:t>
      </w:r>
      <w:r w:rsidR="00F76A63" w:rsidRPr="003F1956">
        <w:rPr>
          <w:lang w:eastAsia="en-AU"/>
        </w:rPr>
        <w:t>P</w:t>
      </w:r>
      <w:r w:rsidR="00156F81" w:rsidRPr="003F1956">
        <w:rPr>
          <w:lang w:eastAsia="en-AU"/>
        </w:rPr>
        <w:t xml:space="preserve">arliament’s view of the seriousness of the </w:t>
      </w:r>
      <w:r w:rsidR="007F4F62" w:rsidRPr="003F1956">
        <w:rPr>
          <w:lang w:eastAsia="en-AU"/>
        </w:rPr>
        <w:t>“</w:t>
      </w:r>
      <w:r w:rsidR="00156F81" w:rsidRPr="003F1956">
        <w:rPr>
          <w:i/>
          <w:lang w:eastAsia="en-AU"/>
        </w:rPr>
        <w:t>worst class</w:t>
      </w:r>
      <w:r w:rsidR="00156F81" w:rsidRPr="003F1956">
        <w:rPr>
          <w:lang w:eastAsia="en-AU"/>
        </w:rPr>
        <w:t xml:space="preserve"> of the offence in question”</w:t>
      </w:r>
      <w:r w:rsidR="007F4F62" w:rsidRPr="003F1956">
        <w:rPr>
          <w:lang w:eastAsia="en-AU"/>
        </w:rPr>
        <w:t>)</w:t>
      </w:r>
      <w:r w:rsidR="00156F81" w:rsidRPr="003F1956">
        <w:rPr>
          <w:lang w:eastAsia="en-AU"/>
        </w:rPr>
        <w:t>.</w:t>
      </w:r>
      <w:r w:rsidR="00156F81" w:rsidRPr="003F1956">
        <w:rPr>
          <w:rStyle w:val="FootnoteReference"/>
          <w:lang w:eastAsia="en-AU"/>
        </w:rPr>
        <w:footnoteReference w:id="56"/>
      </w:r>
      <w:r w:rsidR="00A36B6A" w:rsidRPr="003F1956">
        <w:rPr>
          <w:lang w:eastAsia="en-AU"/>
        </w:rPr>
        <w:t xml:space="preserve"> </w:t>
      </w:r>
      <w:r w:rsidRPr="003F1956">
        <w:rPr>
          <w:lang w:eastAsia="en-AU"/>
        </w:rPr>
        <w:t xml:space="preserve"> </w:t>
      </w:r>
    </w:p>
    <w:p w:rsidR="00DA11EB" w:rsidRPr="003F1956" w:rsidRDefault="00044208" w:rsidP="001362F0">
      <w:pPr>
        <w:pStyle w:val="VLALetterText"/>
        <w:outlineLvl w:val="0"/>
        <w:rPr>
          <w:lang w:eastAsia="en-AU"/>
        </w:rPr>
      </w:pPr>
      <w:r w:rsidRPr="003F1956">
        <w:rPr>
          <w:lang w:eastAsia="en-AU"/>
        </w:rPr>
        <w:t>Targeted p</w:t>
      </w:r>
      <w:r w:rsidR="00444824" w:rsidRPr="003F1956">
        <w:rPr>
          <w:lang w:eastAsia="en-AU"/>
        </w:rPr>
        <w:t>ublic education programs have a ro</w:t>
      </w:r>
      <w:r w:rsidRPr="003F1956">
        <w:rPr>
          <w:lang w:eastAsia="en-AU"/>
        </w:rPr>
        <w:t>le to play in improving public understanding</w:t>
      </w:r>
      <w:r w:rsidR="00156F81" w:rsidRPr="003F1956">
        <w:rPr>
          <w:lang w:eastAsia="en-AU"/>
        </w:rPr>
        <w:t xml:space="preserve"> of </w:t>
      </w:r>
      <w:r w:rsidR="00F76A63" w:rsidRPr="003F1956">
        <w:rPr>
          <w:lang w:eastAsia="en-AU"/>
        </w:rPr>
        <w:t>maximum penalties</w:t>
      </w:r>
      <w:r w:rsidR="00DA11EB" w:rsidRPr="003F1956">
        <w:rPr>
          <w:lang w:eastAsia="en-AU"/>
        </w:rPr>
        <w:t xml:space="preserve"> and </w:t>
      </w:r>
      <w:r w:rsidR="00723943" w:rsidRPr="003F1956">
        <w:rPr>
          <w:lang w:eastAsia="en-AU"/>
        </w:rPr>
        <w:t>their</w:t>
      </w:r>
      <w:r w:rsidR="00DA11EB" w:rsidRPr="003F1956">
        <w:rPr>
          <w:lang w:eastAsia="en-AU"/>
        </w:rPr>
        <w:t xml:space="preserve"> </w:t>
      </w:r>
      <w:r w:rsidR="007F4F62" w:rsidRPr="003F1956">
        <w:rPr>
          <w:lang w:eastAsia="en-AU"/>
        </w:rPr>
        <w:t xml:space="preserve">purpose and </w:t>
      </w:r>
      <w:r w:rsidR="00DA11EB" w:rsidRPr="003F1956">
        <w:rPr>
          <w:lang w:eastAsia="en-AU"/>
        </w:rPr>
        <w:t>relevance to the sentencing task.</w:t>
      </w:r>
    </w:p>
    <w:p w:rsidR="00444824" w:rsidRPr="003F1956" w:rsidRDefault="00444824" w:rsidP="00FA5F59">
      <w:pPr>
        <w:pStyle w:val="Heading3"/>
      </w:pPr>
      <w:r w:rsidRPr="003F1956">
        <w:lastRenderedPageBreak/>
        <w:t>Should the way in which the court must have regard to the maximum penalty and/or current sentencing practices be amended?</w:t>
      </w:r>
    </w:p>
    <w:p w:rsidR="004940D9" w:rsidRPr="003F1956" w:rsidRDefault="001362F0" w:rsidP="001362F0">
      <w:pPr>
        <w:pStyle w:val="VLALetterText"/>
        <w:outlineLvl w:val="0"/>
        <w:rPr>
          <w:lang w:eastAsia="en-AU"/>
        </w:rPr>
      </w:pPr>
      <w:r w:rsidRPr="003F1956">
        <w:rPr>
          <w:lang w:eastAsia="en-AU"/>
        </w:rPr>
        <w:t>Courts should not be legislatively required to have greater regard to the maximum penalty than t</w:t>
      </w:r>
      <w:r w:rsidR="00723943" w:rsidRPr="003F1956">
        <w:rPr>
          <w:lang w:eastAsia="en-AU"/>
        </w:rPr>
        <w:t xml:space="preserve">o </w:t>
      </w:r>
      <w:proofErr w:type="gramStart"/>
      <w:r w:rsidR="00723943" w:rsidRPr="003F1956">
        <w:rPr>
          <w:lang w:eastAsia="en-AU"/>
        </w:rPr>
        <w:t>current</w:t>
      </w:r>
      <w:proofErr w:type="gramEnd"/>
      <w:r w:rsidR="00723943" w:rsidRPr="003F1956">
        <w:rPr>
          <w:lang w:eastAsia="en-AU"/>
        </w:rPr>
        <w:t xml:space="preserve"> sentencing practices. </w:t>
      </w:r>
      <w:r w:rsidR="007F4F62" w:rsidRPr="003F1956">
        <w:rPr>
          <w:lang w:eastAsia="en-AU"/>
        </w:rPr>
        <w:t xml:space="preserve">Such an approach is </w:t>
      </w:r>
      <w:r w:rsidR="000E1DEC" w:rsidRPr="003F1956">
        <w:rPr>
          <w:lang w:eastAsia="en-AU"/>
        </w:rPr>
        <w:t>incapable of achieving</w:t>
      </w:r>
      <w:r w:rsidR="006D01A4" w:rsidRPr="003F1956">
        <w:rPr>
          <w:lang w:eastAsia="en-AU"/>
        </w:rPr>
        <w:t xml:space="preserve"> the stated aims of consistency and public confidence</w:t>
      </w:r>
      <w:r w:rsidR="00A45308" w:rsidRPr="003F1956">
        <w:rPr>
          <w:lang w:eastAsia="en-AU"/>
        </w:rPr>
        <w:t xml:space="preserve"> </w:t>
      </w:r>
      <w:r w:rsidR="006D01A4" w:rsidRPr="003F1956">
        <w:rPr>
          <w:lang w:eastAsia="en-AU"/>
        </w:rPr>
        <w:t xml:space="preserve">and </w:t>
      </w:r>
      <w:r w:rsidR="004940D9" w:rsidRPr="003F1956">
        <w:rPr>
          <w:lang w:eastAsia="en-AU"/>
        </w:rPr>
        <w:t xml:space="preserve">may result in </w:t>
      </w:r>
      <w:r w:rsidR="0068734B" w:rsidRPr="003F1956">
        <w:rPr>
          <w:lang w:eastAsia="en-AU"/>
        </w:rPr>
        <w:t xml:space="preserve">significant </w:t>
      </w:r>
      <w:r w:rsidR="004940D9" w:rsidRPr="003F1956">
        <w:rPr>
          <w:lang w:eastAsia="en-AU"/>
        </w:rPr>
        <w:t>unfairness</w:t>
      </w:r>
      <w:r w:rsidR="00F80B60" w:rsidRPr="003F1956">
        <w:rPr>
          <w:lang w:eastAsia="en-AU"/>
        </w:rPr>
        <w:t xml:space="preserve"> </w:t>
      </w:r>
      <w:r w:rsidR="00F76A63" w:rsidRPr="003F1956">
        <w:rPr>
          <w:lang w:eastAsia="en-AU"/>
        </w:rPr>
        <w:t xml:space="preserve">and uncertainty </w:t>
      </w:r>
      <w:r w:rsidR="00F80B60" w:rsidRPr="003F1956">
        <w:rPr>
          <w:lang w:eastAsia="en-AU"/>
        </w:rPr>
        <w:t>for particular accused</w:t>
      </w:r>
      <w:r w:rsidR="00F76A63" w:rsidRPr="003F1956">
        <w:rPr>
          <w:lang w:eastAsia="en-AU"/>
        </w:rPr>
        <w:t xml:space="preserve"> persons</w:t>
      </w:r>
      <w:r w:rsidR="004940D9" w:rsidRPr="003F1956">
        <w:rPr>
          <w:lang w:eastAsia="en-AU"/>
        </w:rPr>
        <w:t>.</w:t>
      </w:r>
      <w:r w:rsidR="004940D9" w:rsidRPr="003F1956">
        <w:rPr>
          <w:rStyle w:val="FootnoteReference"/>
        </w:rPr>
        <w:footnoteReference w:id="57"/>
      </w:r>
      <w:r w:rsidR="004940D9" w:rsidRPr="003F1956">
        <w:t xml:space="preserve"> </w:t>
      </w:r>
    </w:p>
    <w:p w:rsidR="00F81107" w:rsidRPr="003F1956" w:rsidRDefault="001362F0" w:rsidP="001362F0">
      <w:pPr>
        <w:pStyle w:val="VLALetterText"/>
        <w:outlineLvl w:val="0"/>
        <w:rPr>
          <w:lang w:eastAsia="en-AU"/>
        </w:rPr>
      </w:pPr>
      <w:r w:rsidRPr="003F1956">
        <w:rPr>
          <w:lang w:eastAsia="en-AU"/>
        </w:rPr>
        <w:t>To the extent</w:t>
      </w:r>
      <w:r w:rsidR="007F4F62" w:rsidRPr="003F1956">
        <w:rPr>
          <w:lang w:eastAsia="en-AU"/>
        </w:rPr>
        <w:t xml:space="preserve"> </w:t>
      </w:r>
      <w:r w:rsidRPr="003F1956">
        <w:rPr>
          <w:lang w:eastAsia="en-AU"/>
        </w:rPr>
        <w:t>that sentencing practices are</w:t>
      </w:r>
      <w:r w:rsidR="00723943" w:rsidRPr="003F1956">
        <w:rPr>
          <w:lang w:eastAsia="en-AU"/>
        </w:rPr>
        <w:t xml:space="preserve"> found to be</w:t>
      </w:r>
      <w:r w:rsidRPr="003F1956">
        <w:rPr>
          <w:lang w:eastAsia="en-AU"/>
        </w:rPr>
        <w:t xml:space="preserve"> inadequate for a particular offence type, guidance should be p</w:t>
      </w:r>
      <w:r w:rsidR="006D01A4" w:rsidRPr="003F1956">
        <w:rPr>
          <w:lang w:eastAsia="en-AU"/>
        </w:rPr>
        <w:t xml:space="preserve">rovided by the Court of Appeal </w:t>
      </w:r>
      <w:r w:rsidRPr="003F1956">
        <w:rPr>
          <w:lang w:eastAsia="en-AU"/>
        </w:rPr>
        <w:t>through the sentence appea</w:t>
      </w:r>
      <w:r w:rsidR="006D01A4" w:rsidRPr="003F1956">
        <w:rPr>
          <w:lang w:eastAsia="en-AU"/>
        </w:rPr>
        <w:t>l or guideline judgment process</w:t>
      </w:r>
      <w:r w:rsidRPr="003F1956">
        <w:rPr>
          <w:lang w:eastAsia="en-AU"/>
        </w:rPr>
        <w:t>.</w:t>
      </w:r>
    </w:p>
    <w:p w:rsidR="001362F0" w:rsidRPr="003F1956" w:rsidRDefault="001362F0" w:rsidP="00FA5F59">
      <w:pPr>
        <w:pStyle w:val="Heading2"/>
      </w:pPr>
      <w:bookmarkStart w:id="11" w:name="_Toc443045578"/>
      <w:r w:rsidRPr="003F1956">
        <w:t>(</w:t>
      </w:r>
      <w:r w:rsidR="00892C36" w:rsidRPr="003F1956">
        <w:t>g</w:t>
      </w:r>
      <w:r w:rsidRPr="003F1956">
        <w:t>) Sentencing guidelines and guideline judgments</w:t>
      </w:r>
      <w:bookmarkEnd w:id="11"/>
    </w:p>
    <w:p w:rsidR="001362F0" w:rsidRPr="003F1956" w:rsidRDefault="00444824" w:rsidP="00FA5F59">
      <w:pPr>
        <w:pStyle w:val="Heading3"/>
      </w:pPr>
      <w:r w:rsidRPr="003F1956">
        <w:t xml:space="preserve">To what extent can </w:t>
      </w:r>
      <w:r w:rsidR="00036CBE" w:rsidRPr="003F1956">
        <w:t>g</w:t>
      </w:r>
      <w:r w:rsidR="001362F0" w:rsidRPr="003F1956">
        <w:t xml:space="preserve">uideline judgments </w:t>
      </w:r>
      <w:r w:rsidRPr="003F1956">
        <w:t>assist in</w:t>
      </w:r>
      <w:r w:rsidR="001362F0" w:rsidRPr="003F1956">
        <w:t xml:space="preserve"> improving consistency and public confidence</w:t>
      </w:r>
      <w:r w:rsidR="00B512C1" w:rsidRPr="003F1956">
        <w:t>?</w:t>
      </w:r>
    </w:p>
    <w:p w:rsidR="001362F0" w:rsidRPr="003F1956" w:rsidRDefault="00B512C1" w:rsidP="001362F0">
      <w:pPr>
        <w:pStyle w:val="VLALetterText"/>
        <w:outlineLvl w:val="0"/>
        <w:rPr>
          <w:lang w:eastAsia="en-AU"/>
        </w:rPr>
      </w:pPr>
      <w:r w:rsidRPr="003F1956">
        <w:rPr>
          <w:lang w:eastAsia="en-AU"/>
        </w:rPr>
        <w:t>Guideline judgments are</w:t>
      </w:r>
      <w:r w:rsidR="001362F0" w:rsidRPr="003F1956">
        <w:rPr>
          <w:lang w:eastAsia="en-AU"/>
        </w:rPr>
        <w:t xml:space="preserve"> the most appropriate vehicle for improving consistency and transparency and therefore public confidence in sentencing. </w:t>
      </w:r>
    </w:p>
    <w:p w:rsidR="00386CDB" w:rsidRPr="003F1956" w:rsidRDefault="001362F0" w:rsidP="005769A8">
      <w:pPr>
        <w:pStyle w:val="VLALetterText"/>
        <w:outlineLvl w:val="0"/>
        <w:rPr>
          <w:lang w:eastAsia="en-AU"/>
        </w:rPr>
      </w:pPr>
      <w:r w:rsidRPr="003F1956">
        <w:rPr>
          <w:lang w:eastAsia="en-AU"/>
        </w:rPr>
        <w:t xml:space="preserve">By </w:t>
      </w:r>
      <w:r w:rsidRPr="003F1956">
        <w:rPr>
          <w:i/>
          <w:lang w:eastAsia="en-AU"/>
        </w:rPr>
        <w:t>structuring</w:t>
      </w:r>
      <w:r w:rsidRPr="003F1956">
        <w:rPr>
          <w:lang w:eastAsia="en-AU"/>
        </w:rPr>
        <w:t xml:space="preserve"> rather than limiting discretion, guideline judgments strike an appropriate balance between consistency in sentencing and the need to have regard to the individual circumstances of a case. Guidelines allow for </w:t>
      </w:r>
      <w:r w:rsidR="0086698D" w:rsidRPr="003F1956">
        <w:rPr>
          <w:lang w:eastAsia="en-AU"/>
        </w:rPr>
        <w:t>“</w:t>
      </w:r>
      <w:r w:rsidRPr="003F1956">
        <w:rPr>
          <w:lang w:eastAsia="en-AU"/>
        </w:rPr>
        <w:t>incremental development of the law</w:t>
      </w:r>
      <w:r w:rsidR="0086698D" w:rsidRPr="003F1956">
        <w:rPr>
          <w:lang w:eastAsia="en-AU"/>
        </w:rPr>
        <w:t>”</w:t>
      </w:r>
      <w:r w:rsidR="00DA65D8" w:rsidRPr="003F1956">
        <w:rPr>
          <w:lang w:eastAsia="en-AU"/>
        </w:rPr>
        <w:t>, can respond to changing circumstances</w:t>
      </w:r>
      <w:r w:rsidR="00F709B4" w:rsidRPr="003F1956">
        <w:rPr>
          <w:lang w:eastAsia="en-AU"/>
        </w:rPr>
        <w:t>, and</w:t>
      </w:r>
      <w:r w:rsidR="00DA65D8" w:rsidRPr="003F1956">
        <w:rPr>
          <w:lang w:eastAsia="en-AU"/>
        </w:rPr>
        <w:t xml:space="preserve"> are</w:t>
      </w:r>
      <w:r w:rsidRPr="003F1956">
        <w:rPr>
          <w:lang w:eastAsia="en-AU"/>
        </w:rPr>
        <w:t xml:space="preserve"> </w:t>
      </w:r>
      <w:r w:rsidR="00B512C1" w:rsidRPr="003F1956">
        <w:rPr>
          <w:lang w:eastAsia="en-AU"/>
        </w:rPr>
        <w:t>consistent with the appellate process</w:t>
      </w:r>
      <w:r w:rsidR="00F709B4" w:rsidRPr="003F1956">
        <w:rPr>
          <w:lang w:eastAsia="en-AU"/>
        </w:rPr>
        <w:t>.</w:t>
      </w:r>
      <w:r w:rsidR="00F76A63" w:rsidRPr="003F1956">
        <w:rPr>
          <w:rStyle w:val="FootnoteReference"/>
          <w:lang w:eastAsia="en-AU"/>
        </w:rPr>
        <w:footnoteReference w:id="58"/>
      </w:r>
      <w:r w:rsidR="00F709B4" w:rsidRPr="003F1956">
        <w:rPr>
          <w:lang w:eastAsia="en-AU"/>
        </w:rPr>
        <w:t xml:space="preserve"> Guidelines</w:t>
      </w:r>
      <w:r w:rsidRPr="003F1956">
        <w:rPr>
          <w:lang w:eastAsia="en-AU"/>
        </w:rPr>
        <w:t xml:space="preserve"> can better tak</w:t>
      </w:r>
      <w:r w:rsidR="00F709B4" w:rsidRPr="003F1956">
        <w:rPr>
          <w:lang w:eastAsia="en-AU"/>
        </w:rPr>
        <w:t xml:space="preserve">e into account community views </w:t>
      </w:r>
      <w:r w:rsidRPr="003F1956">
        <w:rPr>
          <w:lang w:eastAsia="en-AU"/>
        </w:rPr>
        <w:t xml:space="preserve">through the role of </w:t>
      </w:r>
      <w:r w:rsidR="00F709B4" w:rsidRPr="003F1956">
        <w:rPr>
          <w:lang w:eastAsia="en-AU"/>
        </w:rPr>
        <w:t xml:space="preserve">the </w:t>
      </w:r>
      <w:r w:rsidRPr="003F1956">
        <w:rPr>
          <w:lang w:eastAsia="en-AU"/>
        </w:rPr>
        <w:t>SAC</w:t>
      </w:r>
      <w:r w:rsidR="00DA65D8" w:rsidRPr="003F1956">
        <w:rPr>
          <w:lang w:eastAsia="en-AU"/>
        </w:rPr>
        <w:t>, wh</w:t>
      </w:r>
      <w:r w:rsidR="00F709B4" w:rsidRPr="003F1956">
        <w:rPr>
          <w:lang w:eastAsia="en-AU"/>
        </w:rPr>
        <w:t>ich</w:t>
      </w:r>
      <w:r w:rsidR="00DA65D8" w:rsidRPr="003F1956">
        <w:rPr>
          <w:lang w:eastAsia="en-AU"/>
        </w:rPr>
        <w:t xml:space="preserve"> </w:t>
      </w:r>
      <w:r w:rsidR="00DF4A76" w:rsidRPr="003F1956">
        <w:rPr>
          <w:lang w:eastAsia="en-AU"/>
        </w:rPr>
        <w:t xml:space="preserve">has the responsibility of </w:t>
      </w:r>
      <w:r w:rsidR="00F709B4" w:rsidRPr="003F1956">
        <w:rPr>
          <w:lang w:eastAsia="en-AU"/>
        </w:rPr>
        <w:t>gauging public opinion on sentencing matters</w:t>
      </w:r>
      <w:r w:rsidR="00DA65D8" w:rsidRPr="003F1956">
        <w:rPr>
          <w:lang w:eastAsia="en-AU"/>
        </w:rPr>
        <w:t>.</w:t>
      </w:r>
      <w:r w:rsidRPr="003F1956">
        <w:rPr>
          <w:rStyle w:val="FootnoteReference"/>
          <w:lang w:eastAsia="en-AU"/>
        </w:rPr>
        <w:footnoteReference w:id="59"/>
      </w:r>
      <w:r w:rsidR="008600C3" w:rsidRPr="003F1956">
        <w:rPr>
          <w:lang w:eastAsia="en-AU"/>
        </w:rPr>
        <w:t xml:space="preserve"> </w:t>
      </w:r>
      <w:r w:rsidR="00DA65D8" w:rsidRPr="003F1956">
        <w:rPr>
          <w:lang w:eastAsia="en-AU"/>
        </w:rPr>
        <w:t>Guidelines are also able to avoid</w:t>
      </w:r>
      <w:r w:rsidR="00F81107" w:rsidRPr="003F1956">
        <w:rPr>
          <w:lang w:eastAsia="en-AU"/>
        </w:rPr>
        <w:t xml:space="preserve"> </w:t>
      </w:r>
      <w:r w:rsidR="005769A8" w:rsidRPr="003F1956">
        <w:rPr>
          <w:lang w:eastAsia="en-AU"/>
        </w:rPr>
        <w:t xml:space="preserve">many of the </w:t>
      </w:r>
      <w:r w:rsidR="00F709B4" w:rsidRPr="003F1956">
        <w:rPr>
          <w:lang w:eastAsia="en-AU"/>
        </w:rPr>
        <w:t xml:space="preserve">costs and </w:t>
      </w:r>
      <w:r w:rsidR="005769A8" w:rsidRPr="003F1956">
        <w:rPr>
          <w:lang w:eastAsia="en-AU"/>
        </w:rPr>
        <w:t>weaknesses of</w:t>
      </w:r>
      <w:r w:rsidR="00F81107" w:rsidRPr="003F1956">
        <w:rPr>
          <w:lang w:eastAsia="en-AU"/>
        </w:rPr>
        <w:t xml:space="preserve"> </w:t>
      </w:r>
      <w:r w:rsidR="005769A8" w:rsidRPr="003F1956">
        <w:rPr>
          <w:lang w:eastAsia="en-AU"/>
        </w:rPr>
        <w:t>mandatory legislative regimes</w:t>
      </w:r>
      <w:r w:rsidR="00F709B4" w:rsidRPr="003F1956">
        <w:rPr>
          <w:lang w:eastAsia="en-AU"/>
        </w:rPr>
        <w:t>. For example, guidelines are able to guard against disadvantaged classes of people being subject to disproportionate sentencing outcomes.</w:t>
      </w:r>
      <w:r w:rsidR="00FF65E5" w:rsidRPr="003F1956">
        <w:rPr>
          <w:lang w:eastAsia="en-AU"/>
        </w:rPr>
        <w:t xml:space="preserve"> </w:t>
      </w:r>
    </w:p>
    <w:p w:rsidR="00F709B4" w:rsidRPr="003F1956" w:rsidRDefault="00FF65E5" w:rsidP="005769A8">
      <w:pPr>
        <w:pStyle w:val="VLALetterText"/>
        <w:outlineLvl w:val="0"/>
        <w:rPr>
          <w:lang w:eastAsia="en-AU"/>
        </w:rPr>
      </w:pPr>
      <w:r w:rsidRPr="003F1956">
        <w:rPr>
          <w:lang w:eastAsia="en-AU"/>
        </w:rPr>
        <w:t>It is critical that, i</w:t>
      </w:r>
      <w:r w:rsidR="003C6D44" w:rsidRPr="003F1956">
        <w:rPr>
          <w:lang w:eastAsia="en-AU"/>
        </w:rPr>
        <w:t>n considering or reviewing a guideline judgment, c</w:t>
      </w:r>
      <w:r w:rsidR="00DF4A76" w:rsidRPr="003F1956">
        <w:rPr>
          <w:lang w:eastAsia="en-AU"/>
        </w:rPr>
        <w:t xml:space="preserve">ourts are </w:t>
      </w:r>
      <w:r w:rsidR="00DF4A76" w:rsidRPr="003F1956">
        <w:rPr>
          <w:i/>
          <w:lang w:eastAsia="en-AU"/>
        </w:rPr>
        <w:t xml:space="preserve">explicitly </w:t>
      </w:r>
      <w:r w:rsidR="00DF4A76" w:rsidRPr="003F1956">
        <w:rPr>
          <w:lang w:eastAsia="en-AU"/>
        </w:rPr>
        <w:t>required to have regard to the need to promote consistency of approach and public confidence in sentencing.</w:t>
      </w:r>
      <w:r w:rsidR="003C6D44" w:rsidRPr="003F1956">
        <w:rPr>
          <w:rStyle w:val="FootnoteReference"/>
          <w:lang w:eastAsia="en-AU"/>
        </w:rPr>
        <w:footnoteReference w:id="60"/>
      </w:r>
      <w:r w:rsidR="00386CDB" w:rsidRPr="003F1956">
        <w:rPr>
          <w:lang w:eastAsia="en-AU"/>
        </w:rPr>
        <w:t xml:space="preserve"> As stated in the Second Reading to the Bill introducing guideline judgments “[t]</w:t>
      </w:r>
      <w:proofErr w:type="spellStart"/>
      <w:r w:rsidR="00386CDB" w:rsidRPr="003F1956">
        <w:rPr>
          <w:lang w:eastAsia="en-AU"/>
        </w:rPr>
        <w:t>hese</w:t>
      </w:r>
      <w:proofErr w:type="spellEnd"/>
      <w:r w:rsidR="00386CDB" w:rsidRPr="003F1956">
        <w:rPr>
          <w:lang w:eastAsia="en-AU"/>
        </w:rPr>
        <w:t xml:space="preserve"> requirements recognise the need for the criminal justice system to be responsive, representative, transparent and accountable.”</w:t>
      </w:r>
      <w:r w:rsidR="00F76A63" w:rsidRPr="003F1956">
        <w:rPr>
          <w:rStyle w:val="FootnoteReference"/>
          <w:lang w:eastAsia="en-AU"/>
        </w:rPr>
        <w:footnoteReference w:id="61"/>
      </w:r>
    </w:p>
    <w:p w:rsidR="00DA65D8" w:rsidRPr="003F1956" w:rsidRDefault="003C6D44" w:rsidP="00DA65D8">
      <w:pPr>
        <w:pStyle w:val="VLALetterText"/>
        <w:outlineLvl w:val="0"/>
        <w:rPr>
          <w:lang w:eastAsia="en-AU"/>
        </w:rPr>
      </w:pPr>
      <w:r w:rsidRPr="003F1956">
        <w:rPr>
          <w:lang w:eastAsia="en-AU"/>
        </w:rPr>
        <w:t>B</w:t>
      </w:r>
      <w:r w:rsidR="0096599F" w:rsidRPr="003F1956">
        <w:rPr>
          <w:lang w:eastAsia="en-AU"/>
        </w:rPr>
        <w:t>y enhancing transparency, consistency and clarity in sentencing approach</w:t>
      </w:r>
      <w:r w:rsidR="00C63FAD" w:rsidRPr="003F1956">
        <w:rPr>
          <w:lang w:eastAsia="en-AU"/>
        </w:rPr>
        <w:t xml:space="preserve">, </w:t>
      </w:r>
      <w:r w:rsidRPr="003F1956">
        <w:rPr>
          <w:lang w:eastAsia="en-AU"/>
        </w:rPr>
        <w:t>guidelines can promote understanding and community confidence, which can serve to benefit the interests of the community</w:t>
      </w:r>
      <w:r w:rsidR="00FF65E5" w:rsidRPr="003F1956">
        <w:rPr>
          <w:lang w:eastAsia="en-AU"/>
        </w:rPr>
        <w:t xml:space="preserve">. </w:t>
      </w:r>
      <w:r w:rsidR="00DA65D8" w:rsidRPr="003F1956">
        <w:rPr>
          <w:lang w:eastAsia="en-AU"/>
        </w:rPr>
        <w:t xml:space="preserve">Guidelines can also better enable practitioners to assist the court and </w:t>
      </w:r>
      <w:proofErr w:type="gramStart"/>
      <w:r w:rsidR="00DA65D8" w:rsidRPr="003F1956">
        <w:rPr>
          <w:lang w:eastAsia="en-AU"/>
        </w:rPr>
        <w:t>advise</w:t>
      </w:r>
      <w:proofErr w:type="gramEnd"/>
      <w:r w:rsidR="00DA65D8" w:rsidRPr="003F1956">
        <w:rPr>
          <w:lang w:eastAsia="en-AU"/>
        </w:rPr>
        <w:t xml:space="preserve"> clients in respect of pleading guilty, sentencing outcomes and appeal prospects.</w:t>
      </w:r>
      <w:r w:rsidR="00FF65E5" w:rsidRPr="003F1956">
        <w:rPr>
          <w:lang w:eastAsia="en-AU"/>
        </w:rPr>
        <w:t xml:space="preserve"> </w:t>
      </w:r>
    </w:p>
    <w:p w:rsidR="00FF65E5" w:rsidRPr="003F1956" w:rsidRDefault="00DB2E04" w:rsidP="00DA65D8">
      <w:pPr>
        <w:pStyle w:val="VLALetterText"/>
        <w:outlineLvl w:val="0"/>
        <w:rPr>
          <w:lang w:eastAsia="en-AU"/>
        </w:rPr>
      </w:pPr>
      <w:r w:rsidRPr="003F1956">
        <w:rPr>
          <w:lang w:eastAsia="en-AU"/>
        </w:rPr>
        <w:lastRenderedPageBreak/>
        <w:t>The proposition that guideline judgments are capable of increasing consistency is empirically supported.</w:t>
      </w:r>
      <w:r w:rsidRPr="003F1956">
        <w:rPr>
          <w:rStyle w:val="FootnoteReference"/>
          <w:lang w:eastAsia="en-AU"/>
        </w:rPr>
        <w:footnoteReference w:id="62"/>
      </w:r>
      <w:r w:rsidRPr="003F1956">
        <w:rPr>
          <w:lang w:eastAsia="en-AU"/>
        </w:rPr>
        <w:t xml:space="preserve"> There is also</w:t>
      </w:r>
      <w:r w:rsidR="00FF65E5" w:rsidRPr="003F1956">
        <w:rPr>
          <w:lang w:eastAsia="en-AU"/>
        </w:rPr>
        <w:t xml:space="preserve"> “academic and practitioner support for the balanced manner in which they do so.”</w:t>
      </w:r>
      <w:r w:rsidR="00FF65E5" w:rsidRPr="003F1956">
        <w:rPr>
          <w:rStyle w:val="FootnoteReference"/>
          <w:lang w:eastAsia="en-AU"/>
        </w:rPr>
        <w:footnoteReference w:id="63"/>
      </w:r>
    </w:p>
    <w:p w:rsidR="00550CAC" w:rsidRPr="003F1956" w:rsidRDefault="00871F8F" w:rsidP="00DA65D8">
      <w:pPr>
        <w:pStyle w:val="VLALetterText"/>
        <w:outlineLvl w:val="0"/>
        <w:rPr>
          <w:lang w:eastAsia="en-AU"/>
        </w:rPr>
      </w:pPr>
      <w:r w:rsidRPr="003F1956">
        <w:rPr>
          <w:lang w:eastAsia="en-AU"/>
        </w:rPr>
        <w:t xml:space="preserve">While there has been </w:t>
      </w:r>
      <w:r w:rsidR="00550CAC" w:rsidRPr="003F1956">
        <w:rPr>
          <w:lang w:eastAsia="en-AU"/>
        </w:rPr>
        <w:t xml:space="preserve">historical resistance to guideline judgments by both the Court of Appeal and the profession, the pursuit of a guideline by the DPP in </w:t>
      </w:r>
      <w:proofErr w:type="spellStart"/>
      <w:r w:rsidR="00550CAC" w:rsidRPr="003F1956">
        <w:rPr>
          <w:i/>
          <w:lang w:eastAsia="en-AU"/>
        </w:rPr>
        <w:t>Boulton</w:t>
      </w:r>
      <w:proofErr w:type="spellEnd"/>
      <w:r w:rsidR="00550CAC" w:rsidRPr="003F1956">
        <w:rPr>
          <w:i/>
          <w:lang w:eastAsia="en-AU"/>
        </w:rPr>
        <w:t xml:space="preserve"> v The Queen</w:t>
      </w:r>
      <w:r w:rsidR="001829E6" w:rsidRPr="003F1956">
        <w:rPr>
          <w:lang w:eastAsia="en-AU"/>
        </w:rPr>
        <w:t xml:space="preserve"> (which was strongly supported by VLA and </w:t>
      </w:r>
      <w:r w:rsidR="002D273C" w:rsidRPr="003F1956">
        <w:rPr>
          <w:lang w:eastAsia="en-AU"/>
        </w:rPr>
        <w:t xml:space="preserve">the </w:t>
      </w:r>
      <w:r w:rsidR="001829E6" w:rsidRPr="003F1956">
        <w:rPr>
          <w:lang w:eastAsia="en-AU"/>
        </w:rPr>
        <w:t xml:space="preserve">SAC); </w:t>
      </w:r>
      <w:r w:rsidR="00550CAC" w:rsidRPr="003F1956">
        <w:rPr>
          <w:lang w:eastAsia="en-AU"/>
        </w:rPr>
        <w:t>and the delivery of Victoria’s</w:t>
      </w:r>
      <w:r w:rsidRPr="003F1956">
        <w:rPr>
          <w:lang w:eastAsia="en-AU"/>
        </w:rPr>
        <w:t xml:space="preserve"> first guideline by a unanimous</w:t>
      </w:r>
      <w:r w:rsidR="00550CAC" w:rsidRPr="003F1956">
        <w:rPr>
          <w:lang w:eastAsia="en-AU"/>
        </w:rPr>
        <w:t xml:space="preserve"> 5-member bench, indicates a preparedness </w:t>
      </w:r>
      <w:r w:rsidR="001829E6" w:rsidRPr="003F1956">
        <w:rPr>
          <w:lang w:eastAsia="en-AU"/>
        </w:rPr>
        <w:t>by</w:t>
      </w:r>
      <w:r w:rsidR="00550CAC" w:rsidRPr="003F1956">
        <w:rPr>
          <w:lang w:eastAsia="en-AU"/>
        </w:rPr>
        <w:t xml:space="preserve"> the Court </w:t>
      </w:r>
      <w:r w:rsidR="001829E6" w:rsidRPr="003F1956">
        <w:rPr>
          <w:lang w:eastAsia="en-AU"/>
        </w:rPr>
        <w:t xml:space="preserve">and institutional stakeholders </w:t>
      </w:r>
      <w:r w:rsidR="00550CAC" w:rsidRPr="003F1956">
        <w:rPr>
          <w:lang w:eastAsia="en-AU"/>
        </w:rPr>
        <w:t>to pursue, and give, practical sentencing guidance through the guideline judgment scheme.</w:t>
      </w:r>
      <w:r w:rsidR="00550CAC" w:rsidRPr="003F1956">
        <w:rPr>
          <w:rStyle w:val="FootnoteReference"/>
          <w:lang w:eastAsia="en-AU"/>
        </w:rPr>
        <w:footnoteReference w:id="64"/>
      </w:r>
    </w:p>
    <w:p w:rsidR="001362F0" w:rsidRPr="003F1956" w:rsidRDefault="00A91807" w:rsidP="00FA5F59">
      <w:pPr>
        <w:pStyle w:val="Heading3"/>
      </w:pPr>
      <w:r w:rsidRPr="003F1956">
        <w:t xml:space="preserve">Should </w:t>
      </w:r>
      <w:r w:rsidR="001362F0" w:rsidRPr="003F1956">
        <w:t>the Court of Appeal giv</w:t>
      </w:r>
      <w:r w:rsidRPr="003F1956">
        <w:t>e</w:t>
      </w:r>
      <w:r w:rsidR="001362F0" w:rsidRPr="003F1956">
        <w:t xml:space="preserve"> guidance on appropriate sentence ranges</w:t>
      </w:r>
      <w:r w:rsidR="00444824" w:rsidRPr="003F1956">
        <w:t>?</w:t>
      </w:r>
    </w:p>
    <w:p w:rsidR="001362F0" w:rsidRPr="003F1956" w:rsidRDefault="001362F0" w:rsidP="001362F0">
      <w:pPr>
        <w:pStyle w:val="VLALetterText"/>
        <w:outlineLvl w:val="0"/>
        <w:rPr>
          <w:lang w:eastAsia="en-AU"/>
        </w:rPr>
      </w:pPr>
      <w:r w:rsidRPr="003F1956">
        <w:rPr>
          <w:lang w:eastAsia="en-AU"/>
        </w:rPr>
        <w:t xml:space="preserve">The Court of Appeal is currently empowered to give guidance on particular offences, and can set out the weighting to be given to relevant criteria. There may be merit in the Court of Appeal giving guidance on sentencing ranges </w:t>
      </w:r>
      <w:r w:rsidR="00573914" w:rsidRPr="003F1956">
        <w:rPr>
          <w:lang w:eastAsia="en-AU"/>
        </w:rPr>
        <w:t>(</w:t>
      </w:r>
      <w:r w:rsidRPr="003F1956">
        <w:rPr>
          <w:lang w:eastAsia="en-AU"/>
        </w:rPr>
        <w:t xml:space="preserve">in respect of </w:t>
      </w:r>
      <w:r w:rsidR="00573914" w:rsidRPr="003F1956">
        <w:rPr>
          <w:lang w:eastAsia="en-AU"/>
        </w:rPr>
        <w:t>low, medium and high</w:t>
      </w:r>
      <w:r w:rsidRPr="003F1956">
        <w:rPr>
          <w:lang w:eastAsia="en-AU"/>
        </w:rPr>
        <w:t xml:space="preserve"> levels of objective offence seriousness, </w:t>
      </w:r>
      <w:r w:rsidR="00573914" w:rsidRPr="003F1956">
        <w:rPr>
          <w:lang w:eastAsia="en-AU"/>
        </w:rPr>
        <w:t xml:space="preserve">rather than </w:t>
      </w:r>
      <w:r w:rsidR="00267B08" w:rsidRPr="003F1956">
        <w:rPr>
          <w:lang w:eastAsia="en-AU"/>
        </w:rPr>
        <w:t xml:space="preserve">being </w:t>
      </w:r>
      <w:r w:rsidR="006174D7" w:rsidRPr="003F1956">
        <w:rPr>
          <w:lang w:eastAsia="en-AU"/>
        </w:rPr>
        <w:t>numerical</w:t>
      </w:r>
      <w:r w:rsidR="00267B08" w:rsidRPr="003F1956">
        <w:rPr>
          <w:lang w:eastAsia="en-AU"/>
        </w:rPr>
        <w:t xml:space="preserve"> or </w:t>
      </w:r>
      <w:r w:rsidR="006174D7" w:rsidRPr="003F1956">
        <w:rPr>
          <w:lang w:eastAsia="en-AU"/>
        </w:rPr>
        <w:t>“</w:t>
      </w:r>
      <w:r w:rsidR="00267B08" w:rsidRPr="003F1956">
        <w:rPr>
          <w:lang w:eastAsia="en-AU"/>
        </w:rPr>
        <w:t>tariff orientated</w:t>
      </w:r>
      <w:r w:rsidR="006174D7" w:rsidRPr="003F1956">
        <w:rPr>
          <w:lang w:eastAsia="en-AU"/>
        </w:rPr>
        <w:t>”</w:t>
      </w:r>
      <w:r w:rsidR="006174D7" w:rsidRPr="003F1956">
        <w:rPr>
          <w:rStyle w:val="FootnoteReference"/>
          <w:lang w:eastAsia="en-AU"/>
        </w:rPr>
        <w:footnoteReference w:id="65"/>
      </w:r>
      <w:r w:rsidR="00573914" w:rsidRPr="003F1956">
        <w:rPr>
          <w:lang w:eastAsia="en-AU"/>
        </w:rPr>
        <w:t xml:space="preserve">) </w:t>
      </w:r>
      <w:r w:rsidRPr="003F1956">
        <w:rPr>
          <w:lang w:eastAsia="en-AU"/>
        </w:rPr>
        <w:t>and listing a non-exhaustive series of factors that may aggravate or mitigate sentence.</w:t>
      </w:r>
    </w:p>
    <w:p w:rsidR="001362F0" w:rsidRPr="003F1956" w:rsidRDefault="001362F0" w:rsidP="001362F0">
      <w:pPr>
        <w:pStyle w:val="VLALetterText"/>
        <w:outlineLvl w:val="0"/>
        <w:rPr>
          <w:lang w:eastAsia="en-AU"/>
        </w:rPr>
      </w:pPr>
      <w:r w:rsidRPr="003F1956">
        <w:rPr>
          <w:lang w:eastAsia="en-AU"/>
        </w:rPr>
        <w:t>Any proposed amendment of this nature should, however, structure, not restrict judicial discretion. It should not be rigidly or mechanistically applied, avoid two-step sentencing (</w:t>
      </w:r>
      <w:r w:rsidR="00871F8F" w:rsidRPr="003F1956">
        <w:rPr>
          <w:lang w:eastAsia="en-AU"/>
        </w:rPr>
        <w:t>for example,</w:t>
      </w:r>
      <w:r w:rsidRPr="003F1956">
        <w:rPr>
          <w:lang w:eastAsia="en-AU"/>
        </w:rPr>
        <w:t xml:space="preserve"> by making an available range a factor to steer by like the maximum penalty), avoid prescribing specific sentence outcomes (but rather, provide for ranges), and take into account High Court concerns about prescriptive numerical guidance.</w:t>
      </w:r>
      <w:r w:rsidR="00FF3EB8" w:rsidRPr="003F1956">
        <w:rPr>
          <w:rStyle w:val="FootnoteReference"/>
          <w:lang w:eastAsia="en-AU"/>
        </w:rPr>
        <w:footnoteReference w:id="66"/>
      </w:r>
    </w:p>
    <w:p w:rsidR="001362F0" w:rsidRPr="003F1956" w:rsidRDefault="001362F0" w:rsidP="00FA5F59">
      <w:pPr>
        <w:pStyle w:val="Heading3"/>
      </w:pPr>
      <w:r w:rsidRPr="003F1956">
        <w:t>Should the Attorney-General be able to request a guideline judgment</w:t>
      </w:r>
      <w:r w:rsidR="00715AB7" w:rsidRPr="003F1956">
        <w:t>?</w:t>
      </w:r>
    </w:p>
    <w:p w:rsidR="002D273C" w:rsidRPr="003F1956" w:rsidRDefault="002D273C" w:rsidP="002D273C">
      <w:pPr>
        <w:pStyle w:val="VLALetterText"/>
        <w:outlineLvl w:val="0"/>
        <w:rPr>
          <w:lang w:eastAsia="en-AU"/>
        </w:rPr>
      </w:pPr>
      <w:r w:rsidRPr="003F1956">
        <w:rPr>
          <w:lang w:eastAsia="en-AU"/>
        </w:rPr>
        <w:t>VLA supports the Attorney-General being able to request a guideline judgment, provided, as is the case in New South Wales, the Court of Appeal retains the discretion to determine whether or not to issue a guideline judgment, and what form the guideline judgment should take.</w:t>
      </w:r>
      <w:r w:rsidRPr="003F1956">
        <w:rPr>
          <w:rStyle w:val="FootnoteReference"/>
          <w:lang w:eastAsia="en-AU"/>
        </w:rPr>
        <w:footnoteReference w:id="67"/>
      </w:r>
      <w:r w:rsidRPr="003F1956">
        <w:rPr>
          <w:lang w:eastAsia="en-AU"/>
        </w:rPr>
        <w:t xml:space="preserve"> Such a facility may alleviate the current difficulty of waiting for an appeal before the Court to initiate the guideline judgment process.</w:t>
      </w:r>
    </w:p>
    <w:p w:rsidR="002D273C" w:rsidRPr="003F1956" w:rsidRDefault="002D273C" w:rsidP="00447C30">
      <w:pPr>
        <w:pStyle w:val="VLALetterText"/>
        <w:outlineLvl w:val="0"/>
        <w:rPr>
          <w:lang w:eastAsia="en-AU"/>
        </w:rPr>
      </w:pPr>
      <w:r w:rsidRPr="003F1956">
        <w:rPr>
          <w:lang w:eastAsia="en-AU"/>
        </w:rPr>
        <w:t>If the Attorney obtains the power to apply for a guideline judgment, appropriate safeguards are required to ensure the appropriate separation and independence of judicial and executive functions.</w:t>
      </w:r>
      <w:r w:rsidRPr="003F1956">
        <w:rPr>
          <w:rStyle w:val="FootnoteReference"/>
          <w:lang w:eastAsia="en-AU"/>
        </w:rPr>
        <w:footnoteReference w:id="68"/>
      </w:r>
      <w:r w:rsidRPr="003F1956">
        <w:rPr>
          <w:lang w:eastAsia="en-AU"/>
        </w:rPr>
        <w:t xml:space="preserve"> That the Attorney be empowered to request a guideline judgment was proposed by </w:t>
      </w:r>
      <w:r w:rsidRPr="003F1956">
        <w:rPr>
          <w:lang w:eastAsia="en-AU"/>
        </w:rPr>
        <w:lastRenderedPageBreak/>
        <w:t xml:space="preserve">Professor Freiberg in his 2002 </w:t>
      </w:r>
      <w:r w:rsidRPr="003F1956">
        <w:rPr>
          <w:i/>
          <w:lang w:eastAsia="en-AU"/>
        </w:rPr>
        <w:t>Pathways to Justice Report</w:t>
      </w:r>
      <w:r w:rsidRPr="003F1956">
        <w:rPr>
          <w:lang w:eastAsia="en-AU"/>
        </w:rPr>
        <w:t xml:space="preserve"> (the report that led to the introduction of the guideline judgment provisions), however this recommendation was not taken up at the time.</w:t>
      </w:r>
      <w:r w:rsidRPr="003F1956">
        <w:rPr>
          <w:rStyle w:val="FootnoteReference"/>
          <w:lang w:eastAsia="en-AU"/>
        </w:rPr>
        <w:footnoteReference w:id="69"/>
      </w:r>
    </w:p>
    <w:p w:rsidR="00444824" w:rsidRPr="003F1956" w:rsidRDefault="00444824" w:rsidP="00FA5F59">
      <w:pPr>
        <w:pStyle w:val="Heading3"/>
      </w:pPr>
      <w:r w:rsidRPr="003F1956">
        <w:t>Should the Court of Appeal be able to initiate the guideline judgment process without an appeal?</w:t>
      </w:r>
    </w:p>
    <w:p w:rsidR="001362F0" w:rsidRPr="003F1956" w:rsidRDefault="000E1DEC" w:rsidP="001362F0">
      <w:pPr>
        <w:pStyle w:val="VLALetterText"/>
        <w:outlineLvl w:val="0"/>
        <w:rPr>
          <w:lang w:eastAsia="en-AU"/>
        </w:rPr>
      </w:pPr>
      <w:r w:rsidRPr="003F1956">
        <w:rPr>
          <w:lang w:eastAsia="en-AU"/>
        </w:rPr>
        <w:t>T</w:t>
      </w:r>
      <w:r w:rsidR="00F06D04" w:rsidRPr="003F1956">
        <w:rPr>
          <w:lang w:eastAsia="en-AU"/>
        </w:rPr>
        <w:t xml:space="preserve">he current approach in section 6AB of the </w:t>
      </w:r>
      <w:r w:rsidR="00F06D04" w:rsidRPr="003F1956">
        <w:rPr>
          <w:i/>
          <w:lang w:eastAsia="en-AU"/>
        </w:rPr>
        <w:t>Sentencing Act 1991</w:t>
      </w:r>
      <w:r w:rsidRPr="003F1956">
        <w:rPr>
          <w:lang w:eastAsia="en-AU"/>
        </w:rPr>
        <w:t xml:space="preserve"> </w:t>
      </w:r>
      <w:r w:rsidR="00871F8F" w:rsidRPr="003F1956">
        <w:rPr>
          <w:lang w:eastAsia="en-AU"/>
        </w:rPr>
        <w:t>(</w:t>
      </w:r>
      <w:r w:rsidRPr="003F1956">
        <w:rPr>
          <w:lang w:eastAsia="en-AU"/>
        </w:rPr>
        <w:t>that the Court is only empowered to initiate a guideline where an appeal is before it</w:t>
      </w:r>
      <w:r w:rsidR="00871F8F" w:rsidRPr="003F1956">
        <w:rPr>
          <w:lang w:eastAsia="en-AU"/>
        </w:rPr>
        <w:t>)</w:t>
      </w:r>
      <w:r w:rsidRPr="003F1956">
        <w:rPr>
          <w:lang w:eastAsia="en-AU"/>
        </w:rPr>
        <w:t xml:space="preserve"> is more consistent with the Court’s traditional role.</w:t>
      </w:r>
      <w:r w:rsidR="00CF5A46" w:rsidRPr="003F1956">
        <w:rPr>
          <w:rStyle w:val="FootnoteReference"/>
          <w:lang w:eastAsia="en-AU"/>
        </w:rPr>
        <w:footnoteReference w:id="70"/>
      </w:r>
    </w:p>
    <w:p w:rsidR="00550CAC" w:rsidRPr="003F1956" w:rsidRDefault="00245449" w:rsidP="00245449">
      <w:pPr>
        <w:pStyle w:val="VLALetterText"/>
        <w:outlineLvl w:val="0"/>
        <w:rPr>
          <w:lang w:eastAsia="en-AU"/>
        </w:rPr>
      </w:pPr>
      <w:r w:rsidRPr="003F1956">
        <w:rPr>
          <w:lang w:eastAsia="en-AU"/>
        </w:rPr>
        <w:t xml:space="preserve">VLA does however </w:t>
      </w:r>
      <w:r w:rsidR="001362F0" w:rsidRPr="003F1956">
        <w:rPr>
          <w:lang w:eastAsia="en-AU"/>
        </w:rPr>
        <w:t xml:space="preserve">acknowledge that there may be limitations in relying on </w:t>
      </w:r>
      <w:r w:rsidR="005A0EF8" w:rsidRPr="003F1956">
        <w:rPr>
          <w:lang w:eastAsia="en-AU"/>
        </w:rPr>
        <w:t>an appeal</w:t>
      </w:r>
      <w:r w:rsidR="001362F0" w:rsidRPr="003F1956">
        <w:rPr>
          <w:lang w:eastAsia="en-AU"/>
        </w:rPr>
        <w:t xml:space="preserve"> before the Court. </w:t>
      </w:r>
      <w:r w:rsidRPr="003F1956">
        <w:rPr>
          <w:lang w:eastAsia="en-AU"/>
        </w:rPr>
        <w:t>W</w:t>
      </w:r>
      <w:r w:rsidR="001362F0" w:rsidRPr="003F1956">
        <w:rPr>
          <w:lang w:eastAsia="en-AU"/>
        </w:rPr>
        <w:t xml:space="preserve">aiting for the right appeal vehicle </w:t>
      </w:r>
      <w:r w:rsidRPr="003F1956">
        <w:rPr>
          <w:lang w:eastAsia="en-AU"/>
        </w:rPr>
        <w:t xml:space="preserve">means guidelines </w:t>
      </w:r>
      <w:r w:rsidR="00E77322" w:rsidRPr="003F1956">
        <w:rPr>
          <w:lang w:eastAsia="en-AU"/>
        </w:rPr>
        <w:t>are likely to be “generated slowly… more reactive than proactive…. [</w:t>
      </w:r>
      <w:proofErr w:type="gramStart"/>
      <w:r w:rsidR="00E77322" w:rsidRPr="003F1956">
        <w:rPr>
          <w:lang w:eastAsia="en-AU"/>
        </w:rPr>
        <w:t>and</w:t>
      </w:r>
      <w:proofErr w:type="gramEnd"/>
      <w:r w:rsidR="00E77322" w:rsidRPr="003F1956">
        <w:rPr>
          <w:lang w:eastAsia="en-AU"/>
        </w:rPr>
        <w:t>] piecemeal.”</w:t>
      </w:r>
      <w:r w:rsidR="00E77322" w:rsidRPr="003F1956">
        <w:rPr>
          <w:rStyle w:val="FootnoteReference"/>
          <w:lang w:eastAsia="en-AU"/>
        </w:rPr>
        <w:footnoteReference w:id="71"/>
      </w:r>
      <w:r w:rsidR="00E77322" w:rsidRPr="003F1956">
        <w:rPr>
          <w:lang w:eastAsia="en-AU"/>
        </w:rPr>
        <w:t xml:space="preserve"> </w:t>
      </w:r>
      <w:r w:rsidRPr="003F1956">
        <w:rPr>
          <w:lang w:eastAsia="en-AU"/>
        </w:rPr>
        <w:t>The</w:t>
      </w:r>
      <w:r w:rsidR="001362F0" w:rsidRPr="003F1956">
        <w:rPr>
          <w:lang w:eastAsia="en-AU"/>
        </w:rPr>
        <w:t xml:space="preserve"> </w:t>
      </w:r>
      <w:r w:rsidR="00C63B9E" w:rsidRPr="003F1956">
        <w:rPr>
          <w:lang w:eastAsia="en-AU"/>
        </w:rPr>
        <w:t xml:space="preserve">restrictions on DPP initiated appeals, and the </w:t>
      </w:r>
      <w:r w:rsidR="001362F0" w:rsidRPr="003F1956">
        <w:rPr>
          <w:lang w:eastAsia="en-AU"/>
        </w:rPr>
        <w:t xml:space="preserve">tendency for appeals to involve serious rather than summary crimes (which may also be benefitted by a guideline), may </w:t>
      </w:r>
      <w:r w:rsidR="00E77322" w:rsidRPr="003F1956">
        <w:rPr>
          <w:lang w:eastAsia="en-AU"/>
        </w:rPr>
        <w:t xml:space="preserve">also </w:t>
      </w:r>
      <w:r w:rsidR="001362F0" w:rsidRPr="003F1956">
        <w:rPr>
          <w:lang w:eastAsia="en-AU"/>
        </w:rPr>
        <w:t>limit the matters potentially subject to a guideline</w:t>
      </w:r>
      <w:r w:rsidR="00C63B9E" w:rsidRPr="003F1956">
        <w:rPr>
          <w:lang w:eastAsia="en-AU"/>
        </w:rPr>
        <w:t xml:space="preserve"> judgment.</w:t>
      </w:r>
      <w:r w:rsidR="00C63B9E" w:rsidRPr="003F1956">
        <w:rPr>
          <w:rStyle w:val="FootnoteReference"/>
          <w:lang w:eastAsia="en-AU"/>
        </w:rPr>
        <w:footnoteReference w:id="72"/>
      </w:r>
      <w:r w:rsidR="00C63B9E" w:rsidRPr="003F1956">
        <w:rPr>
          <w:lang w:eastAsia="en-AU"/>
        </w:rPr>
        <w:t xml:space="preserve"> </w:t>
      </w:r>
      <w:r w:rsidR="000E1DEC" w:rsidRPr="003F1956">
        <w:rPr>
          <w:lang w:eastAsia="en-AU"/>
        </w:rPr>
        <w:t xml:space="preserve">Delaying the resolution of matters pending a guideline judgment </w:t>
      </w:r>
      <w:r w:rsidR="00C63B9E" w:rsidRPr="003F1956">
        <w:rPr>
          <w:lang w:eastAsia="en-AU"/>
        </w:rPr>
        <w:t>may also have disadvantages</w:t>
      </w:r>
      <w:r w:rsidR="000E1DEC" w:rsidRPr="003F1956">
        <w:rPr>
          <w:lang w:eastAsia="en-AU"/>
        </w:rPr>
        <w:t xml:space="preserve"> for an accused.</w:t>
      </w:r>
      <w:r w:rsidR="00550CAC" w:rsidRPr="003F1956">
        <w:rPr>
          <w:lang w:eastAsia="en-AU"/>
        </w:rPr>
        <w:t xml:space="preserve"> There may, therefore, be some merit in providing greater flexibility to the Court of Appeal to initiate a guideline absent an appeal with input from institutional stakeholders, or to separate consideration of a guideline from an appeal before the Court.</w:t>
      </w:r>
    </w:p>
    <w:p w:rsidR="001362F0" w:rsidRPr="003F1956" w:rsidRDefault="001362F0" w:rsidP="00FA5F59">
      <w:pPr>
        <w:pStyle w:val="Heading3"/>
      </w:pPr>
      <w:r w:rsidRPr="003F1956">
        <w:t>Should an external body develop sentencing guidelines for use by courts?</w:t>
      </w:r>
    </w:p>
    <w:p w:rsidR="00573914" w:rsidRPr="003F1956" w:rsidRDefault="00C63B9E" w:rsidP="001362F0">
      <w:pPr>
        <w:pStyle w:val="VLALetterText"/>
        <w:outlineLvl w:val="0"/>
        <w:rPr>
          <w:lang w:eastAsia="en-AU"/>
        </w:rPr>
      </w:pPr>
      <w:r w:rsidRPr="003F1956">
        <w:rPr>
          <w:lang w:eastAsia="en-AU"/>
        </w:rPr>
        <w:t>The</w:t>
      </w:r>
      <w:r w:rsidR="001362F0" w:rsidRPr="003F1956">
        <w:rPr>
          <w:lang w:eastAsia="en-AU"/>
        </w:rPr>
        <w:t xml:space="preserve"> Court of Appeal </w:t>
      </w:r>
      <w:r w:rsidRPr="003F1956">
        <w:rPr>
          <w:lang w:eastAsia="en-AU"/>
        </w:rPr>
        <w:t xml:space="preserve">should </w:t>
      </w:r>
      <w:r w:rsidR="001362F0" w:rsidRPr="003F1956">
        <w:rPr>
          <w:lang w:eastAsia="en-AU"/>
        </w:rPr>
        <w:t xml:space="preserve">retain the </w:t>
      </w:r>
      <w:r w:rsidR="006174D7" w:rsidRPr="003F1956">
        <w:rPr>
          <w:lang w:eastAsia="en-AU"/>
        </w:rPr>
        <w:t xml:space="preserve">responsibility for developing </w:t>
      </w:r>
      <w:r w:rsidR="001362F0" w:rsidRPr="003F1956">
        <w:rPr>
          <w:lang w:eastAsia="en-AU"/>
        </w:rPr>
        <w:t>guideline judgments, using the SAC to provide research</w:t>
      </w:r>
      <w:r w:rsidR="00312431" w:rsidRPr="003F1956">
        <w:rPr>
          <w:lang w:eastAsia="en-AU"/>
        </w:rPr>
        <w:t>, including statistics</w:t>
      </w:r>
      <w:r w:rsidR="001362F0" w:rsidRPr="003F1956">
        <w:rPr>
          <w:lang w:eastAsia="en-AU"/>
        </w:rPr>
        <w:t xml:space="preserve"> and evidence of community views, and involving the DPP and VLA as institutional parties</w:t>
      </w:r>
      <w:r w:rsidR="00312431" w:rsidRPr="003F1956">
        <w:rPr>
          <w:lang w:eastAsia="en-AU"/>
        </w:rPr>
        <w:t>. These institutional parties are uniquely placed to assist the Court, given their statutory functions and roles, presence in criminal jurisdictions across the State and practical experience, including access to client data</w:t>
      </w:r>
      <w:r w:rsidR="001362F0" w:rsidRPr="003F1956">
        <w:rPr>
          <w:lang w:eastAsia="en-AU"/>
        </w:rPr>
        <w:t>.</w:t>
      </w:r>
      <w:r w:rsidR="00550CAC" w:rsidRPr="003F1956">
        <w:rPr>
          <w:lang w:eastAsia="en-AU"/>
        </w:rPr>
        <w:t xml:space="preserve"> More proactive use of the current scheme is likely to deliver on the stated aims</w:t>
      </w:r>
      <w:r w:rsidR="00396334" w:rsidRPr="003F1956">
        <w:rPr>
          <w:lang w:eastAsia="en-AU"/>
        </w:rPr>
        <w:t xml:space="preserve">. </w:t>
      </w:r>
    </w:p>
    <w:p w:rsidR="001362F0" w:rsidRPr="003F1956" w:rsidRDefault="001362F0" w:rsidP="001362F0">
      <w:pPr>
        <w:pStyle w:val="VLALetterText"/>
        <w:outlineLvl w:val="0"/>
        <w:rPr>
          <w:lang w:eastAsia="en-AU"/>
        </w:rPr>
      </w:pPr>
      <w:r w:rsidRPr="003F1956">
        <w:rPr>
          <w:lang w:eastAsia="en-AU"/>
        </w:rPr>
        <w:t xml:space="preserve">VLA does, however, recognise there are advantages of an external </w:t>
      </w:r>
      <w:r w:rsidR="00C63B9E" w:rsidRPr="003F1956">
        <w:rPr>
          <w:lang w:eastAsia="en-AU"/>
        </w:rPr>
        <w:t xml:space="preserve">judge-guided </w:t>
      </w:r>
      <w:r w:rsidRPr="003F1956">
        <w:rPr>
          <w:lang w:eastAsia="en-AU"/>
        </w:rPr>
        <w:t xml:space="preserve">body developing draft guidelines. A UK-style body dedicated to the development of guidelines may be able to produce guidelines more expeditiously than a busy </w:t>
      </w:r>
      <w:r w:rsidR="00C63B9E" w:rsidRPr="003F1956">
        <w:rPr>
          <w:lang w:eastAsia="en-AU"/>
        </w:rPr>
        <w:t>c</w:t>
      </w:r>
      <w:r w:rsidRPr="003F1956">
        <w:rPr>
          <w:lang w:eastAsia="en-AU"/>
        </w:rPr>
        <w:t>ourt (</w:t>
      </w:r>
      <w:r w:rsidR="00C63B9E" w:rsidRPr="003F1956">
        <w:rPr>
          <w:lang w:eastAsia="en-AU"/>
        </w:rPr>
        <w:t>c</w:t>
      </w:r>
      <w:r w:rsidRPr="003F1956">
        <w:rPr>
          <w:lang w:eastAsia="en-AU"/>
        </w:rPr>
        <w:t xml:space="preserve">ourt-prepared guideline judgments will have significant implications for judicial time, resources and supports). An external body may be able to institute a more formalised process for obtaining the input of the wider community (although this can </w:t>
      </w:r>
      <w:r w:rsidR="00C63B9E" w:rsidRPr="003F1956">
        <w:rPr>
          <w:lang w:eastAsia="en-AU"/>
        </w:rPr>
        <w:t xml:space="preserve">currently occur through the role of </w:t>
      </w:r>
      <w:r w:rsidR="002D273C" w:rsidRPr="003F1956">
        <w:rPr>
          <w:lang w:eastAsia="en-AU"/>
        </w:rPr>
        <w:t xml:space="preserve">the </w:t>
      </w:r>
      <w:r w:rsidR="00C63B9E" w:rsidRPr="003F1956">
        <w:rPr>
          <w:lang w:eastAsia="en-AU"/>
        </w:rPr>
        <w:t>SAC</w:t>
      </w:r>
      <w:r w:rsidR="00550CAC" w:rsidRPr="003F1956">
        <w:rPr>
          <w:lang w:eastAsia="en-AU"/>
        </w:rPr>
        <w:t>,</w:t>
      </w:r>
      <w:r w:rsidR="002B0E06" w:rsidRPr="003F1956">
        <w:rPr>
          <w:lang w:eastAsia="en-AU"/>
        </w:rPr>
        <w:t xml:space="preserve"> subject to appropriate resourcing</w:t>
      </w:r>
      <w:r w:rsidRPr="003F1956">
        <w:rPr>
          <w:lang w:eastAsia="en-AU"/>
        </w:rPr>
        <w:t xml:space="preserve">). Such a body may also be more likely to provide guidance in respect of offence types not typically seen by the Court of Appeal or within the </w:t>
      </w:r>
      <w:r w:rsidR="009F362B" w:rsidRPr="003F1956">
        <w:rPr>
          <w:lang w:eastAsia="en-AU"/>
        </w:rPr>
        <w:t>c</w:t>
      </w:r>
      <w:r w:rsidRPr="003F1956">
        <w:rPr>
          <w:lang w:eastAsia="en-AU"/>
        </w:rPr>
        <w:t>ourt’s direct experience.</w:t>
      </w:r>
      <w:r w:rsidR="00871F8F" w:rsidRPr="003F1956">
        <w:rPr>
          <w:rStyle w:val="FootnoteReference"/>
          <w:lang w:eastAsia="en-AU"/>
        </w:rPr>
        <w:footnoteReference w:id="73"/>
      </w:r>
      <w:r w:rsidRPr="003F1956">
        <w:rPr>
          <w:lang w:eastAsia="en-AU"/>
        </w:rPr>
        <w:t xml:space="preserve"> If not dependent on a vehicle before the </w:t>
      </w:r>
      <w:r w:rsidR="009F362B" w:rsidRPr="003F1956">
        <w:rPr>
          <w:lang w:eastAsia="en-AU"/>
        </w:rPr>
        <w:t>c</w:t>
      </w:r>
      <w:r w:rsidRPr="003F1956">
        <w:rPr>
          <w:lang w:eastAsia="en-AU"/>
        </w:rPr>
        <w:t>ourt, cases would not be delayed for lengthy periods of time pending the promulgation of a guideline judgment (noting that delay may disadvantage an accused).</w:t>
      </w:r>
    </w:p>
    <w:p w:rsidR="001362F0" w:rsidRPr="003F1956" w:rsidRDefault="001362F0" w:rsidP="001362F0">
      <w:pPr>
        <w:pStyle w:val="VLALetterText"/>
        <w:outlineLvl w:val="0"/>
        <w:rPr>
          <w:lang w:eastAsia="en-AU"/>
        </w:rPr>
      </w:pPr>
      <w:r w:rsidRPr="003F1956">
        <w:rPr>
          <w:lang w:eastAsia="en-AU"/>
        </w:rPr>
        <w:lastRenderedPageBreak/>
        <w:t>If a UK-style body is contemplated, care must be taken to ensure the model adopted does not offend instinctive synthesis</w:t>
      </w:r>
      <w:r w:rsidR="00635503" w:rsidRPr="003F1956">
        <w:rPr>
          <w:lang w:eastAsia="en-AU"/>
        </w:rPr>
        <w:t xml:space="preserve"> or compromise judicial independence</w:t>
      </w:r>
      <w:r w:rsidRPr="003F1956">
        <w:rPr>
          <w:lang w:eastAsia="en-AU"/>
        </w:rPr>
        <w:t>.</w:t>
      </w:r>
      <w:r w:rsidR="002B0E06" w:rsidRPr="003F1956">
        <w:rPr>
          <w:lang w:eastAsia="en-AU"/>
        </w:rPr>
        <w:t xml:space="preserve"> </w:t>
      </w:r>
    </w:p>
    <w:p w:rsidR="00A91807" w:rsidRPr="003F1956" w:rsidRDefault="00A91807" w:rsidP="00FA5F59">
      <w:pPr>
        <w:pStyle w:val="Heading3"/>
      </w:pPr>
      <w:r w:rsidRPr="003F1956">
        <w:t>Should Victoria’s guideline judgment scheme be reformed?</w:t>
      </w:r>
    </w:p>
    <w:p w:rsidR="00635503" w:rsidRPr="003F1956" w:rsidRDefault="00635503" w:rsidP="00635503">
      <w:pPr>
        <w:pStyle w:val="VLALetterText"/>
        <w:outlineLvl w:val="0"/>
        <w:rPr>
          <w:lang w:eastAsia="en-AU"/>
        </w:rPr>
      </w:pPr>
      <w:r w:rsidRPr="003F1956">
        <w:rPr>
          <w:lang w:eastAsia="en-AU"/>
        </w:rPr>
        <w:t xml:space="preserve">Section 6AD of the </w:t>
      </w:r>
      <w:r w:rsidRPr="003F1956">
        <w:rPr>
          <w:i/>
          <w:lang w:eastAsia="en-AU"/>
        </w:rPr>
        <w:t>Sentencing Act</w:t>
      </w:r>
      <w:r w:rsidRPr="003F1956">
        <w:rPr>
          <w:lang w:eastAsia="en-AU"/>
        </w:rPr>
        <w:t xml:space="preserve"> should be amended to clarify that </w:t>
      </w:r>
      <w:r w:rsidR="002D273C" w:rsidRPr="003F1956">
        <w:rPr>
          <w:lang w:eastAsia="en-AU"/>
        </w:rPr>
        <w:t xml:space="preserve">the </w:t>
      </w:r>
      <w:r w:rsidRPr="003F1956">
        <w:rPr>
          <w:lang w:eastAsia="en-AU"/>
        </w:rPr>
        <w:t>SAC, the DPP and VLA have standing to appear and make a submission on the question of whether a guideline judgment should be given or reviewed (standing is currently predicated on the Court of Appeal “</w:t>
      </w:r>
      <w:proofErr w:type="spellStart"/>
      <w:r w:rsidRPr="003F1956">
        <w:rPr>
          <w:lang w:eastAsia="en-AU"/>
        </w:rPr>
        <w:t>decid</w:t>
      </w:r>
      <w:proofErr w:type="spellEnd"/>
      <w:r w:rsidRPr="003F1956">
        <w:rPr>
          <w:lang w:eastAsia="en-AU"/>
        </w:rPr>
        <w:t>[</w:t>
      </w:r>
      <w:proofErr w:type="spellStart"/>
      <w:r w:rsidRPr="003F1956">
        <w:rPr>
          <w:lang w:eastAsia="en-AU"/>
        </w:rPr>
        <w:t>ing</w:t>
      </w:r>
      <w:proofErr w:type="spellEnd"/>
      <w:r w:rsidRPr="003F1956">
        <w:rPr>
          <w:lang w:eastAsia="en-AU"/>
        </w:rPr>
        <w:t>] to give or review a guideline judgment”).</w:t>
      </w:r>
    </w:p>
    <w:p w:rsidR="006174D7" w:rsidRPr="003F1956" w:rsidRDefault="006174D7" w:rsidP="00635503">
      <w:pPr>
        <w:pStyle w:val="VLALetterText"/>
        <w:outlineLvl w:val="0"/>
        <w:rPr>
          <w:lang w:eastAsia="en-AU"/>
        </w:rPr>
      </w:pPr>
      <w:r w:rsidRPr="003F1956">
        <w:rPr>
          <w:lang w:eastAsia="en-AU"/>
        </w:rPr>
        <w:t xml:space="preserve">Further reforms to the </w:t>
      </w:r>
      <w:r w:rsidR="00036CBE" w:rsidRPr="003F1956">
        <w:rPr>
          <w:lang w:eastAsia="en-AU"/>
        </w:rPr>
        <w:t>g</w:t>
      </w:r>
      <w:r w:rsidRPr="003F1956">
        <w:rPr>
          <w:lang w:eastAsia="en-AU"/>
        </w:rPr>
        <w:t xml:space="preserve">uideline </w:t>
      </w:r>
      <w:r w:rsidR="00036CBE" w:rsidRPr="003F1956">
        <w:rPr>
          <w:lang w:eastAsia="en-AU"/>
        </w:rPr>
        <w:t>j</w:t>
      </w:r>
      <w:r w:rsidRPr="003F1956">
        <w:rPr>
          <w:lang w:eastAsia="en-AU"/>
        </w:rPr>
        <w:t xml:space="preserve">udgment scheme are required to give effect to changes contemplated above. For example, if sentencing ranges are contemplated, section 6AC should explicitly provide that a guideline may set out the </w:t>
      </w:r>
      <w:r w:rsidR="0086698D" w:rsidRPr="003F1956">
        <w:rPr>
          <w:lang w:eastAsia="en-AU"/>
        </w:rPr>
        <w:t>‘</w:t>
      </w:r>
      <w:r w:rsidRPr="003F1956">
        <w:rPr>
          <w:lang w:eastAsia="en-AU"/>
        </w:rPr>
        <w:t>appropriate</w:t>
      </w:r>
      <w:r w:rsidR="0086698D" w:rsidRPr="003F1956">
        <w:rPr>
          <w:lang w:eastAsia="en-AU"/>
        </w:rPr>
        <w:t xml:space="preserve"> sentence ranges</w:t>
      </w:r>
      <w:r w:rsidRPr="003F1956">
        <w:rPr>
          <w:lang w:eastAsia="en-AU"/>
        </w:rPr>
        <w:t xml:space="preserve"> for a particular offence or class of offence</w:t>
      </w:r>
      <w:r w:rsidR="0086698D" w:rsidRPr="003F1956">
        <w:rPr>
          <w:lang w:eastAsia="en-AU"/>
        </w:rPr>
        <w:t>’</w:t>
      </w:r>
      <w:r w:rsidRPr="003F1956">
        <w:rPr>
          <w:lang w:eastAsia="en-AU"/>
        </w:rPr>
        <w:t>.</w:t>
      </w:r>
      <w:r w:rsidRPr="003F1956">
        <w:rPr>
          <w:rStyle w:val="FootnoteReference"/>
          <w:lang w:eastAsia="en-AU"/>
        </w:rPr>
        <w:footnoteReference w:id="74"/>
      </w:r>
      <w:r w:rsidR="0086698D" w:rsidRPr="003F1956">
        <w:rPr>
          <w:lang w:eastAsia="en-AU"/>
        </w:rPr>
        <w:t xml:space="preserve"> Consideration should also be given to whether common law limitations should be expressly overruled to allow for the provision of sentence ranges, and whether the guideline provisions should be further amended to ensure courts can give guidance on the adequacy of current sentencing practices and the manner in which they are taken into account.</w:t>
      </w:r>
    </w:p>
    <w:p w:rsidR="001362F0" w:rsidRPr="003F1956" w:rsidRDefault="00A91807" w:rsidP="00A91807">
      <w:pPr>
        <w:pStyle w:val="VLALetterText"/>
        <w:outlineLvl w:val="0"/>
        <w:rPr>
          <w:lang w:eastAsia="en-AU"/>
        </w:rPr>
      </w:pPr>
      <w:r w:rsidRPr="003F1956">
        <w:rPr>
          <w:lang w:eastAsia="en-AU"/>
        </w:rPr>
        <w:t>Any other amendments to the guideline judgment scheme must ensure judicial discretion is retained.</w:t>
      </w:r>
    </w:p>
    <w:p w:rsidR="00223A57" w:rsidRPr="003F1956" w:rsidRDefault="00A75111" w:rsidP="00FA5F59">
      <w:pPr>
        <w:pStyle w:val="Heading2"/>
      </w:pPr>
      <w:bookmarkStart w:id="12" w:name="_Toc443045579"/>
      <w:r w:rsidRPr="003F1956">
        <w:t>(</w:t>
      </w:r>
      <w:r w:rsidR="00892C36" w:rsidRPr="003F1956">
        <w:t>h</w:t>
      </w:r>
      <w:r w:rsidRPr="003F1956">
        <w:t xml:space="preserve">) </w:t>
      </w:r>
      <w:r w:rsidR="00223A57" w:rsidRPr="003F1956">
        <w:t>Other sentencing schemes</w:t>
      </w:r>
      <w:bookmarkEnd w:id="12"/>
    </w:p>
    <w:p w:rsidR="00223A57" w:rsidRPr="003F1956" w:rsidRDefault="003F1827" w:rsidP="00FA5F59">
      <w:pPr>
        <w:pStyle w:val="Heading3"/>
      </w:pPr>
      <w:r w:rsidRPr="003F1956">
        <w:t>Are there any o</w:t>
      </w:r>
      <w:r w:rsidR="00223A57" w:rsidRPr="003F1956">
        <w:t xml:space="preserve">ther sentencing </w:t>
      </w:r>
      <w:r w:rsidRPr="003F1956">
        <w:t xml:space="preserve">guidance </w:t>
      </w:r>
      <w:r w:rsidR="00223A57" w:rsidRPr="003F1956">
        <w:t>schemes</w:t>
      </w:r>
      <w:r w:rsidRPr="003F1956">
        <w:t xml:space="preserve"> that should be introduced?</w:t>
      </w:r>
    </w:p>
    <w:p w:rsidR="00BD12F6" w:rsidRPr="003F1956" w:rsidRDefault="00BD12F6" w:rsidP="00BD12F6">
      <w:pPr>
        <w:pStyle w:val="VLALetterText"/>
        <w:outlineLvl w:val="0"/>
        <w:rPr>
          <w:lang w:eastAsia="en-AU"/>
        </w:rPr>
      </w:pPr>
      <w:r w:rsidRPr="003F1956">
        <w:rPr>
          <w:lang w:eastAsia="en-AU"/>
        </w:rPr>
        <w:t>Any new form of guidance should be evidence-based and increase transparency and consistency, without restricting discretion. Changes should reduce, rather than increase sentencing complexity.</w:t>
      </w:r>
    </w:p>
    <w:p w:rsidR="004A13D0" w:rsidRPr="003F1956" w:rsidRDefault="003F1827" w:rsidP="0046694C">
      <w:pPr>
        <w:pStyle w:val="VLALetterText"/>
        <w:outlineLvl w:val="0"/>
        <w:rPr>
          <w:lang w:eastAsia="en-AU"/>
        </w:rPr>
      </w:pPr>
      <w:r w:rsidRPr="003F1956">
        <w:rPr>
          <w:lang w:eastAsia="en-AU"/>
        </w:rPr>
        <w:t>VLA is not aware of any other</w:t>
      </w:r>
      <w:r w:rsidR="00223A57" w:rsidRPr="003F1956">
        <w:rPr>
          <w:lang w:eastAsia="en-AU"/>
        </w:rPr>
        <w:t xml:space="preserve"> sentence guidance scheme</w:t>
      </w:r>
      <w:r w:rsidRPr="003F1956">
        <w:rPr>
          <w:lang w:eastAsia="en-AU"/>
        </w:rPr>
        <w:t xml:space="preserve"> </w:t>
      </w:r>
      <w:r w:rsidR="00223A57" w:rsidRPr="003F1956">
        <w:rPr>
          <w:lang w:eastAsia="en-AU"/>
        </w:rPr>
        <w:t>that should be introduced in Victoria.</w:t>
      </w:r>
      <w:r w:rsidRPr="003F1956">
        <w:rPr>
          <w:lang w:eastAsia="en-AU"/>
        </w:rPr>
        <w:t xml:space="preserve"> </w:t>
      </w:r>
      <w:r w:rsidR="00223A57" w:rsidRPr="003F1956">
        <w:rPr>
          <w:lang w:eastAsia="en-AU"/>
        </w:rPr>
        <w:t xml:space="preserve">Given </w:t>
      </w:r>
      <w:r w:rsidR="002D273C" w:rsidRPr="003F1956">
        <w:rPr>
          <w:lang w:eastAsia="en-AU"/>
        </w:rPr>
        <w:t>its</w:t>
      </w:r>
      <w:r w:rsidR="00223A57" w:rsidRPr="003F1956">
        <w:rPr>
          <w:lang w:eastAsia="en-AU"/>
        </w:rPr>
        <w:t xml:space="preserve"> independence and function, the SAC is best placed to investigate </w:t>
      </w:r>
      <w:r w:rsidRPr="003F1956">
        <w:rPr>
          <w:lang w:eastAsia="en-AU"/>
        </w:rPr>
        <w:t xml:space="preserve">whether there are other viable </w:t>
      </w:r>
      <w:r w:rsidR="00223A57" w:rsidRPr="003F1956">
        <w:rPr>
          <w:lang w:eastAsia="en-AU"/>
        </w:rPr>
        <w:t>schemes available in comparable jurisdictions and their</w:t>
      </w:r>
      <w:r w:rsidRPr="003F1956">
        <w:rPr>
          <w:lang w:eastAsia="en-AU"/>
        </w:rPr>
        <w:t xml:space="preserve"> potential</w:t>
      </w:r>
      <w:r w:rsidR="00223A57" w:rsidRPr="003F1956">
        <w:rPr>
          <w:lang w:eastAsia="en-AU"/>
        </w:rPr>
        <w:t xml:space="preserve"> application for Victoria. </w:t>
      </w:r>
    </w:p>
    <w:p w:rsidR="00192FC1" w:rsidRPr="003F1956" w:rsidRDefault="00192FC1" w:rsidP="00FA5F59">
      <w:pPr>
        <w:pStyle w:val="Heading2"/>
      </w:pPr>
      <w:bookmarkStart w:id="13" w:name="_Toc443045580"/>
      <w:r w:rsidRPr="003F1956">
        <w:t xml:space="preserve">Preferred </w:t>
      </w:r>
      <w:r w:rsidR="006D6838" w:rsidRPr="003F1956">
        <w:t>mechanisms</w:t>
      </w:r>
      <w:r w:rsidRPr="003F1956">
        <w:t xml:space="preserve"> for addressing public confidence and consistency</w:t>
      </w:r>
      <w:bookmarkEnd w:id="13"/>
      <w:r w:rsidRPr="003F1956">
        <w:t xml:space="preserve"> </w:t>
      </w:r>
    </w:p>
    <w:p w:rsidR="00192FC1" w:rsidRPr="003F1956" w:rsidRDefault="00192FC1" w:rsidP="00FA5F59">
      <w:pPr>
        <w:pStyle w:val="Heading3"/>
      </w:pPr>
      <w:r w:rsidRPr="003F1956">
        <w:t xml:space="preserve">Guideline </w:t>
      </w:r>
      <w:r w:rsidR="00036CBE" w:rsidRPr="003F1956">
        <w:t>j</w:t>
      </w:r>
      <w:r w:rsidRPr="003F1956">
        <w:t>udgment</w:t>
      </w:r>
    </w:p>
    <w:p w:rsidR="006C5C6D" w:rsidRPr="003F1956" w:rsidRDefault="0046694C" w:rsidP="0046694C">
      <w:pPr>
        <w:pStyle w:val="VLALetterText"/>
        <w:outlineLvl w:val="0"/>
        <w:rPr>
          <w:lang w:eastAsia="en-AU"/>
        </w:rPr>
      </w:pPr>
      <w:r w:rsidRPr="003F1956">
        <w:rPr>
          <w:lang w:eastAsia="en-AU"/>
        </w:rPr>
        <w:t>For the reasons stated at page</w:t>
      </w:r>
      <w:r w:rsidR="00AA0AB4" w:rsidRPr="003F1956">
        <w:rPr>
          <w:lang w:eastAsia="en-AU"/>
        </w:rPr>
        <w:t>s 1</w:t>
      </w:r>
      <w:r w:rsidR="00993B2F" w:rsidRPr="003F1956">
        <w:rPr>
          <w:lang w:eastAsia="en-AU"/>
        </w:rPr>
        <w:t>2</w:t>
      </w:r>
      <w:r w:rsidR="00AA0AB4" w:rsidRPr="003F1956">
        <w:rPr>
          <w:lang w:eastAsia="en-AU"/>
        </w:rPr>
        <w:t>-1</w:t>
      </w:r>
      <w:r w:rsidR="00993B2F" w:rsidRPr="003F1956">
        <w:rPr>
          <w:lang w:eastAsia="en-AU"/>
        </w:rPr>
        <w:t>3</w:t>
      </w:r>
      <w:r w:rsidRPr="003F1956">
        <w:rPr>
          <w:lang w:eastAsia="en-AU"/>
        </w:rPr>
        <w:t xml:space="preserve"> above, guideline judgments provide the most appropriate vehicle for improving consistency and transparency and therefore public confidence in sentencing. </w:t>
      </w:r>
    </w:p>
    <w:p w:rsidR="009935B5" w:rsidRPr="003F1956" w:rsidRDefault="006C5C6D" w:rsidP="0046694C">
      <w:pPr>
        <w:pStyle w:val="VLALetterText"/>
        <w:outlineLvl w:val="0"/>
        <w:rPr>
          <w:lang w:eastAsia="en-AU"/>
        </w:rPr>
      </w:pPr>
      <w:r w:rsidRPr="003F1956">
        <w:rPr>
          <w:lang w:eastAsia="en-AU"/>
        </w:rPr>
        <w:t xml:space="preserve">If we are serious about improving public confidence and consistency, priority should also be given to </w:t>
      </w:r>
      <w:r w:rsidR="009935B5" w:rsidRPr="003F1956">
        <w:rPr>
          <w:lang w:eastAsia="en-AU"/>
        </w:rPr>
        <w:t>research, evaluation, education and making the law more accessible.</w:t>
      </w:r>
    </w:p>
    <w:p w:rsidR="0046694C" w:rsidRPr="003F1956" w:rsidRDefault="0046694C" w:rsidP="00FA5F59">
      <w:pPr>
        <w:pStyle w:val="Heading3"/>
      </w:pPr>
      <w:r w:rsidRPr="003F1956">
        <w:t>Research</w:t>
      </w:r>
      <w:r w:rsidR="0003391B" w:rsidRPr="003F1956">
        <w:t xml:space="preserve"> and evaluation</w:t>
      </w:r>
    </w:p>
    <w:p w:rsidR="00550CAC" w:rsidRPr="003F1956" w:rsidRDefault="006C5C6D" w:rsidP="006C5C6D">
      <w:pPr>
        <w:pStyle w:val="VLALetterText"/>
        <w:outlineLvl w:val="0"/>
        <w:rPr>
          <w:lang w:eastAsia="en-AU"/>
        </w:rPr>
      </w:pPr>
      <w:r w:rsidRPr="003F1956">
        <w:t>If a new legislative mechanism is to be adopted</w:t>
      </w:r>
      <w:r w:rsidR="0046694C" w:rsidRPr="003F1956">
        <w:rPr>
          <w:lang w:eastAsia="en-AU"/>
        </w:rPr>
        <w:t xml:space="preserve">, </w:t>
      </w:r>
      <w:r w:rsidR="005B57F3" w:rsidRPr="003F1956">
        <w:rPr>
          <w:lang w:eastAsia="en-AU"/>
        </w:rPr>
        <w:t>the problem and its solution</w:t>
      </w:r>
      <w:r w:rsidR="0046694C" w:rsidRPr="003F1956">
        <w:rPr>
          <w:lang w:eastAsia="en-AU"/>
        </w:rPr>
        <w:t xml:space="preserve"> must be evidence-based. Yet </w:t>
      </w:r>
      <w:r w:rsidR="005B57F3" w:rsidRPr="003F1956">
        <w:rPr>
          <w:lang w:eastAsia="en-AU"/>
        </w:rPr>
        <w:t xml:space="preserve">evidence is lacking as to whether public confidence and consistency of approach are in fact </w:t>
      </w:r>
      <w:r w:rsidR="006D6838" w:rsidRPr="003F1956">
        <w:rPr>
          <w:lang w:eastAsia="en-AU"/>
        </w:rPr>
        <w:t xml:space="preserve">‘problems’ </w:t>
      </w:r>
      <w:r w:rsidR="005B57F3" w:rsidRPr="003F1956">
        <w:rPr>
          <w:lang w:eastAsia="en-AU"/>
        </w:rPr>
        <w:t>to be fixed; and whether the legislative solutions canvassed are capabl</w:t>
      </w:r>
      <w:r w:rsidR="006B6401" w:rsidRPr="003F1956">
        <w:rPr>
          <w:lang w:eastAsia="en-AU"/>
        </w:rPr>
        <w:t xml:space="preserve">e of achieving these purposes. </w:t>
      </w:r>
      <w:r w:rsidR="005B57F3" w:rsidRPr="003F1956">
        <w:rPr>
          <w:lang w:eastAsia="en-AU"/>
        </w:rPr>
        <w:t>To the extent an evidence base does not exist, the focus should be on obtaining that evidence, rather than legislating in a vacuum.</w:t>
      </w:r>
      <w:r w:rsidR="005B57F3" w:rsidRPr="003F1956">
        <w:rPr>
          <w:rStyle w:val="FootnoteReference"/>
          <w:lang w:eastAsia="en-AU"/>
        </w:rPr>
        <w:footnoteReference w:id="75"/>
      </w:r>
      <w:r w:rsidR="002B0E06" w:rsidRPr="003F1956">
        <w:rPr>
          <w:lang w:eastAsia="en-AU"/>
        </w:rPr>
        <w:t xml:space="preserve">  </w:t>
      </w:r>
    </w:p>
    <w:p w:rsidR="00550CAC" w:rsidRPr="003F1956" w:rsidRDefault="00550CAC" w:rsidP="006C5C6D">
      <w:pPr>
        <w:pStyle w:val="VLALetterText"/>
        <w:outlineLvl w:val="0"/>
        <w:rPr>
          <w:lang w:eastAsia="en-AU"/>
        </w:rPr>
      </w:pPr>
      <w:r w:rsidRPr="003F1956">
        <w:rPr>
          <w:lang w:eastAsia="en-AU"/>
        </w:rPr>
        <w:lastRenderedPageBreak/>
        <w:t>Reactive law and order politics, and the lack of evidence-based approaches to sentencing policy development, have led to a patchwork of overly complex, fragmented Victorian sentencing laws. As with oth</w:t>
      </w:r>
      <w:r w:rsidR="00036CBE" w:rsidRPr="003F1956">
        <w:rPr>
          <w:lang w:eastAsia="en-AU"/>
        </w:rPr>
        <w:t xml:space="preserve">er successful areas of reform, </w:t>
      </w:r>
      <w:r w:rsidRPr="003F1956">
        <w:rPr>
          <w:lang w:eastAsia="en-AU"/>
        </w:rPr>
        <w:t xml:space="preserve">such as the recent </w:t>
      </w:r>
      <w:r w:rsidR="00036CBE" w:rsidRPr="003F1956">
        <w:rPr>
          <w:lang w:eastAsia="en-AU"/>
        </w:rPr>
        <w:t xml:space="preserve">amendments to jury directions, </w:t>
      </w:r>
      <w:r w:rsidRPr="003F1956">
        <w:rPr>
          <w:lang w:eastAsia="en-AU"/>
        </w:rPr>
        <w:t>sentencing reform requires a consultative, research-based approach.</w:t>
      </w:r>
    </w:p>
    <w:p w:rsidR="0066175E" w:rsidRPr="003F1956" w:rsidRDefault="0066175E" w:rsidP="003B6D20">
      <w:pPr>
        <w:tabs>
          <w:tab w:val="right" w:pos="9780"/>
        </w:tabs>
        <w:rPr>
          <w:lang w:eastAsia="en-AU"/>
        </w:rPr>
      </w:pPr>
      <w:r w:rsidRPr="003F1956">
        <w:rPr>
          <w:lang w:eastAsia="en-AU"/>
        </w:rPr>
        <w:t>If</w:t>
      </w:r>
      <w:r w:rsidR="008529DB" w:rsidRPr="003F1956">
        <w:rPr>
          <w:lang w:eastAsia="en-AU"/>
        </w:rPr>
        <w:t xml:space="preserve"> a new legislative mechanism </w:t>
      </w:r>
      <w:r w:rsidRPr="003F1956">
        <w:rPr>
          <w:lang w:eastAsia="en-AU"/>
        </w:rPr>
        <w:t>is</w:t>
      </w:r>
      <w:r w:rsidR="008529DB" w:rsidRPr="003F1956">
        <w:rPr>
          <w:lang w:eastAsia="en-AU"/>
        </w:rPr>
        <w:t xml:space="preserve"> adopted, </w:t>
      </w:r>
      <w:r w:rsidRPr="003F1956">
        <w:rPr>
          <w:lang w:eastAsia="en-AU"/>
        </w:rPr>
        <w:t xml:space="preserve">it should </w:t>
      </w:r>
      <w:r w:rsidR="00550CAC" w:rsidRPr="003F1956">
        <w:rPr>
          <w:lang w:eastAsia="en-AU"/>
        </w:rPr>
        <w:t xml:space="preserve">also </w:t>
      </w:r>
      <w:r w:rsidRPr="003F1956">
        <w:rPr>
          <w:lang w:eastAsia="en-AU"/>
        </w:rPr>
        <w:t xml:space="preserve">be accompanied by a process </w:t>
      </w:r>
      <w:r w:rsidR="003B6D20" w:rsidRPr="003F1956">
        <w:rPr>
          <w:lang w:eastAsia="en-AU"/>
        </w:rPr>
        <w:t xml:space="preserve">for </w:t>
      </w:r>
      <w:r w:rsidR="00FD3ABB" w:rsidRPr="003F1956">
        <w:rPr>
          <w:lang w:eastAsia="en-AU"/>
        </w:rPr>
        <w:t xml:space="preserve">ongoing monitoring, </w:t>
      </w:r>
      <w:r w:rsidR="00E859D4" w:rsidRPr="003F1956">
        <w:rPr>
          <w:lang w:eastAsia="en-AU"/>
        </w:rPr>
        <w:t>evaluation</w:t>
      </w:r>
      <w:r w:rsidR="00FD3ABB" w:rsidRPr="003F1956">
        <w:rPr>
          <w:lang w:eastAsia="en-AU"/>
        </w:rPr>
        <w:t xml:space="preserve"> and review</w:t>
      </w:r>
      <w:r w:rsidRPr="003F1956">
        <w:rPr>
          <w:lang w:eastAsia="en-AU"/>
        </w:rPr>
        <w:t xml:space="preserve">. </w:t>
      </w:r>
      <w:r w:rsidR="00FD3ABB" w:rsidRPr="003F1956">
        <w:rPr>
          <w:lang w:eastAsia="en-AU"/>
        </w:rPr>
        <w:t>It</w:t>
      </w:r>
      <w:r w:rsidRPr="003F1956">
        <w:rPr>
          <w:lang w:eastAsia="en-AU"/>
        </w:rPr>
        <w:t xml:space="preserve"> should be measured against its ability to meet the stated rationale, as well as for unintended consequences, such as </w:t>
      </w:r>
      <w:r w:rsidR="006C5C6D" w:rsidRPr="003F1956">
        <w:rPr>
          <w:lang w:eastAsia="en-AU"/>
        </w:rPr>
        <w:t>its cost implications and the extent to which it has a disproportionate impact on</w:t>
      </w:r>
      <w:r w:rsidRPr="003F1956">
        <w:rPr>
          <w:lang w:eastAsia="en-AU"/>
        </w:rPr>
        <w:t xml:space="preserve"> disadvantaged people.</w:t>
      </w:r>
    </w:p>
    <w:p w:rsidR="0046694C" w:rsidRPr="003F1956" w:rsidRDefault="0046694C" w:rsidP="00FA5F59">
      <w:pPr>
        <w:pStyle w:val="Heading3"/>
      </w:pPr>
      <w:r w:rsidRPr="003F1956">
        <w:t>Education</w:t>
      </w:r>
    </w:p>
    <w:p w:rsidR="0046694C" w:rsidRPr="003F1956" w:rsidRDefault="000D7E23" w:rsidP="0046694C">
      <w:pPr>
        <w:rPr>
          <w:lang w:eastAsia="en-AU"/>
        </w:rPr>
      </w:pPr>
      <w:r w:rsidRPr="003F1956">
        <w:rPr>
          <w:lang w:eastAsia="en-AU"/>
        </w:rPr>
        <w:t xml:space="preserve">The research on public opinion (see </w:t>
      </w:r>
      <w:r w:rsidR="00AA0AB4" w:rsidRPr="003F1956">
        <w:rPr>
          <w:lang w:eastAsia="en-AU"/>
        </w:rPr>
        <w:t>pages 3-4 above) make</w:t>
      </w:r>
      <w:r w:rsidRPr="003F1956">
        <w:rPr>
          <w:lang w:eastAsia="en-AU"/>
        </w:rPr>
        <w:t xml:space="preserve"> it clear that</w:t>
      </w:r>
      <w:r w:rsidR="000603A6" w:rsidRPr="003F1956">
        <w:rPr>
          <w:lang w:eastAsia="en-AU"/>
        </w:rPr>
        <w:t xml:space="preserve"> </w:t>
      </w:r>
      <w:r w:rsidR="0046694C" w:rsidRPr="003F1956">
        <w:rPr>
          <w:lang w:eastAsia="en-AU"/>
        </w:rPr>
        <w:t>education</w:t>
      </w:r>
      <w:r w:rsidR="002903B2" w:rsidRPr="003F1956">
        <w:rPr>
          <w:lang w:eastAsia="en-AU"/>
        </w:rPr>
        <w:t xml:space="preserve"> of the community (and the media)</w:t>
      </w:r>
      <w:r w:rsidR="0046694C" w:rsidRPr="003F1956">
        <w:rPr>
          <w:lang w:eastAsia="en-AU"/>
        </w:rPr>
        <w:t xml:space="preserve"> is critical to improving public confidence.</w:t>
      </w:r>
      <w:r w:rsidR="002903B2" w:rsidRPr="003F1956">
        <w:rPr>
          <w:rStyle w:val="FootnoteReference"/>
          <w:lang w:eastAsia="en-AU"/>
        </w:rPr>
        <w:footnoteReference w:id="76"/>
      </w:r>
      <w:r w:rsidR="00B15AF0" w:rsidRPr="003F1956">
        <w:rPr>
          <w:lang w:eastAsia="en-AU"/>
        </w:rPr>
        <w:t xml:space="preserve"> </w:t>
      </w:r>
      <w:r w:rsidR="00167250" w:rsidRPr="003F1956">
        <w:rPr>
          <w:lang w:eastAsia="en-AU"/>
        </w:rPr>
        <w:t xml:space="preserve">There needs to be renewed emphasis on the community’s ability to access and understand the law. </w:t>
      </w:r>
      <w:r w:rsidR="00B15AF0" w:rsidRPr="003F1956">
        <w:rPr>
          <w:lang w:eastAsia="en-AU"/>
        </w:rPr>
        <w:t xml:space="preserve">Further resources should be </w:t>
      </w:r>
      <w:r w:rsidR="00167250" w:rsidRPr="003F1956">
        <w:rPr>
          <w:lang w:eastAsia="en-AU"/>
        </w:rPr>
        <w:t>allocated to</w:t>
      </w:r>
      <w:r w:rsidR="00036CBE" w:rsidRPr="003F1956">
        <w:rPr>
          <w:lang w:eastAsia="en-AU"/>
        </w:rPr>
        <w:t xml:space="preserve"> community education, </w:t>
      </w:r>
      <w:r w:rsidR="00B15AF0" w:rsidRPr="003F1956">
        <w:rPr>
          <w:lang w:eastAsia="en-AU"/>
        </w:rPr>
        <w:t xml:space="preserve">including, but not limited to the expanded delivery of </w:t>
      </w:r>
      <w:r w:rsidR="002D273C" w:rsidRPr="003F1956">
        <w:rPr>
          <w:lang w:eastAsia="en-AU"/>
        </w:rPr>
        <w:t xml:space="preserve">the </w:t>
      </w:r>
      <w:r w:rsidR="00B15AF0" w:rsidRPr="003F1956">
        <w:rPr>
          <w:lang w:eastAsia="en-AU"/>
        </w:rPr>
        <w:t xml:space="preserve">SAC’s “You </w:t>
      </w:r>
      <w:r w:rsidR="00871F8F" w:rsidRPr="003F1956">
        <w:rPr>
          <w:lang w:eastAsia="en-AU"/>
        </w:rPr>
        <w:t>B</w:t>
      </w:r>
      <w:r w:rsidR="00B15AF0" w:rsidRPr="003F1956">
        <w:rPr>
          <w:lang w:eastAsia="en-AU"/>
        </w:rPr>
        <w:t xml:space="preserve">e </w:t>
      </w:r>
      <w:proofErr w:type="gramStart"/>
      <w:r w:rsidR="00871F8F" w:rsidRPr="003F1956">
        <w:rPr>
          <w:lang w:eastAsia="en-AU"/>
        </w:rPr>
        <w:t>T</w:t>
      </w:r>
      <w:r w:rsidR="00B15AF0" w:rsidRPr="003F1956">
        <w:rPr>
          <w:lang w:eastAsia="en-AU"/>
        </w:rPr>
        <w:t>he</w:t>
      </w:r>
      <w:proofErr w:type="gramEnd"/>
      <w:r w:rsidR="00B15AF0" w:rsidRPr="003F1956">
        <w:rPr>
          <w:lang w:eastAsia="en-AU"/>
        </w:rPr>
        <w:t xml:space="preserve"> Judge” platform, and community legal education programs delivered by </w:t>
      </w:r>
      <w:r w:rsidR="002D273C" w:rsidRPr="003F1956">
        <w:rPr>
          <w:lang w:eastAsia="en-AU"/>
        </w:rPr>
        <w:t>VLA</w:t>
      </w:r>
      <w:r w:rsidR="00B15AF0" w:rsidRPr="003F1956">
        <w:rPr>
          <w:lang w:eastAsia="en-AU"/>
        </w:rPr>
        <w:t xml:space="preserve"> and Community Legal Centres.</w:t>
      </w:r>
    </w:p>
    <w:p w:rsidR="009935B5" w:rsidRPr="003F1956" w:rsidRDefault="009935B5" w:rsidP="0046694C">
      <w:pPr>
        <w:rPr>
          <w:lang w:eastAsia="en-AU"/>
        </w:rPr>
      </w:pPr>
      <w:r w:rsidRPr="003F1956">
        <w:rPr>
          <w:lang w:eastAsia="en-AU"/>
        </w:rPr>
        <w:t xml:space="preserve">Expending greater resources on education and justice reinvestment strategies rather than incarcerating offenders through harsh legislative regimes, is also likely to better facilitate other important aims of sentencing, including community protection and deterrence. </w:t>
      </w:r>
    </w:p>
    <w:p w:rsidR="005B1444" w:rsidRPr="003F1956" w:rsidRDefault="005B1444" w:rsidP="00FA5F59">
      <w:pPr>
        <w:pStyle w:val="Heading3"/>
      </w:pPr>
      <w:r w:rsidRPr="003F1956">
        <w:t>Plain</w:t>
      </w:r>
      <w:r w:rsidR="002D273C" w:rsidRPr="003F1956">
        <w:t xml:space="preserve"> language</w:t>
      </w:r>
      <w:r w:rsidRPr="003F1956">
        <w:t xml:space="preserve"> </w:t>
      </w:r>
      <w:r w:rsidR="00036CBE" w:rsidRPr="003F1956">
        <w:t>r</w:t>
      </w:r>
      <w:r w:rsidRPr="003F1956">
        <w:t>easons</w:t>
      </w:r>
    </w:p>
    <w:p w:rsidR="00387842" w:rsidRPr="003F1956" w:rsidRDefault="006B3A18" w:rsidP="0046694C">
      <w:pPr>
        <w:rPr>
          <w:lang w:eastAsia="en-AU"/>
        </w:rPr>
      </w:pPr>
      <w:r w:rsidRPr="003F1956">
        <w:rPr>
          <w:lang w:eastAsia="en-AU"/>
        </w:rPr>
        <w:t>Public confidence and consistency can be greatly enhanced by a clear, plain</w:t>
      </w:r>
      <w:r w:rsidR="002D273C" w:rsidRPr="003F1956">
        <w:rPr>
          <w:lang w:eastAsia="en-AU"/>
        </w:rPr>
        <w:t xml:space="preserve"> language</w:t>
      </w:r>
      <w:r w:rsidRPr="003F1956">
        <w:rPr>
          <w:lang w:eastAsia="en-AU"/>
        </w:rPr>
        <w:t xml:space="preserve"> explanation of </w:t>
      </w:r>
      <w:r w:rsidR="00387842" w:rsidRPr="003F1956">
        <w:rPr>
          <w:lang w:eastAsia="en-AU"/>
        </w:rPr>
        <w:t>the factors taken into account in sentence and their weighting. A clear</w:t>
      </w:r>
      <w:r w:rsidR="00447C30" w:rsidRPr="003F1956">
        <w:rPr>
          <w:lang w:eastAsia="en-AU"/>
        </w:rPr>
        <w:t xml:space="preserve"> </w:t>
      </w:r>
      <w:r w:rsidR="00387842" w:rsidRPr="003F1956">
        <w:rPr>
          <w:lang w:eastAsia="en-AU"/>
        </w:rPr>
        <w:t xml:space="preserve">statement of reasons </w:t>
      </w:r>
      <w:r w:rsidR="00447C30" w:rsidRPr="003F1956">
        <w:rPr>
          <w:lang w:eastAsia="en-AU"/>
        </w:rPr>
        <w:t xml:space="preserve">(publicly available, where appropriate) </w:t>
      </w:r>
      <w:r w:rsidR="00387842" w:rsidRPr="003F1956">
        <w:rPr>
          <w:lang w:eastAsia="en-AU"/>
        </w:rPr>
        <w:t>provides greater clarity for clients on sentencing outcomes and appeal prospects, and facilitates “community and media understanding of the process (including apparent superficial inconsistencies)”.</w:t>
      </w:r>
      <w:r w:rsidR="00387842" w:rsidRPr="003F1956">
        <w:rPr>
          <w:rStyle w:val="FootnoteReference"/>
          <w:lang w:eastAsia="en-AU"/>
        </w:rPr>
        <w:footnoteReference w:id="77"/>
      </w:r>
    </w:p>
    <w:p w:rsidR="00387842" w:rsidRPr="003F1956" w:rsidRDefault="005253A7" w:rsidP="0046694C">
      <w:pPr>
        <w:rPr>
          <w:lang w:eastAsia="en-AU"/>
        </w:rPr>
      </w:pPr>
      <w:r w:rsidRPr="003F1956">
        <w:rPr>
          <w:lang w:eastAsia="en-AU"/>
        </w:rPr>
        <w:t>Although</w:t>
      </w:r>
      <w:r w:rsidR="00387842" w:rsidRPr="003F1956">
        <w:rPr>
          <w:lang w:eastAsia="en-AU"/>
        </w:rPr>
        <w:t xml:space="preserve"> there has been a greater focus</w:t>
      </w:r>
      <w:r w:rsidR="00167250" w:rsidRPr="003F1956">
        <w:rPr>
          <w:lang w:eastAsia="en-AU"/>
        </w:rPr>
        <w:t xml:space="preserve"> in recent years</w:t>
      </w:r>
      <w:r w:rsidR="00387842" w:rsidRPr="003F1956">
        <w:rPr>
          <w:lang w:eastAsia="en-AU"/>
        </w:rPr>
        <w:t xml:space="preserve"> on </w:t>
      </w:r>
      <w:r w:rsidR="00167250" w:rsidRPr="003F1956">
        <w:rPr>
          <w:lang w:eastAsia="en-AU"/>
        </w:rPr>
        <w:t xml:space="preserve">the importance of </w:t>
      </w:r>
      <w:r w:rsidR="00387842" w:rsidRPr="003F1956">
        <w:rPr>
          <w:lang w:eastAsia="en-AU"/>
        </w:rPr>
        <w:t>plain</w:t>
      </w:r>
      <w:r w:rsidR="002D273C" w:rsidRPr="003F1956">
        <w:rPr>
          <w:lang w:eastAsia="en-AU"/>
        </w:rPr>
        <w:t xml:space="preserve"> language</w:t>
      </w:r>
      <w:r w:rsidR="00387842" w:rsidRPr="003F1956">
        <w:rPr>
          <w:lang w:eastAsia="en-AU"/>
        </w:rPr>
        <w:t xml:space="preserve"> </w:t>
      </w:r>
      <w:r w:rsidR="0018251F" w:rsidRPr="003F1956">
        <w:rPr>
          <w:lang w:eastAsia="en-AU"/>
        </w:rPr>
        <w:t>judgments</w:t>
      </w:r>
      <w:r w:rsidR="00387842" w:rsidRPr="003F1956">
        <w:rPr>
          <w:lang w:eastAsia="en-AU"/>
        </w:rPr>
        <w:t>, the ability of the public</w:t>
      </w:r>
      <w:r w:rsidR="00036CBE" w:rsidRPr="003F1956">
        <w:rPr>
          <w:lang w:eastAsia="en-AU"/>
        </w:rPr>
        <w:t>, and sometimes the profession,</w:t>
      </w:r>
      <w:r w:rsidR="00387842" w:rsidRPr="003F1956">
        <w:rPr>
          <w:lang w:eastAsia="en-AU"/>
        </w:rPr>
        <w:t xml:space="preserve"> to </w:t>
      </w:r>
      <w:r w:rsidR="00023D59" w:rsidRPr="003F1956">
        <w:rPr>
          <w:lang w:eastAsia="en-AU"/>
        </w:rPr>
        <w:t xml:space="preserve">access and </w:t>
      </w:r>
      <w:r w:rsidRPr="003F1956">
        <w:rPr>
          <w:lang w:eastAsia="en-AU"/>
        </w:rPr>
        <w:t>digest</w:t>
      </w:r>
      <w:r w:rsidR="00387842" w:rsidRPr="003F1956">
        <w:rPr>
          <w:lang w:eastAsia="en-AU"/>
        </w:rPr>
        <w:t xml:space="preserve"> reasons remains very much an issue in many cases. </w:t>
      </w:r>
      <w:r w:rsidRPr="003F1956">
        <w:rPr>
          <w:lang w:eastAsia="en-AU"/>
        </w:rPr>
        <w:t xml:space="preserve">While </w:t>
      </w:r>
      <w:r w:rsidR="0018251F" w:rsidRPr="003F1956">
        <w:rPr>
          <w:lang w:eastAsia="en-AU"/>
        </w:rPr>
        <w:t xml:space="preserve">further </w:t>
      </w:r>
      <w:r w:rsidRPr="003F1956">
        <w:rPr>
          <w:lang w:eastAsia="en-AU"/>
        </w:rPr>
        <w:t xml:space="preserve">judicial </w:t>
      </w:r>
      <w:r w:rsidR="00DA65D8" w:rsidRPr="003F1956">
        <w:rPr>
          <w:lang w:eastAsia="en-AU"/>
        </w:rPr>
        <w:t>education</w:t>
      </w:r>
      <w:r w:rsidRPr="003F1956">
        <w:rPr>
          <w:lang w:eastAsia="en-AU"/>
        </w:rPr>
        <w:t xml:space="preserve"> will assist, the </w:t>
      </w:r>
      <w:r w:rsidR="00387842" w:rsidRPr="003F1956">
        <w:rPr>
          <w:lang w:eastAsia="en-AU"/>
        </w:rPr>
        <w:t>capacity of the bench to deliver clear, plain</w:t>
      </w:r>
      <w:r w:rsidR="002D273C" w:rsidRPr="003F1956">
        <w:rPr>
          <w:lang w:eastAsia="en-AU"/>
        </w:rPr>
        <w:t xml:space="preserve"> </w:t>
      </w:r>
      <w:r w:rsidR="00E47201" w:rsidRPr="003F1956">
        <w:rPr>
          <w:lang w:eastAsia="en-AU"/>
        </w:rPr>
        <w:t>language</w:t>
      </w:r>
      <w:r w:rsidR="00387842" w:rsidRPr="003F1956">
        <w:rPr>
          <w:lang w:eastAsia="en-AU"/>
        </w:rPr>
        <w:t xml:space="preserve"> reasons partly depends on the complexity of the law </w:t>
      </w:r>
      <w:r w:rsidRPr="003F1956">
        <w:rPr>
          <w:lang w:eastAsia="en-AU"/>
        </w:rPr>
        <w:t xml:space="preserve">and </w:t>
      </w:r>
      <w:r w:rsidR="00167250" w:rsidRPr="003F1956">
        <w:rPr>
          <w:lang w:eastAsia="en-AU"/>
        </w:rPr>
        <w:t xml:space="preserve">the court time that can be allocated </w:t>
      </w:r>
      <w:r w:rsidR="00036CBE" w:rsidRPr="003F1956">
        <w:rPr>
          <w:lang w:eastAsia="en-AU"/>
        </w:rPr>
        <w:t>to the task. T</w:t>
      </w:r>
      <w:r w:rsidR="00387842" w:rsidRPr="003F1956">
        <w:rPr>
          <w:lang w:eastAsia="en-AU"/>
        </w:rPr>
        <w:t>he more complex as with</w:t>
      </w:r>
      <w:r w:rsidR="00167250" w:rsidRPr="003F1956">
        <w:rPr>
          <w:lang w:eastAsia="en-AU"/>
        </w:rPr>
        <w:t xml:space="preserve"> baseline sentencing (and the less time available given busy court lists), </w:t>
      </w:r>
      <w:r w:rsidR="00387842" w:rsidRPr="003F1956">
        <w:rPr>
          <w:lang w:eastAsia="en-AU"/>
        </w:rPr>
        <w:t xml:space="preserve">the more difficult it is for the bench to deliver reasons the community can </w:t>
      </w:r>
      <w:r w:rsidR="0018251F" w:rsidRPr="003F1956">
        <w:rPr>
          <w:lang w:eastAsia="en-AU"/>
        </w:rPr>
        <w:t>digest</w:t>
      </w:r>
      <w:r w:rsidRPr="003F1956">
        <w:rPr>
          <w:lang w:eastAsia="en-AU"/>
        </w:rPr>
        <w:t xml:space="preserve">. </w:t>
      </w:r>
    </w:p>
    <w:p w:rsidR="004A13D0" w:rsidRPr="003F1956" w:rsidRDefault="000C080E" w:rsidP="0046694C">
      <w:pPr>
        <w:rPr>
          <w:lang w:eastAsia="en-AU"/>
        </w:rPr>
      </w:pPr>
      <w:r w:rsidRPr="003F1956">
        <w:rPr>
          <w:lang w:eastAsia="en-AU"/>
        </w:rPr>
        <w:t>P</w:t>
      </w:r>
      <w:r w:rsidR="00E47201" w:rsidRPr="003F1956">
        <w:rPr>
          <w:lang w:eastAsia="en-AU"/>
        </w:rPr>
        <w:t>lain language</w:t>
      </w:r>
      <w:r w:rsidR="000C6B1B" w:rsidRPr="003F1956">
        <w:rPr>
          <w:lang w:eastAsia="en-AU"/>
        </w:rPr>
        <w:t xml:space="preserve"> summaries</w:t>
      </w:r>
      <w:r w:rsidRPr="003F1956">
        <w:rPr>
          <w:lang w:eastAsia="en-AU"/>
        </w:rPr>
        <w:t xml:space="preserve">, published at the same time as sentencing reasons </w:t>
      </w:r>
      <w:r w:rsidR="00A75D37" w:rsidRPr="003F1956">
        <w:rPr>
          <w:lang w:eastAsia="en-AU"/>
        </w:rPr>
        <w:t xml:space="preserve">are also </w:t>
      </w:r>
      <w:r w:rsidR="00540B43" w:rsidRPr="003F1956">
        <w:rPr>
          <w:lang w:eastAsia="en-AU"/>
        </w:rPr>
        <w:t xml:space="preserve">very </w:t>
      </w:r>
      <w:r w:rsidR="00A75D37" w:rsidRPr="003F1956">
        <w:rPr>
          <w:lang w:eastAsia="en-AU"/>
        </w:rPr>
        <w:t>useful</w:t>
      </w:r>
      <w:r w:rsidR="00167250" w:rsidRPr="003F1956">
        <w:rPr>
          <w:lang w:eastAsia="en-AU"/>
        </w:rPr>
        <w:t xml:space="preserve">, </w:t>
      </w:r>
      <w:r w:rsidR="0003391B" w:rsidRPr="003F1956">
        <w:rPr>
          <w:lang w:eastAsia="en-AU"/>
        </w:rPr>
        <w:t xml:space="preserve">particularly for </w:t>
      </w:r>
      <w:r w:rsidRPr="003F1956">
        <w:rPr>
          <w:lang w:eastAsia="en-AU"/>
        </w:rPr>
        <w:t xml:space="preserve">high profile, </w:t>
      </w:r>
      <w:r w:rsidR="0003391B" w:rsidRPr="003F1956">
        <w:rPr>
          <w:lang w:eastAsia="en-AU"/>
        </w:rPr>
        <w:t>controversial cases</w:t>
      </w:r>
      <w:r w:rsidR="006C5C6D" w:rsidRPr="003F1956">
        <w:rPr>
          <w:lang w:eastAsia="en-AU"/>
        </w:rPr>
        <w:t xml:space="preserve">, and should be provided in respect of </w:t>
      </w:r>
      <w:r w:rsidR="0018251F" w:rsidRPr="003F1956">
        <w:rPr>
          <w:lang w:eastAsia="en-AU"/>
        </w:rPr>
        <w:t xml:space="preserve">a broader range of cases and courts. </w:t>
      </w:r>
    </w:p>
    <w:p w:rsidR="006B3A18" w:rsidRPr="003F1956" w:rsidRDefault="006B3A18" w:rsidP="00FA5F59">
      <w:pPr>
        <w:pStyle w:val="Heading3"/>
      </w:pPr>
      <w:r w:rsidRPr="003F1956">
        <w:t xml:space="preserve">The </w:t>
      </w:r>
      <w:r w:rsidR="00036CBE" w:rsidRPr="003F1956">
        <w:t>r</w:t>
      </w:r>
      <w:r w:rsidRPr="003F1956">
        <w:t xml:space="preserve">ole of the </w:t>
      </w:r>
      <w:r w:rsidR="00036CBE" w:rsidRPr="003F1956">
        <w:t>m</w:t>
      </w:r>
      <w:r w:rsidRPr="003F1956">
        <w:t>edia</w:t>
      </w:r>
    </w:p>
    <w:p w:rsidR="000833C7" w:rsidRPr="003F1956" w:rsidRDefault="00A75D37" w:rsidP="003C1EBE">
      <w:pPr>
        <w:rPr>
          <w:lang w:eastAsia="en-AU"/>
        </w:rPr>
      </w:pPr>
      <w:r w:rsidRPr="003F1956">
        <w:rPr>
          <w:lang w:eastAsia="en-AU"/>
        </w:rPr>
        <w:t xml:space="preserve">Noting the </w:t>
      </w:r>
      <w:r w:rsidR="009D17A8" w:rsidRPr="003F1956">
        <w:rPr>
          <w:lang w:eastAsia="en-AU"/>
        </w:rPr>
        <w:t xml:space="preserve">ability of the media to </w:t>
      </w:r>
      <w:r w:rsidR="000C080E" w:rsidRPr="003F1956">
        <w:rPr>
          <w:lang w:eastAsia="en-AU"/>
        </w:rPr>
        <w:t>guide, relay and influence public opinion</w:t>
      </w:r>
      <w:r w:rsidRPr="003F1956">
        <w:rPr>
          <w:lang w:eastAsia="en-AU"/>
        </w:rPr>
        <w:t xml:space="preserve">, </w:t>
      </w:r>
      <w:r w:rsidR="000D7E23" w:rsidRPr="003F1956">
        <w:rPr>
          <w:lang w:eastAsia="en-AU"/>
        </w:rPr>
        <w:t xml:space="preserve">media </w:t>
      </w:r>
      <w:r w:rsidR="00540B43" w:rsidRPr="003F1956">
        <w:rPr>
          <w:lang w:eastAsia="en-AU"/>
        </w:rPr>
        <w:t xml:space="preserve">providers </w:t>
      </w:r>
      <w:r w:rsidR="000D7E23" w:rsidRPr="003F1956">
        <w:rPr>
          <w:lang w:eastAsia="en-AU"/>
        </w:rPr>
        <w:t>could and should</w:t>
      </w:r>
      <w:r w:rsidRPr="003F1956">
        <w:rPr>
          <w:lang w:eastAsia="en-AU"/>
        </w:rPr>
        <w:t xml:space="preserve"> play a far more proactive role in this space – for example in facilitating publication of plain</w:t>
      </w:r>
      <w:r w:rsidR="00DD2752" w:rsidRPr="003F1956">
        <w:rPr>
          <w:lang w:eastAsia="en-AU"/>
        </w:rPr>
        <w:t xml:space="preserve"> language</w:t>
      </w:r>
      <w:r w:rsidRPr="003F1956">
        <w:rPr>
          <w:lang w:eastAsia="en-AU"/>
        </w:rPr>
        <w:t xml:space="preserve"> </w:t>
      </w:r>
      <w:r w:rsidR="00540B43" w:rsidRPr="003F1956">
        <w:rPr>
          <w:lang w:eastAsia="en-AU"/>
        </w:rPr>
        <w:t xml:space="preserve">case summaries, or providing links to </w:t>
      </w:r>
      <w:r w:rsidR="00091211" w:rsidRPr="003F1956">
        <w:rPr>
          <w:lang w:eastAsia="en-AU"/>
        </w:rPr>
        <w:t>sentencing</w:t>
      </w:r>
      <w:r w:rsidR="00540B43" w:rsidRPr="003F1956">
        <w:rPr>
          <w:lang w:eastAsia="en-AU"/>
        </w:rPr>
        <w:t xml:space="preserve"> information through</w:t>
      </w:r>
      <w:r w:rsidRPr="003F1956">
        <w:rPr>
          <w:lang w:eastAsia="en-AU"/>
        </w:rPr>
        <w:t xml:space="preserve"> online </w:t>
      </w:r>
      <w:proofErr w:type="gramStart"/>
      <w:r w:rsidRPr="003F1956">
        <w:rPr>
          <w:lang w:eastAsia="en-AU"/>
        </w:rPr>
        <w:lastRenderedPageBreak/>
        <w:t>publications</w:t>
      </w:r>
      <w:proofErr w:type="gramEnd"/>
      <w:r w:rsidRPr="003F1956">
        <w:rPr>
          <w:lang w:eastAsia="en-AU"/>
        </w:rPr>
        <w:t>.</w:t>
      </w:r>
      <w:r w:rsidR="00540B43" w:rsidRPr="003F1956">
        <w:rPr>
          <w:lang w:eastAsia="en-AU"/>
        </w:rPr>
        <w:t xml:space="preserve"> Responsible media can also assist in encouraging informed public debate on sentencing topics.</w:t>
      </w:r>
    </w:p>
    <w:p w:rsidR="003C1EBE" w:rsidRPr="003F1956" w:rsidRDefault="003C1EBE" w:rsidP="00FA5F59">
      <w:pPr>
        <w:pStyle w:val="Heading2"/>
      </w:pPr>
      <w:bookmarkStart w:id="14" w:name="_Toc442349751"/>
      <w:bookmarkStart w:id="15" w:name="_Toc443045581"/>
      <w:r w:rsidRPr="003F1956">
        <w:t xml:space="preserve">Should a new guidance scheme replace current </w:t>
      </w:r>
      <w:r w:rsidR="00E51BB7" w:rsidRPr="003F1956">
        <w:t>schemes</w:t>
      </w:r>
      <w:r w:rsidRPr="003F1956">
        <w:t>?</w:t>
      </w:r>
      <w:bookmarkEnd w:id="14"/>
      <w:bookmarkEnd w:id="15"/>
    </w:p>
    <w:p w:rsidR="00036CBE" w:rsidRPr="003F1956" w:rsidRDefault="003C1EBE" w:rsidP="000833C7">
      <w:pPr>
        <w:pStyle w:val="VLALetterText"/>
        <w:outlineLvl w:val="0"/>
        <w:rPr>
          <w:lang w:eastAsia="en-AU"/>
        </w:rPr>
      </w:pPr>
      <w:r w:rsidRPr="003F1956">
        <w:rPr>
          <w:lang w:eastAsia="en-AU"/>
        </w:rPr>
        <w:t xml:space="preserve">VLA supports reforms that remove unnecessary complexity in sentencing. </w:t>
      </w:r>
      <w:r w:rsidR="008730D3" w:rsidRPr="003F1956">
        <w:rPr>
          <w:lang w:eastAsia="en-AU"/>
        </w:rPr>
        <w:t>Law and order politics have led to t</w:t>
      </w:r>
      <w:r w:rsidR="00BD12F6" w:rsidRPr="003F1956">
        <w:rPr>
          <w:lang w:eastAsia="en-AU"/>
        </w:rPr>
        <w:t xml:space="preserve">he progressive amendment of the </w:t>
      </w:r>
      <w:r w:rsidR="008730D3" w:rsidRPr="003F1956">
        <w:rPr>
          <w:i/>
          <w:lang w:eastAsia="en-AU"/>
        </w:rPr>
        <w:t>Sentencing Ac</w:t>
      </w:r>
      <w:r w:rsidR="001B1415" w:rsidRPr="003F1956">
        <w:rPr>
          <w:i/>
          <w:lang w:eastAsia="en-AU"/>
        </w:rPr>
        <w:t xml:space="preserve">t. </w:t>
      </w:r>
      <w:r w:rsidR="001B1415" w:rsidRPr="003F1956">
        <w:rPr>
          <w:lang w:eastAsia="en-AU"/>
        </w:rPr>
        <w:t>As a result,</w:t>
      </w:r>
      <w:r w:rsidR="001B1415" w:rsidRPr="003F1956">
        <w:rPr>
          <w:i/>
          <w:lang w:eastAsia="en-AU"/>
        </w:rPr>
        <w:t xml:space="preserve"> </w:t>
      </w:r>
      <w:r w:rsidR="001B1415" w:rsidRPr="003F1956">
        <w:rPr>
          <w:lang w:eastAsia="en-AU"/>
        </w:rPr>
        <w:t xml:space="preserve">a </w:t>
      </w:r>
      <w:r w:rsidR="00BD12F6" w:rsidRPr="003F1956">
        <w:rPr>
          <w:lang w:eastAsia="en-AU"/>
        </w:rPr>
        <w:t>patchwork of complex and technical sentencing schemes</w:t>
      </w:r>
      <w:r w:rsidR="001B1415" w:rsidRPr="003F1956">
        <w:rPr>
          <w:lang w:eastAsia="en-AU"/>
        </w:rPr>
        <w:t xml:space="preserve"> operate concurrently in Victoria</w:t>
      </w:r>
      <w:r w:rsidR="00BD12F6" w:rsidRPr="003F1956">
        <w:rPr>
          <w:lang w:eastAsia="en-AU"/>
        </w:rPr>
        <w:t xml:space="preserve">. Rather than just overlaying the </w:t>
      </w:r>
      <w:r w:rsidR="00BD12F6" w:rsidRPr="003F1956">
        <w:rPr>
          <w:i/>
          <w:lang w:eastAsia="en-AU"/>
        </w:rPr>
        <w:t>Sentencing Act</w:t>
      </w:r>
      <w:r w:rsidR="00BD12F6" w:rsidRPr="003F1956">
        <w:rPr>
          <w:lang w:eastAsia="en-AU"/>
        </w:rPr>
        <w:t xml:space="preserve"> with yet another scheme, consideration must be given to whether current provisions are fit for purpose, sufficiently clear and internally consistent. Baseline and statutory minimum sentenc</w:t>
      </w:r>
      <w:r w:rsidR="00937339" w:rsidRPr="003F1956">
        <w:rPr>
          <w:lang w:eastAsia="en-AU"/>
        </w:rPr>
        <w:t>ing provisions</w:t>
      </w:r>
      <w:r w:rsidR="00BD12F6" w:rsidRPr="003F1956">
        <w:rPr>
          <w:lang w:eastAsia="en-AU"/>
        </w:rPr>
        <w:t xml:space="preserve"> should be repealed (for the reasons stated above, see </w:t>
      </w:r>
      <w:r w:rsidR="00AA0AB4" w:rsidRPr="003F1956">
        <w:rPr>
          <w:lang w:eastAsia="en-AU"/>
        </w:rPr>
        <w:t>pages 6-9</w:t>
      </w:r>
      <w:r w:rsidR="00BD12F6" w:rsidRPr="003F1956">
        <w:rPr>
          <w:lang w:eastAsia="en-AU"/>
        </w:rPr>
        <w:t xml:space="preserve">), and serious consideration should be given to the efficacy </w:t>
      </w:r>
      <w:r w:rsidR="001B1415" w:rsidRPr="003F1956">
        <w:rPr>
          <w:lang w:eastAsia="en-AU"/>
        </w:rPr>
        <w:t xml:space="preserve">and inter-relationship </w:t>
      </w:r>
      <w:r w:rsidR="00BD12F6" w:rsidRPr="003F1956">
        <w:rPr>
          <w:lang w:eastAsia="en-AU"/>
        </w:rPr>
        <w:t>of other sentencing schemes</w:t>
      </w:r>
      <w:r w:rsidR="006F3856" w:rsidRPr="003F1956">
        <w:rPr>
          <w:lang w:eastAsia="en-AU"/>
        </w:rPr>
        <w:t xml:space="preserve"> (for example the</w:t>
      </w:r>
      <w:r w:rsidR="00550CAC" w:rsidRPr="003F1956">
        <w:rPr>
          <w:lang w:eastAsia="en-AU"/>
        </w:rPr>
        <w:t xml:space="preserve"> serious offender provisions). </w:t>
      </w:r>
    </w:p>
    <w:p w:rsidR="00BD12F6" w:rsidRDefault="00550CAC" w:rsidP="000833C7">
      <w:pPr>
        <w:pStyle w:val="VLALetterText"/>
        <w:outlineLvl w:val="0"/>
        <w:rPr>
          <w:lang w:eastAsia="en-AU"/>
        </w:rPr>
      </w:pPr>
      <w:r w:rsidRPr="003F1956">
        <w:rPr>
          <w:lang w:eastAsia="en-AU"/>
        </w:rPr>
        <w:t xml:space="preserve">To enhance transparency, public confidence and consistency, a simplified and better integrated sentencing </w:t>
      </w:r>
      <w:r w:rsidR="006F3856" w:rsidRPr="003F1956">
        <w:rPr>
          <w:lang w:eastAsia="en-AU"/>
        </w:rPr>
        <w:t>framework should be the goal</w:t>
      </w:r>
      <w:r w:rsidRPr="003F1956">
        <w:rPr>
          <w:lang w:eastAsia="en-AU"/>
        </w:rPr>
        <w:t xml:space="preserve"> – an outcome predicated on evidence-based decision making, and the proper review and evaluation </w:t>
      </w:r>
      <w:r w:rsidR="006F3856" w:rsidRPr="003F1956">
        <w:rPr>
          <w:lang w:eastAsia="en-AU"/>
        </w:rPr>
        <w:t>of our current sentencing regime.</w:t>
      </w:r>
      <w:r w:rsidR="006F3856">
        <w:rPr>
          <w:lang w:eastAsia="en-AU"/>
        </w:rPr>
        <w:t xml:space="preserve"> </w:t>
      </w:r>
    </w:p>
    <w:sectPr w:rsidR="00BD12F6" w:rsidSect="00DA29C4">
      <w:headerReference w:type="even" r:id="rId19"/>
      <w:headerReference w:type="first" r:id="rId20"/>
      <w:footerReference w:type="first" r:id="rId21"/>
      <w:pgSz w:w="11906" w:h="16838" w:code="9"/>
      <w:pgMar w:top="1418" w:right="992" w:bottom="1134" w:left="1134" w:header="851" w:footer="284" w:gutter="0"/>
      <w:paperSrc w:first="7" w:other="7"/>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768" w:rsidRDefault="00145768">
      <w:r>
        <w:separator/>
      </w:r>
    </w:p>
    <w:p w:rsidR="00145768" w:rsidRDefault="00145768"/>
    <w:p w:rsidR="00145768" w:rsidRDefault="00145768"/>
  </w:endnote>
  <w:endnote w:type="continuationSeparator" w:id="0">
    <w:p w:rsidR="00145768" w:rsidRDefault="00145768">
      <w:r>
        <w:continuationSeparator/>
      </w:r>
    </w:p>
    <w:p w:rsidR="00145768" w:rsidRDefault="00145768"/>
    <w:p w:rsidR="00145768" w:rsidRDefault="00145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E04" w:rsidRDefault="00DB2E04" w:rsidP="004E0688">
    <w:pPr>
      <w:pBdr>
        <w:top w:val="single" w:sz="12"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E04" w:rsidRDefault="00DB2E04" w:rsidP="00E6688C">
    <w:pPr>
      <w:pStyle w:val="VLAdivision"/>
    </w:pPr>
    <w:r>
      <w:t>Victoria Legal Aid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E04" w:rsidRPr="00C97428" w:rsidRDefault="00DB2E04" w:rsidP="005375A4">
    <w:pPr>
      <w:rPr>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E04" w:rsidRDefault="00DB2E04" w:rsidP="00696BA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E04" w:rsidRDefault="00DB2E04" w:rsidP="00161EEF">
    <w:pPr>
      <w:pStyle w:val="Filename"/>
      <w:tabs>
        <w:tab w:val="clear" w:pos="9240"/>
      </w:tabs>
    </w:pPr>
    <w:r>
      <w:t xml:space="preserve">Victoria Legal Aid – Sentencing Guidance Reference – </w:t>
    </w:r>
    <w:r w:rsidR="00CD3FE4">
      <w:t>1</w:t>
    </w:r>
    <w:r w:rsidR="002D273C">
      <w:t>2</w:t>
    </w:r>
    <w:r>
      <w:t xml:space="preserve"> February 2016</w:t>
    </w:r>
  </w:p>
  <w:p w:rsidR="00DB2E04" w:rsidRPr="002B4970" w:rsidRDefault="00DB2E04" w:rsidP="00161EEF">
    <w:pPr>
      <w:pStyle w:val="Filename"/>
      <w:pBdr>
        <w:top w:val="none" w:sz="0" w:space="0" w:color="auto"/>
      </w:pBdr>
      <w:tabs>
        <w:tab w:val="clear" w:pos="9240"/>
      </w:tabs>
      <w:jc w:val="center"/>
      <w:rPr>
        <w:szCs w:val="18"/>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FA5F59">
      <w:rPr>
        <w:rStyle w:val="PageNumber"/>
        <w:noProof/>
      </w:rPr>
      <w:t>17</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FE4" w:rsidRDefault="00CD3FE4" w:rsidP="00CD3FE4">
    <w:pPr>
      <w:pStyle w:val="Filename"/>
      <w:tabs>
        <w:tab w:val="clear" w:pos="9240"/>
      </w:tabs>
    </w:pPr>
    <w:r>
      <w:t>Victoria Legal Aid – Sentencing Guidance Reference – 1</w:t>
    </w:r>
    <w:r w:rsidR="002D273C">
      <w:t>2</w:t>
    </w:r>
    <w:r>
      <w:t xml:space="preserve"> February 2016</w:t>
    </w:r>
  </w:p>
  <w:p w:rsidR="00DB2E04" w:rsidRPr="002B4970" w:rsidRDefault="00DB2E04" w:rsidP="00161EEF">
    <w:pPr>
      <w:pStyle w:val="Filename"/>
      <w:pBdr>
        <w:top w:val="none" w:sz="0" w:space="0" w:color="auto"/>
      </w:pBdr>
      <w:tabs>
        <w:tab w:val="clear" w:pos="9240"/>
      </w:tabs>
      <w:jc w:val="center"/>
      <w:rPr>
        <w:szCs w:val="18"/>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FA5F59">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768" w:rsidRPr="00E9228F" w:rsidRDefault="00145768" w:rsidP="00E9228F">
      <w:pPr>
        <w:rPr>
          <w:sz w:val="18"/>
          <w:szCs w:val="18"/>
        </w:rPr>
      </w:pPr>
      <w:r w:rsidRPr="006831FC">
        <w:rPr>
          <w:sz w:val="18"/>
        </w:rPr>
        <w:separator/>
      </w:r>
    </w:p>
  </w:footnote>
  <w:footnote w:type="continuationSeparator" w:id="0">
    <w:p w:rsidR="00145768" w:rsidRDefault="00145768">
      <w:r>
        <w:continuationSeparator/>
      </w:r>
    </w:p>
    <w:p w:rsidR="00145768" w:rsidRDefault="00145768"/>
    <w:p w:rsidR="00145768" w:rsidRDefault="00145768"/>
  </w:footnote>
  <w:footnote w:id="1">
    <w:p w:rsidR="00DB2E04" w:rsidRPr="003F1956" w:rsidRDefault="00DB2E04" w:rsidP="0046578E">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Victoria Legal Aid, </w:t>
      </w:r>
      <w:r w:rsidRPr="003F1956">
        <w:rPr>
          <w:rFonts w:cs="Arial"/>
          <w:i/>
          <w:sz w:val="20"/>
        </w:rPr>
        <w:t>Annual Report</w:t>
      </w:r>
      <w:r w:rsidRPr="003F1956">
        <w:rPr>
          <w:rFonts w:cs="Arial"/>
          <w:sz w:val="20"/>
        </w:rPr>
        <w:t xml:space="preserve"> </w:t>
      </w:r>
      <w:r w:rsidRPr="003F1956">
        <w:rPr>
          <w:rFonts w:cs="Arial"/>
          <w:i/>
          <w:sz w:val="20"/>
        </w:rPr>
        <w:t>2014-2015</w:t>
      </w:r>
      <w:r w:rsidRPr="003F1956">
        <w:rPr>
          <w:rFonts w:cs="Arial"/>
          <w:sz w:val="20"/>
        </w:rPr>
        <w:t>.</w:t>
      </w:r>
    </w:p>
  </w:footnote>
  <w:footnote w:id="2">
    <w:p w:rsidR="00DB2E04" w:rsidRPr="003F1956" w:rsidRDefault="00DB2E04" w:rsidP="0046578E">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[2015] VSCA 303.</w:t>
      </w:r>
    </w:p>
  </w:footnote>
  <w:footnote w:id="3">
    <w:p w:rsidR="00DB2E04" w:rsidRPr="003F1956" w:rsidRDefault="00DB2E04" w:rsidP="0046578E">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[2014] VSCA 342.</w:t>
      </w:r>
    </w:p>
  </w:footnote>
  <w:footnote w:id="4">
    <w:p w:rsidR="00DB2E04" w:rsidRPr="003F1956" w:rsidRDefault="00DB2E04" w:rsidP="0046578E">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i/>
          <w:sz w:val="20"/>
        </w:rPr>
        <w:t>Legal Aid Act 1978</w:t>
      </w:r>
      <w:r w:rsidRPr="003F1956">
        <w:rPr>
          <w:rFonts w:cs="Arial"/>
          <w:sz w:val="20"/>
        </w:rPr>
        <w:t xml:space="preserve"> (Vic) </w:t>
      </w:r>
      <w:proofErr w:type="spellStart"/>
      <w:r w:rsidRPr="003F1956">
        <w:rPr>
          <w:rFonts w:cs="Arial"/>
          <w:sz w:val="20"/>
        </w:rPr>
        <w:t>ss</w:t>
      </w:r>
      <w:proofErr w:type="spellEnd"/>
      <w:r w:rsidRPr="003F1956">
        <w:rPr>
          <w:rFonts w:cs="Arial"/>
          <w:sz w:val="20"/>
        </w:rPr>
        <w:t xml:space="preserve"> 4, 7(1</w:t>
      </w:r>
      <w:proofErr w:type="gramStart"/>
      <w:r w:rsidRPr="003F1956">
        <w:rPr>
          <w:rFonts w:cs="Arial"/>
          <w:sz w:val="20"/>
        </w:rPr>
        <w:t>)(</w:t>
      </w:r>
      <w:proofErr w:type="gramEnd"/>
      <w:r w:rsidRPr="003F1956">
        <w:rPr>
          <w:rFonts w:cs="Arial"/>
          <w:sz w:val="20"/>
        </w:rPr>
        <w:t>a).</w:t>
      </w:r>
    </w:p>
  </w:footnote>
  <w:footnote w:id="5">
    <w:p w:rsidR="00DB2E04" w:rsidRPr="003F1956" w:rsidRDefault="00DB2E04" w:rsidP="0046578E">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Victoria Legal Aid, </w:t>
      </w:r>
      <w:r w:rsidRPr="003F1956">
        <w:rPr>
          <w:rFonts w:cs="Arial"/>
          <w:i/>
          <w:sz w:val="20"/>
        </w:rPr>
        <w:t>Strategy 2015-2018</w:t>
      </w:r>
      <w:r w:rsidRPr="003F1956">
        <w:rPr>
          <w:rFonts w:cs="Arial"/>
          <w:sz w:val="20"/>
        </w:rPr>
        <w:t>.</w:t>
      </w:r>
    </w:p>
  </w:footnote>
  <w:footnote w:id="6">
    <w:p w:rsidR="00DB2E04" w:rsidRPr="003F1956" w:rsidRDefault="00DB2E04" w:rsidP="00C67188">
      <w:pPr>
        <w:pStyle w:val="FootnoteText"/>
        <w:spacing w:after="0" w:line="240" w:lineRule="auto"/>
      </w:pPr>
      <w:r w:rsidRPr="003F1956">
        <w:rPr>
          <w:rStyle w:val="FootnoteReference"/>
        </w:rPr>
        <w:footnoteRef/>
      </w:r>
      <w:r w:rsidRPr="003F1956">
        <w:t xml:space="preserve">  </w:t>
      </w:r>
      <w:r w:rsidRPr="003F1956">
        <w:tab/>
      </w:r>
      <w:r w:rsidRPr="003F1956">
        <w:rPr>
          <w:sz w:val="20"/>
        </w:rPr>
        <w:t>See Sentencing Advisory Council</w:t>
      </w:r>
      <w:r w:rsidR="00036CBE" w:rsidRPr="003F1956">
        <w:rPr>
          <w:sz w:val="20"/>
        </w:rPr>
        <w:t xml:space="preserve"> (Queensland)</w:t>
      </w:r>
      <w:r w:rsidRPr="003F1956">
        <w:rPr>
          <w:sz w:val="20"/>
        </w:rPr>
        <w:t xml:space="preserve">, </w:t>
      </w:r>
      <w:r w:rsidRPr="003F1956">
        <w:rPr>
          <w:i/>
          <w:sz w:val="20"/>
        </w:rPr>
        <w:t>Minimum Standard Non-Parole Periods: Final Report</w:t>
      </w:r>
      <w:r w:rsidRPr="003F1956">
        <w:rPr>
          <w:sz w:val="20"/>
        </w:rPr>
        <w:t xml:space="preserve"> (2011), 32.</w:t>
      </w:r>
    </w:p>
  </w:footnote>
  <w:footnote w:id="7">
    <w:p w:rsidR="00386CDB" w:rsidRPr="003F1956" w:rsidRDefault="00386CDB" w:rsidP="00386CDB">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sz w:val="20"/>
        </w:rPr>
        <w:tab/>
      </w:r>
      <w:proofErr w:type="spellStart"/>
      <w:r w:rsidRPr="003F1956">
        <w:rPr>
          <w:sz w:val="20"/>
        </w:rPr>
        <w:t>Arie</w:t>
      </w:r>
      <w:proofErr w:type="spellEnd"/>
      <w:r w:rsidRPr="003F1956">
        <w:rPr>
          <w:sz w:val="20"/>
        </w:rPr>
        <w:t xml:space="preserve"> Freiberg, </w:t>
      </w:r>
      <w:r w:rsidRPr="003F1956">
        <w:rPr>
          <w:i/>
          <w:sz w:val="20"/>
        </w:rPr>
        <w:t>Pathways to Justice: Sentencing Review</w:t>
      </w:r>
      <w:r w:rsidRPr="003F1956">
        <w:rPr>
          <w:sz w:val="20"/>
        </w:rPr>
        <w:t xml:space="preserve"> (2002), 208-209</w:t>
      </w:r>
      <w:r w:rsidR="0086698D" w:rsidRPr="003F1956">
        <w:rPr>
          <w:rFonts w:cs="Arial"/>
          <w:sz w:val="20"/>
        </w:rPr>
        <w:t xml:space="preserve">; </w:t>
      </w:r>
      <w:r w:rsidRPr="003F1956">
        <w:rPr>
          <w:rFonts w:cs="Arial"/>
          <w:sz w:val="20"/>
        </w:rPr>
        <w:t>Victoria, Parliamentary Debates, Legislative Assembly, 20 March 2003, 378, 479-480 (R Hulls, Attorney General); NSW Parliamentary Library Research Service,</w:t>
      </w:r>
      <w:r w:rsidRPr="003F1956">
        <w:rPr>
          <w:rFonts w:cs="Arial"/>
          <w:i/>
          <w:sz w:val="20"/>
        </w:rPr>
        <w:t xml:space="preserve"> Mandatory and Guideline Sentencing: Recent Developments</w:t>
      </w:r>
      <w:r w:rsidRPr="003F1956">
        <w:rPr>
          <w:rFonts w:cs="Arial"/>
          <w:sz w:val="20"/>
        </w:rPr>
        <w:t>, No 18/98, 17.</w:t>
      </w:r>
    </w:p>
  </w:footnote>
  <w:footnote w:id="8">
    <w:p w:rsidR="0086698D" w:rsidRPr="003F1956" w:rsidRDefault="0086698D" w:rsidP="0086698D">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sz w:val="20"/>
        </w:rPr>
        <w:tab/>
      </w:r>
      <w:r w:rsidRPr="003F1956">
        <w:rPr>
          <w:sz w:val="20"/>
        </w:rPr>
        <w:t>Ibid</w:t>
      </w:r>
      <w:r w:rsidRPr="003F1956">
        <w:rPr>
          <w:rFonts w:cs="Arial"/>
          <w:sz w:val="20"/>
        </w:rPr>
        <w:t>.</w:t>
      </w:r>
    </w:p>
  </w:footnote>
  <w:footnote w:id="9">
    <w:p w:rsidR="00DB2E04" w:rsidRPr="003F1956" w:rsidRDefault="00DB2E04" w:rsidP="00981F6A">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sz w:val="20"/>
        </w:rPr>
        <w:tab/>
        <w:t>This question focuses on sentencing “</w:t>
      </w:r>
      <w:r w:rsidRPr="003F1956">
        <w:rPr>
          <w:rFonts w:cs="Arial"/>
          <w:i/>
          <w:sz w:val="20"/>
        </w:rPr>
        <w:t>approach”</w:t>
      </w:r>
      <w:r w:rsidRPr="003F1956">
        <w:rPr>
          <w:rFonts w:cs="Arial"/>
          <w:sz w:val="20"/>
        </w:rPr>
        <w:t xml:space="preserve"> – not simply sentencing outcome. In this submission, consistency of “approach” is defined as ensuring account is taken of similar factors, with similar weight given to those factors. “Numerical equivalence” is not required </w:t>
      </w:r>
      <w:r w:rsidR="00036CBE" w:rsidRPr="003F1956">
        <w:rPr>
          <w:rFonts w:cs="Arial"/>
          <w:sz w:val="20"/>
        </w:rPr>
        <w:t>–</w:t>
      </w:r>
      <w:r w:rsidRPr="003F1956">
        <w:rPr>
          <w:rFonts w:cs="Arial"/>
          <w:sz w:val="20"/>
        </w:rPr>
        <w:t xml:space="preserve"> there is a permissible range of sentences rather than a ‘correct’ sentence. Evidence of inconsistency must be unjustifiable (meaning legally relevant) and systematic.</w:t>
      </w:r>
    </w:p>
  </w:footnote>
  <w:footnote w:id="10">
    <w:p w:rsidR="00036CBE" w:rsidRPr="003F1956" w:rsidRDefault="00036CBE" w:rsidP="00036CBE">
      <w:pPr>
        <w:pStyle w:val="FootnoteText"/>
        <w:spacing w:after="0" w:line="240" w:lineRule="auto"/>
      </w:pPr>
      <w:r w:rsidRPr="003F1956">
        <w:rPr>
          <w:rStyle w:val="FootnoteReference"/>
          <w:rFonts w:cs="Arial"/>
          <w:sz w:val="20"/>
        </w:rPr>
        <w:footnoteRef/>
      </w:r>
      <w:r w:rsidRPr="003F1956">
        <w:rPr>
          <w:rStyle w:val="FootnoteReference"/>
          <w:rFonts w:cs="Arial"/>
          <w:sz w:val="20"/>
        </w:rPr>
        <w:t xml:space="preserve"> </w:t>
      </w:r>
      <w:r w:rsidRPr="003F1956">
        <w:tab/>
      </w:r>
      <w:r w:rsidRPr="003F1956">
        <w:rPr>
          <w:rFonts w:cs="Arial"/>
          <w:sz w:val="20"/>
        </w:rPr>
        <w:t>[2014] VSCA 342.</w:t>
      </w:r>
    </w:p>
  </w:footnote>
  <w:footnote w:id="11">
    <w:p w:rsidR="00DB2E04" w:rsidRPr="003F1956" w:rsidRDefault="00DB2E04" w:rsidP="00981F6A">
      <w:pPr>
        <w:pStyle w:val="FootnoteText"/>
        <w:spacing w:after="0" w:line="240" w:lineRule="auto"/>
        <w:rPr>
          <w:rFonts w:cs="Arial"/>
          <w:sz w:val="20"/>
        </w:rPr>
      </w:pPr>
      <w:r w:rsidRPr="003F1956">
        <w:rPr>
          <w:rStyle w:val="FootnoteReference"/>
          <w:sz w:val="20"/>
        </w:rPr>
        <w:footnoteRef/>
      </w:r>
      <w:r w:rsidRPr="003F1956">
        <w:rPr>
          <w:sz w:val="20"/>
        </w:rPr>
        <w:t xml:space="preserve"> </w:t>
      </w:r>
      <w:r w:rsidRPr="003F1956">
        <w:rPr>
          <w:sz w:val="20"/>
        </w:rPr>
        <w:tab/>
        <w:t xml:space="preserve">It is also multidimensional: </w:t>
      </w:r>
      <w:r w:rsidRPr="003F1956">
        <w:rPr>
          <w:rFonts w:cs="Arial"/>
          <w:sz w:val="20"/>
        </w:rPr>
        <w:t xml:space="preserve">Kate Warner et al, ‘Public judgment on sentencing: Final results from the Tasmanian Jury Sentencing Study’, </w:t>
      </w:r>
      <w:r w:rsidRPr="003F1956">
        <w:rPr>
          <w:rFonts w:cs="Arial"/>
          <w:i/>
          <w:sz w:val="20"/>
        </w:rPr>
        <w:t>Trends &amp; issues in crime and criminal justice</w:t>
      </w:r>
      <w:r w:rsidRPr="003F1956">
        <w:rPr>
          <w:rFonts w:cs="Arial"/>
          <w:sz w:val="20"/>
        </w:rPr>
        <w:t xml:space="preserve"> (Australi</w:t>
      </w:r>
      <w:r w:rsidR="00036CBE" w:rsidRPr="003F1956">
        <w:rPr>
          <w:rFonts w:cs="Arial"/>
          <w:sz w:val="20"/>
        </w:rPr>
        <w:t xml:space="preserve">an Institute of Criminology, no </w:t>
      </w:r>
      <w:r w:rsidRPr="003F1956">
        <w:rPr>
          <w:rFonts w:cs="Arial"/>
          <w:sz w:val="20"/>
        </w:rPr>
        <w:t>407, 2011).</w:t>
      </w:r>
    </w:p>
  </w:footnote>
  <w:footnote w:id="12">
    <w:p w:rsidR="00DB2E04" w:rsidRPr="003F1956" w:rsidRDefault="00DB2E04" w:rsidP="00981F6A">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sz w:val="20"/>
        </w:rPr>
        <w:tab/>
        <w:t xml:space="preserve">Dennis Byles and Chris Gill, ‘Citizen Judges’ (2014) 88(12) </w:t>
      </w:r>
      <w:r w:rsidRPr="003F1956">
        <w:rPr>
          <w:rFonts w:cs="Arial"/>
          <w:i/>
          <w:sz w:val="20"/>
        </w:rPr>
        <w:t>Law Institute Journal</w:t>
      </w:r>
      <w:r w:rsidRPr="003F1956">
        <w:rPr>
          <w:rFonts w:cs="Arial"/>
          <w:sz w:val="20"/>
        </w:rPr>
        <w:t>, 52.</w:t>
      </w:r>
    </w:p>
  </w:footnote>
  <w:footnote w:id="13">
    <w:p w:rsidR="00DB2E04" w:rsidRPr="003F1956" w:rsidRDefault="00DB2E04" w:rsidP="00981F6A">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sz w:val="20"/>
        </w:rPr>
        <w:tab/>
        <w:t xml:space="preserve">Kate Warner et al, ‘Public judgment on sentencing: Final results from the Tasmanian Jury Sentencing </w:t>
      </w:r>
      <w:r w:rsidRPr="003F1956">
        <w:rPr>
          <w:sz w:val="20"/>
        </w:rPr>
        <w:t>Study’</w:t>
      </w:r>
      <w:r w:rsidRPr="003F1956">
        <w:rPr>
          <w:rFonts w:cs="Arial"/>
          <w:sz w:val="20"/>
        </w:rPr>
        <w:t xml:space="preserve">, </w:t>
      </w:r>
      <w:r w:rsidRPr="003F1956">
        <w:rPr>
          <w:rFonts w:cs="Arial"/>
          <w:i/>
          <w:sz w:val="20"/>
        </w:rPr>
        <w:t>Trends &amp; issues in crime and criminal justice</w:t>
      </w:r>
      <w:r w:rsidRPr="003F1956">
        <w:rPr>
          <w:rFonts w:cs="Arial"/>
          <w:sz w:val="20"/>
        </w:rPr>
        <w:t xml:space="preserve"> (Australi</w:t>
      </w:r>
      <w:r w:rsidR="00036CBE" w:rsidRPr="003F1956">
        <w:rPr>
          <w:rFonts w:cs="Arial"/>
          <w:sz w:val="20"/>
        </w:rPr>
        <w:t xml:space="preserve">an Institute of Criminology, no </w:t>
      </w:r>
      <w:r w:rsidRPr="003F1956">
        <w:rPr>
          <w:rFonts w:cs="Arial"/>
          <w:sz w:val="20"/>
        </w:rPr>
        <w:t>407, 2011).</w:t>
      </w:r>
    </w:p>
  </w:footnote>
  <w:footnote w:id="14">
    <w:p w:rsidR="00DB2E04" w:rsidRPr="003F1956" w:rsidRDefault="00DB2E04" w:rsidP="00981F6A">
      <w:pPr>
        <w:pStyle w:val="FootnoteText"/>
        <w:spacing w:after="0" w:line="240" w:lineRule="auto"/>
        <w:rPr>
          <w:sz w:val="20"/>
        </w:rPr>
      </w:pPr>
      <w:r w:rsidRPr="003F1956">
        <w:rPr>
          <w:rStyle w:val="FootnoteReference"/>
          <w:sz w:val="20"/>
        </w:rPr>
        <w:footnoteRef/>
      </w:r>
      <w:r w:rsidRPr="003F1956">
        <w:rPr>
          <w:sz w:val="20"/>
        </w:rPr>
        <w:t xml:space="preserve"> </w:t>
      </w:r>
      <w:r w:rsidRPr="003F1956">
        <w:rPr>
          <w:sz w:val="20"/>
        </w:rPr>
        <w:tab/>
        <w:t>There was an even split between jurors that said the sentence was “very appropriate” and those that found it “fairly appropriate”: ibid.</w:t>
      </w:r>
    </w:p>
  </w:footnote>
  <w:footnote w:id="15">
    <w:p w:rsidR="00DB2E04" w:rsidRPr="003F1956" w:rsidRDefault="00DB2E04" w:rsidP="00B42E73">
      <w:pPr>
        <w:pStyle w:val="FootnoteText"/>
        <w:spacing w:after="0" w:line="240" w:lineRule="auto"/>
        <w:rPr>
          <w:sz w:val="20"/>
        </w:rPr>
      </w:pPr>
      <w:r w:rsidRPr="003F1956">
        <w:rPr>
          <w:rStyle w:val="FootnoteReference"/>
        </w:rPr>
        <w:footnoteRef/>
      </w:r>
      <w:r w:rsidRPr="003F1956">
        <w:t xml:space="preserve"> </w:t>
      </w:r>
      <w:r w:rsidRPr="003F1956">
        <w:tab/>
      </w:r>
      <w:r w:rsidRPr="003F1956">
        <w:rPr>
          <w:sz w:val="20"/>
        </w:rPr>
        <w:t xml:space="preserve">Kate Warner et al, </w:t>
      </w:r>
      <w:r w:rsidR="00023D59" w:rsidRPr="003F1956">
        <w:rPr>
          <w:sz w:val="20"/>
        </w:rPr>
        <w:t>‘</w:t>
      </w:r>
      <w:r w:rsidRPr="003F1956">
        <w:rPr>
          <w:sz w:val="20"/>
        </w:rPr>
        <w:t>Jury Sentencing Survey</w:t>
      </w:r>
      <w:r w:rsidR="00023D59" w:rsidRPr="003F1956">
        <w:rPr>
          <w:sz w:val="20"/>
        </w:rPr>
        <w:t>’</w:t>
      </w:r>
      <w:r w:rsidRPr="003F1956">
        <w:rPr>
          <w:sz w:val="20"/>
        </w:rPr>
        <w:t>, Criminology Research Council (2010), 52.</w:t>
      </w:r>
    </w:p>
  </w:footnote>
  <w:footnote w:id="16">
    <w:p w:rsidR="00DB2E04" w:rsidRPr="003F1956" w:rsidRDefault="00DB2E04" w:rsidP="00B42E73">
      <w:pPr>
        <w:pStyle w:val="FootnoteText"/>
        <w:spacing w:after="0" w:line="240" w:lineRule="auto"/>
        <w:rPr>
          <w:sz w:val="20"/>
          <w:lang w:eastAsia="en-AU"/>
        </w:rPr>
      </w:pPr>
      <w:r w:rsidRPr="003F1956">
        <w:rPr>
          <w:rStyle w:val="FootnoteReference"/>
          <w:sz w:val="20"/>
        </w:rPr>
        <w:footnoteRef/>
      </w:r>
      <w:r w:rsidRPr="003F1956">
        <w:rPr>
          <w:sz w:val="20"/>
        </w:rPr>
        <w:t xml:space="preserve"> </w:t>
      </w:r>
      <w:r w:rsidRPr="003F1956">
        <w:rPr>
          <w:sz w:val="20"/>
        </w:rPr>
        <w:tab/>
        <w:t>See University of Tasmania, Faculty of Law, Victorian Jury Project (University of Tasmania, 2015).</w:t>
      </w:r>
    </w:p>
  </w:footnote>
  <w:footnote w:id="17">
    <w:p w:rsidR="00DB2E04" w:rsidRPr="003F1956" w:rsidRDefault="00DB2E04" w:rsidP="00B42E73">
      <w:pPr>
        <w:pStyle w:val="FootnoteText"/>
        <w:spacing w:after="0" w:line="240" w:lineRule="auto"/>
        <w:rPr>
          <w:sz w:val="20"/>
        </w:rPr>
      </w:pPr>
      <w:r w:rsidRPr="003F1956">
        <w:rPr>
          <w:rStyle w:val="FootnoteReference"/>
          <w:sz w:val="20"/>
        </w:rPr>
        <w:footnoteRef/>
      </w:r>
      <w:r w:rsidRPr="003F1956">
        <w:rPr>
          <w:sz w:val="20"/>
        </w:rPr>
        <w:t xml:space="preserve"> </w:t>
      </w:r>
      <w:r w:rsidRPr="003F1956">
        <w:rPr>
          <w:sz w:val="20"/>
        </w:rPr>
        <w:tab/>
        <w:t xml:space="preserve">Sentencing Advisory Council (Tasmania), </w:t>
      </w:r>
      <w:r w:rsidRPr="003F1956">
        <w:rPr>
          <w:i/>
          <w:sz w:val="20"/>
        </w:rPr>
        <w:t>Sex Offence Sentencing: Research Paper</w:t>
      </w:r>
      <w:r w:rsidRPr="003F1956">
        <w:rPr>
          <w:sz w:val="20"/>
        </w:rPr>
        <w:t>, April 2013, 26-36.</w:t>
      </w:r>
    </w:p>
  </w:footnote>
  <w:footnote w:id="18">
    <w:p w:rsidR="00DB2E04" w:rsidRPr="003F1956" w:rsidRDefault="00DB2E04" w:rsidP="0079243B">
      <w:pPr>
        <w:pStyle w:val="FootnoteText"/>
        <w:spacing w:after="0" w:line="240" w:lineRule="auto"/>
        <w:rPr>
          <w:sz w:val="20"/>
        </w:rPr>
      </w:pPr>
      <w:r w:rsidRPr="003F1956">
        <w:rPr>
          <w:rStyle w:val="FootnoteReference"/>
          <w:sz w:val="20"/>
        </w:rPr>
        <w:footnoteRef/>
      </w:r>
      <w:r w:rsidRPr="003F1956">
        <w:rPr>
          <w:sz w:val="20"/>
        </w:rPr>
        <w:t xml:space="preserve"> </w:t>
      </w:r>
      <w:r w:rsidRPr="003F1956">
        <w:rPr>
          <w:sz w:val="20"/>
        </w:rPr>
        <w:tab/>
        <w:t xml:space="preserve">Sentencing Advisory Council, </w:t>
      </w:r>
      <w:r w:rsidRPr="003F1956">
        <w:rPr>
          <w:i/>
          <w:sz w:val="20"/>
        </w:rPr>
        <w:t>Community Attitudes to Offence Seriousness</w:t>
      </w:r>
      <w:r w:rsidRPr="003F1956">
        <w:rPr>
          <w:sz w:val="20"/>
        </w:rPr>
        <w:t xml:space="preserve"> (2012).</w:t>
      </w:r>
    </w:p>
  </w:footnote>
  <w:footnote w:id="19">
    <w:p w:rsidR="00DB2E04" w:rsidRPr="003F1956" w:rsidRDefault="00DB2E04" w:rsidP="0009119D">
      <w:pPr>
        <w:pStyle w:val="FootnoteText"/>
        <w:spacing w:after="0" w:line="240" w:lineRule="auto"/>
        <w:rPr>
          <w:sz w:val="20"/>
        </w:rPr>
      </w:pPr>
      <w:r w:rsidRPr="003F1956">
        <w:rPr>
          <w:rStyle w:val="FootnoteReference"/>
          <w:sz w:val="20"/>
        </w:rPr>
        <w:footnoteRef/>
      </w:r>
      <w:r w:rsidRPr="003F1956">
        <w:rPr>
          <w:sz w:val="20"/>
        </w:rPr>
        <w:t xml:space="preserve"> </w:t>
      </w:r>
      <w:r w:rsidRPr="003F1956">
        <w:rPr>
          <w:sz w:val="20"/>
        </w:rPr>
        <w:tab/>
        <w:t>For example, the prevalence of lower-end offending may skew the results. Where cases tend to involve multiple charges (e.g. sexual penetration for a child under 12), statistics shown by charge ma</w:t>
      </w:r>
      <w:r w:rsidR="00036CBE" w:rsidRPr="003F1956">
        <w:rPr>
          <w:sz w:val="20"/>
        </w:rPr>
        <w:t>y paint a different picture to</w:t>
      </w:r>
      <w:r w:rsidRPr="003F1956">
        <w:rPr>
          <w:sz w:val="20"/>
        </w:rPr>
        <w:t xml:space="preserve"> </w:t>
      </w:r>
      <w:r w:rsidR="00036CBE" w:rsidRPr="003F1956">
        <w:rPr>
          <w:sz w:val="20"/>
        </w:rPr>
        <w:t xml:space="preserve">case-based </w:t>
      </w:r>
      <w:r w:rsidRPr="003F1956">
        <w:rPr>
          <w:sz w:val="20"/>
        </w:rPr>
        <w:t>statistics.</w:t>
      </w:r>
    </w:p>
  </w:footnote>
  <w:footnote w:id="20">
    <w:p w:rsidR="00DB2E04" w:rsidRPr="003F1956" w:rsidRDefault="00DB2E04" w:rsidP="00B42E73">
      <w:pPr>
        <w:pStyle w:val="FootnoteText"/>
        <w:spacing w:after="0" w:line="240" w:lineRule="auto"/>
        <w:rPr>
          <w:sz w:val="20"/>
        </w:rPr>
      </w:pPr>
      <w:r w:rsidRPr="003F1956">
        <w:rPr>
          <w:rStyle w:val="FootnoteReference"/>
          <w:sz w:val="20"/>
        </w:rPr>
        <w:footnoteRef/>
      </w:r>
      <w:r w:rsidRPr="003F1956">
        <w:rPr>
          <w:sz w:val="20"/>
        </w:rPr>
        <w:t xml:space="preserve"> </w:t>
      </w:r>
      <w:r w:rsidRPr="003F1956">
        <w:rPr>
          <w:sz w:val="20"/>
        </w:rPr>
        <w:tab/>
        <w:t xml:space="preserve">Kate Warner et al, </w:t>
      </w:r>
      <w:r w:rsidR="00023D59" w:rsidRPr="003F1956">
        <w:rPr>
          <w:sz w:val="20"/>
        </w:rPr>
        <w:t>‘</w:t>
      </w:r>
      <w:r w:rsidRPr="003F1956">
        <w:rPr>
          <w:sz w:val="20"/>
        </w:rPr>
        <w:t>Jury Sentencing Survey</w:t>
      </w:r>
      <w:r w:rsidR="00023D59" w:rsidRPr="003F1956">
        <w:rPr>
          <w:sz w:val="20"/>
        </w:rPr>
        <w:t>’</w:t>
      </w:r>
      <w:r w:rsidRPr="003F1956">
        <w:rPr>
          <w:sz w:val="20"/>
        </w:rPr>
        <w:t>, Criminology Research Council (2010), 79, 94.</w:t>
      </w:r>
    </w:p>
  </w:footnote>
  <w:footnote w:id="21">
    <w:p w:rsidR="00DB2E04" w:rsidRPr="003F1956" w:rsidRDefault="00DB2E04" w:rsidP="00021B5B">
      <w:pPr>
        <w:pStyle w:val="FootnoteText"/>
        <w:spacing w:after="0" w:line="240" w:lineRule="auto"/>
        <w:rPr>
          <w:sz w:val="20"/>
        </w:rPr>
      </w:pPr>
      <w:r w:rsidRPr="003F1956">
        <w:rPr>
          <w:rStyle w:val="FootnoteReference"/>
          <w:sz w:val="20"/>
        </w:rPr>
        <w:footnoteRef/>
      </w:r>
      <w:r w:rsidRPr="003F1956">
        <w:rPr>
          <w:sz w:val="20"/>
        </w:rPr>
        <w:t xml:space="preserve"> </w:t>
      </w:r>
      <w:r w:rsidRPr="003F1956">
        <w:rPr>
          <w:sz w:val="20"/>
        </w:rPr>
        <w:tab/>
        <w:t xml:space="preserve">Ibid, 95. </w:t>
      </w:r>
    </w:p>
  </w:footnote>
  <w:footnote w:id="22">
    <w:p w:rsidR="00DB2E04" w:rsidRPr="003F1956" w:rsidRDefault="00DB2E04" w:rsidP="00B42E73">
      <w:pPr>
        <w:pStyle w:val="FootnoteText"/>
        <w:spacing w:after="0" w:line="240" w:lineRule="auto"/>
        <w:rPr>
          <w:sz w:val="20"/>
        </w:rPr>
      </w:pPr>
      <w:r w:rsidRPr="003F1956">
        <w:rPr>
          <w:rStyle w:val="FootnoteReference"/>
          <w:sz w:val="20"/>
        </w:rPr>
        <w:footnoteRef/>
      </w:r>
      <w:r w:rsidRPr="003F1956">
        <w:rPr>
          <w:rStyle w:val="FootnoteReference"/>
          <w:sz w:val="20"/>
        </w:rPr>
        <w:t xml:space="preserve"> </w:t>
      </w:r>
      <w:r w:rsidRPr="003F1956">
        <w:rPr>
          <w:sz w:val="20"/>
        </w:rPr>
        <w:tab/>
        <w:t xml:space="preserve">The significant public outcry in respect of people smuggling and ‘three strikes you’re out’ mandatory sentencing schemes, may in fact suggest mandatory schemes are more likely to </w:t>
      </w:r>
      <w:r w:rsidRPr="003F1956">
        <w:rPr>
          <w:i/>
          <w:sz w:val="20"/>
        </w:rPr>
        <w:t>reduce</w:t>
      </w:r>
      <w:r w:rsidRPr="003F1956">
        <w:rPr>
          <w:sz w:val="20"/>
        </w:rPr>
        <w:t xml:space="preserve"> the confidence of an informed public. See further, </w:t>
      </w:r>
      <w:r w:rsidR="00023D59" w:rsidRPr="003F1956">
        <w:rPr>
          <w:sz w:val="20"/>
        </w:rPr>
        <w:t>page 7</w:t>
      </w:r>
      <w:r w:rsidRPr="003F1956">
        <w:rPr>
          <w:sz w:val="20"/>
        </w:rPr>
        <w:t xml:space="preserve"> below.</w:t>
      </w:r>
    </w:p>
  </w:footnote>
  <w:footnote w:id="23">
    <w:p w:rsidR="00312431" w:rsidRPr="003F1956" w:rsidRDefault="00312431" w:rsidP="00312431">
      <w:pPr>
        <w:pStyle w:val="FootnoteText"/>
        <w:spacing w:after="0" w:line="240" w:lineRule="auto"/>
        <w:rPr>
          <w:sz w:val="20"/>
        </w:rPr>
      </w:pPr>
      <w:r w:rsidRPr="003F1956">
        <w:rPr>
          <w:rStyle w:val="FootnoteReference"/>
          <w:sz w:val="20"/>
        </w:rPr>
        <w:footnoteRef/>
      </w:r>
      <w:r w:rsidRPr="003F1956">
        <w:rPr>
          <w:sz w:val="20"/>
        </w:rPr>
        <w:t xml:space="preserve"> </w:t>
      </w:r>
      <w:r w:rsidRPr="003F1956">
        <w:rPr>
          <w:sz w:val="20"/>
        </w:rPr>
        <w:tab/>
        <w:t xml:space="preserve">Sentencing Advisory Council (Tasmania), </w:t>
      </w:r>
      <w:r w:rsidRPr="003F1956">
        <w:rPr>
          <w:i/>
          <w:sz w:val="20"/>
        </w:rPr>
        <w:t>Sex Offence Sentencing: Research Paper</w:t>
      </w:r>
      <w:r w:rsidRPr="003F1956">
        <w:rPr>
          <w:sz w:val="20"/>
        </w:rPr>
        <w:t xml:space="preserve">, April 2013, 38 (quoting David </w:t>
      </w:r>
      <w:proofErr w:type="spellStart"/>
      <w:r w:rsidRPr="003F1956">
        <w:rPr>
          <w:sz w:val="20"/>
        </w:rPr>
        <w:t>Indermaur</w:t>
      </w:r>
      <w:proofErr w:type="spellEnd"/>
      <w:r w:rsidRPr="003F1956">
        <w:rPr>
          <w:sz w:val="20"/>
        </w:rPr>
        <w:t>).</w:t>
      </w:r>
    </w:p>
  </w:footnote>
  <w:footnote w:id="24">
    <w:p w:rsidR="00DB2E04" w:rsidRPr="003F1956" w:rsidRDefault="00DB2E04" w:rsidP="00B42E73">
      <w:pPr>
        <w:pStyle w:val="FootnoteText"/>
        <w:spacing w:after="0" w:line="240" w:lineRule="auto"/>
        <w:rPr>
          <w:sz w:val="20"/>
        </w:rPr>
      </w:pPr>
      <w:r w:rsidRPr="003F1956">
        <w:rPr>
          <w:rStyle w:val="FootnoteReference"/>
          <w:sz w:val="20"/>
        </w:rPr>
        <w:footnoteRef/>
      </w:r>
      <w:r w:rsidRPr="003F1956">
        <w:rPr>
          <w:rStyle w:val="FootnoteReference"/>
          <w:sz w:val="20"/>
        </w:rPr>
        <w:t xml:space="preserve"> </w:t>
      </w:r>
      <w:r w:rsidRPr="003F1956">
        <w:rPr>
          <w:sz w:val="20"/>
        </w:rPr>
        <w:tab/>
      </w:r>
      <w:r w:rsidRPr="003F1956">
        <w:rPr>
          <w:i/>
          <w:sz w:val="20"/>
        </w:rPr>
        <w:t>Legal Aid Act 1978</w:t>
      </w:r>
      <w:r w:rsidR="00036CBE" w:rsidRPr="003F1956">
        <w:rPr>
          <w:sz w:val="20"/>
        </w:rPr>
        <w:t xml:space="preserve"> (Vic) s </w:t>
      </w:r>
      <w:r w:rsidRPr="003F1956">
        <w:rPr>
          <w:sz w:val="20"/>
        </w:rPr>
        <w:t>7(1</w:t>
      </w:r>
      <w:proofErr w:type="gramStart"/>
      <w:r w:rsidRPr="003F1956">
        <w:rPr>
          <w:sz w:val="20"/>
        </w:rPr>
        <w:t>)(</w:t>
      </w:r>
      <w:proofErr w:type="gramEnd"/>
      <w:r w:rsidRPr="003F1956">
        <w:rPr>
          <w:sz w:val="20"/>
        </w:rPr>
        <w:t>a).</w:t>
      </w:r>
    </w:p>
  </w:footnote>
  <w:footnote w:id="25">
    <w:p w:rsidR="00DB2E04" w:rsidRPr="003F1956" w:rsidRDefault="00DB2E04" w:rsidP="00723368">
      <w:pPr>
        <w:pStyle w:val="FootnoteText"/>
        <w:spacing w:after="0" w:line="240" w:lineRule="auto"/>
        <w:rPr>
          <w:sz w:val="20"/>
        </w:rPr>
      </w:pPr>
      <w:r w:rsidRPr="003F1956">
        <w:rPr>
          <w:rStyle w:val="FootnoteReference"/>
          <w:sz w:val="20"/>
        </w:rPr>
        <w:footnoteRef/>
      </w:r>
      <w:r w:rsidRPr="003F1956">
        <w:rPr>
          <w:sz w:val="20"/>
        </w:rPr>
        <w:t xml:space="preserve"> </w:t>
      </w:r>
      <w:r w:rsidRPr="003F1956">
        <w:rPr>
          <w:sz w:val="20"/>
        </w:rPr>
        <w:tab/>
        <w:t xml:space="preserve">Current sentencing practices are defined as “the approach currently adopted by sentencing judges when sentencing for the particular offence. That is, the inquiry is directed particularly, but not exclusively, at the kinds of sentences imposed in </w:t>
      </w:r>
      <w:r w:rsidRPr="003F1956">
        <w:rPr>
          <w:sz w:val="20"/>
          <w:lang w:eastAsia="en-AU"/>
        </w:rPr>
        <w:t>comparable</w:t>
      </w:r>
      <w:r w:rsidRPr="003F1956">
        <w:rPr>
          <w:sz w:val="20"/>
        </w:rPr>
        <w:t xml:space="preserve"> cases”: </w:t>
      </w:r>
      <w:r w:rsidRPr="003F1956">
        <w:rPr>
          <w:i/>
          <w:sz w:val="20"/>
        </w:rPr>
        <w:t>DPP v CPD</w:t>
      </w:r>
      <w:r w:rsidRPr="003F1956">
        <w:rPr>
          <w:sz w:val="20"/>
        </w:rPr>
        <w:t xml:space="preserve"> (2009) 22 VR 533, [77]-[78].</w:t>
      </w:r>
    </w:p>
  </w:footnote>
  <w:footnote w:id="26">
    <w:p w:rsidR="00DB2E04" w:rsidRPr="003F1956" w:rsidRDefault="00DB2E04" w:rsidP="00723368">
      <w:pPr>
        <w:pStyle w:val="FootnoteText"/>
        <w:spacing w:after="0" w:line="240" w:lineRule="auto"/>
        <w:rPr>
          <w:sz w:val="20"/>
        </w:rPr>
      </w:pPr>
      <w:r w:rsidRPr="003F1956">
        <w:rPr>
          <w:rStyle w:val="FootnoteReference"/>
          <w:sz w:val="20"/>
        </w:rPr>
        <w:footnoteRef/>
      </w:r>
      <w:r w:rsidRPr="003F1956">
        <w:rPr>
          <w:sz w:val="20"/>
        </w:rPr>
        <w:t xml:space="preserve"> </w:t>
      </w:r>
      <w:r w:rsidRPr="003F1956">
        <w:rPr>
          <w:sz w:val="20"/>
        </w:rPr>
        <w:tab/>
      </w:r>
      <w:r w:rsidRPr="003F1956">
        <w:rPr>
          <w:i/>
          <w:sz w:val="20"/>
        </w:rPr>
        <w:t>Winch</w:t>
      </w:r>
      <w:r w:rsidR="00036CBE" w:rsidRPr="003F1956">
        <w:rPr>
          <w:sz w:val="20"/>
        </w:rPr>
        <w:t xml:space="preserve"> (20</w:t>
      </w:r>
      <w:r w:rsidRPr="003F1956">
        <w:rPr>
          <w:sz w:val="20"/>
        </w:rPr>
        <w:t xml:space="preserve">10) 27 VR 658; </w:t>
      </w:r>
      <w:r w:rsidRPr="003F1956">
        <w:rPr>
          <w:i/>
          <w:sz w:val="20"/>
        </w:rPr>
        <w:t>Hogarth</w:t>
      </w:r>
      <w:r w:rsidRPr="003F1956">
        <w:rPr>
          <w:sz w:val="20"/>
        </w:rPr>
        <w:t xml:space="preserve"> [2012] VSCA 302; </w:t>
      </w:r>
      <w:r w:rsidRPr="003F1956">
        <w:rPr>
          <w:i/>
          <w:sz w:val="20"/>
        </w:rPr>
        <w:t>DPP v CPD</w:t>
      </w:r>
      <w:r w:rsidRPr="003F1956">
        <w:rPr>
          <w:sz w:val="20"/>
        </w:rPr>
        <w:t xml:space="preserve"> (2009) 22 VR 533.</w:t>
      </w:r>
    </w:p>
  </w:footnote>
  <w:footnote w:id="27">
    <w:p w:rsidR="00036CBE" w:rsidRPr="003F1956" w:rsidRDefault="00036CBE" w:rsidP="00036CBE">
      <w:pPr>
        <w:pStyle w:val="FootnoteText"/>
        <w:spacing w:after="0" w:line="240" w:lineRule="auto"/>
      </w:pPr>
      <w:r w:rsidRPr="003F1956">
        <w:rPr>
          <w:rStyle w:val="FootnoteReference"/>
          <w:sz w:val="20"/>
        </w:rPr>
        <w:footnoteRef/>
      </w:r>
      <w:r w:rsidRPr="003F1956">
        <w:rPr>
          <w:rStyle w:val="FootnoteReference"/>
          <w:sz w:val="20"/>
        </w:rPr>
        <w:t xml:space="preserve"> </w:t>
      </w:r>
      <w:r w:rsidRPr="003F1956">
        <w:rPr>
          <w:sz w:val="20"/>
        </w:rPr>
        <w:tab/>
        <w:t>(2009) 22 VR 533.</w:t>
      </w:r>
    </w:p>
  </w:footnote>
  <w:footnote w:id="28">
    <w:p w:rsidR="00DB2E04" w:rsidRPr="003F1956" w:rsidRDefault="00DB2E04" w:rsidP="008125D5">
      <w:pPr>
        <w:pStyle w:val="FootnoteText"/>
        <w:spacing w:after="0" w:line="240" w:lineRule="auto"/>
      </w:pPr>
      <w:r w:rsidRPr="003F1956">
        <w:rPr>
          <w:rStyle w:val="FootnoteReference"/>
          <w:sz w:val="20"/>
        </w:rPr>
        <w:footnoteRef/>
      </w:r>
      <w:r w:rsidRPr="003F1956">
        <w:rPr>
          <w:rStyle w:val="FootnoteReference"/>
          <w:sz w:val="20"/>
        </w:rPr>
        <w:t xml:space="preserve"> </w:t>
      </w:r>
      <w:r w:rsidRPr="003F1956">
        <w:rPr>
          <w:sz w:val="20"/>
        </w:rPr>
        <w:tab/>
      </w:r>
      <w:r w:rsidR="002D273C" w:rsidRPr="003F1956">
        <w:rPr>
          <w:sz w:val="20"/>
        </w:rPr>
        <w:t>I</w:t>
      </w:r>
      <w:r w:rsidR="00036CBE" w:rsidRPr="003F1956">
        <w:rPr>
          <w:sz w:val="20"/>
        </w:rPr>
        <w:t>bid</w:t>
      </w:r>
      <w:r w:rsidRPr="003F1956">
        <w:rPr>
          <w:sz w:val="20"/>
        </w:rPr>
        <w:t xml:space="preserve">, per Maxwell P, </w:t>
      </w:r>
      <w:proofErr w:type="spellStart"/>
      <w:r w:rsidRPr="003F1956">
        <w:rPr>
          <w:sz w:val="20"/>
        </w:rPr>
        <w:t>Redlich</w:t>
      </w:r>
      <w:proofErr w:type="spellEnd"/>
      <w:r w:rsidRPr="003F1956">
        <w:rPr>
          <w:sz w:val="20"/>
        </w:rPr>
        <w:t xml:space="preserve"> JA and Robson AJA, [53], [68].</w:t>
      </w:r>
    </w:p>
  </w:footnote>
  <w:footnote w:id="29">
    <w:p w:rsidR="00DB2E04" w:rsidRPr="003F1956" w:rsidRDefault="00DB2E04" w:rsidP="00723368">
      <w:pPr>
        <w:pStyle w:val="FootnoteText"/>
        <w:spacing w:after="0" w:line="240" w:lineRule="auto"/>
        <w:rPr>
          <w:sz w:val="20"/>
        </w:rPr>
      </w:pPr>
      <w:r w:rsidRPr="003F1956">
        <w:rPr>
          <w:rStyle w:val="FootnoteReference"/>
          <w:sz w:val="20"/>
        </w:rPr>
        <w:footnoteRef/>
      </w:r>
      <w:r w:rsidRPr="003F1956">
        <w:rPr>
          <w:sz w:val="20"/>
        </w:rPr>
        <w:t xml:space="preserve"> </w:t>
      </w:r>
      <w:r w:rsidRPr="003F1956">
        <w:rPr>
          <w:sz w:val="20"/>
        </w:rPr>
        <w:tab/>
      </w:r>
      <w:r w:rsidRPr="003F1956">
        <w:rPr>
          <w:i/>
          <w:sz w:val="20"/>
          <w:lang w:eastAsia="en-AU"/>
        </w:rPr>
        <w:t>Ashdown v The Queen</w:t>
      </w:r>
      <w:r w:rsidRPr="003F1956">
        <w:rPr>
          <w:sz w:val="20"/>
        </w:rPr>
        <w:t xml:space="preserve"> (2011) 37 VR 341, per </w:t>
      </w:r>
      <w:proofErr w:type="spellStart"/>
      <w:r w:rsidRPr="003F1956">
        <w:rPr>
          <w:sz w:val="20"/>
        </w:rPr>
        <w:t>Redlich</w:t>
      </w:r>
      <w:proofErr w:type="spellEnd"/>
      <w:r w:rsidRPr="003F1956">
        <w:rPr>
          <w:sz w:val="20"/>
        </w:rPr>
        <w:t xml:space="preserve"> JA, [18</w:t>
      </w:r>
      <w:r w:rsidR="00036CBE" w:rsidRPr="003F1956">
        <w:rPr>
          <w:sz w:val="20"/>
        </w:rPr>
        <w:t>0</w:t>
      </w:r>
      <w:r w:rsidRPr="003F1956">
        <w:rPr>
          <w:sz w:val="20"/>
        </w:rPr>
        <w:t>] (with whom Ashley JA agreed).</w:t>
      </w:r>
    </w:p>
  </w:footnote>
  <w:footnote w:id="30">
    <w:p w:rsidR="00550CAC" w:rsidRPr="003F1956" w:rsidRDefault="00550CAC" w:rsidP="00550CAC">
      <w:pPr>
        <w:pStyle w:val="FootnoteText"/>
        <w:spacing w:after="0" w:line="240" w:lineRule="auto"/>
      </w:pPr>
      <w:r w:rsidRPr="003F1956">
        <w:rPr>
          <w:rStyle w:val="FootnoteReference"/>
          <w:sz w:val="20"/>
        </w:rPr>
        <w:footnoteRef/>
      </w:r>
      <w:r w:rsidRPr="003F1956">
        <w:rPr>
          <w:rStyle w:val="FootnoteReference"/>
          <w:sz w:val="20"/>
        </w:rPr>
        <w:t xml:space="preserve"> </w:t>
      </w:r>
      <w:r w:rsidRPr="003F1956">
        <w:rPr>
          <w:sz w:val="20"/>
        </w:rPr>
        <w:tab/>
      </w:r>
      <w:r w:rsidRPr="003F1956">
        <w:rPr>
          <w:i/>
          <w:sz w:val="20"/>
        </w:rPr>
        <w:t xml:space="preserve">DPP v </w:t>
      </w:r>
      <w:proofErr w:type="spellStart"/>
      <w:r w:rsidRPr="003F1956">
        <w:rPr>
          <w:i/>
          <w:sz w:val="20"/>
        </w:rPr>
        <w:t>Avici</w:t>
      </w:r>
      <w:proofErr w:type="spellEnd"/>
      <w:r w:rsidRPr="003F1956">
        <w:rPr>
          <w:sz w:val="20"/>
        </w:rPr>
        <w:t xml:space="preserve"> [2008] VSCA 256, [29] per Maxwell P (with whom Buchanan and </w:t>
      </w:r>
      <w:proofErr w:type="spellStart"/>
      <w:r w:rsidRPr="003F1956">
        <w:rPr>
          <w:sz w:val="20"/>
        </w:rPr>
        <w:t>Redlich</w:t>
      </w:r>
      <w:proofErr w:type="spellEnd"/>
      <w:r w:rsidRPr="003F1956">
        <w:rPr>
          <w:sz w:val="20"/>
        </w:rPr>
        <w:t xml:space="preserve"> JJA agreed); </w:t>
      </w:r>
      <w:r w:rsidRPr="003F1956">
        <w:rPr>
          <w:i/>
          <w:sz w:val="20"/>
        </w:rPr>
        <w:t>Hogarth v The Queen</w:t>
      </w:r>
      <w:r w:rsidRPr="003F1956">
        <w:rPr>
          <w:sz w:val="20"/>
        </w:rPr>
        <w:t xml:space="preserve"> [2012] VSCA 302, [38].</w:t>
      </w:r>
    </w:p>
  </w:footnote>
  <w:footnote w:id="31">
    <w:p w:rsidR="00023D59" w:rsidRPr="003F1956" w:rsidRDefault="00023D59" w:rsidP="00023D59">
      <w:pPr>
        <w:pStyle w:val="FootnoteText"/>
        <w:spacing w:after="0" w:line="240" w:lineRule="auto"/>
        <w:rPr>
          <w:sz w:val="20"/>
        </w:rPr>
      </w:pPr>
      <w:r w:rsidRPr="003F1956">
        <w:rPr>
          <w:rStyle w:val="FootnoteReference"/>
        </w:rPr>
        <w:footnoteRef/>
      </w:r>
      <w:r w:rsidRPr="003F1956">
        <w:t xml:space="preserve"> </w:t>
      </w:r>
      <w:r w:rsidRPr="003F1956">
        <w:tab/>
      </w:r>
      <w:r w:rsidRPr="003F1956">
        <w:rPr>
          <w:sz w:val="20"/>
        </w:rPr>
        <w:t>Australia, Attorney-General, ‘Director of Public Prosecutions</w:t>
      </w:r>
      <w:r w:rsidR="00036CBE" w:rsidRPr="003F1956">
        <w:rPr>
          <w:sz w:val="20"/>
        </w:rPr>
        <w:t xml:space="preserve"> –</w:t>
      </w:r>
      <w:r w:rsidRPr="003F1956">
        <w:rPr>
          <w:sz w:val="20"/>
        </w:rPr>
        <w:t xml:space="preserve"> Attorney-General’s Direction</w:t>
      </w:r>
    </w:p>
    <w:p w:rsidR="00023D59" w:rsidRPr="003F1956" w:rsidRDefault="00023D59" w:rsidP="00023D59">
      <w:pPr>
        <w:pStyle w:val="FootnoteText"/>
        <w:spacing w:after="0" w:line="240" w:lineRule="auto"/>
        <w:ind w:firstLine="0"/>
      </w:pPr>
      <w:r w:rsidRPr="003F1956">
        <w:rPr>
          <w:rFonts w:cs="Arial"/>
          <w:sz w:val="20"/>
        </w:rPr>
        <w:t>2012’</w:t>
      </w:r>
      <w:r w:rsidRPr="003F1956">
        <w:rPr>
          <w:sz w:val="20"/>
        </w:rPr>
        <w:t xml:space="preserve"> in Commonwealth of Australia, Gazette, No GN 35, 5 September 2012, 2318. </w:t>
      </w:r>
    </w:p>
  </w:footnote>
  <w:footnote w:id="32">
    <w:p w:rsidR="00DB2E04" w:rsidRPr="003F1956" w:rsidRDefault="00DB2E04" w:rsidP="0046578E">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00023D59" w:rsidRPr="003F1956">
        <w:rPr>
          <w:rFonts w:cs="Arial"/>
          <w:sz w:val="20"/>
        </w:rPr>
        <w:tab/>
      </w:r>
      <w:r w:rsidRPr="003F1956">
        <w:rPr>
          <w:rFonts w:cs="Arial"/>
          <w:sz w:val="20"/>
        </w:rPr>
        <w:t xml:space="preserve">Robert </w:t>
      </w:r>
      <w:proofErr w:type="spellStart"/>
      <w:r w:rsidRPr="003F1956">
        <w:rPr>
          <w:rFonts w:cs="Arial"/>
          <w:sz w:val="20"/>
        </w:rPr>
        <w:t>Corr</w:t>
      </w:r>
      <w:proofErr w:type="spellEnd"/>
      <w:r w:rsidRPr="003F1956">
        <w:rPr>
          <w:rFonts w:cs="Arial"/>
          <w:sz w:val="20"/>
        </w:rPr>
        <w:t xml:space="preserve">, </w:t>
      </w:r>
      <w:r w:rsidR="00023D59" w:rsidRPr="003F1956">
        <w:rPr>
          <w:rFonts w:cs="Arial"/>
          <w:sz w:val="20"/>
        </w:rPr>
        <w:t>‘</w:t>
      </w:r>
      <w:r w:rsidRPr="003F1956">
        <w:rPr>
          <w:rFonts w:cs="Arial"/>
          <w:sz w:val="20"/>
        </w:rPr>
        <w:t>Discretionary Sentencing</w:t>
      </w:r>
      <w:r w:rsidR="00023D59" w:rsidRPr="003F1956">
        <w:rPr>
          <w:rFonts w:cs="Arial"/>
          <w:sz w:val="20"/>
        </w:rPr>
        <w:t>’</w:t>
      </w:r>
      <w:r w:rsidRPr="003F1956">
        <w:rPr>
          <w:rFonts w:cs="Arial"/>
          <w:sz w:val="20"/>
        </w:rPr>
        <w:t xml:space="preserve">, (2014) 39(3) </w:t>
      </w:r>
      <w:r w:rsidRPr="003F1956">
        <w:rPr>
          <w:rFonts w:cs="Arial"/>
          <w:i/>
          <w:sz w:val="20"/>
        </w:rPr>
        <w:t>Alternative Law Journal</w:t>
      </w:r>
      <w:r w:rsidRPr="003F1956">
        <w:rPr>
          <w:rFonts w:cs="Arial"/>
          <w:sz w:val="20"/>
        </w:rPr>
        <w:t xml:space="preserve"> 200</w:t>
      </w:r>
      <w:r w:rsidR="00023D59" w:rsidRPr="003F1956">
        <w:rPr>
          <w:rFonts w:cs="Arial"/>
          <w:sz w:val="20"/>
        </w:rPr>
        <w:t xml:space="preserve"> (</w:t>
      </w:r>
      <w:r w:rsidRPr="003F1956">
        <w:rPr>
          <w:rFonts w:cs="Arial"/>
          <w:sz w:val="20"/>
        </w:rPr>
        <w:t>quoting Chris Berg</w:t>
      </w:r>
      <w:r w:rsidR="00023D59" w:rsidRPr="003F1956">
        <w:rPr>
          <w:rFonts w:cs="Arial"/>
          <w:sz w:val="20"/>
        </w:rPr>
        <w:t>)</w:t>
      </w:r>
      <w:r w:rsidRPr="003F1956">
        <w:rPr>
          <w:rFonts w:cs="Arial"/>
          <w:sz w:val="20"/>
        </w:rPr>
        <w:t>.</w:t>
      </w:r>
    </w:p>
  </w:footnote>
  <w:footnote w:id="33">
    <w:p w:rsidR="00312431" w:rsidRPr="003F1956" w:rsidRDefault="00312431" w:rsidP="00312431">
      <w:pPr>
        <w:pStyle w:val="FootnoteText"/>
        <w:spacing w:after="0" w:line="240" w:lineRule="auto"/>
      </w:pPr>
      <w:r w:rsidRPr="003F1956">
        <w:rPr>
          <w:rStyle w:val="FootnoteReference"/>
          <w:rFonts w:cs="Arial"/>
          <w:sz w:val="20"/>
        </w:rPr>
        <w:footnoteRef/>
      </w:r>
      <w:r w:rsidRPr="003F1956">
        <w:rPr>
          <w:rStyle w:val="FootnoteReference"/>
          <w:rFonts w:cs="Arial"/>
          <w:sz w:val="20"/>
        </w:rPr>
        <w:t xml:space="preserve"> </w:t>
      </w:r>
      <w:r w:rsidRPr="003F1956">
        <w:tab/>
      </w:r>
      <w:r w:rsidRPr="003F1956">
        <w:rPr>
          <w:rFonts w:cs="Arial"/>
          <w:sz w:val="20"/>
        </w:rPr>
        <w:t xml:space="preserve">For example, juries may refuse to find a person guilty of an offence where a mandatory penalty is involved, if they consider the imposition of that penalty to be unjust. Juries may be more likely to find alternate charges are made out (that is, charges that are not associated with a mandatory penalty), if doing so will avoid an unjustly harsh outcome. </w:t>
      </w:r>
    </w:p>
  </w:footnote>
  <w:footnote w:id="34">
    <w:p w:rsidR="00DB2E04" w:rsidRPr="003F1956" w:rsidRDefault="00DB2E04" w:rsidP="000B7992">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As stated by Nicholas </w:t>
      </w:r>
      <w:proofErr w:type="spellStart"/>
      <w:r w:rsidRPr="003F1956">
        <w:rPr>
          <w:rFonts w:cs="Arial"/>
          <w:sz w:val="20"/>
        </w:rPr>
        <w:t>Cowdery</w:t>
      </w:r>
      <w:proofErr w:type="spellEnd"/>
      <w:r w:rsidRPr="003F1956">
        <w:rPr>
          <w:rFonts w:cs="Arial"/>
          <w:sz w:val="20"/>
        </w:rPr>
        <w:t xml:space="preserve">, “there must be a qualified meaning of consistency: it is the imposition of consistent punishment for like behaviour by similar persons”. See further, Nicholas </w:t>
      </w:r>
      <w:proofErr w:type="spellStart"/>
      <w:r w:rsidRPr="003F1956">
        <w:rPr>
          <w:rFonts w:cs="Arial"/>
          <w:sz w:val="20"/>
        </w:rPr>
        <w:t>Cowdery</w:t>
      </w:r>
      <w:proofErr w:type="spellEnd"/>
      <w:r w:rsidRPr="003F1956">
        <w:rPr>
          <w:rFonts w:cs="Arial"/>
          <w:sz w:val="20"/>
        </w:rPr>
        <w:t xml:space="preserve">, </w:t>
      </w:r>
      <w:r w:rsidR="00023D59" w:rsidRPr="003F1956">
        <w:rPr>
          <w:rFonts w:cs="Arial"/>
          <w:sz w:val="20"/>
        </w:rPr>
        <w:t>‘</w:t>
      </w:r>
      <w:r w:rsidRPr="003F1956">
        <w:rPr>
          <w:rFonts w:cs="Arial"/>
          <w:sz w:val="20"/>
        </w:rPr>
        <w:t>Mandatory Sentencing</w:t>
      </w:r>
      <w:r w:rsidR="00023D59" w:rsidRPr="003F1956">
        <w:rPr>
          <w:rFonts w:cs="Arial"/>
          <w:sz w:val="20"/>
        </w:rPr>
        <w:t>’</w:t>
      </w:r>
      <w:r w:rsidRPr="003F1956">
        <w:rPr>
          <w:rFonts w:cs="Arial"/>
          <w:sz w:val="20"/>
        </w:rPr>
        <w:t>, Sydney Law School, Distinguished Speakers Program (2014).</w:t>
      </w:r>
    </w:p>
  </w:footnote>
  <w:footnote w:id="35">
    <w:p w:rsidR="00AA0AB4" w:rsidRPr="003F1956" w:rsidRDefault="00AA0AB4" w:rsidP="00AA0AB4">
      <w:pPr>
        <w:pStyle w:val="FootnoteText"/>
        <w:spacing w:after="0" w:line="240" w:lineRule="auto"/>
      </w:pPr>
      <w:r w:rsidRPr="003F1956">
        <w:rPr>
          <w:rStyle w:val="FootnoteReference"/>
          <w:rFonts w:cs="Arial"/>
          <w:sz w:val="20"/>
        </w:rPr>
        <w:footnoteRef/>
      </w:r>
      <w:r w:rsidRPr="003F1956">
        <w:rPr>
          <w:rStyle w:val="FootnoteReference"/>
          <w:rFonts w:cs="Arial"/>
          <w:sz w:val="20"/>
        </w:rPr>
        <w:t xml:space="preserve"> </w:t>
      </w:r>
      <w:r w:rsidRPr="003F1956">
        <w:rPr>
          <w:rFonts w:cs="Arial"/>
          <w:sz w:val="20"/>
        </w:rPr>
        <w:tab/>
        <w:t>For example, the suicide of a 15-year old Western Australian Aboriginal boy after</w:t>
      </w:r>
      <w:r w:rsidR="00036CBE" w:rsidRPr="003F1956">
        <w:rPr>
          <w:rFonts w:cs="Arial"/>
          <w:sz w:val="20"/>
        </w:rPr>
        <w:t xml:space="preserve"> he had</w:t>
      </w:r>
      <w:r w:rsidRPr="003F1956">
        <w:rPr>
          <w:rFonts w:cs="Arial"/>
          <w:sz w:val="20"/>
        </w:rPr>
        <w:t xml:space="preserve"> be</w:t>
      </w:r>
      <w:r w:rsidR="00036CBE" w:rsidRPr="003F1956">
        <w:rPr>
          <w:rFonts w:cs="Arial"/>
          <w:sz w:val="20"/>
        </w:rPr>
        <w:t>en</w:t>
      </w:r>
      <w:r w:rsidRPr="003F1956">
        <w:rPr>
          <w:rFonts w:cs="Arial"/>
          <w:sz w:val="20"/>
        </w:rPr>
        <w:t xml:space="preserve"> sentenced to a mandatory 28 days in jail for a minor property offence (namely stealing stationery)</w:t>
      </w:r>
      <w:r w:rsidR="00036CBE" w:rsidRPr="003F1956">
        <w:rPr>
          <w:rFonts w:cs="Arial"/>
          <w:sz w:val="20"/>
        </w:rPr>
        <w:t>,</w:t>
      </w:r>
      <w:r w:rsidRPr="003F1956">
        <w:rPr>
          <w:rFonts w:cs="Arial"/>
          <w:sz w:val="20"/>
        </w:rPr>
        <w:t xml:space="preserve"> led to “intense national interest” and </w:t>
      </w:r>
      <w:r w:rsidR="00036CBE" w:rsidRPr="003F1956">
        <w:rPr>
          <w:rFonts w:cs="Arial"/>
          <w:sz w:val="20"/>
        </w:rPr>
        <w:t>widespread demand</w:t>
      </w:r>
      <w:r w:rsidRPr="003F1956">
        <w:rPr>
          <w:rFonts w:cs="Arial"/>
          <w:sz w:val="20"/>
        </w:rPr>
        <w:t xml:space="preserve"> for government intervention: see Roberts et al, </w:t>
      </w:r>
      <w:r w:rsidRPr="003F1956">
        <w:rPr>
          <w:rFonts w:cs="Arial"/>
          <w:i/>
          <w:sz w:val="20"/>
        </w:rPr>
        <w:t>Penal Populism and Public Opinions: Lessons from five Countries</w:t>
      </w:r>
      <w:r w:rsidRPr="003F1956">
        <w:rPr>
          <w:rFonts w:cs="Arial"/>
          <w:sz w:val="20"/>
        </w:rPr>
        <w:t xml:space="preserve"> (Oxford University Press, 2003), 56-57. </w:t>
      </w:r>
    </w:p>
  </w:footnote>
  <w:footnote w:id="36">
    <w:p w:rsidR="00DB2E04" w:rsidRPr="003F1956" w:rsidRDefault="00DB2E04" w:rsidP="0046578E">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sz w:val="20"/>
        </w:rPr>
        <w:tab/>
        <w:t xml:space="preserve">Donald Ritchie, </w:t>
      </w:r>
      <w:r w:rsidRPr="003F1956">
        <w:rPr>
          <w:rFonts w:cs="Arial"/>
          <w:i/>
          <w:iCs/>
          <w:sz w:val="20"/>
        </w:rPr>
        <w:t xml:space="preserve">Sentencing Matters. Does Imprisonment Deter? A Review of the Evidence </w:t>
      </w:r>
      <w:r w:rsidRPr="003F1956">
        <w:rPr>
          <w:rFonts w:cs="Arial"/>
          <w:iCs/>
          <w:sz w:val="20"/>
        </w:rPr>
        <w:t>(</w:t>
      </w:r>
      <w:r w:rsidRPr="003F1956">
        <w:rPr>
          <w:rFonts w:cs="Arial"/>
          <w:sz w:val="20"/>
        </w:rPr>
        <w:t xml:space="preserve">Sentencing Advisory Council, 2011), 2.  </w:t>
      </w:r>
    </w:p>
  </w:footnote>
  <w:footnote w:id="37">
    <w:p w:rsidR="00DB2E04" w:rsidRPr="003F1956" w:rsidRDefault="00DB2E04" w:rsidP="0046578E">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sz w:val="20"/>
        </w:rPr>
        <w:tab/>
        <w:t>Ibid, 19</w:t>
      </w:r>
      <w:r w:rsidR="00036CBE" w:rsidRPr="003F1956">
        <w:rPr>
          <w:rFonts w:cs="Arial"/>
          <w:sz w:val="20"/>
        </w:rPr>
        <w:t>.</w:t>
      </w:r>
    </w:p>
  </w:footnote>
  <w:footnote w:id="38">
    <w:p w:rsidR="00DB2E04" w:rsidRPr="003F1956" w:rsidRDefault="00DB2E04" w:rsidP="0046578E">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sz w:val="20"/>
        </w:rPr>
        <w:tab/>
        <w:t>Where matters resolve, the threat of a mandatory penalty may place undue pressure on a defendant to plead guilty to a lesser charge.</w:t>
      </w:r>
    </w:p>
  </w:footnote>
  <w:footnote w:id="39">
    <w:p w:rsidR="00DB2E04" w:rsidRPr="003F1956" w:rsidRDefault="00DB2E04" w:rsidP="0046578E">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sz w:val="20"/>
        </w:rPr>
        <w:tab/>
        <w:t xml:space="preserve">VLA also supports retaining an exception for those with autism spectrum disorder, a neurological impairment and where a Court Secure Treatment Order or Residential Treatment Order is proposed: see section 10A, </w:t>
      </w:r>
      <w:r w:rsidRPr="003F1956">
        <w:rPr>
          <w:rFonts w:cs="Arial"/>
          <w:i/>
          <w:sz w:val="20"/>
        </w:rPr>
        <w:t>Sentencing Act</w:t>
      </w:r>
      <w:r w:rsidR="00036CBE" w:rsidRPr="003F1956">
        <w:rPr>
          <w:rFonts w:cs="Arial"/>
          <w:i/>
          <w:sz w:val="20"/>
        </w:rPr>
        <w:t xml:space="preserve"> 1991 </w:t>
      </w:r>
      <w:r w:rsidR="00036CBE" w:rsidRPr="003F1956">
        <w:rPr>
          <w:rFonts w:cs="Arial"/>
          <w:sz w:val="20"/>
        </w:rPr>
        <w:t>(Vic)</w:t>
      </w:r>
      <w:r w:rsidRPr="003F1956">
        <w:rPr>
          <w:rFonts w:cs="Arial"/>
          <w:sz w:val="20"/>
        </w:rPr>
        <w:t>.</w:t>
      </w:r>
    </w:p>
  </w:footnote>
  <w:footnote w:id="40">
    <w:p w:rsidR="00DB2E04" w:rsidRPr="003F1956" w:rsidRDefault="00DB2E04" w:rsidP="0046578E">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sz w:val="20"/>
        </w:rPr>
        <w:tab/>
        <w:t>See, for examp</w:t>
      </w:r>
      <w:r w:rsidR="00023D59" w:rsidRPr="003F1956">
        <w:rPr>
          <w:rFonts w:cs="Arial"/>
          <w:sz w:val="20"/>
        </w:rPr>
        <w:t xml:space="preserve">le: C.M Chu. </w:t>
      </w:r>
      <w:proofErr w:type="gramStart"/>
      <w:r w:rsidR="00023D59" w:rsidRPr="003F1956">
        <w:rPr>
          <w:rFonts w:cs="Arial"/>
          <w:sz w:val="20"/>
        </w:rPr>
        <w:t>and</w:t>
      </w:r>
      <w:proofErr w:type="gramEnd"/>
      <w:r w:rsidR="00023D59" w:rsidRPr="003F1956">
        <w:rPr>
          <w:rFonts w:cs="Arial"/>
          <w:sz w:val="20"/>
        </w:rPr>
        <w:t xml:space="preserve"> J.R.P </w:t>
      </w:r>
      <w:proofErr w:type="spellStart"/>
      <w:r w:rsidR="00023D59" w:rsidRPr="003F1956">
        <w:rPr>
          <w:rFonts w:cs="Arial"/>
          <w:sz w:val="20"/>
        </w:rPr>
        <w:t>Ogloff</w:t>
      </w:r>
      <w:proofErr w:type="spellEnd"/>
      <w:r w:rsidR="00023D59" w:rsidRPr="003F1956">
        <w:rPr>
          <w:rFonts w:cs="Arial"/>
          <w:sz w:val="20"/>
        </w:rPr>
        <w:t>, ‘</w:t>
      </w:r>
      <w:r w:rsidRPr="003F1956">
        <w:rPr>
          <w:rFonts w:cs="Arial"/>
          <w:sz w:val="20"/>
        </w:rPr>
        <w:t>Sentencing of Adolescent Offenders in Victoria: A Review of Empirical Evidence and Practice</w:t>
      </w:r>
      <w:r w:rsidR="00023D59" w:rsidRPr="003F1956">
        <w:rPr>
          <w:rFonts w:cs="Arial"/>
          <w:sz w:val="20"/>
        </w:rPr>
        <w:t>’</w:t>
      </w:r>
      <w:r w:rsidRPr="003F1956">
        <w:rPr>
          <w:rFonts w:cs="Arial"/>
          <w:sz w:val="20"/>
        </w:rPr>
        <w:t xml:space="preserve">, (2012) 19(3) </w:t>
      </w:r>
      <w:r w:rsidRPr="003F1956">
        <w:rPr>
          <w:rFonts w:cs="Arial"/>
          <w:i/>
          <w:sz w:val="20"/>
        </w:rPr>
        <w:t>Psychiatry, Psychology and Law</w:t>
      </w:r>
      <w:r w:rsidRPr="003F1956">
        <w:rPr>
          <w:rFonts w:cs="Arial"/>
          <w:sz w:val="20"/>
        </w:rPr>
        <w:t xml:space="preserve"> 325.</w:t>
      </w:r>
    </w:p>
  </w:footnote>
  <w:footnote w:id="41">
    <w:p w:rsidR="00DB2E04" w:rsidRPr="003F1956" w:rsidRDefault="00DB2E04" w:rsidP="0046578E">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sz w:val="20"/>
        </w:rPr>
        <w:tab/>
      </w:r>
      <w:r w:rsidRPr="003F1956">
        <w:rPr>
          <w:rFonts w:cs="Arial"/>
          <w:sz w:val="20"/>
          <w:lang w:eastAsia="en-AU"/>
        </w:rPr>
        <w:t>For example, how would a failure to agree on precise sentence be resolved? Would it (absurdly) require an averaging of 12 determinations?</w:t>
      </w:r>
    </w:p>
  </w:footnote>
  <w:footnote w:id="42">
    <w:p w:rsidR="00DB2E04" w:rsidRPr="003F1956" w:rsidRDefault="00DB2E04" w:rsidP="0046578E">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sz w:val="20"/>
        </w:rPr>
        <w:tab/>
        <w:t xml:space="preserve">Criminal Law and Penal Methods Reform Committee of South Australia, </w:t>
      </w:r>
      <w:r w:rsidRPr="003F1956">
        <w:rPr>
          <w:rFonts w:cs="Arial"/>
          <w:i/>
          <w:iCs/>
          <w:sz w:val="20"/>
        </w:rPr>
        <w:t xml:space="preserve">First Report: Sentencing and Corrections </w:t>
      </w:r>
      <w:r w:rsidRPr="003F1956">
        <w:rPr>
          <w:rFonts w:cs="Arial"/>
          <w:sz w:val="20"/>
        </w:rPr>
        <w:t>(1973), 25</w:t>
      </w:r>
      <w:r w:rsidR="00036CBE" w:rsidRPr="003F1956">
        <w:rPr>
          <w:rFonts w:cs="Arial"/>
          <w:sz w:val="20"/>
        </w:rPr>
        <w:t>-</w:t>
      </w:r>
      <w:r w:rsidRPr="003F1956">
        <w:rPr>
          <w:rFonts w:cs="Arial"/>
          <w:sz w:val="20"/>
        </w:rPr>
        <w:t>26.</w:t>
      </w:r>
    </w:p>
  </w:footnote>
  <w:footnote w:id="43">
    <w:p w:rsidR="00DB2E04" w:rsidRPr="003F1956" w:rsidRDefault="00DB2E04" w:rsidP="0046578E">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sz w:val="20"/>
        </w:rPr>
        <w:tab/>
        <w:t xml:space="preserve">Ibid. </w:t>
      </w:r>
    </w:p>
  </w:footnote>
  <w:footnote w:id="44">
    <w:p w:rsidR="00036CBE" w:rsidRPr="003F1956" w:rsidRDefault="00036CBE" w:rsidP="00036CBE">
      <w:pPr>
        <w:pStyle w:val="FootnoteText"/>
        <w:spacing w:after="0" w:line="240" w:lineRule="auto"/>
        <w:rPr>
          <w:rFonts w:cs="Arial"/>
          <w:sz w:val="20"/>
        </w:rPr>
      </w:pPr>
      <w:r w:rsidRPr="003F1956">
        <w:rPr>
          <w:rStyle w:val="FootnoteReference"/>
          <w:rFonts w:cs="Arial"/>
          <w:sz w:val="20"/>
        </w:rPr>
        <w:footnoteRef/>
      </w:r>
      <w:r w:rsidRPr="003F1956">
        <w:rPr>
          <w:rStyle w:val="FootnoteReference"/>
          <w:rFonts w:cs="Arial"/>
          <w:sz w:val="20"/>
        </w:rPr>
        <w:t xml:space="preserve"> </w:t>
      </w:r>
      <w:r w:rsidRPr="003F1956">
        <w:rPr>
          <w:rFonts w:cs="Arial"/>
          <w:sz w:val="20"/>
        </w:rPr>
        <w:tab/>
        <w:t>The time commitment and stress of further involvement is likely to further discourage jury involvement, resulting in a greater number of occupational exemptions and other excusals, and subsequently a less representative jury pool.</w:t>
      </w:r>
    </w:p>
  </w:footnote>
  <w:footnote w:id="45">
    <w:p w:rsidR="00DB2E04" w:rsidRPr="003F1956" w:rsidRDefault="00DB2E04" w:rsidP="0046578E">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sz w:val="20"/>
        </w:rPr>
        <w:tab/>
        <w:t xml:space="preserve">See New South Wales Law Reform Commission, </w:t>
      </w:r>
      <w:r w:rsidRPr="003F1956">
        <w:rPr>
          <w:rFonts w:cs="Arial"/>
          <w:i/>
          <w:sz w:val="20"/>
        </w:rPr>
        <w:t>Role of Juries in Sentencing</w:t>
      </w:r>
      <w:r w:rsidR="00036CBE" w:rsidRPr="003F1956">
        <w:rPr>
          <w:rFonts w:cs="Arial"/>
          <w:sz w:val="20"/>
        </w:rPr>
        <w:t xml:space="preserve"> (No</w:t>
      </w:r>
      <w:r w:rsidRPr="003F1956">
        <w:rPr>
          <w:rFonts w:cs="Arial"/>
          <w:sz w:val="20"/>
        </w:rPr>
        <w:t xml:space="preserve"> 118, 2007), 41-54.</w:t>
      </w:r>
    </w:p>
  </w:footnote>
  <w:footnote w:id="46">
    <w:p w:rsidR="00036CBE" w:rsidRPr="003F1956" w:rsidRDefault="00036CBE" w:rsidP="00036CBE">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sz w:val="20"/>
        </w:rPr>
        <w:tab/>
      </w:r>
      <w:r w:rsidRPr="003F1956">
        <w:rPr>
          <w:rFonts w:cs="Arial"/>
          <w:i/>
          <w:sz w:val="20"/>
        </w:rPr>
        <w:t>DPP v Walters</w:t>
      </w:r>
      <w:r w:rsidRPr="003F1956">
        <w:rPr>
          <w:rFonts w:cs="Arial"/>
          <w:sz w:val="20"/>
        </w:rPr>
        <w:t xml:space="preserve"> [2015] VSCA 303, [8] (Maxwell P, </w:t>
      </w:r>
      <w:proofErr w:type="spellStart"/>
      <w:r w:rsidRPr="003F1956">
        <w:rPr>
          <w:rFonts w:cs="Arial"/>
          <w:sz w:val="20"/>
        </w:rPr>
        <w:t>Redlich</w:t>
      </w:r>
      <w:proofErr w:type="spellEnd"/>
      <w:r w:rsidRPr="003F1956">
        <w:rPr>
          <w:rFonts w:cs="Arial"/>
          <w:sz w:val="20"/>
        </w:rPr>
        <w:t>, Tate and Priest JJA).</w:t>
      </w:r>
    </w:p>
  </w:footnote>
  <w:footnote w:id="47">
    <w:p w:rsidR="00DB2E04" w:rsidRPr="003F1956" w:rsidRDefault="00DB2E04" w:rsidP="00250E46">
      <w:pPr>
        <w:pStyle w:val="FootnoteText"/>
        <w:spacing w:after="0" w:line="240" w:lineRule="auto"/>
      </w:pPr>
      <w:r w:rsidRPr="003F1956">
        <w:rPr>
          <w:rStyle w:val="FootnoteReference"/>
          <w:sz w:val="20"/>
        </w:rPr>
        <w:footnoteRef/>
      </w:r>
      <w:r w:rsidRPr="003F1956">
        <w:rPr>
          <w:sz w:val="20"/>
        </w:rPr>
        <w:t xml:space="preserve"> </w:t>
      </w:r>
      <w:r w:rsidRPr="003F1956">
        <w:tab/>
      </w:r>
      <w:r w:rsidRPr="003F1956">
        <w:rPr>
          <w:rFonts w:cs="Arial"/>
          <w:sz w:val="20"/>
        </w:rPr>
        <w:t>Legal Profession Uniform Law Australian Solicitors’ Conduct Rules 2015, clause 7.</w:t>
      </w:r>
      <w:r w:rsidRPr="003F1956">
        <w:t xml:space="preserve"> </w:t>
      </w:r>
    </w:p>
  </w:footnote>
  <w:footnote w:id="48">
    <w:p w:rsidR="00D51B33" w:rsidRPr="003F1956" w:rsidRDefault="00D51B33" w:rsidP="00D51B33">
      <w:pPr>
        <w:pStyle w:val="FootnoteText"/>
        <w:spacing w:after="0" w:line="240" w:lineRule="auto"/>
        <w:rPr>
          <w:rFonts w:cs="Arial"/>
          <w:sz w:val="20"/>
        </w:rPr>
      </w:pPr>
      <w:r w:rsidRPr="003F1956">
        <w:rPr>
          <w:rStyle w:val="FootnoteReference"/>
          <w:rFonts w:cs="Arial"/>
          <w:sz w:val="20"/>
        </w:rPr>
        <w:footnoteRef/>
      </w:r>
      <w:r w:rsidRPr="003F1956">
        <w:rPr>
          <w:rStyle w:val="FootnoteReference"/>
          <w:rFonts w:cs="Arial"/>
          <w:sz w:val="20"/>
        </w:rPr>
        <w:t xml:space="preserve"> </w:t>
      </w:r>
      <w:r w:rsidRPr="003F1956">
        <w:tab/>
      </w:r>
      <w:r w:rsidRPr="003F1956">
        <w:rPr>
          <w:rFonts w:cs="Arial"/>
          <w:i/>
          <w:sz w:val="20"/>
        </w:rPr>
        <w:t>DPP v Walters</w:t>
      </w:r>
      <w:r w:rsidRPr="003F1956">
        <w:rPr>
          <w:rFonts w:cs="Arial"/>
          <w:sz w:val="20"/>
        </w:rPr>
        <w:t xml:space="preserve"> [2015] VSCA 303, [10] (Maxwell P, </w:t>
      </w:r>
      <w:proofErr w:type="spellStart"/>
      <w:r w:rsidRPr="003F1956">
        <w:rPr>
          <w:rFonts w:cs="Arial"/>
          <w:sz w:val="20"/>
        </w:rPr>
        <w:t>Redlich</w:t>
      </w:r>
      <w:proofErr w:type="spellEnd"/>
      <w:r w:rsidRPr="003F1956">
        <w:rPr>
          <w:rFonts w:cs="Arial"/>
          <w:sz w:val="20"/>
        </w:rPr>
        <w:t>, Tate and Priest JJA).</w:t>
      </w:r>
    </w:p>
  </w:footnote>
  <w:footnote w:id="49">
    <w:p w:rsidR="00DB2E04" w:rsidRPr="003F1956" w:rsidRDefault="00DB2E04" w:rsidP="00250E46">
      <w:pPr>
        <w:pStyle w:val="FootnoteText"/>
        <w:spacing w:after="0" w:line="240" w:lineRule="auto"/>
      </w:pPr>
      <w:r w:rsidRPr="003F1956">
        <w:rPr>
          <w:rStyle w:val="FootnoteReference"/>
          <w:sz w:val="20"/>
        </w:rPr>
        <w:footnoteRef/>
      </w:r>
      <w:r w:rsidRPr="003F1956">
        <w:t xml:space="preserve"> </w:t>
      </w:r>
      <w:r w:rsidRPr="003F1956">
        <w:tab/>
      </w:r>
      <w:r w:rsidRPr="003F1956">
        <w:rPr>
          <w:rFonts w:cs="Arial"/>
          <w:sz w:val="20"/>
        </w:rPr>
        <w:t xml:space="preserve">Freiberg and </w:t>
      </w:r>
      <w:proofErr w:type="spellStart"/>
      <w:r w:rsidRPr="003F1956">
        <w:rPr>
          <w:rFonts w:cs="Arial"/>
          <w:sz w:val="20"/>
        </w:rPr>
        <w:t>Krasnostein</w:t>
      </w:r>
      <w:proofErr w:type="spellEnd"/>
      <w:r w:rsidRPr="003F1956">
        <w:rPr>
          <w:rFonts w:cs="Arial"/>
          <w:sz w:val="20"/>
        </w:rPr>
        <w:t xml:space="preserve">, ‘Statistics, Damn Statistics and Sentencing’, (2011) 21 </w:t>
      </w:r>
      <w:r w:rsidRPr="003F1956">
        <w:rPr>
          <w:rFonts w:cs="Arial"/>
          <w:i/>
          <w:sz w:val="20"/>
        </w:rPr>
        <w:t>Journal of Judicial Administration</w:t>
      </w:r>
      <w:r w:rsidRPr="003F1956">
        <w:rPr>
          <w:rFonts w:cs="Arial"/>
          <w:sz w:val="20"/>
        </w:rPr>
        <w:t xml:space="preserve"> 73.</w:t>
      </w:r>
    </w:p>
  </w:footnote>
  <w:footnote w:id="50">
    <w:p w:rsidR="00DB2E04" w:rsidRPr="003F1956" w:rsidRDefault="00DB2E04" w:rsidP="00250E46">
      <w:pPr>
        <w:pStyle w:val="FootnoteText"/>
        <w:spacing w:after="0" w:line="240" w:lineRule="auto"/>
      </w:pPr>
      <w:r w:rsidRPr="003F1956">
        <w:rPr>
          <w:rStyle w:val="FootnoteReference"/>
          <w:rFonts w:cs="Arial"/>
          <w:sz w:val="20"/>
        </w:rPr>
        <w:footnoteRef/>
      </w:r>
      <w:r w:rsidRPr="003F1956">
        <w:t xml:space="preserve"> </w:t>
      </w:r>
      <w:r w:rsidRPr="003F1956">
        <w:tab/>
      </w:r>
      <w:r w:rsidRPr="003F1956">
        <w:rPr>
          <w:rFonts w:cs="Arial"/>
          <w:sz w:val="20"/>
        </w:rPr>
        <w:t>Teleconference with Legal Aid</w:t>
      </w:r>
      <w:r w:rsidR="00E47201" w:rsidRPr="003F1956">
        <w:rPr>
          <w:rFonts w:cs="Arial"/>
          <w:sz w:val="20"/>
        </w:rPr>
        <w:t xml:space="preserve"> New South Wales</w:t>
      </w:r>
      <w:r w:rsidRPr="003F1956">
        <w:rPr>
          <w:rFonts w:cs="Arial"/>
          <w:sz w:val="20"/>
        </w:rPr>
        <w:t xml:space="preserve"> (with practitioners </w:t>
      </w:r>
      <w:r w:rsidR="00F76A63" w:rsidRPr="003F1956">
        <w:rPr>
          <w:rFonts w:cs="Arial"/>
          <w:sz w:val="20"/>
        </w:rPr>
        <w:t>representing</w:t>
      </w:r>
      <w:r w:rsidRPr="003F1956">
        <w:rPr>
          <w:rFonts w:cs="Arial"/>
          <w:sz w:val="20"/>
        </w:rPr>
        <w:t xml:space="preserve"> appeals, indictable</w:t>
      </w:r>
      <w:r w:rsidR="00F76A63" w:rsidRPr="003F1956">
        <w:rPr>
          <w:rFonts w:cs="Arial"/>
          <w:sz w:val="20"/>
        </w:rPr>
        <w:t xml:space="preserve"> and</w:t>
      </w:r>
      <w:r w:rsidRPr="003F1956">
        <w:rPr>
          <w:rFonts w:cs="Arial"/>
          <w:sz w:val="20"/>
        </w:rPr>
        <w:t xml:space="preserve"> committals</w:t>
      </w:r>
      <w:r w:rsidR="00F76A63" w:rsidRPr="003F1956">
        <w:rPr>
          <w:rFonts w:cs="Arial"/>
          <w:sz w:val="20"/>
        </w:rPr>
        <w:t xml:space="preserve"> programs,</w:t>
      </w:r>
      <w:r w:rsidRPr="003F1956">
        <w:rPr>
          <w:rFonts w:cs="Arial"/>
          <w:sz w:val="20"/>
        </w:rPr>
        <w:t xml:space="preserve"> and regional offices), 22 January 2016.</w:t>
      </w:r>
    </w:p>
  </w:footnote>
  <w:footnote w:id="51">
    <w:p w:rsidR="00DB2E04" w:rsidRPr="003F1956" w:rsidRDefault="00DB2E04" w:rsidP="00F76A63">
      <w:pPr>
        <w:pStyle w:val="FootnoteText"/>
        <w:spacing w:after="0" w:line="240" w:lineRule="auto"/>
        <w:rPr>
          <w:rFonts w:cs="Arial"/>
          <w:sz w:val="20"/>
        </w:rPr>
      </w:pPr>
      <w:r w:rsidRPr="003F1956">
        <w:rPr>
          <w:rStyle w:val="FootnoteReference"/>
          <w:rFonts w:cs="Arial"/>
          <w:sz w:val="20"/>
        </w:rPr>
        <w:footnoteRef/>
      </w:r>
      <w:r w:rsidRPr="003F1956">
        <w:rPr>
          <w:rStyle w:val="FootnoteReference"/>
          <w:rFonts w:cs="Arial"/>
          <w:sz w:val="20"/>
        </w:rPr>
        <w:t xml:space="preserve"> </w:t>
      </w:r>
      <w:r w:rsidRPr="003F1956">
        <w:tab/>
      </w:r>
      <w:r w:rsidRPr="003F1956">
        <w:rPr>
          <w:rFonts w:cs="Arial"/>
          <w:sz w:val="20"/>
        </w:rPr>
        <w:t xml:space="preserve">See Sentencing Advisory Council (Queensland), </w:t>
      </w:r>
      <w:r w:rsidRPr="003F1956">
        <w:rPr>
          <w:rFonts w:cs="Arial"/>
          <w:i/>
          <w:sz w:val="20"/>
        </w:rPr>
        <w:t>Minimum Standard Non-Parole Periods: Final Report</w:t>
      </w:r>
      <w:r w:rsidRPr="003F1956">
        <w:rPr>
          <w:rFonts w:cs="Arial"/>
          <w:sz w:val="20"/>
        </w:rPr>
        <w:t xml:space="preserve"> (2011), xv. </w:t>
      </w:r>
      <w:r w:rsidR="00F76A63" w:rsidRPr="003F1956">
        <w:rPr>
          <w:rFonts w:cs="Arial"/>
          <w:sz w:val="20"/>
        </w:rPr>
        <w:t>See also Judicial Commission of N</w:t>
      </w:r>
      <w:r w:rsidR="002D273C" w:rsidRPr="003F1956">
        <w:rPr>
          <w:rFonts w:cs="Arial"/>
          <w:sz w:val="20"/>
        </w:rPr>
        <w:t>ew South Wales</w:t>
      </w:r>
      <w:r w:rsidR="00F76A63" w:rsidRPr="003F1956">
        <w:rPr>
          <w:rFonts w:cs="Arial"/>
          <w:sz w:val="20"/>
        </w:rPr>
        <w:t>, The Impact of the Standard Non-Parole Period Sentencing Scheme on Sentencing Patterns in New South Wales (2010, Research Monograph 33), 60-61: “it is not possible to conclude that the statutory scheme has only resulted in a benign form of consistency or uniformity whereby like cases are being treated alike and dissimilar cases differently. To put it another way, it is not possible to tell whether dissimilar cases are now being treated uniformly in order to comply with the statutory scheme.”</w:t>
      </w:r>
    </w:p>
  </w:footnote>
  <w:footnote w:id="52">
    <w:p w:rsidR="00DB2E04" w:rsidRPr="003F1956" w:rsidRDefault="00DB2E04" w:rsidP="0046578E">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sz w:val="20"/>
        </w:rPr>
        <w:tab/>
      </w:r>
      <w:r w:rsidR="00F76A63" w:rsidRPr="003F1956">
        <w:rPr>
          <w:rFonts w:cs="Arial"/>
          <w:sz w:val="20"/>
        </w:rPr>
        <w:t xml:space="preserve">See Sentencing Advisory Council (Queensland), </w:t>
      </w:r>
      <w:r w:rsidR="00F76A63" w:rsidRPr="003F1956">
        <w:rPr>
          <w:rFonts w:cs="Arial"/>
          <w:i/>
          <w:sz w:val="20"/>
        </w:rPr>
        <w:t>Minimum Standard Non-Parole Periods: Final Report</w:t>
      </w:r>
      <w:r w:rsidR="00F76A63" w:rsidRPr="003F1956">
        <w:rPr>
          <w:rFonts w:cs="Arial"/>
          <w:sz w:val="20"/>
        </w:rPr>
        <w:t xml:space="preserve"> (2011).</w:t>
      </w:r>
    </w:p>
  </w:footnote>
  <w:footnote w:id="53">
    <w:p w:rsidR="00DB2E04" w:rsidRPr="003F1956" w:rsidRDefault="00DB2E04" w:rsidP="0046578E">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sz w:val="20"/>
        </w:rPr>
        <w:tab/>
        <w:t xml:space="preserve">Ibid, xvi. </w:t>
      </w:r>
    </w:p>
  </w:footnote>
  <w:footnote w:id="54">
    <w:p w:rsidR="00023D59" w:rsidRPr="003F1956" w:rsidRDefault="00023D59" w:rsidP="00023D59">
      <w:pPr>
        <w:pStyle w:val="FootnoteText"/>
        <w:spacing w:after="0" w:line="240" w:lineRule="auto"/>
      </w:pPr>
      <w:r w:rsidRPr="003F1956">
        <w:rPr>
          <w:rStyle w:val="FootnoteReference"/>
          <w:sz w:val="20"/>
        </w:rPr>
        <w:footnoteRef/>
      </w:r>
      <w:r w:rsidRPr="003F1956">
        <w:rPr>
          <w:rStyle w:val="FootnoteReference"/>
          <w:sz w:val="20"/>
        </w:rPr>
        <w:t xml:space="preserve"> </w:t>
      </w:r>
      <w:r w:rsidRPr="003F1956">
        <w:tab/>
      </w:r>
      <w:r w:rsidRPr="003F1956">
        <w:rPr>
          <w:sz w:val="20"/>
        </w:rPr>
        <w:t xml:space="preserve">Given the conceptual difficulties involved, a SNPP should not apply where a combined CCO and imprisonment order is imposed. See further, </w:t>
      </w:r>
      <w:proofErr w:type="spellStart"/>
      <w:r w:rsidRPr="003F1956">
        <w:rPr>
          <w:i/>
          <w:sz w:val="20"/>
        </w:rPr>
        <w:t>Boulton</w:t>
      </w:r>
      <w:proofErr w:type="spellEnd"/>
      <w:r w:rsidRPr="003F1956">
        <w:rPr>
          <w:i/>
          <w:sz w:val="20"/>
        </w:rPr>
        <w:t xml:space="preserve"> v The Queen</w:t>
      </w:r>
      <w:r w:rsidRPr="003F1956">
        <w:rPr>
          <w:sz w:val="20"/>
        </w:rPr>
        <w:t xml:space="preserve"> [2014] VSCA 342, [199].</w:t>
      </w:r>
      <w:r w:rsidRPr="003F1956">
        <w:t xml:space="preserve"> </w:t>
      </w:r>
    </w:p>
  </w:footnote>
  <w:footnote w:id="55">
    <w:p w:rsidR="00DB2E04" w:rsidRPr="003F1956" w:rsidRDefault="00DB2E04" w:rsidP="004940D9">
      <w:pPr>
        <w:pStyle w:val="FootnoteText"/>
        <w:spacing w:after="0" w:line="240" w:lineRule="auto"/>
        <w:rPr>
          <w:sz w:val="20"/>
        </w:rPr>
      </w:pPr>
      <w:r w:rsidRPr="003F1956">
        <w:rPr>
          <w:rStyle w:val="FootnoteReference"/>
          <w:sz w:val="20"/>
        </w:rPr>
        <w:footnoteRef/>
      </w:r>
      <w:r w:rsidRPr="003F1956">
        <w:rPr>
          <w:rStyle w:val="FootnoteReference"/>
          <w:sz w:val="20"/>
        </w:rPr>
        <w:t xml:space="preserve"> </w:t>
      </w:r>
      <w:r w:rsidRPr="003F1956">
        <w:tab/>
      </w:r>
      <w:r w:rsidRPr="003F1956">
        <w:rPr>
          <w:i/>
          <w:iCs/>
          <w:sz w:val="20"/>
        </w:rPr>
        <w:t>R v AB [No 2]</w:t>
      </w:r>
      <w:r w:rsidRPr="003F1956">
        <w:rPr>
          <w:sz w:val="20"/>
        </w:rPr>
        <w:t xml:space="preserve"> (2008) 18 VR 391.</w:t>
      </w:r>
    </w:p>
  </w:footnote>
  <w:footnote w:id="56">
    <w:p w:rsidR="00DB2E04" w:rsidRPr="003F1956" w:rsidRDefault="00DB2E04" w:rsidP="004940D9">
      <w:pPr>
        <w:pStyle w:val="FootnoteText"/>
        <w:spacing w:after="0" w:line="240" w:lineRule="auto"/>
        <w:rPr>
          <w:sz w:val="20"/>
        </w:rPr>
      </w:pPr>
      <w:r w:rsidRPr="003F1956">
        <w:rPr>
          <w:rStyle w:val="FootnoteReference"/>
          <w:sz w:val="20"/>
        </w:rPr>
        <w:footnoteRef/>
      </w:r>
      <w:r w:rsidRPr="003F1956">
        <w:rPr>
          <w:sz w:val="20"/>
        </w:rPr>
        <w:t xml:space="preserve"> </w:t>
      </w:r>
      <w:r w:rsidRPr="003F1956">
        <w:rPr>
          <w:sz w:val="20"/>
        </w:rPr>
        <w:tab/>
        <w:t>Ibid.</w:t>
      </w:r>
    </w:p>
  </w:footnote>
  <w:footnote w:id="57">
    <w:p w:rsidR="00DB2E04" w:rsidRPr="003F1956" w:rsidRDefault="00DB2E04" w:rsidP="00036CBE">
      <w:pPr>
        <w:pStyle w:val="FootnoteText"/>
        <w:keepNext/>
        <w:spacing w:after="0" w:line="240" w:lineRule="auto"/>
        <w:rPr>
          <w:sz w:val="20"/>
        </w:rPr>
      </w:pPr>
      <w:r w:rsidRPr="003F1956">
        <w:rPr>
          <w:rStyle w:val="FootnoteReference"/>
          <w:sz w:val="20"/>
        </w:rPr>
        <w:footnoteRef/>
      </w:r>
      <w:r w:rsidRPr="003F1956">
        <w:rPr>
          <w:sz w:val="20"/>
        </w:rPr>
        <w:t xml:space="preserve"> </w:t>
      </w:r>
      <w:r w:rsidRPr="003F1956">
        <w:rPr>
          <w:sz w:val="20"/>
        </w:rPr>
        <w:tab/>
      </w:r>
      <w:r w:rsidR="00A45308" w:rsidRPr="003F1956">
        <w:rPr>
          <w:sz w:val="20"/>
        </w:rPr>
        <w:t>Such an approach is likely to result in greater disparity in sentencing approach – within offence categories, and between offence categories. For example,</w:t>
      </w:r>
      <w:r w:rsidR="00F80B60" w:rsidRPr="003F1956">
        <w:rPr>
          <w:sz w:val="20"/>
        </w:rPr>
        <w:t xml:space="preserve"> it may have disproportionate impact on a </w:t>
      </w:r>
      <w:r w:rsidR="00F80B60" w:rsidRPr="003F1956">
        <w:rPr>
          <w:i/>
          <w:sz w:val="20"/>
        </w:rPr>
        <w:t>low-severity</w:t>
      </w:r>
      <w:r w:rsidR="00F80B60" w:rsidRPr="003F1956">
        <w:rPr>
          <w:sz w:val="20"/>
        </w:rPr>
        <w:t xml:space="preserve"> offender, where the particular offence charged is constituted by a wide degree of offender behaviour and culpability. It may also be more difficult to advise a client on sentence outcome, which may impact upon readiness to enter an early plea.</w:t>
      </w:r>
    </w:p>
  </w:footnote>
  <w:footnote w:id="58">
    <w:p w:rsidR="00F76A63" w:rsidRPr="003F1956" w:rsidRDefault="00F76A63" w:rsidP="00F76A63">
      <w:pPr>
        <w:pStyle w:val="FootnoteText"/>
        <w:spacing w:after="0" w:line="240" w:lineRule="auto"/>
      </w:pPr>
      <w:r w:rsidRPr="003F1956">
        <w:rPr>
          <w:rStyle w:val="FootnoteReference"/>
          <w:rFonts w:cs="Arial"/>
          <w:sz w:val="20"/>
        </w:rPr>
        <w:footnoteRef/>
      </w:r>
      <w:r w:rsidRPr="003F1956">
        <w:rPr>
          <w:rStyle w:val="FootnoteReference"/>
          <w:rFonts w:cs="Arial"/>
          <w:sz w:val="20"/>
        </w:rPr>
        <w:t xml:space="preserve"> </w:t>
      </w:r>
      <w:r w:rsidRPr="003F1956">
        <w:tab/>
      </w:r>
      <w:proofErr w:type="spellStart"/>
      <w:r w:rsidRPr="003F1956">
        <w:rPr>
          <w:sz w:val="20"/>
        </w:rPr>
        <w:t>Arie</w:t>
      </w:r>
      <w:proofErr w:type="spellEnd"/>
      <w:r w:rsidRPr="003F1956">
        <w:rPr>
          <w:sz w:val="20"/>
        </w:rPr>
        <w:t xml:space="preserve"> Freiberg, </w:t>
      </w:r>
      <w:r w:rsidRPr="003F1956">
        <w:rPr>
          <w:i/>
          <w:sz w:val="20"/>
        </w:rPr>
        <w:t>Pathways to Justice: Sentencing Review</w:t>
      </w:r>
      <w:r w:rsidRPr="003F1956">
        <w:rPr>
          <w:sz w:val="20"/>
        </w:rPr>
        <w:t xml:space="preserve"> (2002), 208-209</w:t>
      </w:r>
      <w:r w:rsidRPr="003F1956">
        <w:rPr>
          <w:rFonts w:cs="Arial"/>
          <w:sz w:val="20"/>
        </w:rPr>
        <w:t>; Victoria, Parliamentary Debates, Legislative Assembly, 20 March 2003, 378, 479-480 (R Hulls, Attorney General); NSW Parliamentary Library Research Service,</w:t>
      </w:r>
      <w:r w:rsidRPr="003F1956">
        <w:rPr>
          <w:rFonts w:cs="Arial"/>
          <w:i/>
          <w:sz w:val="20"/>
        </w:rPr>
        <w:t xml:space="preserve"> Mandatory and Guideline Sentencing: Recent Developments</w:t>
      </w:r>
      <w:r w:rsidRPr="003F1956">
        <w:rPr>
          <w:rFonts w:cs="Arial"/>
          <w:sz w:val="20"/>
        </w:rPr>
        <w:t>, No 18/98, 17.</w:t>
      </w:r>
    </w:p>
  </w:footnote>
  <w:footnote w:id="59">
    <w:p w:rsidR="00DB2E04" w:rsidRPr="003F1956" w:rsidRDefault="00DB2E04" w:rsidP="006174D7">
      <w:pPr>
        <w:pStyle w:val="FootnoteText"/>
        <w:spacing w:after="0" w:line="240" w:lineRule="auto"/>
        <w:rPr>
          <w:rFonts w:cs="Arial"/>
          <w:sz w:val="20"/>
        </w:rPr>
      </w:pPr>
      <w:r w:rsidRPr="003F1956">
        <w:rPr>
          <w:rStyle w:val="FootnoteReference"/>
          <w:rFonts w:cs="Arial"/>
          <w:sz w:val="20"/>
        </w:rPr>
        <w:footnoteRef/>
      </w:r>
      <w:r w:rsidRPr="003F1956">
        <w:rPr>
          <w:rFonts w:cs="Arial"/>
          <w:sz w:val="20"/>
        </w:rPr>
        <w:t xml:space="preserve"> </w:t>
      </w:r>
      <w:r w:rsidRPr="003F1956">
        <w:rPr>
          <w:rFonts w:cs="Arial"/>
          <w:sz w:val="20"/>
        </w:rPr>
        <w:tab/>
      </w:r>
      <w:r w:rsidR="00F76A63" w:rsidRPr="003F1956">
        <w:rPr>
          <w:sz w:val="20"/>
        </w:rPr>
        <w:t>Ibid</w:t>
      </w:r>
      <w:r w:rsidR="0086698D" w:rsidRPr="003F1956">
        <w:rPr>
          <w:rFonts w:cs="Arial"/>
          <w:sz w:val="20"/>
        </w:rPr>
        <w:t>.</w:t>
      </w:r>
    </w:p>
  </w:footnote>
  <w:footnote w:id="60">
    <w:p w:rsidR="00DB2E04" w:rsidRPr="003F1956" w:rsidRDefault="00DB2E04" w:rsidP="006174D7">
      <w:pPr>
        <w:pStyle w:val="FootnoteText"/>
        <w:spacing w:after="0" w:line="240" w:lineRule="auto"/>
        <w:rPr>
          <w:sz w:val="20"/>
        </w:rPr>
      </w:pPr>
      <w:r w:rsidRPr="003F1956">
        <w:rPr>
          <w:rStyle w:val="FootnoteReference"/>
          <w:sz w:val="20"/>
        </w:rPr>
        <w:footnoteRef/>
      </w:r>
      <w:r w:rsidRPr="003F1956">
        <w:rPr>
          <w:sz w:val="20"/>
        </w:rPr>
        <w:t xml:space="preserve"> </w:t>
      </w:r>
      <w:r w:rsidRPr="003F1956">
        <w:rPr>
          <w:sz w:val="20"/>
        </w:rPr>
        <w:tab/>
      </w:r>
      <w:r w:rsidRPr="003F1956">
        <w:rPr>
          <w:i/>
          <w:sz w:val="20"/>
        </w:rPr>
        <w:t>Sentencing Act</w:t>
      </w:r>
      <w:r w:rsidR="00F76A63" w:rsidRPr="003F1956">
        <w:rPr>
          <w:i/>
          <w:sz w:val="20"/>
        </w:rPr>
        <w:t xml:space="preserve"> 1991 </w:t>
      </w:r>
      <w:r w:rsidR="00F76A63" w:rsidRPr="003F1956">
        <w:rPr>
          <w:sz w:val="20"/>
        </w:rPr>
        <w:t>(Vic)</w:t>
      </w:r>
      <w:r w:rsidRPr="003F1956">
        <w:rPr>
          <w:sz w:val="20"/>
        </w:rPr>
        <w:t>, s 6AE.</w:t>
      </w:r>
    </w:p>
  </w:footnote>
  <w:footnote w:id="61">
    <w:p w:rsidR="00F76A63" w:rsidRPr="003F1956" w:rsidRDefault="00F76A63" w:rsidP="00F76A63">
      <w:pPr>
        <w:pStyle w:val="FootnoteText"/>
        <w:spacing w:after="0" w:line="240" w:lineRule="auto"/>
      </w:pPr>
      <w:r w:rsidRPr="003F1956">
        <w:rPr>
          <w:rStyle w:val="FootnoteReference"/>
          <w:sz w:val="20"/>
        </w:rPr>
        <w:footnoteRef/>
      </w:r>
      <w:r w:rsidRPr="003F1956">
        <w:rPr>
          <w:rStyle w:val="FootnoteReference"/>
          <w:sz w:val="20"/>
        </w:rPr>
        <w:t xml:space="preserve"> </w:t>
      </w:r>
      <w:r w:rsidRPr="003F1956">
        <w:rPr>
          <w:rStyle w:val="FootnoteReference"/>
          <w:sz w:val="20"/>
        </w:rPr>
        <w:tab/>
      </w:r>
      <w:r w:rsidR="00871F8F" w:rsidRPr="003F1956">
        <w:rPr>
          <w:rFonts w:cs="Arial"/>
          <w:sz w:val="20"/>
        </w:rPr>
        <w:t>Victoria, Parliamentary Debates, Legislative Assembly, 20 March 2003, 378, 479 (R Hulls, Attorney General).</w:t>
      </w:r>
    </w:p>
  </w:footnote>
  <w:footnote w:id="62">
    <w:p w:rsidR="00DB2E04" w:rsidRPr="003F1956" w:rsidRDefault="00DB2E04" w:rsidP="006174D7">
      <w:pPr>
        <w:pStyle w:val="FootnoteText"/>
        <w:spacing w:after="0" w:line="240" w:lineRule="auto"/>
        <w:rPr>
          <w:sz w:val="20"/>
        </w:rPr>
      </w:pPr>
      <w:r w:rsidRPr="003F1956">
        <w:rPr>
          <w:rStyle w:val="FootnoteReference"/>
          <w:sz w:val="20"/>
        </w:rPr>
        <w:footnoteRef/>
      </w:r>
      <w:r w:rsidRPr="003F1956">
        <w:rPr>
          <w:sz w:val="20"/>
        </w:rPr>
        <w:t xml:space="preserve">  </w:t>
      </w:r>
      <w:r w:rsidRPr="003F1956">
        <w:rPr>
          <w:sz w:val="20"/>
        </w:rPr>
        <w:tab/>
      </w:r>
      <w:r w:rsidRPr="003F1956">
        <w:rPr>
          <w:rFonts w:cs="Arial"/>
          <w:sz w:val="20"/>
        </w:rPr>
        <w:t xml:space="preserve">Sarah </w:t>
      </w:r>
      <w:proofErr w:type="spellStart"/>
      <w:r w:rsidRPr="003F1956">
        <w:rPr>
          <w:rFonts w:cs="Arial"/>
          <w:sz w:val="20"/>
        </w:rPr>
        <w:t>Krasnostein</w:t>
      </w:r>
      <w:proofErr w:type="spellEnd"/>
      <w:r w:rsidRPr="003F1956">
        <w:rPr>
          <w:rFonts w:cs="Arial"/>
          <w:sz w:val="20"/>
        </w:rPr>
        <w:t>, ‘</w:t>
      </w:r>
      <w:proofErr w:type="spellStart"/>
      <w:r w:rsidRPr="003F1956">
        <w:rPr>
          <w:rFonts w:cs="Arial"/>
          <w:sz w:val="20"/>
        </w:rPr>
        <w:t>Boulton</w:t>
      </w:r>
      <w:proofErr w:type="spellEnd"/>
      <w:r w:rsidRPr="003F1956">
        <w:rPr>
          <w:rFonts w:cs="Arial"/>
          <w:sz w:val="20"/>
        </w:rPr>
        <w:t xml:space="preserve"> v The Queen: The </w:t>
      </w:r>
      <w:r w:rsidR="00267B08" w:rsidRPr="003F1956">
        <w:rPr>
          <w:rFonts w:cs="Arial"/>
          <w:sz w:val="20"/>
        </w:rPr>
        <w:t>Resurrection</w:t>
      </w:r>
      <w:r w:rsidRPr="003F1956">
        <w:rPr>
          <w:rFonts w:cs="Arial"/>
          <w:sz w:val="20"/>
        </w:rPr>
        <w:t xml:space="preserve"> of Guideline Judgments in Australia?” [2015] </w:t>
      </w:r>
      <w:r w:rsidRPr="003F1956">
        <w:rPr>
          <w:rFonts w:cs="Arial"/>
          <w:i/>
          <w:sz w:val="20"/>
        </w:rPr>
        <w:t>Current Issues in Criminal Justice</w:t>
      </w:r>
      <w:r w:rsidRPr="003F1956">
        <w:rPr>
          <w:rFonts w:cs="Arial"/>
          <w:sz w:val="20"/>
        </w:rPr>
        <w:t xml:space="preserve"> 10, citing the New South Wales Law Reform Commission (2013) Sentencing Report 139, 390; Kate Warner (2003) ‘The Role of Guideline Judgments in the Law and Order Debate in Australia’, </w:t>
      </w:r>
      <w:r w:rsidRPr="003F1956">
        <w:rPr>
          <w:rFonts w:cs="Arial"/>
          <w:i/>
          <w:sz w:val="20"/>
        </w:rPr>
        <w:t>Criminal Law Journal</w:t>
      </w:r>
      <w:r w:rsidRPr="003F1956">
        <w:rPr>
          <w:rFonts w:cs="Arial"/>
          <w:sz w:val="20"/>
        </w:rPr>
        <w:t xml:space="preserve"> 27(1), 8–22; N</w:t>
      </w:r>
      <w:r w:rsidR="00871F8F" w:rsidRPr="003F1956">
        <w:rPr>
          <w:rFonts w:cs="Arial"/>
          <w:sz w:val="20"/>
        </w:rPr>
        <w:t>icholas</w:t>
      </w:r>
      <w:r w:rsidRPr="003F1956">
        <w:rPr>
          <w:rFonts w:cs="Arial"/>
          <w:sz w:val="20"/>
        </w:rPr>
        <w:t xml:space="preserve"> </w:t>
      </w:r>
      <w:proofErr w:type="spellStart"/>
      <w:r w:rsidRPr="003F1956">
        <w:rPr>
          <w:rFonts w:cs="Arial"/>
          <w:sz w:val="20"/>
        </w:rPr>
        <w:t>Cowdery</w:t>
      </w:r>
      <w:proofErr w:type="spellEnd"/>
      <w:r w:rsidRPr="003F1956">
        <w:rPr>
          <w:rFonts w:cs="Arial"/>
          <w:sz w:val="20"/>
        </w:rPr>
        <w:t xml:space="preserve"> (2006) ‘Guideline Judgments: It Seemed Like a Good Idea at the Time’, Speech at The International Society for the Reform of Criminal Law 20th International Conference, 2–6 July 2006, Brisbane, Australia; D </w:t>
      </w:r>
      <w:proofErr w:type="spellStart"/>
      <w:r w:rsidRPr="003F1956">
        <w:rPr>
          <w:rFonts w:cs="Arial"/>
          <w:sz w:val="20"/>
        </w:rPr>
        <w:t>Schoff</w:t>
      </w:r>
      <w:proofErr w:type="spellEnd"/>
      <w:r w:rsidRPr="003F1956">
        <w:rPr>
          <w:rFonts w:cs="Arial"/>
          <w:sz w:val="20"/>
        </w:rPr>
        <w:t xml:space="preserve">  (2003) ‘The Future of Guideline Judgments’, </w:t>
      </w:r>
      <w:r w:rsidRPr="003F1956">
        <w:rPr>
          <w:rFonts w:cs="Arial"/>
          <w:i/>
          <w:sz w:val="20"/>
        </w:rPr>
        <w:t>Current Issues in Criminal Justice</w:t>
      </w:r>
      <w:r w:rsidRPr="003F1956">
        <w:rPr>
          <w:rFonts w:cs="Arial"/>
          <w:sz w:val="20"/>
        </w:rPr>
        <w:t xml:space="preserve"> 14(3), 321.</w:t>
      </w:r>
    </w:p>
  </w:footnote>
  <w:footnote w:id="63">
    <w:p w:rsidR="00DB2E04" w:rsidRPr="003F1956" w:rsidRDefault="00DB2E04" w:rsidP="006174D7">
      <w:pPr>
        <w:pStyle w:val="FootnoteText"/>
        <w:spacing w:after="0" w:line="240" w:lineRule="auto"/>
        <w:rPr>
          <w:sz w:val="20"/>
        </w:rPr>
      </w:pPr>
      <w:r w:rsidRPr="003F1956">
        <w:rPr>
          <w:rStyle w:val="FootnoteReference"/>
          <w:sz w:val="20"/>
        </w:rPr>
        <w:footnoteRef/>
      </w:r>
      <w:r w:rsidRPr="003F1956">
        <w:rPr>
          <w:sz w:val="20"/>
        </w:rPr>
        <w:t xml:space="preserve">  </w:t>
      </w:r>
      <w:r w:rsidRPr="003F1956">
        <w:rPr>
          <w:sz w:val="20"/>
        </w:rPr>
        <w:tab/>
      </w:r>
      <w:r w:rsidR="00871F8F" w:rsidRPr="003F1956">
        <w:rPr>
          <w:rFonts w:cs="Arial"/>
          <w:sz w:val="20"/>
        </w:rPr>
        <w:t xml:space="preserve">Sarah </w:t>
      </w:r>
      <w:proofErr w:type="spellStart"/>
      <w:r w:rsidR="00871F8F" w:rsidRPr="003F1956">
        <w:rPr>
          <w:rFonts w:cs="Arial"/>
          <w:sz w:val="20"/>
        </w:rPr>
        <w:t>Krasnostein</w:t>
      </w:r>
      <w:proofErr w:type="spellEnd"/>
      <w:r w:rsidR="00871F8F" w:rsidRPr="003F1956">
        <w:rPr>
          <w:rFonts w:cs="Arial"/>
          <w:sz w:val="20"/>
        </w:rPr>
        <w:t>, ‘</w:t>
      </w:r>
      <w:proofErr w:type="spellStart"/>
      <w:r w:rsidR="00871F8F" w:rsidRPr="003F1956">
        <w:rPr>
          <w:rFonts w:cs="Arial"/>
          <w:sz w:val="20"/>
        </w:rPr>
        <w:t>Boulton</w:t>
      </w:r>
      <w:proofErr w:type="spellEnd"/>
      <w:r w:rsidR="00871F8F" w:rsidRPr="003F1956">
        <w:rPr>
          <w:rFonts w:cs="Arial"/>
          <w:sz w:val="20"/>
        </w:rPr>
        <w:t xml:space="preserve"> v The Queen: The Resurrection of Guideline Judgments in Australia?” [2015] </w:t>
      </w:r>
      <w:r w:rsidR="00871F8F" w:rsidRPr="003F1956">
        <w:rPr>
          <w:rFonts w:cs="Arial"/>
          <w:i/>
          <w:sz w:val="20"/>
        </w:rPr>
        <w:t>Current Issues in Criminal Justice</w:t>
      </w:r>
      <w:r w:rsidR="00871F8F" w:rsidRPr="003F1956">
        <w:rPr>
          <w:rFonts w:cs="Arial"/>
          <w:sz w:val="20"/>
        </w:rPr>
        <w:t xml:space="preserve"> 10.</w:t>
      </w:r>
    </w:p>
  </w:footnote>
  <w:footnote w:id="64">
    <w:p w:rsidR="00550CAC" w:rsidRPr="003F1956" w:rsidRDefault="00550CAC" w:rsidP="00550CAC">
      <w:pPr>
        <w:pStyle w:val="FootnoteText"/>
        <w:spacing w:after="0" w:line="240" w:lineRule="auto"/>
      </w:pPr>
      <w:r w:rsidRPr="003F1956">
        <w:rPr>
          <w:rStyle w:val="FootnoteReference"/>
          <w:sz w:val="20"/>
        </w:rPr>
        <w:footnoteRef/>
      </w:r>
      <w:r w:rsidRPr="003F1956">
        <w:rPr>
          <w:rStyle w:val="FootnoteReference"/>
          <w:sz w:val="20"/>
        </w:rPr>
        <w:t xml:space="preserve"> </w:t>
      </w:r>
      <w:r w:rsidRPr="003F1956">
        <w:tab/>
      </w:r>
      <w:r w:rsidRPr="003F1956">
        <w:rPr>
          <w:rFonts w:cs="Arial"/>
          <w:sz w:val="20"/>
        </w:rPr>
        <w:t>See further, ibid.</w:t>
      </w:r>
    </w:p>
  </w:footnote>
  <w:footnote w:id="65">
    <w:p w:rsidR="006174D7" w:rsidRPr="003F1956" w:rsidRDefault="006174D7" w:rsidP="006174D7">
      <w:pPr>
        <w:pStyle w:val="FootnoteText"/>
        <w:spacing w:after="0" w:line="240" w:lineRule="auto"/>
        <w:rPr>
          <w:sz w:val="20"/>
        </w:rPr>
      </w:pPr>
      <w:r w:rsidRPr="003F1956">
        <w:rPr>
          <w:rStyle w:val="FootnoteReference"/>
          <w:sz w:val="20"/>
        </w:rPr>
        <w:footnoteRef/>
      </w:r>
      <w:r w:rsidRPr="003F1956">
        <w:rPr>
          <w:sz w:val="20"/>
        </w:rPr>
        <w:t xml:space="preserve"> </w:t>
      </w:r>
      <w:r w:rsidRPr="003F1956">
        <w:rPr>
          <w:sz w:val="20"/>
        </w:rPr>
        <w:tab/>
      </w:r>
      <w:proofErr w:type="spellStart"/>
      <w:r w:rsidRPr="003F1956">
        <w:rPr>
          <w:sz w:val="20"/>
        </w:rPr>
        <w:t>Arie</w:t>
      </w:r>
      <w:proofErr w:type="spellEnd"/>
      <w:r w:rsidRPr="003F1956">
        <w:rPr>
          <w:sz w:val="20"/>
        </w:rPr>
        <w:t xml:space="preserve"> Freiberg, </w:t>
      </w:r>
      <w:r w:rsidRPr="003F1956">
        <w:rPr>
          <w:i/>
          <w:sz w:val="20"/>
        </w:rPr>
        <w:t>Pathways to Justice: Sentencing Review</w:t>
      </w:r>
      <w:r w:rsidRPr="003F1956">
        <w:rPr>
          <w:sz w:val="20"/>
        </w:rPr>
        <w:t xml:space="preserve"> (2002), 213.</w:t>
      </w:r>
    </w:p>
  </w:footnote>
  <w:footnote w:id="66">
    <w:p w:rsidR="00DB2E04" w:rsidRPr="003F1956" w:rsidRDefault="00DB2E04" w:rsidP="009F362B">
      <w:pPr>
        <w:pStyle w:val="FootnoteText"/>
        <w:spacing w:after="0" w:line="240" w:lineRule="auto"/>
        <w:rPr>
          <w:sz w:val="20"/>
        </w:rPr>
      </w:pPr>
      <w:r w:rsidRPr="003F1956">
        <w:rPr>
          <w:rStyle w:val="FootnoteReference"/>
          <w:sz w:val="20"/>
        </w:rPr>
        <w:footnoteRef/>
      </w:r>
      <w:r w:rsidRPr="003F1956">
        <w:rPr>
          <w:sz w:val="20"/>
        </w:rPr>
        <w:t xml:space="preserve"> </w:t>
      </w:r>
      <w:r w:rsidRPr="003F1956">
        <w:rPr>
          <w:sz w:val="20"/>
        </w:rPr>
        <w:tab/>
      </w:r>
      <w:r w:rsidRPr="003F1956">
        <w:rPr>
          <w:rFonts w:cs="Arial"/>
          <w:i/>
          <w:sz w:val="20"/>
        </w:rPr>
        <w:t>Wong v The Queen</w:t>
      </w:r>
      <w:r w:rsidRPr="003F1956">
        <w:rPr>
          <w:rFonts w:cs="Arial"/>
          <w:sz w:val="20"/>
        </w:rPr>
        <w:t xml:space="preserve"> (2001) 207 CLR 584; </w:t>
      </w:r>
      <w:proofErr w:type="spellStart"/>
      <w:r w:rsidRPr="003F1956">
        <w:rPr>
          <w:rFonts w:cs="Arial"/>
          <w:i/>
          <w:sz w:val="20"/>
        </w:rPr>
        <w:t>Hili</w:t>
      </w:r>
      <w:proofErr w:type="spellEnd"/>
      <w:r w:rsidRPr="003F1956">
        <w:rPr>
          <w:rFonts w:cs="Arial"/>
          <w:i/>
          <w:sz w:val="20"/>
        </w:rPr>
        <w:t xml:space="preserve"> v The Queen</w:t>
      </w:r>
      <w:r w:rsidRPr="003F1956">
        <w:rPr>
          <w:rFonts w:cs="Arial"/>
          <w:sz w:val="20"/>
        </w:rPr>
        <w:t xml:space="preserve"> (2010) 242 CLR 520.</w:t>
      </w:r>
    </w:p>
  </w:footnote>
  <w:footnote w:id="67">
    <w:p w:rsidR="002D273C" w:rsidRPr="003F1956" w:rsidRDefault="002D273C" w:rsidP="002D273C">
      <w:pPr>
        <w:pStyle w:val="FootnoteText"/>
        <w:spacing w:after="0" w:line="240" w:lineRule="auto"/>
        <w:rPr>
          <w:szCs w:val="18"/>
        </w:rPr>
      </w:pPr>
      <w:r w:rsidRPr="003F1956">
        <w:rPr>
          <w:rStyle w:val="FootnoteReference"/>
          <w:sz w:val="20"/>
        </w:rPr>
        <w:footnoteRef/>
      </w:r>
      <w:r w:rsidRPr="003F1956">
        <w:t xml:space="preserve"> </w:t>
      </w:r>
      <w:r w:rsidRPr="003F1956">
        <w:tab/>
      </w:r>
      <w:r w:rsidRPr="003F1956">
        <w:rPr>
          <w:i/>
          <w:iCs/>
          <w:sz w:val="20"/>
        </w:rPr>
        <w:t xml:space="preserve">Crimes (Sentencing Procedure) Act 1999 </w:t>
      </w:r>
      <w:r w:rsidRPr="003F1956">
        <w:rPr>
          <w:sz w:val="20"/>
        </w:rPr>
        <w:t xml:space="preserve">(NSW), s 37. See, for example, the refusal of the Court of Appeal to entertain a guideline for the offence of “assault police”: Attorney General’s Application under s 37 of the </w:t>
      </w:r>
      <w:r w:rsidRPr="003F1956">
        <w:rPr>
          <w:i/>
          <w:sz w:val="20"/>
        </w:rPr>
        <w:t>Crimes (Sentencing Procedure) Act 1999 No 2 of 2002</w:t>
      </w:r>
      <w:r w:rsidRPr="003F1956">
        <w:rPr>
          <w:sz w:val="20"/>
        </w:rPr>
        <w:t xml:space="preserve"> [2002] NSWCCA 515.</w:t>
      </w:r>
    </w:p>
  </w:footnote>
  <w:footnote w:id="68">
    <w:p w:rsidR="002D273C" w:rsidRPr="003F1956" w:rsidRDefault="002D273C" w:rsidP="002D273C">
      <w:pPr>
        <w:pStyle w:val="FootnoteText"/>
        <w:spacing w:after="0" w:line="240" w:lineRule="auto"/>
      </w:pPr>
      <w:r w:rsidRPr="003F1956">
        <w:rPr>
          <w:rStyle w:val="FootnoteReference"/>
          <w:sz w:val="20"/>
        </w:rPr>
        <w:footnoteRef/>
      </w:r>
      <w:r w:rsidRPr="003F1956">
        <w:rPr>
          <w:rStyle w:val="FootnoteReference"/>
          <w:sz w:val="20"/>
        </w:rPr>
        <w:t xml:space="preserve"> </w:t>
      </w:r>
      <w:r w:rsidRPr="003F1956">
        <w:tab/>
      </w:r>
      <w:r w:rsidRPr="003F1956">
        <w:rPr>
          <w:sz w:val="20"/>
        </w:rPr>
        <w:t>The Attorney should also be precluded from requesting a guideline in proceedings in respect of a particular offender.</w:t>
      </w:r>
      <w:r w:rsidRPr="003F1956">
        <w:rPr>
          <w:lang w:eastAsia="en-AU"/>
        </w:rPr>
        <w:t xml:space="preserve"> </w:t>
      </w:r>
      <w:r w:rsidRPr="003F1956">
        <w:rPr>
          <w:sz w:val="20"/>
        </w:rPr>
        <w:t xml:space="preserve">This reflects the </w:t>
      </w:r>
      <w:r w:rsidR="00E47201" w:rsidRPr="003F1956">
        <w:rPr>
          <w:sz w:val="20"/>
        </w:rPr>
        <w:t xml:space="preserve">position in </w:t>
      </w:r>
      <w:r w:rsidRPr="003F1956">
        <w:rPr>
          <w:sz w:val="20"/>
        </w:rPr>
        <w:t>New South Wales: see</w:t>
      </w:r>
      <w:r w:rsidRPr="003F1956">
        <w:t xml:space="preserve"> </w:t>
      </w:r>
      <w:r w:rsidRPr="003F1956">
        <w:rPr>
          <w:i/>
          <w:sz w:val="20"/>
        </w:rPr>
        <w:t xml:space="preserve">Crimes (Sentencing Procedure) Act 1999 </w:t>
      </w:r>
      <w:r w:rsidRPr="003F1956">
        <w:rPr>
          <w:sz w:val="20"/>
        </w:rPr>
        <w:t>(NSW), s 37(3).</w:t>
      </w:r>
    </w:p>
  </w:footnote>
  <w:footnote w:id="69">
    <w:p w:rsidR="002D273C" w:rsidRPr="003F1956" w:rsidRDefault="002D273C" w:rsidP="002D273C">
      <w:pPr>
        <w:pStyle w:val="FootnoteText"/>
        <w:spacing w:after="0" w:line="240" w:lineRule="auto"/>
      </w:pPr>
      <w:r w:rsidRPr="003F1956">
        <w:rPr>
          <w:rStyle w:val="FootnoteReference"/>
          <w:sz w:val="20"/>
        </w:rPr>
        <w:footnoteRef/>
      </w:r>
      <w:r w:rsidRPr="003F1956">
        <w:rPr>
          <w:rStyle w:val="FootnoteReference"/>
          <w:sz w:val="20"/>
        </w:rPr>
        <w:t xml:space="preserve"> </w:t>
      </w:r>
      <w:r w:rsidRPr="003F1956">
        <w:tab/>
      </w:r>
      <w:proofErr w:type="spellStart"/>
      <w:r w:rsidRPr="003F1956">
        <w:rPr>
          <w:sz w:val="20"/>
        </w:rPr>
        <w:t>Arie</w:t>
      </w:r>
      <w:proofErr w:type="spellEnd"/>
      <w:r w:rsidRPr="003F1956">
        <w:rPr>
          <w:sz w:val="20"/>
        </w:rPr>
        <w:t xml:space="preserve"> Freiberg, </w:t>
      </w:r>
      <w:r w:rsidRPr="003F1956">
        <w:rPr>
          <w:i/>
          <w:sz w:val="20"/>
        </w:rPr>
        <w:t>Pathways to Justice: Sentencing Review</w:t>
      </w:r>
      <w:r w:rsidRPr="003F1956">
        <w:rPr>
          <w:sz w:val="20"/>
        </w:rPr>
        <w:t xml:space="preserve"> (2002), 215.</w:t>
      </w:r>
    </w:p>
  </w:footnote>
  <w:footnote w:id="70">
    <w:p w:rsidR="00CF5A46" w:rsidRPr="003F1956" w:rsidRDefault="00CF5A46" w:rsidP="009F362B">
      <w:pPr>
        <w:pStyle w:val="FootnoteText"/>
        <w:spacing w:after="0" w:line="240" w:lineRule="auto"/>
        <w:rPr>
          <w:sz w:val="20"/>
        </w:rPr>
      </w:pPr>
      <w:r w:rsidRPr="003F1956">
        <w:rPr>
          <w:rStyle w:val="FootnoteReference"/>
          <w:sz w:val="20"/>
        </w:rPr>
        <w:footnoteRef/>
      </w:r>
      <w:r w:rsidRPr="003F1956">
        <w:rPr>
          <w:sz w:val="20"/>
        </w:rPr>
        <w:t xml:space="preserve"> </w:t>
      </w:r>
      <w:r w:rsidRPr="003F1956">
        <w:rPr>
          <w:sz w:val="20"/>
        </w:rPr>
        <w:tab/>
        <w:t xml:space="preserve">A guideline judgment can be sought even if it is not necessary to resolve the dispute before the Court: </w:t>
      </w:r>
      <w:r w:rsidRPr="003F1956">
        <w:rPr>
          <w:i/>
          <w:sz w:val="20"/>
        </w:rPr>
        <w:t>Sentencing Act</w:t>
      </w:r>
      <w:r w:rsidR="00871F8F" w:rsidRPr="003F1956">
        <w:rPr>
          <w:i/>
          <w:sz w:val="20"/>
        </w:rPr>
        <w:t xml:space="preserve"> 1991 </w:t>
      </w:r>
      <w:r w:rsidR="00871F8F" w:rsidRPr="003F1956">
        <w:rPr>
          <w:sz w:val="20"/>
        </w:rPr>
        <w:t>(Vic)</w:t>
      </w:r>
      <w:r w:rsidRPr="003F1956">
        <w:rPr>
          <w:sz w:val="20"/>
        </w:rPr>
        <w:t xml:space="preserve">, s </w:t>
      </w:r>
      <w:proofErr w:type="gramStart"/>
      <w:r w:rsidRPr="003F1956">
        <w:rPr>
          <w:sz w:val="20"/>
        </w:rPr>
        <w:t>6AB(</w:t>
      </w:r>
      <w:proofErr w:type="gramEnd"/>
      <w:r w:rsidRPr="003F1956">
        <w:rPr>
          <w:sz w:val="20"/>
        </w:rPr>
        <w:t xml:space="preserve">3). </w:t>
      </w:r>
    </w:p>
  </w:footnote>
  <w:footnote w:id="71">
    <w:p w:rsidR="00DB2E04" w:rsidRPr="003F1956" w:rsidRDefault="00DB2E04" w:rsidP="009F362B">
      <w:pPr>
        <w:pStyle w:val="FootnoteText"/>
        <w:spacing w:after="0" w:line="240" w:lineRule="auto"/>
        <w:rPr>
          <w:sz w:val="20"/>
        </w:rPr>
      </w:pPr>
      <w:r w:rsidRPr="003F1956">
        <w:rPr>
          <w:rStyle w:val="FootnoteReference"/>
          <w:sz w:val="20"/>
        </w:rPr>
        <w:footnoteRef/>
      </w:r>
      <w:r w:rsidRPr="003F1956">
        <w:rPr>
          <w:sz w:val="20"/>
        </w:rPr>
        <w:t xml:space="preserve"> </w:t>
      </w:r>
      <w:r w:rsidR="00CF5A46" w:rsidRPr="003F1956">
        <w:rPr>
          <w:sz w:val="20"/>
        </w:rPr>
        <w:tab/>
      </w:r>
      <w:r w:rsidR="00CF5A46" w:rsidRPr="003F1956">
        <w:rPr>
          <w:rFonts w:cs="Arial"/>
          <w:sz w:val="20"/>
        </w:rPr>
        <w:t xml:space="preserve">Sarah </w:t>
      </w:r>
      <w:proofErr w:type="spellStart"/>
      <w:r w:rsidR="00CF5A46" w:rsidRPr="003F1956">
        <w:rPr>
          <w:rFonts w:cs="Arial"/>
          <w:sz w:val="20"/>
        </w:rPr>
        <w:t>Krasnostein</w:t>
      </w:r>
      <w:proofErr w:type="spellEnd"/>
      <w:r w:rsidR="00CF5A46" w:rsidRPr="003F1956">
        <w:rPr>
          <w:rFonts w:cs="Arial"/>
          <w:sz w:val="20"/>
        </w:rPr>
        <w:t>, ‘</w:t>
      </w:r>
      <w:proofErr w:type="spellStart"/>
      <w:r w:rsidR="00CF5A46" w:rsidRPr="003F1956">
        <w:rPr>
          <w:rFonts w:cs="Arial"/>
          <w:sz w:val="20"/>
        </w:rPr>
        <w:t>Boulton</w:t>
      </w:r>
      <w:proofErr w:type="spellEnd"/>
      <w:r w:rsidR="00CF5A46" w:rsidRPr="003F1956">
        <w:rPr>
          <w:rFonts w:cs="Arial"/>
          <w:sz w:val="20"/>
        </w:rPr>
        <w:t xml:space="preserve"> v The Queen: The </w:t>
      </w:r>
      <w:r w:rsidR="00267B08" w:rsidRPr="003F1956">
        <w:rPr>
          <w:rFonts w:cs="Arial"/>
          <w:sz w:val="20"/>
        </w:rPr>
        <w:t>Resurrection</w:t>
      </w:r>
      <w:r w:rsidR="00CF5A46" w:rsidRPr="003F1956">
        <w:rPr>
          <w:rFonts w:cs="Arial"/>
          <w:sz w:val="20"/>
        </w:rPr>
        <w:t xml:space="preserve"> of Guideline Judgments in Australia?</w:t>
      </w:r>
      <w:r w:rsidR="00023D59" w:rsidRPr="003F1956">
        <w:rPr>
          <w:rFonts w:cs="Arial"/>
          <w:sz w:val="20"/>
        </w:rPr>
        <w:t>’</w:t>
      </w:r>
      <w:r w:rsidR="00CF5A46" w:rsidRPr="003F1956">
        <w:rPr>
          <w:rFonts w:cs="Arial"/>
          <w:sz w:val="20"/>
        </w:rPr>
        <w:t xml:space="preserve"> [2015] </w:t>
      </w:r>
      <w:r w:rsidR="00CF5A46" w:rsidRPr="003F1956">
        <w:rPr>
          <w:rFonts w:cs="Arial"/>
          <w:i/>
          <w:sz w:val="20"/>
        </w:rPr>
        <w:t>Current Issues in Criminal Justice</w:t>
      </w:r>
      <w:r w:rsidR="00CF5A46" w:rsidRPr="003F1956">
        <w:rPr>
          <w:rFonts w:cs="Arial"/>
          <w:sz w:val="20"/>
        </w:rPr>
        <w:t xml:space="preserve"> 10.</w:t>
      </w:r>
    </w:p>
  </w:footnote>
  <w:footnote w:id="72">
    <w:p w:rsidR="00C63B9E" w:rsidRPr="003F1956" w:rsidRDefault="00C63B9E" w:rsidP="009F362B">
      <w:pPr>
        <w:pStyle w:val="FootnoteText"/>
        <w:spacing w:after="0" w:line="240" w:lineRule="auto"/>
        <w:rPr>
          <w:sz w:val="20"/>
        </w:rPr>
      </w:pPr>
      <w:r w:rsidRPr="003F1956">
        <w:rPr>
          <w:rStyle w:val="FootnoteReference"/>
          <w:sz w:val="20"/>
        </w:rPr>
        <w:footnoteRef/>
      </w:r>
      <w:r w:rsidRPr="003F1956">
        <w:rPr>
          <w:sz w:val="20"/>
        </w:rPr>
        <w:t xml:space="preserve"> </w:t>
      </w:r>
      <w:r w:rsidRPr="003F1956">
        <w:rPr>
          <w:sz w:val="20"/>
        </w:rPr>
        <w:tab/>
        <w:t>Other legislative steps could potentially be taken to enable matters to be before the Court</w:t>
      </w:r>
      <w:r w:rsidR="00635503" w:rsidRPr="003F1956">
        <w:rPr>
          <w:sz w:val="20"/>
        </w:rPr>
        <w:t xml:space="preserve"> (absent an appeal through the usual process)</w:t>
      </w:r>
      <w:r w:rsidRPr="003F1956">
        <w:rPr>
          <w:sz w:val="20"/>
        </w:rPr>
        <w:t xml:space="preserve">, for example, </w:t>
      </w:r>
      <w:r w:rsidR="00635503" w:rsidRPr="003F1956">
        <w:rPr>
          <w:sz w:val="20"/>
        </w:rPr>
        <w:t xml:space="preserve">through a modified </w:t>
      </w:r>
      <w:r w:rsidRPr="003F1956">
        <w:rPr>
          <w:sz w:val="20"/>
        </w:rPr>
        <w:t xml:space="preserve">case-stated </w:t>
      </w:r>
      <w:r w:rsidR="00635503" w:rsidRPr="003F1956">
        <w:rPr>
          <w:sz w:val="20"/>
        </w:rPr>
        <w:t>p</w:t>
      </w:r>
      <w:r w:rsidRPr="003F1956">
        <w:rPr>
          <w:sz w:val="20"/>
        </w:rPr>
        <w:t xml:space="preserve">rocedure. </w:t>
      </w:r>
    </w:p>
  </w:footnote>
  <w:footnote w:id="73">
    <w:p w:rsidR="00871F8F" w:rsidRPr="003F1956" w:rsidRDefault="00871F8F" w:rsidP="00871F8F">
      <w:pPr>
        <w:pStyle w:val="FootnoteText"/>
        <w:spacing w:after="0" w:line="240" w:lineRule="auto"/>
        <w:rPr>
          <w:szCs w:val="18"/>
        </w:rPr>
      </w:pPr>
      <w:r w:rsidRPr="003F1956">
        <w:rPr>
          <w:rStyle w:val="FootnoteReference"/>
          <w:sz w:val="20"/>
        </w:rPr>
        <w:footnoteRef/>
      </w:r>
      <w:r w:rsidRPr="003F1956">
        <w:rPr>
          <w:rStyle w:val="FootnoteReference"/>
          <w:sz w:val="20"/>
        </w:rPr>
        <w:t xml:space="preserve"> </w:t>
      </w:r>
      <w:r w:rsidRPr="003F1956">
        <w:rPr>
          <w:sz w:val="20"/>
        </w:rPr>
        <w:tab/>
        <w:t>Courts, whether or not they are granted the power to initiate guideline judgments absent a vehicle before them, may be less likely to provide guidelines in respect of offences they are not accustomed to. See e.g. in N</w:t>
      </w:r>
      <w:r w:rsidR="002D273C" w:rsidRPr="003F1956">
        <w:rPr>
          <w:sz w:val="20"/>
        </w:rPr>
        <w:t>ew South Wales</w:t>
      </w:r>
      <w:r w:rsidRPr="003F1956">
        <w:rPr>
          <w:sz w:val="20"/>
        </w:rPr>
        <w:t xml:space="preserve">, </w:t>
      </w:r>
      <w:r w:rsidRPr="003F1956">
        <w:rPr>
          <w:i/>
          <w:sz w:val="20"/>
        </w:rPr>
        <w:t>Attorney General’s Application under s 37 of the</w:t>
      </w:r>
      <w:r w:rsidRPr="003F1956">
        <w:rPr>
          <w:sz w:val="20"/>
        </w:rPr>
        <w:t xml:space="preserve"> </w:t>
      </w:r>
      <w:r w:rsidRPr="003F1956">
        <w:rPr>
          <w:i/>
          <w:sz w:val="20"/>
        </w:rPr>
        <w:t>Crimes (Sentencing Procedure) Act 1999 No 2 of 2002</w:t>
      </w:r>
      <w:r w:rsidRPr="003F1956">
        <w:rPr>
          <w:sz w:val="20"/>
        </w:rPr>
        <w:t xml:space="preserve"> [2002] NSWCCA 515, [53].</w:t>
      </w:r>
    </w:p>
    <w:p w:rsidR="00871F8F" w:rsidRPr="003F1956" w:rsidRDefault="00871F8F" w:rsidP="00871F8F">
      <w:pPr>
        <w:pStyle w:val="FootnoteText"/>
        <w:spacing w:after="0" w:line="240" w:lineRule="auto"/>
      </w:pPr>
    </w:p>
  </w:footnote>
  <w:footnote w:id="74">
    <w:p w:rsidR="006174D7" w:rsidRPr="003F1956" w:rsidRDefault="006174D7" w:rsidP="00BD12F6">
      <w:pPr>
        <w:pStyle w:val="FootnoteText"/>
        <w:spacing w:after="0" w:line="240" w:lineRule="auto"/>
        <w:rPr>
          <w:sz w:val="20"/>
        </w:rPr>
      </w:pPr>
      <w:r w:rsidRPr="003F1956">
        <w:rPr>
          <w:rStyle w:val="FootnoteReference"/>
          <w:sz w:val="20"/>
        </w:rPr>
        <w:footnoteRef/>
      </w:r>
      <w:r w:rsidRPr="003F1956">
        <w:t xml:space="preserve"> </w:t>
      </w:r>
      <w:r w:rsidRPr="003F1956">
        <w:tab/>
      </w:r>
      <w:r w:rsidR="00386CDB" w:rsidRPr="003F1956">
        <w:rPr>
          <w:sz w:val="20"/>
        </w:rPr>
        <w:t xml:space="preserve">This </w:t>
      </w:r>
      <w:r w:rsidR="0086698D" w:rsidRPr="003F1956">
        <w:rPr>
          <w:sz w:val="20"/>
        </w:rPr>
        <w:t xml:space="preserve">is a modification of a recommendation proposed by </w:t>
      </w:r>
      <w:proofErr w:type="spellStart"/>
      <w:r w:rsidR="0086698D" w:rsidRPr="003F1956">
        <w:rPr>
          <w:sz w:val="20"/>
        </w:rPr>
        <w:t>Arie</w:t>
      </w:r>
      <w:proofErr w:type="spellEnd"/>
      <w:r w:rsidR="0086698D" w:rsidRPr="003F1956">
        <w:rPr>
          <w:sz w:val="20"/>
        </w:rPr>
        <w:t xml:space="preserve"> Freiberg in his </w:t>
      </w:r>
      <w:r w:rsidRPr="003F1956">
        <w:rPr>
          <w:i/>
          <w:sz w:val="20"/>
        </w:rPr>
        <w:t>Pathways to Justice: Sentencing Review</w:t>
      </w:r>
      <w:r w:rsidR="00386CDB" w:rsidRPr="003F1956">
        <w:rPr>
          <w:sz w:val="20"/>
        </w:rPr>
        <w:t xml:space="preserve"> </w:t>
      </w:r>
      <w:r w:rsidRPr="003F1956">
        <w:rPr>
          <w:sz w:val="20"/>
        </w:rPr>
        <w:t>(2002)</w:t>
      </w:r>
      <w:r w:rsidR="0086698D" w:rsidRPr="003F1956">
        <w:rPr>
          <w:sz w:val="20"/>
        </w:rPr>
        <w:t xml:space="preserve"> that was</w:t>
      </w:r>
      <w:r w:rsidR="00386CDB" w:rsidRPr="003F1956">
        <w:rPr>
          <w:sz w:val="20"/>
        </w:rPr>
        <w:t xml:space="preserve"> not taken up in the </w:t>
      </w:r>
      <w:r w:rsidR="00386CDB" w:rsidRPr="003F1956">
        <w:rPr>
          <w:i/>
          <w:sz w:val="20"/>
        </w:rPr>
        <w:t>Sentencing Act</w:t>
      </w:r>
      <w:r w:rsidR="00871F8F" w:rsidRPr="003F1956">
        <w:rPr>
          <w:i/>
          <w:sz w:val="20"/>
        </w:rPr>
        <w:t xml:space="preserve"> 1991 </w:t>
      </w:r>
      <w:r w:rsidR="00871F8F" w:rsidRPr="003F1956">
        <w:rPr>
          <w:sz w:val="20"/>
        </w:rPr>
        <w:t>(Vic)</w:t>
      </w:r>
      <w:r w:rsidR="00386CDB" w:rsidRPr="003F1956">
        <w:rPr>
          <w:sz w:val="20"/>
        </w:rPr>
        <w:t>.</w:t>
      </w:r>
    </w:p>
  </w:footnote>
  <w:footnote w:id="75">
    <w:p w:rsidR="00DB2E04" w:rsidRPr="003F1956" w:rsidRDefault="00DB2E04" w:rsidP="00BD12F6">
      <w:pPr>
        <w:pStyle w:val="FootnoteText"/>
        <w:spacing w:after="0" w:line="240" w:lineRule="auto"/>
        <w:rPr>
          <w:rFonts w:cs="Arial"/>
          <w:i/>
          <w:iCs/>
          <w:szCs w:val="18"/>
          <w:lang w:eastAsia="en-AU"/>
        </w:rPr>
      </w:pPr>
      <w:r w:rsidRPr="003F1956">
        <w:rPr>
          <w:rStyle w:val="FootnoteReference"/>
          <w:sz w:val="20"/>
        </w:rPr>
        <w:footnoteRef/>
      </w:r>
      <w:r w:rsidRPr="003F1956">
        <w:rPr>
          <w:sz w:val="20"/>
        </w:rPr>
        <w:t xml:space="preserve"> </w:t>
      </w:r>
      <w:r w:rsidR="00BD12F6" w:rsidRPr="003F1956">
        <w:rPr>
          <w:sz w:val="20"/>
        </w:rPr>
        <w:tab/>
      </w:r>
      <w:r w:rsidRPr="003F1956">
        <w:rPr>
          <w:rFonts w:cs="Arial"/>
          <w:i/>
          <w:iCs/>
          <w:sz w:val="20"/>
          <w:lang w:eastAsia="en-AU"/>
        </w:rPr>
        <w:t>Myths and Misconce</w:t>
      </w:r>
      <w:r w:rsidRPr="003F1956">
        <w:rPr>
          <w:i/>
          <w:sz w:val="20"/>
        </w:rPr>
        <w:t>ptions</w:t>
      </w:r>
      <w:r w:rsidRPr="003F1956">
        <w:rPr>
          <w:sz w:val="20"/>
        </w:rPr>
        <w:t>: Public Opinion versus Public Judgment about Sentencing, Victoria, Sentencing Advisory Council, Research Paper</w:t>
      </w:r>
      <w:r w:rsidRPr="003F1956">
        <w:rPr>
          <w:rFonts w:cs="Arial"/>
          <w:sz w:val="20"/>
          <w:lang w:eastAsia="en-AU"/>
        </w:rPr>
        <w:t>.</w:t>
      </w:r>
    </w:p>
  </w:footnote>
  <w:footnote w:id="76">
    <w:p w:rsidR="00DB2E04" w:rsidRPr="003F1956" w:rsidRDefault="00DB2E04" w:rsidP="00BD12F6">
      <w:pPr>
        <w:pStyle w:val="FootnoteText"/>
        <w:spacing w:after="0" w:line="240" w:lineRule="auto"/>
      </w:pPr>
      <w:r w:rsidRPr="003F1956">
        <w:rPr>
          <w:rStyle w:val="FootnoteReference"/>
        </w:rPr>
        <w:footnoteRef/>
      </w:r>
      <w:r w:rsidRPr="003F1956">
        <w:t xml:space="preserve"> </w:t>
      </w:r>
      <w:r w:rsidR="00BD12F6" w:rsidRPr="003F1956">
        <w:tab/>
      </w:r>
      <w:r w:rsidRPr="003F1956">
        <w:rPr>
          <w:rFonts w:cs="Arial"/>
          <w:sz w:val="20"/>
          <w:lang w:eastAsia="en-AU"/>
        </w:rPr>
        <w:t xml:space="preserve">Lenny Roth, ‘Public Opinion on sentencing – recent research in Australia’, NSW Parliamentary Research </w:t>
      </w:r>
      <w:r w:rsidRPr="003F1956">
        <w:rPr>
          <w:sz w:val="20"/>
        </w:rPr>
        <w:t>Service</w:t>
      </w:r>
      <w:r w:rsidRPr="003F1956">
        <w:rPr>
          <w:rFonts w:cs="Arial"/>
          <w:sz w:val="20"/>
          <w:lang w:eastAsia="en-AU"/>
        </w:rPr>
        <w:t xml:space="preserve"> (No 8, 2014).</w:t>
      </w:r>
    </w:p>
  </w:footnote>
  <w:footnote w:id="77">
    <w:p w:rsidR="00DB2E04" w:rsidRDefault="00DB2E04" w:rsidP="00BD12F6">
      <w:pPr>
        <w:pStyle w:val="FootnoteText"/>
        <w:spacing w:after="0" w:line="240" w:lineRule="auto"/>
      </w:pPr>
      <w:r w:rsidRPr="003F1956">
        <w:rPr>
          <w:rStyle w:val="FootnoteReference"/>
        </w:rPr>
        <w:footnoteRef/>
      </w:r>
      <w:r w:rsidRPr="003F1956">
        <w:t xml:space="preserve"> </w:t>
      </w:r>
      <w:r w:rsidR="00BD12F6" w:rsidRPr="003F1956">
        <w:tab/>
      </w:r>
      <w:r w:rsidRPr="003F1956">
        <w:rPr>
          <w:rFonts w:cs="Arial"/>
          <w:sz w:val="20"/>
          <w:lang w:eastAsia="en-AU"/>
        </w:rPr>
        <w:t xml:space="preserve">New South Wales Law Reform Commission, </w:t>
      </w:r>
      <w:r w:rsidRPr="003F1956">
        <w:rPr>
          <w:rFonts w:cs="Arial"/>
          <w:i/>
          <w:iCs/>
          <w:sz w:val="20"/>
          <w:lang w:eastAsia="en-AU"/>
        </w:rPr>
        <w:t>Sentencing</w:t>
      </w:r>
      <w:r w:rsidRPr="003F1956">
        <w:rPr>
          <w:rFonts w:cs="Arial"/>
          <w:sz w:val="20"/>
          <w:lang w:eastAsia="en-AU"/>
        </w:rPr>
        <w:t>, Report</w:t>
      </w:r>
      <w:r w:rsidRPr="005A6F40">
        <w:rPr>
          <w:rFonts w:cs="Arial"/>
          <w:sz w:val="20"/>
          <w:lang w:eastAsia="en-AU"/>
        </w:rPr>
        <w:t xml:space="preserve"> 79, 1996, 14-15.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E04" w:rsidRDefault="00DB2E04">
    <w:pPr>
      <w:pStyle w:val="Header"/>
    </w:pPr>
    <w:r>
      <w:rPr>
        <w:noProof/>
        <w:lang w:eastAsia="en-AU"/>
      </w:rPr>
      <mc:AlternateContent>
        <mc:Choice Requires="wps">
          <w:drawing>
            <wp:anchor distT="0" distB="0" distL="114300" distR="114300" simplePos="0" relativeHeight="251658752" behindDoc="1" locked="0" layoutInCell="0" allowOverlap="1" wp14:anchorId="777217D6" wp14:editId="247DFD8A">
              <wp:simplePos x="0" y="0"/>
              <wp:positionH relativeFrom="margin">
                <wp:align>center</wp:align>
              </wp:positionH>
              <wp:positionV relativeFrom="margin">
                <wp:align>center</wp:align>
              </wp:positionV>
              <wp:extent cx="1085850" cy="714375"/>
              <wp:effectExtent l="38100" t="200025" r="0" b="15240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85850" cy="714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B2E04" w:rsidRDefault="00DB2E04" w:rsidP="009F700A">
                          <w:pPr>
                            <w:pStyle w:val="NormalWeb"/>
                            <w:spacing w:after="0"/>
                            <w:jc w:val="center"/>
                          </w:pPr>
                          <w:r>
                            <w:rPr>
                              <w:rFonts w:ascii="Arial Narrow" w:hAnsi="Arial Narrow"/>
                              <w:color w:val="C0C0C0"/>
                              <w:sz w:val="96"/>
                              <w:szCs w:val="96"/>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7217D6" id="_x0000_t202" coordsize="21600,21600" o:spt="202" path="m,l,21600r21600,l21600,xe">
              <v:stroke joinstyle="miter"/>
              <v:path gradientshapeok="t" o:connecttype="rect"/>
            </v:shapetype>
            <v:shape id="WordArt 3" o:spid="_x0000_s1026" type="#_x0000_t202" style="position:absolute;margin-left:0;margin-top:0;width:85.5pt;height:56.2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" o:allowincell="f" filled="f" stroked="f">
              <v:stroke joinstyle="round"/>
              <o:lock v:ext="edit" shapetype="t"/>
              <v:textbox style="mso-fit-shape-to-text:t">
                <w:txbxContent>
                  <w:p w:rsidR="00DB2E04" w:rsidRDefault="00DB2E04" w:rsidP="009F700A">
                    <w:pPr>
                      <w:pStyle w:val="NormalWeb"/>
                      <w:spacing w:after="0"/>
                      <w:jc w:val="center"/>
                    </w:pPr>
                    <w:r>
                      <w:rPr>
                        <w:rFonts w:ascii="Arial Narrow" w:hAnsi="Arial Narrow"/>
                        <w:color w:val="C0C0C0"/>
                        <w:sz w:val="96"/>
                        <w:szCs w:val="96"/>
                        <w14:textFill>
                          <w14:solidFill>
                            <w14:srgbClr w14:val="C0C0C0">
                              <w14:alpha w14:val="50000"/>
                            </w14:srgbClr>
                          </w14:solidFill>
                        </w14:textFill>
                      </w:rPr>
                      <w:t>Draft</w:t>
                    </w:r>
                  </w:p>
                </w:txbxContent>
              </v:textbox>
              <w10:wrap anchorx="margin" anchory="margin"/>
            </v:shape>
          </w:pict>
        </mc:Fallback>
      </mc:AlternateContent>
    </w:r>
    <w:r w:rsidR="00FA5F59">
      <w:rPr>
        <w:noProof/>
        <w:lang w:eastAsia="en-AU"/>
      </w:rPr>
      <w:pict w14:anchorId="6F095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377.3pt;height:22in;rotation:300;z-index:251657728;mso-position-horizontal:center;mso-position-horizontal-relative:margin;mso-position-vertical:center;mso-position-vertical-relative:margin" fillcolor="#c8c8c8" stroked="f">
          <v:fill opacity="52429f"/>
          <v:shadow color="#868686"/>
          <v:textpath style="font-family:&quot;Arial&quot;;font-size:54pt;font-weight:bold;v-text-kern:t" trim="t" fitpath="t" string=" "/>
          <o:lock v:ext="edit" aspectratio="t"/>
          <w10:wrap side="larges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E04" w:rsidRPr="009F7B2D" w:rsidRDefault="00DB2E04" w:rsidP="004E0688">
    <w:pPr>
      <w:pStyle w:val="Header"/>
      <w:jc w:val="right"/>
    </w:pPr>
    <w:r>
      <w:rPr>
        <w:noProof/>
        <w:lang w:eastAsia="en-AU"/>
      </w:rPr>
      <w:drawing>
        <wp:inline distT="0" distB="0" distL="0" distR="0" wp14:anchorId="53DCAAF4" wp14:editId="53974402">
          <wp:extent cx="1806575" cy="1445260"/>
          <wp:effectExtent l="0" t="0" r="3175" b="2540"/>
          <wp:docPr id="7" name="Picture 7" descr="vl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575" cy="14452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E04" w:rsidRDefault="00DB2E04" w:rsidP="006E2882">
    <w:pPr>
      <w:spacing w:before="400"/>
      <w:jc w:val="right"/>
    </w:pPr>
    <w:r>
      <w:rPr>
        <w:noProof/>
        <w:lang w:eastAsia="en-AU"/>
      </w:rPr>
      <w:drawing>
        <wp:inline distT="0" distB="0" distL="0" distR="0" wp14:anchorId="6D18D3BF" wp14:editId="6C802A1D">
          <wp:extent cx="2706370" cy="434975"/>
          <wp:effectExtent l="0" t="0" r="0" b="3175"/>
          <wp:docPr id="8" name="Picture 8" descr="vla_logo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la_logo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6370" cy="434975"/>
                  </a:xfrm>
                  <a:prstGeom prst="rect">
                    <a:avLst/>
                  </a:prstGeom>
                  <a:noFill/>
                  <a:ln>
                    <a:noFill/>
                  </a:ln>
                </pic:spPr>
              </pic:pic>
            </a:graphicData>
          </a:graphic>
        </wp:inline>
      </w:drawing>
    </w:r>
    <w:r w:rsidR="00FA5F59">
      <w:rPr>
        <w:noProof/>
        <w:lang w:eastAsia="en-AU"/>
      </w:rPr>
      <w:pict w14:anchorId="0BDC9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377.3pt;height:22in;rotation:300;z-index:251656704;mso-position-horizontal:center;mso-position-horizontal-relative:margin;mso-position-vertical:center;mso-position-vertical-relative:margin" fillcolor="#c8c8c8" stroked="f">
          <v:fill opacity="52429f"/>
          <v:shadow color="#868686"/>
          <v:textpath style="font-family:&quot;Arial&quot;;font-size:54pt;font-weight:bold;v-text-kern:t" trim="t" fitpath="t" string=" "/>
          <o:lock v:ext="edit" aspectratio="t"/>
          <w10:wrap side="largest"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E04" w:rsidRPr="009F7B2D" w:rsidRDefault="00DB2E04" w:rsidP="005375A4"/>
  <w:p w:rsidR="00DB2E04" w:rsidRDefault="00DB2E0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E04" w:rsidRPr="009F7B2D" w:rsidRDefault="00DB2E04" w:rsidP="007538C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E04" w:rsidRPr="009F7B2D" w:rsidRDefault="00DB2E04" w:rsidP="005D5637">
    <w:pPr>
      <w:pStyle w:val="Header"/>
      <w:tabs>
        <w:tab w:val="clear" w:pos="4604"/>
        <w:tab w:val="clear" w:pos="9214"/>
      </w:tabs>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E04" w:rsidRDefault="00DB2E0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E04" w:rsidRPr="00665568" w:rsidRDefault="00DB2E04" w:rsidP="00161EEF">
    <w:pPr>
      <w:pStyle w:val="Header"/>
      <w:tabs>
        <w:tab w:val="clear" w:pos="4604"/>
        <w:tab w:val="clear" w:pos="921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242C4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1BA00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4DAF1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728F9C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BA544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A9E3BD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8"/>
    <w:multiLevelType w:val="singleLevel"/>
    <w:tmpl w:val="BF6C4864"/>
    <w:lvl w:ilvl="0">
      <w:start w:val="1"/>
      <w:numFmt w:val="decimal"/>
      <w:lvlText w:val="%1."/>
      <w:lvlJc w:val="left"/>
      <w:pPr>
        <w:tabs>
          <w:tab w:val="num" w:pos="360"/>
        </w:tabs>
        <w:ind w:left="360" w:hanging="360"/>
      </w:pPr>
    </w:lvl>
  </w:abstractNum>
  <w:abstractNum w:abstractNumId="7" w15:restartNumberingAfterBreak="0">
    <w:nsid w:val="06FE68B3"/>
    <w:multiLevelType w:val="hybridMultilevel"/>
    <w:tmpl w:val="5E90173E"/>
    <w:lvl w:ilvl="0" w:tplc="B6069F80">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8706E1"/>
    <w:multiLevelType w:val="multilevel"/>
    <w:tmpl w:val="0B38D6A2"/>
    <w:name w:val="VLA Bullet List"/>
    <w:lvl w:ilvl="0">
      <w:start w:val="1"/>
      <w:numFmt w:val="bullet"/>
      <w:lvlText w:val=""/>
      <w:lvlJc w:val="left"/>
      <w:pPr>
        <w:tabs>
          <w:tab w:val="num" w:pos="360"/>
        </w:tabs>
        <w:ind w:left="360" w:hanging="360"/>
      </w:pPr>
      <w:rPr>
        <w:rFonts w:ascii="Symbol" w:hAnsi="Symbol" w:hint="default"/>
        <w:sz w:val="21"/>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tabs>
          <w:tab w:val="num" w:pos="1786"/>
        </w:tabs>
        <w:ind w:left="1786" w:hanging="357"/>
      </w:pPr>
      <w:rPr>
        <w:rFonts w:ascii="Courier New" w:hAnsi="Courier New" w:hint="default"/>
      </w:rPr>
    </w:lvl>
    <w:lvl w:ilvl="5">
      <w:start w:val="1"/>
      <w:numFmt w:val="bullet"/>
      <w:lvlText w:val=""/>
      <w:lvlJc w:val="left"/>
      <w:pPr>
        <w:tabs>
          <w:tab w:val="num" w:pos="2143"/>
        </w:tabs>
        <w:ind w:left="2143" w:hanging="357"/>
      </w:pPr>
      <w:rPr>
        <w:rFonts w:ascii="Wingdings" w:hAnsi="Wingdings"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o"/>
      <w:lvlJc w:val="left"/>
      <w:pPr>
        <w:tabs>
          <w:tab w:val="num" w:pos="2858"/>
        </w:tabs>
        <w:ind w:left="2858" w:hanging="358"/>
      </w:pPr>
      <w:rPr>
        <w:rFonts w:ascii="Courier New" w:hAnsi="Courier New" w:hint="default"/>
      </w:rPr>
    </w:lvl>
    <w:lvl w:ilvl="8">
      <w:start w:val="1"/>
      <w:numFmt w:val="bullet"/>
      <w:lvlText w:val=""/>
      <w:lvlJc w:val="left"/>
      <w:pPr>
        <w:tabs>
          <w:tab w:val="num" w:pos="3215"/>
        </w:tabs>
        <w:ind w:left="3215" w:hanging="357"/>
      </w:pPr>
      <w:rPr>
        <w:rFonts w:ascii="Wingdings" w:hAnsi="Wingdings" w:hint="default"/>
      </w:rPr>
    </w:lvl>
  </w:abstractNum>
  <w:abstractNum w:abstractNumId="9" w15:restartNumberingAfterBreak="0">
    <w:nsid w:val="18B64597"/>
    <w:multiLevelType w:val="multilevel"/>
    <w:tmpl w:val="58F06332"/>
    <w:lvl w:ilvl="0">
      <w:start w:val="1"/>
      <w:numFmt w:val="decimal"/>
      <w:lvlText w:val="%1"/>
      <w:lvlJc w:val="left"/>
      <w:pPr>
        <w:tabs>
          <w:tab w:val="num" w:pos="432"/>
        </w:tabs>
        <w:ind w:left="720" w:hanging="720"/>
      </w:pPr>
      <w:rPr>
        <w:rFonts w:hint="default"/>
      </w:rPr>
    </w:lvl>
    <w:lvl w:ilvl="1">
      <w:start w:val="1"/>
      <w:numFmt w:val="decimal"/>
      <w:lvlText w:val="%1.%2"/>
      <w:lvlJc w:val="left"/>
      <w:pPr>
        <w:tabs>
          <w:tab w:val="num" w:pos="576"/>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510163D"/>
    <w:multiLevelType w:val="multilevel"/>
    <w:tmpl w:val="0B38D6A2"/>
    <w:name w:val="VLA List Bullet"/>
    <w:lvl w:ilvl="0">
      <w:start w:val="1"/>
      <w:numFmt w:val="bullet"/>
      <w:lvlText w:val=""/>
      <w:lvlJc w:val="left"/>
      <w:pPr>
        <w:tabs>
          <w:tab w:val="num" w:pos="360"/>
        </w:tabs>
        <w:ind w:left="360" w:hanging="360"/>
      </w:pPr>
      <w:rPr>
        <w:rFonts w:ascii="Symbol" w:hAnsi="Symbol" w:hint="default"/>
        <w:sz w:val="21"/>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tabs>
          <w:tab w:val="num" w:pos="1786"/>
        </w:tabs>
        <w:ind w:left="1786" w:hanging="357"/>
      </w:pPr>
      <w:rPr>
        <w:rFonts w:ascii="Courier New" w:hAnsi="Courier New" w:hint="default"/>
      </w:rPr>
    </w:lvl>
    <w:lvl w:ilvl="5">
      <w:start w:val="1"/>
      <w:numFmt w:val="bullet"/>
      <w:lvlText w:val=""/>
      <w:lvlJc w:val="left"/>
      <w:pPr>
        <w:tabs>
          <w:tab w:val="num" w:pos="2143"/>
        </w:tabs>
        <w:ind w:left="2143" w:hanging="357"/>
      </w:pPr>
      <w:rPr>
        <w:rFonts w:ascii="Wingdings" w:hAnsi="Wingdings"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o"/>
      <w:lvlJc w:val="left"/>
      <w:pPr>
        <w:tabs>
          <w:tab w:val="num" w:pos="2858"/>
        </w:tabs>
        <w:ind w:left="2858" w:hanging="358"/>
      </w:pPr>
      <w:rPr>
        <w:rFonts w:ascii="Courier New" w:hAnsi="Courier New" w:hint="default"/>
      </w:rPr>
    </w:lvl>
    <w:lvl w:ilvl="8">
      <w:start w:val="1"/>
      <w:numFmt w:val="bullet"/>
      <w:lvlText w:val=""/>
      <w:lvlJc w:val="left"/>
      <w:pPr>
        <w:tabs>
          <w:tab w:val="num" w:pos="3215"/>
        </w:tabs>
        <w:ind w:left="3215" w:hanging="357"/>
      </w:pPr>
      <w:rPr>
        <w:rFonts w:ascii="Wingdings" w:hAnsi="Wingdings" w:hint="default"/>
      </w:rPr>
    </w:lvl>
  </w:abstractNum>
  <w:abstractNum w:abstractNumId="11" w15:restartNumberingAfterBreak="0">
    <w:nsid w:val="256257B3"/>
    <w:multiLevelType w:val="hybridMultilevel"/>
    <w:tmpl w:val="4E405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3" w15:restartNumberingAfterBreak="0">
    <w:nsid w:val="377D646B"/>
    <w:multiLevelType w:val="multilevel"/>
    <w:tmpl w:val="AE5458BA"/>
    <w:name w:val="VLA_numbering"/>
    <w:lvl w:ilvl="0">
      <w:start w:val="1"/>
      <w:numFmt w:val="decimal"/>
      <w:lvlText w:val="%1."/>
      <w:lvlJc w:val="left"/>
      <w:pPr>
        <w:tabs>
          <w:tab w:val="num" w:pos="357"/>
        </w:tabs>
        <w:ind w:left="357" w:hanging="357"/>
      </w:pPr>
      <w:rPr>
        <w:rFonts w:ascii="Arial" w:hAnsi="Arial" w:hint="default"/>
        <w:sz w:val="21"/>
      </w:rPr>
    </w:lvl>
    <w:lvl w:ilvl="1">
      <w:start w:val="1"/>
      <w:numFmt w:val="lowerLetter"/>
      <w:lvlText w:val="%2."/>
      <w:lvlJc w:val="left"/>
      <w:pPr>
        <w:tabs>
          <w:tab w:val="num" w:pos="714"/>
        </w:tabs>
        <w:ind w:left="714" w:hanging="357"/>
      </w:pPr>
      <w:rPr>
        <w:rFonts w:hint="default"/>
      </w:rPr>
    </w:lvl>
    <w:lvl w:ilvl="2">
      <w:start w:val="1"/>
      <w:numFmt w:val="lowerRoman"/>
      <w:lvlText w:val="%3."/>
      <w:lvlJc w:val="right"/>
      <w:pPr>
        <w:tabs>
          <w:tab w:val="num" w:pos="1072"/>
        </w:tabs>
        <w:ind w:left="1072" w:hanging="35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1EE12AF"/>
    <w:multiLevelType w:val="hybridMultilevel"/>
    <w:tmpl w:val="FF0AE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a"/>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7" w15:restartNumberingAfterBreak="0">
    <w:nsid w:val="4BD85156"/>
    <w:multiLevelType w:val="hybridMultilevel"/>
    <w:tmpl w:val="1660B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9" w15:restartNumberingAfterBreak="0">
    <w:nsid w:val="59DD487A"/>
    <w:multiLevelType w:val="hybridMultilevel"/>
    <w:tmpl w:val="B26AFA1E"/>
    <w:lvl w:ilvl="0" w:tplc="0256E7CA">
      <w:start w:val="1"/>
      <w:numFmt w:val="bullet"/>
      <w:lvlText w:val=""/>
      <w:lvlJc w:val="left"/>
      <w:pPr>
        <w:tabs>
          <w:tab w:val="num" w:pos="510"/>
        </w:tabs>
        <w:ind w:left="51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1C6CC5"/>
    <w:multiLevelType w:val="multilevel"/>
    <w:tmpl w:val="FAA40654"/>
    <w:name w:val="VLA Bullet List3"/>
    <w:lvl w:ilvl="0">
      <w:start w:val="1"/>
      <w:numFmt w:val="bullet"/>
      <w:lvlRestart w:val="0"/>
      <w:lvlText w:val=""/>
      <w:lvlJc w:val="left"/>
      <w:pPr>
        <w:tabs>
          <w:tab w:val="num" w:pos="357"/>
        </w:tabs>
        <w:ind w:left="357" w:hanging="357"/>
      </w:pPr>
      <w:rPr>
        <w:rFonts w:ascii="Symbol" w:hAnsi="Symbol" w:hint="default"/>
        <w:b w:val="0"/>
        <w:bCs w:val="0"/>
        <w:i w:val="0"/>
        <w:iCs w:val="0"/>
        <w:caps w:val="0"/>
        <w:small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714"/>
        </w:tabs>
        <w:ind w:left="714" w:hanging="357"/>
      </w:pPr>
      <w:rPr>
        <w:rFonts w:ascii="Courier New" w:hAnsi="Courier New"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072"/>
        </w:tabs>
        <w:ind w:left="1072" w:hanging="358"/>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4"/>
      <w:lvlJc w:val="left"/>
      <w:pPr>
        <w:tabs>
          <w:tab w:val="num" w:pos="1429"/>
        </w:tabs>
        <w:ind w:left="1429"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786"/>
        </w:tabs>
        <w:ind w:left="1786"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2143"/>
        </w:tabs>
        <w:ind w:left="2143"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500"/>
        </w:tabs>
        <w:ind w:left="2858" w:hanging="715"/>
      </w:pPr>
      <w:rPr>
        <w:rFonts w:ascii="Times New Roman" w:hAnsi="Times New Roman" w:hint="default"/>
        <w:b w:val="0"/>
        <w:i w:val="0"/>
        <w:sz w:val="24"/>
        <w:u w:val="none"/>
      </w:rPr>
    </w:lvl>
    <w:lvl w:ilvl="7">
      <w:start w:val="1"/>
      <w:numFmt w:val="none"/>
      <w:lvlText w:val=""/>
      <w:lvlJc w:val="left"/>
      <w:pPr>
        <w:tabs>
          <w:tab w:val="num" w:pos="2858"/>
        </w:tabs>
        <w:ind w:left="2858" w:hanging="358"/>
      </w:pPr>
      <w:rPr>
        <w:rFonts w:ascii="Times New Roman" w:hAnsi="Times New Roman" w:hint="default"/>
        <w:b w:val="0"/>
        <w:i w:val="0"/>
        <w:sz w:val="24"/>
        <w:u w:val="none"/>
      </w:rPr>
    </w:lvl>
    <w:lvl w:ilvl="8">
      <w:start w:val="1"/>
      <w:numFmt w:val="none"/>
      <w:suff w:val="nothing"/>
      <w:lvlText w:val=""/>
      <w:lvlJc w:val="left"/>
      <w:pPr>
        <w:ind w:left="3215" w:hanging="357"/>
      </w:pPr>
      <w:rPr>
        <w:rFonts w:ascii="Times New Roman" w:hAnsi="Times New Roman" w:hint="default"/>
        <w:b w:val="0"/>
        <w:i w:val="0"/>
        <w:sz w:val="24"/>
      </w:rPr>
    </w:lvl>
  </w:abstractNum>
  <w:abstractNum w:abstractNumId="21" w15:restartNumberingAfterBreak="0">
    <w:nsid w:val="61425B78"/>
    <w:multiLevelType w:val="hybridMultilevel"/>
    <w:tmpl w:val="499C3EBE"/>
    <w:lvl w:ilvl="0" w:tplc="F234457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438121D"/>
    <w:multiLevelType w:val="multilevel"/>
    <w:tmpl w:val="5616E46E"/>
    <w:name w:val="VLA Bullet List2"/>
    <w:lvl w:ilvl="0">
      <w:start w:val="1"/>
      <w:numFmt w:val="bullet"/>
      <w:lvlRestart w:val="0"/>
      <w:lvlText w:val=""/>
      <w:lvlJc w:val="left"/>
      <w:pPr>
        <w:tabs>
          <w:tab w:val="num" w:pos="357"/>
        </w:tabs>
        <w:ind w:left="357" w:hanging="357"/>
      </w:pPr>
      <w:rPr>
        <w:rFonts w:ascii="Symbol" w:hAnsi="Symbol" w:hint="default"/>
        <w:b w:val="0"/>
        <w:bCs w:val="0"/>
        <w:i w:val="0"/>
        <w:iCs w:val="0"/>
        <w:caps w:val="0"/>
        <w:small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714"/>
        </w:tabs>
        <w:ind w:left="714" w:hanging="357"/>
      </w:pPr>
      <w:rPr>
        <w:rFonts w:ascii="Courier New" w:hAnsi="Courier New"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072"/>
        </w:tabs>
        <w:ind w:left="1072" w:hanging="358"/>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4"/>
      <w:lvlJc w:val="left"/>
      <w:pPr>
        <w:tabs>
          <w:tab w:val="num" w:pos="1429"/>
        </w:tabs>
        <w:ind w:left="1429"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786"/>
        </w:tabs>
        <w:ind w:left="1786"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2143"/>
        </w:tabs>
        <w:ind w:left="2143"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500"/>
        </w:tabs>
        <w:ind w:left="2858" w:hanging="715"/>
      </w:pPr>
      <w:rPr>
        <w:rFonts w:ascii="Times New Roman" w:hAnsi="Times New Roman" w:hint="default"/>
        <w:b w:val="0"/>
        <w:i w:val="0"/>
        <w:sz w:val="24"/>
        <w:u w:val="none"/>
      </w:rPr>
    </w:lvl>
    <w:lvl w:ilvl="7">
      <w:start w:val="1"/>
      <w:numFmt w:val="none"/>
      <w:lvlText w:val=""/>
      <w:lvlJc w:val="left"/>
      <w:pPr>
        <w:tabs>
          <w:tab w:val="num" w:pos="2858"/>
        </w:tabs>
        <w:ind w:left="2858" w:hanging="358"/>
      </w:pPr>
      <w:rPr>
        <w:rFonts w:ascii="Times New Roman" w:hAnsi="Times New Roman" w:hint="default"/>
        <w:b w:val="0"/>
        <w:i w:val="0"/>
        <w:sz w:val="24"/>
        <w:u w:val="none"/>
      </w:rPr>
    </w:lvl>
    <w:lvl w:ilvl="8">
      <w:start w:val="1"/>
      <w:numFmt w:val="none"/>
      <w:suff w:val="nothing"/>
      <w:lvlText w:val=""/>
      <w:lvlJc w:val="left"/>
      <w:pPr>
        <w:ind w:left="3215" w:hanging="357"/>
      </w:pPr>
      <w:rPr>
        <w:rFonts w:ascii="Times New Roman" w:hAnsi="Times New Roman" w:hint="default"/>
        <w:b w:val="0"/>
        <w:i w:val="0"/>
        <w:sz w:val="24"/>
      </w:rPr>
    </w:lvl>
  </w:abstractNum>
  <w:abstractNum w:abstractNumId="23" w15:restartNumberingAfterBreak="0">
    <w:nsid w:val="66F4611A"/>
    <w:multiLevelType w:val="hybridMultilevel"/>
    <w:tmpl w:val="BC7C7308"/>
    <w:lvl w:ilvl="0" w:tplc="B6069F80">
      <w:start w:val="5"/>
      <w:numFmt w:val="bullet"/>
      <w:lvlText w:val="-"/>
      <w:lvlJc w:val="left"/>
      <w:pPr>
        <w:ind w:left="1500" w:hanging="360"/>
      </w:pPr>
      <w:rPr>
        <w:rFonts w:ascii="Arial" w:eastAsia="Times New Roman" w:hAnsi="Arial" w:cs="Aria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4" w15:restartNumberingAfterBreak="0">
    <w:nsid w:val="6B014A95"/>
    <w:multiLevelType w:val="hybridMultilevel"/>
    <w:tmpl w:val="0C768AD4"/>
    <w:lvl w:ilvl="0" w:tplc="D5662E4A">
      <w:start w:val="1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F8147E"/>
    <w:multiLevelType w:val="hybridMultilevel"/>
    <w:tmpl w:val="BA5AA58C"/>
    <w:lvl w:ilvl="0" w:tplc="5DC82146">
      <w:start w:val="1"/>
      <w:numFmt w:val="lowerLetter"/>
      <w:lvlText w:val="(%1)"/>
      <w:lvlJc w:val="left"/>
      <w:pPr>
        <w:ind w:left="644" w:hanging="360"/>
      </w:pPr>
      <w:rPr>
        <w:rFonts w:hint="default"/>
        <w:b/>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6" w15:restartNumberingAfterBreak="0">
    <w:nsid w:val="75C02AFD"/>
    <w:multiLevelType w:val="hybridMultilevel"/>
    <w:tmpl w:val="01D6EC88"/>
    <w:lvl w:ilvl="0" w:tplc="BA421138">
      <w:start w:val="1"/>
      <w:numFmt w:val="decimal"/>
      <w:lvlText w:val="%1."/>
      <w:lvlJc w:val="left"/>
      <w:pPr>
        <w:tabs>
          <w:tab w:val="num" w:pos="720"/>
        </w:tabs>
        <w:ind w:left="720" w:hanging="360"/>
      </w:pPr>
      <w:rPr>
        <w:b w:val="0"/>
        <w:i w:val="0"/>
      </w:rPr>
    </w:lvl>
    <w:lvl w:ilvl="1" w:tplc="0FDE10FA">
      <w:start w:val="1"/>
      <w:numFmt w:val="lowerLetter"/>
      <w:lvlText w:val="%2)"/>
      <w:lvlJc w:val="left"/>
      <w:pPr>
        <w:tabs>
          <w:tab w:val="num" w:pos="1440"/>
        </w:tabs>
        <w:ind w:left="1440" w:hanging="360"/>
      </w:pPr>
      <w:rPr>
        <w:b w:val="0"/>
        <w:i w:val="0"/>
      </w:rPr>
    </w:lvl>
    <w:lvl w:ilvl="2" w:tplc="D79C1E86">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77DB4D64"/>
    <w:multiLevelType w:val="hybridMultilevel"/>
    <w:tmpl w:val="72A21C3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78687C30"/>
    <w:multiLevelType w:val="hybridMultilevel"/>
    <w:tmpl w:val="B176A8DC"/>
    <w:lvl w:ilvl="0" w:tplc="8DA2280C">
      <w:start w:val="5"/>
      <w:numFmt w:val="bullet"/>
      <w:lvlText w:val="-"/>
      <w:lvlJc w:val="left"/>
      <w:pPr>
        <w:ind w:left="720" w:hanging="360"/>
      </w:pPr>
      <w:rPr>
        <w:rFonts w:ascii="Garamond" w:eastAsia="Times New Roman" w:hAnsi="Garamond" w:cs="Garamon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465803"/>
    <w:multiLevelType w:val="multilevel"/>
    <w:tmpl w:val="590EFE08"/>
    <w:name w:val="VLA Bullet List22"/>
    <w:lvl w:ilvl="0">
      <w:start w:val="1"/>
      <w:numFmt w:val="bullet"/>
      <w:lvlRestart w:val="0"/>
      <w:lvlText w:val=""/>
      <w:lvlJc w:val="left"/>
      <w:pPr>
        <w:tabs>
          <w:tab w:val="num" w:pos="357"/>
        </w:tabs>
        <w:ind w:left="357" w:hanging="357"/>
      </w:pPr>
      <w:rPr>
        <w:rFonts w:ascii="Symbol" w:hAnsi="Symbol" w:hint="default"/>
        <w:b w:val="0"/>
        <w:bCs w:val="0"/>
        <w:i w:val="0"/>
        <w:iCs w:val="0"/>
        <w:caps w:val="0"/>
        <w:small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714"/>
        </w:tabs>
        <w:ind w:left="714" w:hanging="357"/>
      </w:pPr>
      <w:rPr>
        <w:rFonts w:ascii="Courier New" w:hAnsi="Courier New"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072"/>
        </w:tabs>
        <w:ind w:left="1072" w:hanging="358"/>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4"/>
      <w:lvlJc w:val="left"/>
      <w:pPr>
        <w:tabs>
          <w:tab w:val="num" w:pos="1429"/>
        </w:tabs>
        <w:ind w:left="1429"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786"/>
        </w:tabs>
        <w:ind w:left="1786"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2143"/>
        </w:tabs>
        <w:ind w:left="2143"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500"/>
        </w:tabs>
        <w:ind w:left="2858" w:hanging="715"/>
      </w:pPr>
      <w:rPr>
        <w:rFonts w:ascii="Times New Roman" w:hAnsi="Times New Roman" w:hint="default"/>
        <w:b w:val="0"/>
        <w:i w:val="0"/>
        <w:sz w:val="24"/>
        <w:u w:val="none"/>
      </w:rPr>
    </w:lvl>
    <w:lvl w:ilvl="7">
      <w:start w:val="1"/>
      <w:numFmt w:val="none"/>
      <w:lvlText w:val=""/>
      <w:lvlJc w:val="left"/>
      <w:pPr>
        <w:tabs>
          <w:tab w:val="num" w:pos="2858"/>
        </w:tabs>
        <w:ind w:left="2858" w:hanging="358"/>
      </w:pPr>
      <w:rPr>
        <w:rFonts w:ascii="Times New Roman" w:hAnsi="Times New Roman" w:hint="default"/>
        <w:b w:val="0"/>
        <w:i w:val="0"/>
        <w:sz w:val="24"/>
        <w:u w:val="none"/>
      </w:rPr>
    </w:lvl>
    <w:lvl w:ilvl="8">
      <w:start w:val="1"/>
      <w:numFmt w:val="none"/>
      <w:suff w:val="nothing"/>
      <w:lvlText w:val=""/>
      <w:lvlJc w:val="left"/>
      <w:pPr>
        <w:ind w:left="3215" w:hanging="357"/>
      </w:pPr>
      <w:rPr>
        <w:rFonts w:ascii="Times New Roman" w:hAnsi="Times New Roman" w:hint="default"/>
        <w:b w:val="0"/>
        <w:i w:val="0"/>
        <w:sz w:val="24"/>
      </w:rPr>
    </w:lvl>
  </w:abstractNum>
  <w:num w:numId="1">
    <w:abstractNumId w:val="15"/>
  </w:num>
  <w:num w:numId="2">
    <w:abstractNumId w:val="9"/>
  </w:num>
  <w:num w:numId="3">
    <w:abstractNumId w:val="18"/>
  </w:num>
  <w:num w:numId="4">
    <w:abstractNumId w:val="16"/>
  </w:num>
  <w:num w:numId="5">
    <w:abstractNumId w:val="12"/>
  </w:num>
  <w:num w:numId="6">
    <w:abstractNumId w:val="18"/>
  </w:num>
  <w:num w:numId="7">
    <w:abstractNumId w:val="19"/>
  </w:num>
  <w:num w:numId="8">
    <w:abstractNumId w:val="18"/>
  </w:num>
  <w:num w:numId="9">
    <w:abstractNumId w:val="15"/>
  </w:num>
  <w:num w:numId="10">
    <w:abstractNumId w:val="12"/>
  </w:num>
  <w:num w:numId="11">
    <w:abstractNumId w:val="18"/>
  </w:num>
  <w:num w:numId="12">
    <w:abstractNumId w:val="18"/>
  </w:num>
  <w:num w:numId="13">
    <w:abstractNumId w:val="16"/>
  </w:num>
  <w:num w:numId="14">
    <w:abstractNumId w:val="16"/>
  </w:num>
  <w:num w:numId="15">
    <w:abstractNumId w:val="16"/>
  </w:num>
  <w:num w:numId="16">
    <w:abstractNumId w:val="15"/>
  </w:num>
  <w:num w:numId="17">
    <w:abstractNumId w:val="12"/>
  </w:num>
  <w:num w:numId="18">
    <w:abstractNumId w:val="18"/>
  </w:num>
  <w:num w:numId="19">
    <w:abstractNumId w:val="18"/>
  </w:num>
  <w:num w:numId="20">
    <w:abstractNumId w:val="16"/>
  </w:num>
  <w:num w:numId="21">
    <w:abstractNumId w:val="16"/>
  </w:num>
  <w:num w:numId="22">
    <w:abstractNumId w:val="16"/>
  </w:num>
  <w:num w:numId="23">
    <w:abstractNumId w:val="0"/>
  </w:num>
  <w:num w:numId="24">
    <w:abstractNumId w:val="5"/>
  </w:num>
  <w:num w:numId="25">
    <w:abstractNumId w:val="6"/>
  </w:num>
  <w:num w:numId="26">
    <w:abstractNumId w:val="4"/>
  </w:num>
  <w:num w:numId="27">
    <w:abstractNumId w:val="3"/>
  </w:num>
  <w:num w:numId="28">
    <w:abstractNumId w:val="2"/>
  </w:num>
  <w:num w:numId="29">
    <w:abstractNumId w:val="1"/>
  </w:num>
  <w:num w:numId="30">
    <w:abstractNumId w:val="14"/>
  </w:num>
  <w:num w:numId="31">
    <w:abstractNumId w:val="11"/>
  </w:num>
  <w:num w:numId="32">
    <w:abstractNumId w:val="27"/>
  </w:num>
  <w:num w:numId="33">
    <w:abstractNumId w:val="17"/>
  </w:num>
  <w:num w:numId="34">
    <w:abstractNumId w:val="28"/>
  </w:num>
  <w:num w:numId="35">
    <w:abstractNumId w:val="25"/>
  </w:num>
  <w:num w:numId="36">
    <w:abstractNumId w:val="7"/>
  </w:num>
  <w:num w:numId="37">
    <w:abstractNumId w:val="23"/>
  </w:num>
  <w:num w:numId="38">
    <w:abstractNumId w:val="21"/>
  </w:num>
  <w:num w:numId="39">
    <w:abstractNumId w:val="24"/>
  </w:num>
  <w:num w:numId="40">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mirrorMargins/>
  <w:hideSpellingErrors/>
  <w:hideGrammaticalErrors/>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9F2"/>
    <w:rsid w:val="0000389D"/>
    <w:rsid w:val="00007914"/>
    <w:rsid w:val="0001239C"/>
    <w:rsid w:val="000155A6"/>
    <w:rsid w:val="00021B5B"/>
    <w:rsid w:val="00022C70"/>
    <w:rsid w:val="00022C83"/>
    <w:rsid w:val="00022F0E"/>
    <w:rsid w:val="00022F62"/>
    <w:rsid w:val="00023D59"/>
    <w:rsid w:val="000240FD"/>
    <w:rsid w:val="00032AEA"/>
    <w:rsid w:val="00032AF3"/>
    <w:rsid w:val="0003391B"/>
    <w:rsid w:val="00036CBE"/>
    <w:rsid w:val="00044208"/>
    <w:rsid w:val="0005492F"/>
    <w:rsid w:val="00055B69"/>
    <w:rsid w:val="00056D16"/>
    <w:rsid w:val="000579AC"/>
    <w:rsid w:val="000603A6"/>
    <w:rsid w:val="0006086D"/>
    <w:rsid w:val="000610FC"/>
    <w:rsid w:val="00061235"/>
    <w:rsid w:val="00062699"/>
    <w:rsid w:val="00064B2A"/>
    <w:rsid w:val="00067995"/>
    <w:rsid w:val="00081356"/>
    <w:rsid w:val="000833C7"/>
    <w:rsid w:val="00084C6C"/>
    <w:rsid w:val="0009119D"/>
    <w:rsid w:val="00091211"/>
    <w:rsid w:val="00092B0D"/>
    <w:rsid w:val="00094AED"/>
    <w:rsid w:val="000A4403"/>
    <w:rsid w:val="000A711A"/>
    <w:rsid w:val="000B02D8"/>
    <w:rsid w:val="000B0AB6"/>
    <w:rsid w:val="000B278C"/>
    <w:rsid w:val="000B7992"/>
    <w:rsid w:val="000C01A9"/>
    <w:rsid w:val="000C080E"/>
    <w:rsid w:val="000C0B84"/>
    <w:rsid w:val="000C661A"/>
    <w:rsid w:val="000C6B1B"/>
    <w:rsid w:val="000D41D7"/>
    <w:rsid w:val="000D4F97"/>
    <w:rsid w:val="000D700F"/>
    <w:rsid w:val="000D7E23"/>
    <w:rsid w:val="000E0695"/>
    <w:rsid w:val="000E1DEC"/>
    <w:rsid w:val="000E4B9B"/>
    <w:rsid w:val="000E7142"/>
    <w:rsid w:val="000E7CF7"/>
    <w:rsid w:val="000F4E46"/>
    <w:rsid w:val="00101CBD"/>
    <w:rsid w:val="00114C38"/>
    <w:rsid w:val="00114EE2"/>
    <w:rsid w:val="0011572E"/>
    <w:rsid w:val="001165F0"/>
    <w:rsid w:val="00116B17"/>
    <w:rsid w:val="00120AB9"/>
    <w:rsid w:val="00122328"/>
    <w:rsid w:val="00124D25"/>
    <w:rsid w:val="00130286"/>
    <w:rsid w:val="001352D0"/>
    <w:rsid w:val="001362F0"/>
    <w:rsid w:val="0014270F"/>
    <w:rsid w:val="0014452D"/>
    <w:rsid w:val="00145768"/>
    <w:rsid w:val="001479F2"/>
    <w:rsid w:val="00153A2F"/>
    <w:rsid w:val="00156F81"/>
    <w:rsid w:val="00161EEF"/>
    <w:rsid w:val="00167250"/>
    <w:rsid w:val="00175D56"/>
    <w:rsid w:val="00176A23"/>
    <w:rsid w:val="0018251F"/>
    <w:rsid w:val="001829E6"/>
    <w:rsid w:val="00186868"/>
    <w:rsid w:val="00192FC1"/>
    <w:rsid w:val="001A17AA"/>
    <w:rsid w:val="001A4F51"/>
    <w:rsid w:val="001B1415"/>
    <w:rsid w:val="001B270D"/>
    <w:rsid w:val="001C4BC6"/>
    <w:rsid w:val="001D4A2D"/>
    <w:rsid w:val="001D569F"/>
    <w:rsid w:val="001D67F4"/>
    <w:rsid w:val="001D7244"/>
    <w:rsid w:val="001E05EA"/>
    <w:rsid w:val="001E0A52"/>
    <w:rsid w:val="001E5143"/>
    <w:rsid w:val="001E67C8"/>
    <w:rsid w:val="001E730B"/>
    <w:rsid w:val="001F5717"/>
    <w:rsid w:val="001F6FFA"/>
    <w:rsid w:val="001F7353"/>
    <w:rsid w:val="00203DDD"/>
    <w:rsid w:val="00211593"/>
    <w:rsid w:val="0021585A"/>
    <w:rsid w:val="00216D3A"/>
    <w:rsid w:val="002171D9"/>
    <w:rsid w:val="002174C7"/>
    <w:rsid w:val="002202F8"/>
    <w:rsid w:val="002228E1"/>
    <w:rsid w:val="00223A57"/>
    <w:rsid w:val="002320F5"/>
    <w:rsid w:val="00235EFF"/>
    <w:rsid w:val="00241904"/>
    <w:rsid w:val="002435C9"/>
    <w:rsid w:val="00244A60"/>
    <w:rsid w:val="00245449"/>
    <w:rsid w:val="00245530"/>
    <w:rsid w:val="00250E46"/>
    <w:rsid w:val="00253B9E"/>
    <w:rsid w:val="002574E0"/>
    <w:rsid w:val="00261B9C"/>
    <w:rsid w:val="00262D02"/>
    <w:rsid w:val="0026649B"/>
    <w:rsid w:val="00267B08"/>
    <w:rsid w:val="002769FB"/>
    <w:rsid w:val="002816D4"/>
    <w:rsid w:val="00285AD4"/>
    <w:rsid w:val="0028686A"/>
    <w:rsid w:val="002903B2"/>
    <w:rsid w:val="0029348C"/>
    <w:rsid w:val="00294136"/>
    <w:rsid w:val="0029727E"/>
    <w:rsid w:val="002A002A"/>
    <w:rsid w:val="002A3D1D"/>
    <w:rsid w:val="002A7402"/>
    <w:rsid w:val="002A7A10"/>
    <w:rsid w:val="002B0E06"/>
    <w:rsid w:val="002B0F04"/>
    <w:rsid w:val="002B4970"/>
    <w:rsid w:val="002C091F"/>
    <w:rsid w:val="002C3341"/>
    <w:rsid w:val="002D273C"/>
    <w:rsid w:val="002D6AD4"/>
    <w:rsid w:val="002E023A"/>
    <w:rsid w:val="002E04A7"/>
    <w:rsid w:val="002E64B6"/>
    <w:rsid w:val="002F5B29"/>
    <w:rsid w:val="0030112F"/>
    <w:rsid w:val="0030591D"/>
    <w:rsid w:val="00305D85"/>
    <w:rsid w:val="00307C02"/>
    <w:rsid w:val="00310AB6"/>
    <w:rsid w:val="003118D2"/>
    <w:rsid w:val="00312431"/>
    <w:rsid w:val="00317499"/>
    <w:rsid w:val="00322FF0"/>
    <w:rsid w:val="00335922"/>
    <w:rsid w:val="00342E16"/>
    <w:rsid w:val="00343DAA"/>
    <w:rsid w:val="003472ED"/>
    <w:rsid w:val="00362524"/>
    <w:rsid w:val="003628D1"/>
    <w:rsid w:val="0036511B"/>
    <w:rsid w:val="00371282"/>
    <w:rsid w:val="00372327"/>
    <w:rsid w:val="00376112"/>
    <w:rsid w:val="00376198"/>
    <w:rsid w:val="003775EB"/>
    <w:rsid w:val="00383710"/>
    <w:rsid w:val="00384660"/>
    <w:rsid w:val="00386ACB"/>
    <w:rsid w:val="00386CDB"/>
    <w:rsid w:val="00387842"/>
    <w:rsid w:val="003902F7"/>
    <w:rsid w:val="003921FD"/>
    <w:rsid w:val="00396334"/>
    <w:rsid w:val="003A13F2"/>
    <w:rsid w:val="003A2302"/>
    <w:rsid w:val="003A27DB"/>
    <w:rsid w:val="003A406E"/>
    <w:rsid w:val="003A5726"/>
    <w:rsid w:val="003B6366"/>
    <w:rsid w:val="003B6D20"/>
    <w:rsid w:val="003C075B"/>
    <w:rsid w:val="003C1EBE"/>
    <w:rsid w:val="003C2F49"/>
    <w:rsid w:val="003C4A7F"/>
    <w:rsid w:val="003C6D44"/>
    <w:rsid w:val="003C7A7F"/>
    <w:rsid w:val="003D29C2"/>
    <w:rsid w:val="003E020E"/>
    <w:rsid w:val="003E17D1"/>
    <w:rsid w:val="003E409C"/>
    <w:rsid w:val="003E5D82"/>
    <w:rsid w:val="003F1827"/>
    <w:rsid w:val="003F1956"/>
    <w:rsid w:val="003F1C1E"/>
    <w:rsid w:val="003F2117"/>
    <w:rsid w:val="003F48A9"/>
    <w:rsid w:val="003F4A53"/>
    <w:rsid w:val="003F55A5"/>
    <w:rsid w:val="003F6005"/>
    <w:rsid w:val="00405889"/>
    <w:rsid w:val="0041181E"/>
    <w:rsid w:val="00411C79"/>
    <w:rsid w:val="00415CFD"/>
    <w:rsid w:val="00423CC7"/>
    <w:rsid w:val="00423DE6"/>
    <w:rsid w:val="00425A8B"/>
    <w:rsid w:val="004269DA"/>
    <w:rsid w:val="00427C0E"/>
    <w:rsid w:val="00430641"/>
    <w:rsid w:val="004365C6"/>
    <w:rsid w:val="00441067"/>
    <w:rsid w:val="0044205D"/>
    <w:rsid w:val="00442077"/>
    <w:rsid w:val="00442DBC"/>
    <w:rsid w:val="00444824"/>
    <w:rsid w:val="00447C30"/>
    <w:rsid w:val="0045435F"/>
    <w:rsid w:val="00461AE2"/>
    <w:rsid w:val="00462BA5"/>
    <w:rsid w:val="00462C13"/>
    <w:rsid w:val="004637BC"/>
    <w:rsid w:val="0046548B"/>
    <w:rsid w:val="0046578E"/>
    <w:rsid w:val="0046694C"/>
    <w:rsid w:val="0047088C"/>
    <w:rsid w:val="0047292C"/>
    <w:rsid w:val="00476116"/>
    <w:rsid w:val="004767C8"/>
    <w:rsid w:val="0048037C"/>
    <w:rsid w:val="00481371"/>
    <w:rsid w:val="00492DDE"/>
    <w:rsid w:val="00493B23"/>
    <w:rsid w:val="004940D9"/>
    <w:rsid w:val="00495490"/>
    <w:rsid w:val="00496242"/>
    <w:rsid w:val="00496687"/>
    <w:rsid w:val="004A13D0"/>
    <w:rsid w:val="004B12B4"/>
    <w:rsid w:val="004B397E"/>
    <w:rsid w:val="004B6273"/>
    <w:rsid w:val="004D3B12"/>
    <w:rsid w:val="004D46E9"/>
    <w:rsid w:val="004D6C1A"/>
    <w:rsid w:val="004E0688"/>
    <w:rsid w:val="004E2C5B"/>
    <w:rsid w:val="004E3E64"/>
    <w:rsid w:val="004E511B"/>
    <w:rsid w:val="004E77C6"/>
    <w:rsid w:val="004F1880"/>
    <w:rsid w:val="004F2CD9"/>
    <w:rsid w:val="0050056A"/>
    <w:rsid w:val="005027AF"/>
    <w:rsid w:val="00502FF6"/>
    <w:rsid w:val="005100FD"/>
    <w:rsid w:val="005104C9"/>
    <w:rsid w:val="005118FC"/>
    <w:rsid w:val="00520FB3"/>
    <w:rsid w:val="00521801"/>
    <w:rsid w:val="005253A7"/>
    <w:rsid w:val="00526462"/>
    <w:rsid w:val="005272D5"/>
    <w:rsid w:val="005314CA"/>
    <w:rsid w:val="005347BD"/>
    <w:rsid w:val="005375A4"/>
    <w:rsid w:val="00540B43"/>
    <w:rsid w:val="00540BB2"/>
    <w:rsid w:val="0054738D"/>
    <w:rsid w:val="00550CAC"/>
    <w:rsid w:val="005608B5"/>
    <w:rsid w:val="0056148F"/>
    <w:rsid w:val="00564311"/>
    <w:rsid w:val="0056464E"/>
    <w:rsid w:val="00567614"/>
    <w:rsid w:val="005703AC"/>
    <w:rsid w:val="005731B6"/>
    <w:rsid w:val="00573914"/>
    <w:rsid w:val="005750B4"/>
    <w:rsid w:val="005769A8"/>
    <w:rsid w:val="00592B53"/>
    <w:rsid w:val="00593883"/>
    <w:rsid w:val="005A01BE"/>
    <w:rsid w:val="005A04D1"/>
    <w:rsid w:val="005A0EF8"/>
    <w:rsid w:val="005A3407"/>
    <w:rsid w:val="005A6F40"/>
    <w:rsid w:val="005A7F72"/>
    <w:rsid w:val="005B0BCD"/>
    <w:rsid w:val="005B1444"/>
    <w:rsid w:val="005B2676"/>
    <w:rsid w:val="005B3F98"/>
    <w:rsid w:val="005B40B1"/>
    <w:rsid w:val="005B4BAD"/>
    <w:rsid w:val="005B57F3"/>
    <w:rsid w:val="005B676C"/>
    <w:rsid w:val="005C0FB3"/>
    <w:rsid w:val="005D103A"/>
    <w:rsid w:val="005D1354"/>
    <w:rsid w:val="005D2340"/>
    <w:rsid w:val="005D5637"/>
    <w:rsid w:val="005D6E43"/>
    <w:rsid w:val="005E1158"/>
    <w:rsid w:val="005E248A"/>
    <w:rsid w:val="005E2EFC"/>
    <w:rsid w:val="005E3CA0"/>
    <w:rsid w:val="005E3EF9"/>
    <w:rsid w:val="005F193F"/>
    <w:rsid w:val="005F3B19"/>
    <w:rsid w:val="005F7D8E"/>
    <w:rsid w:val="0060449D"/>
    <w:rsid w:val="00604558"/>
    <w:rsid w:val="00605C95"/>
    <w:rsid w:val="006151E7"/>
    <w:rsid w:val="006174D7"/>
    <w:rsid w:val="006260BB"/>
    <w:rsid w:val="00627C6E"/>
    <w:rsid w:val="006300E4"/>
    <w:rsid w:val="00635503"/>
    <w:rsid w:val="006368C5"/>
    <w:rsid w:val="00640994"/>
    <w:rsid w:val="00641566"/>
    <w:rsid w:val="00642DDE"/>
    <w:rsid w:val="00650B16"/>
    <w:rsid w:val="00653753"/>
    <w:rsid w:val="00653D29"/>
    <w:rsid w:val="00653DD4"/>
    <w:rsid w:val="00655130"/>
    <w:rsid w:val="00657BC3"/>
    <w:rsid w:val="006613A1"/>
    <w:rsid w:val="0066175E"/>
    <w:rsid w:val="0066180F"/>
    <w:rsid w:val="00661E60"/>
    <w:rsid w:val="00665568"/>
    <w:rsid w:val="00666AA4"/>
    <w:rsid w:val="00675072"/>
    <w:rsid w:val="00675BF8"/>
    <w:rsid w:val="0067640B"/>
    <w:rsid w:val="006819A3"/>
    <w:rsid w:val="006831FC"/>
    <w:rsid w:val="00683F81"/>
    <w:rsid w:val="0068734B"/>
    <w:rsid w:val="00687605"/>
    <w:rsid w:val="006942B2"/>
    <w:rsid w:val="00696BAC"/>
    <w:rsid w:val="006A0723"/>
    <w:rsid w:val="006A4971"/>
    <w:rsid w:val="006A5F7D"/>
    <w:rsid w:val="006A6A7D"/>
    <w:rsid w:val="006B2384"/>
    <w:rsid w:val="006B261F"/>
    <w:rsid w:val="006B3A18"/>
    <w:rsid w:val="006B6401"/>
    <w:rsid w:val="006B7DD2"/>
    <w:rsid w:val="006C29E7"/>
    <w:rsid w:val="006C3D4C"/>
    <w:rsid w:val="006C4CA7"/>
    <w:rsid w:val="006C5C6D"/>
    <w:rsid w:val="006C6416"/>
    <w:rsid w:val="006D01A4"/>
    <w:rsid w:val="006D6806"/>
    <w:rsid w:val="006D6838"/>
    <w:rsid w:val="006E0E58"/>
    <w:rsid w:val="006E2882"/>
    <w:rsid w:val="006E2AD6"/>
    <w:rsid w:val="006E2FA2"/>
    <w:rsid w:val="006E3195"/>
    <w:rsid w:val="006F0570"/>
    <w:rsid w:val="006F0961"/>
    <w:rsid w:val="006F3856"/>
    <w:rsid w:val="006F3902"/>
    <w:rsid w:val="006F4119"/>
    <w:rsid w:val="00701F9E"/>
    <w:rsid w:val="00704AD7"/>
    <w:rsid w:val="00707B1D"/>
    <w:rsid w:val="0071324F"/>
    <w:rsid w:val="00714771"/>
    <w:rsid w:val="0071587B"/>
    <w:rsid w:val="00715AB7"/>
    <w:rsid w:val="00716188"/>
    <w:rsid w:val="00721CEB"/>
    <w:rsid w:val="00723368"/>
    <w:rsid w:val="00723943"/>
    <w:rsid w:val="0072683B"/>
    <w:rsid w:val="00733602"/>
    <w:rsid w:val="00733FA0"/>
    <w:rsid w:val="00736267"/>
    <w:rsid w:val="0075285A"/>
    <w:rsid w:val="007538CC"/>
    <w:rsid w:val="007550FB"/>
    <w:rsid w:val="00756788"/>
    <w:rsid w:val="0075718B"/>
    <w:rsid w:val="007600C3"/>
    <w:rsid w:val="00762B1A"/>
    <w:rsid w:val="00762B6D"/>
    <w:rsid w:val="00763D0D"/>
    <w:rsid w:val="00774F94"/>
    <w:rsid w:val="00775DFF"/>
    <w:rsid w:val="007767BD"/>
    <w:rsid w:val="0078022B"/>
    <w:rsid w:val="007825F3"/>
    <w:rsid w:val="00783185"/>
    <w:rsid w:val="00787335"/>
    <w:rsid w:val="0079243B"/>
    <w:rsid w:val="007933F4"/>
    <w:rsid w:val="00795CD8"/>
    <w:rsid w:val="007966A5"/>
    <w:rsid w:val="007B6D12"/>
    <w:rsid w:val="007D08B2"/>
    <w:rsid w:val="007D163B"/>
    <w:rsid w:val="007D6853"/>
    <w:rsid w:val="007D7535"/>
    <w:rsid w:val="007E40E8"/>
    <w:rsid w:val="007E4CB8"/>
    <w:rsid w:val="007E54F6"/>
    <w:rsid w:val="007E76DB"/>
    <w:rsid w:val="007F0DD3"/>
    <w:rsid w:val="007F3078"/>
    <w:rsid w:val="007F3786"/>
    <w:rsid w:val="007F4F62"/>
    <w:rsid w:val="007F52A9"/>
    <w:rsid w:val="007F6758"/>
    <w:rsid w:val="00800301"/>
    <w:rsid w:val="00811FE7"/>
    <w:rsid w:val="008125D5"/>
    <w:rsid w:val="00815BEA"/>
    <w:rsid w:val="00816C68"/>
    <w:rsid w:val="0082631B"/>
    <w:rsid w:val="0083009F"/>
    <w:rsid w:val="00835928"/>
    <w:rsid w:val="00835DCC"/>
    <w:rsid w:val="00836A4D"/>
    <w:rsid w:val="008377A1"/>
    <w:rsid w:val="008425B2"/>
    <w:rsid w:val="008450E7"/>
    <w:rsid w:val="00850401"/>
    <w:rsid w:val="00850BE7"/>
    <w:rsid w:val="008520C4"/>
    <w:rsid w:val="008529DB"/>
    <w:rsid w:val="00853BDA"/>
    <w:rsid w:val="00855D9B"/>
    <w:rsid w:val="0085710F"/>
    <w:rsid w:val="0085776F"/>
    <w:rsid w:val="008600C3"/>
    <w:rsid w:val="0086099D"/>
    <w:rsid w:val="008636CA"/>
    <w:rsid w:val="0086698D"/>
    <w:rsid w:val="00871F8F"/>
    <w:rsid w:val="008730D3"/>
    <w:rsid w:val="00877F88"/>
    <w:rsid w:val="00880E08"/>
    <w:rsid w:val="00882689"/>
    <w:rsid w:val="00885238"/>
    <w:rsid w:val="008879BC"/>
    <w:rsid w:val="00892C36"/>
    <w:rsid w:val="00894C55"/>
    <w:rsid w:val="008A067C"/>
    <w:rsid w:val="008A208A"/>
    <w:rsid w:val="008A62CE"/>
    <w:rsid w:val="008A64D5"/>
    <w:rsid w:val="008B5442"/>
    <w:rsid w:val="008B6507"/>
    <w:rsid w:val="008B6EEB"/>
    <w:rsid w:val="008C072E"/>
    <w:rsid w:val="008C4E01"/>
    <w:rsid w:val="008C61AD"/>
    <w:rsid w:val="008D2523"/>
    <w:rsid w:val="008F0579"/>
    <w:rsid w:val="008F057C"/>
    <w:rsid w:val="008F1F0B"/>
    <w:rsid w:val="008F3558"/>
    <w:rsid w:val="008F36EC"/>
    <w:rsid w:val="008F52B9"/>
    <w:rsid w:val="008F726E"/>
    <w:rsid w:val="00911151"/>
    <w:rsid w:val="00913E7B"/>
    <w:rsid w:val="00914747"/>
    <w:rsid w:val="00917DE9"/>
    <w:rsid w:val="009222C6"/>
    <w:rsid w:val="009253A4"/>
    <w:rsid w:val="00925672"/>
    <w:rsid w:val="0093361D"/>
    <w:rsid w:val="00937339"/>
    <w:rsid w:val="0094252E"/>
    <w:rsid w:val="00945E43"/>
    <w:rsid w:val="00946548"/>
    <w:rsid w:val="00953ADC"/>
    <w:rsid w:val="00953C0F"/>
    <w:rsid w:val="0095636C"/>
    <w:rsid w:val="00957221"/>
    <w:rsid w:val="009642AF"/>
    <w:rsid w:val="0096599F"/>
    <w:rsid w:val="00966861"/>
    <w:rsid w:val="00970A7E"/>
    <w:rsid w:val="00972C17"/>
    <w:rsid w:val="00981F6A"/>
    <w:rsid w:val="00984399"/>
    <w:rsid w:val="00985F71"/>
    <w:rsid w:val="00986D99"/>
    <w:rsid w:val="009879A6"/>
    <w:rsid w:val="009916D9"/>
    <w:rsid w:val="009922E5"/>
    <w:rsid w:val="009935B5"/>
    <w:rsid w:val="00993B2F"/>
    <w:rsid w:val="009A227B"/>
    <w:rsid w:val="009A23DB"/>
    <w:rsid w:val="009A2930"/>
    <w:rsid w:val="009A6798"/>
    <w:rsid w:val="009B6E4E"/>
    <w:rsid w:val="009C1230"/>
    <w:rsid w:val="009C12DD"/>
    <w:rsid w:val="009C1AA4"/>
    <w:rsid w:val="009D0F76"/>
    <w:rsid w:val="009D17A8"/>
    <w:rsid w:val="009D3968"/>
    <w:rsid w:val="009E120D"/>
    <w:rsid w:val="009E7D5E"/>
    <w:rsid w:val="009F1228"/>
    <w:rsid w:val="009F197D"/>
    <w:rsid w:val="009F2795"/>
    <w:rsid w:val="009F2F9E"/>
    <w:rsid w:val="009F362B"/>
    <w:rsid w:val="009F700A"/>
    <w:rsid w:val="009F7A4E"/>
    <w:rsid w:val="009F7A60"/>
    <w:rsid w:val="00A070A4"/>
    <w:rsid w:val="00A07AA6"/>
    <w:rsid w:val="00A134FD"/>
    <w:rsid w:val="00A171DA"/>
    <w:rsid w:val="00A25235"/>
    <w:rsid w:val="00A26B48"/>
    <w:rsid w:val="00A30C8A"/>
    <w:rsid w:val="00A31078"/>
    <w:rsid w:val="00A32909"/>
    <w:rsid w:val="00A36B6A"/>
    <w:rsid w:val="00A408B9"/>
    <w:rsid w:val="00A41D4D"/>
    <w:rsid w:val="00A448DA"/>
    <w:rsid w:val="00A45308"/>
    <w:rsid w:val="00A4589B"/>
    <w:rsid w:val="00A50665"/>
    <w:rsid w:val="00A54495"/>
    <w:rsid w:val="00A551BE"/>
    <w:rsid w:val="00A57551"/>
    <w:rsid w:val="00A611C3"/>
    <w:rsid w:val="00A63371"/>
    <w:rsid w:val="00A712DE"/>
    <w:rsid w:val="00A75111"/>
    <w:rsid w:val="00A75D37"/>
    <w:rsid w:val="00A80FFC"/>
    <w:rsid w:val="00A82893"/>
    <w:rsid w:val="00A84861"/>
    <w:rsid w:val="00A849A8"/>
    <w:rsid w:val="00A91807"/>
    <w:rsid w:val="00A940C0"/>
    <w:rsid w:val="00A94752"/>
    <w:rsid w:val="00A96986"/>
    <w:rsid w:val="00A97399"/>
    <w:rsid w:val="00AA0AB4"/>
    <w:rsid w:val="00AA2CCE"/>
    <w:rsid w:val="00AA5335"/>
    <w:rsid w:val="00AB6BFF"/>
    <w:rsid w:val="00AC1D04"/>
    <w:rsid w:val="00AC2B72"/>
    <w:rsid w:val="00AC464A"/>
    <w:rsid w:val="00AC4F7C"/>
    <w:rsid w:val="00AD652C"/>
    <w:rsid w:val="00AD695F"/>
    <w:rsid w:val="00AE00C0"/>
    <w:rsid w:val="00AE146B"/>
    <w:rsid w:val="00AE1D8D"/>
    <w:rsid w:val="00AE256D"/>
    <w:rsid w:val="00AF2A04"/>
    <w:rsid w:val="00AF56AB"/>
    <w:rsid w:val="00AF5D4C"/>
    <w:rsid w:val="00AF6134"/>
    <w:rsid w:val="00AF7E3A"/>
    <w:rsid w:val="00B0000B"/>
    <w:rsid w:val="00B00B79"/>
    <w:rsid w:val="00B01519"/>
    <w:rsid w:val="00B02819"/>
    <w:rsid w:val="00B03BFA"/>
    <w:rsid w:val="00B06A86"/>
    <w:rsid w:val="00B07747"/>
    <w:rsid w:val="00B10045"/>
    <w:rsid w:val="00B10A7F"/>
    <w:rsid w:val="00B15AF0"/>
    <w:rsid w:val="00B1619F"/>
    <w:rsid w:val="00B17AC3"/>
    <w:rsid w:val="00B215AF"/>
    <w:rsid w:val="00B21F06"/>
    <w:rsid w:val="00B22672"/>
    <w:rsid w:val="00B23F19"/>
    <w:rsid w:val="00B3125C"/>
    <w:rsid w:val="00B37955"/>
    <w:rsid w:val="00B41378"/>
    <w:rsid w:val="00B42E73"/>
    <w:rsid w:val="00B50EFF"/>
    <w:rsid w:val="00B512C1"/>
    <w:rsid w:val="00B515BD"/>
    <w:rsid w:val="00B556D7"/>
    <w:rsid w:val="00B55CEB"/>
    <w:rsid w:val="00B56F07"/>
    <w:rsid w:val="00B60A4B"/>
    <w:rsid w:val="00B611FB"/>
    <w:rsid w:val="00B647BB"/>
    <w:rsid w:val="00B70E99"/>
    <w:rsid w:val="00B728AE"/>
    <w:rsid w:val="00B8276D"/>
    <w:rsid w:val="00B8316F"/>
    <w:rsid w:val="00B90A51"/>
    <w:rsid w:val="00B921BF"/>
    <w:rsid w:val="00B9248C"/>
    <w:rsid w:val="00B93DDD"/>
    <w:rsid w:val="00B97EFB"/>
    <w:rsid w:val="00B97EFF"/>
    <w:rsid w:val="00BA1EF1"/>
    <w:rsid w:val="00BA222F"/>
    <w:rsid w:val="00BA6D49"/>
    <w:rsid w:val="00BB1F72"/>
    <w:rsid w:val="00BB2E00"/>
    <w:rsid w:val="00BB352E"/>
    <w:rsid w:val="00BB4E37"/>
    <w:rsid w:val="00BC0A8A"/>
    <w:rsid w:val="00BC4D4B"/>
    <w:rsid w:val="00BC518C"/>
    <w:rsid w:val="00BD1123"/>
    <w:rsid w:val="00BD12F6"/>
    <w:rsid w:val="00BD1929"/>
    <w:rsid w:val="00BD51C9"/>
    <w:rsid w:val="00BE0E09"/>
    <w:rsid w:val="00BE0E40"/>
    <w:rsid w:val="00BE25A1"/>
    <w:rsid w:val="00BE4443"/>
    <w:rsid w:val="00BE63A6"/>
    <w:rsid w:val="00BE7FD7"/>
    <w:rsid w:val="00BF073A"/>
    <w:rsid w:val="00BF1BDA"/>
    <w:rsid w:val="00BF2273"/>
    <w:rsid w:val="00BF772E"/>
    <w:rsid w:val="00C01CCA"/>
    <w:rsid w:val="00C01D35"/>
    <w:rsid w:val="00C148F9"/>
    <w:rsid w:val="00C15C7C"/>
    <w:rsid w:val="00C16A13"/>
    <w:rsid w:val="00C16A43"/>
    <w:rsid w:val="00C171FB"/>
    <w:rsid w:val="00C20338"/>
    <w:rsid w:val="00C22FC4"/>
    <w:rsid w:val="00C27D47"/>
    <w:rsid w:val="00C310E5"/>
    <w:rsid w:val="00C322E4"/>
    <w:rsid w:val="00C349DD"/>
    <w:rsid w:val="00C424F6"/>
    <w:rsid w:val="00C449F2"/>
    <w:rsid w:val="00C45712"/>
    <w:rsid w:val="00C4614D"/>
    <w:rsid w:val="00C46FA9"/>
    <w:rsid w:val="00C50731"/>
    <w:rsid w:val="00C50F92"/>
    <w:rsid w:val="00C5490E"/>
    <w:rsid w:val="00C564C2"/>
    <w:rsid w:val="00C568E5"/>
    <w:rsid w:val="00C578A3"/>
    <w:rsid w:val="00C627F5"/>
    <w:rsid w:val="00C62CED"/>
    <w:rsid w:val="00C63B9E"/>
    <w:rsid w:val="00C63FAD"/>
    <w:rsid w:val="00C67188"/>
    <w:rsid w:val="00C70818"/>
    <w:rsid w:val="00C74608"/>
    <w:rsid w:val="00C74806"/>
    <w:rsid w:val="00C7643B"/>
    <w:rsid w:val="00C76860"/>
    <w:rsid w:val="00C76ACB"/>
    <w:rsid w:val="00C7726D"/>
    <w:rsid w:val="00C85211"/>
    <w:rsid w:val="00C85612"/>
    <w:rsid w:val="00C864B0"/>
    <w:rsid w:val="00C86B61"/>
    <w:rsid w:val="00C915FE"/>
    <w:rsid w:val="00C94F22"/>
    <w:rsid w:val="00C96789"/>
    <w:rsid w:val="00CA1AE0"/>
    <w:rsid w:val="00CA228A"/>
    <w:rsid w:val="00CA2364"/>
    <w:rsid w:val="00CA48B4"/>
    <w:rsid w:val="00CA4F9B"/>
    <w:rsid w:val="00CA5BC6"/>
    <w:rsid w:val="00CA7422"/>
    <w:rsid w:val="00CB0828"/>
    <w:rsid w:val="00CB5042"/>
    <w:rsid w:val="00CB6506"/>
    <w:rsid w:val="00CC0C03"/>
    <w:rsid w:val="00CC3C4C"/>
    <w:rsid w:val="00CC582A"/>
    <w:rsid w:val="00CC77B0"/>
    <w:rsid w:val="00CD3FE4"/>
    <w:rsid w:val="00CD7698"/>
    <w:rsid w:val="00CE29C1"/>
    <w:rsid w:val="00CE4C2F"/>
    <w:rsid w:val="00CE52ED"/>
    <w:rsid w:val="00CF14EA"/>
    <w:rsid w:val="00CF1809"/>
    <w:rsid w:val="00CF28DF"/>
    <w:rsid w:val="00CF4DAF"/>
    <w:rsid w:val="00CF5A46"/>
    <w:rsid w:val="00CF7865"/>
    <w:rsid w:val="00D02858"/>
    <w:rsid w:val="00D066FE"/>
    <w:rsid w:val="00D2112B"/>
    <w:rsid w:val="00D30EB3"/>
    <w:rsid w:val="00D336A2"/>
    <w:rsid w:val="00D3598A"/>
    <w:rsid w:val="00D43222"/>
    <w:rsid w:val="00D43920"/>
    <w:rsid w:val="00D47B4C"/>
    <w:rsid w:val="00D508E1"/>
    <w:rsid w:val="00D51B10"/>
    <w:rsid w:val="00D51B33"/>
    <w:rsid w:val="00D540C1"/>
    <w:rsid w:val="00D55D39"/>
    <w:rsid w:val="00D60A46"/>
    <w:rsid w:val="00D60F54"/>
    <w:rsid w:val="00D622EF"/>
    <w:rsid w:val="00D64351"/>
    <w:rsid w:val="00D66827"/>
    <w:rsid w:val="00D70525"/>
    <w:rsid w:val="00D7143E"/>
    <w:rsid w:val="00D72E35"/>
    <w:rsid w:val="00D77FC5"/>
    <w:rsid w:val="00D80D87"/>
    <w:rsid w:val="00D84A36"/>
    <w:rsid w:val="00D86BA1"/>
    <w:rsid w:val="00D86C2C"/>
    <w:rsid w:val="00D87556"/>
    <w:rsid w:val="00D87E34"/>
    <w:rsid w:val="00D917C3"/>
    <w:rsid w:val="00DA11EB"/>
    <w:rsid w:val="00DA29C4"/>
    <w:rsid w:val="00DA504D"/>
    <w:rsid w:val="00DA65D8"/>
    <w:rsid w:val="00DA7209"/>
    <w:rsid w:val="00DA7AB8"/>
    <w:rsid w:val="00DB2E04"/>
    <w:rsid w:val="00DB3599"/>
    <w:rsid w:val="00DB4850"/>
    <w:rsid w:val="00DB51EF"/>
    <w:rsid w:val="00DB62DA"/>
    <w:rsid w:val="00DB7701"/>
    <w:rsid w:val="00DC0364"/>
    <w:rsid w:val="00DC2052"/>
    <w:rsid w:val="00DC23F4"/>
    <w:rsid w:val="00DC3C22"/>
    <w:rsid w:val="00DD2752"/>
    <w:rsid w:val="00DD3C6A"/>
    <w:rsid w:val="00DD4A85"/>
    <w:rsid w:val="00DD6C7D"/>
    <w:rsid w:val="00DD721D"/>
    <w:rsid w:val="00DD777B"/>
    <w:rsid w:val="00DD7A52"/>
    <w:rsid w:val="00DE7F55"/>
    <w:rsid w:val="00DF312A"/>
    <w:rsid w:val="00DF4036"/>
    <w:rsid w:val="00DF4A76"/>
    <w:rsid w:val="00DF5256"/>
    <w:rsid w:val="00DF7306"/>
    <w:rsid w:val="00E004C5"/>
    <w:rsid w:val="00E00F9A"/>
    <w:rsid w:val="00E071BE"/>
    <w:rsid w:val="00E13F9E"/>
    <w:rsid w:val="00E1488D"/>
    <w:rsid w:val="00E15C73"/>
    <w:rsid w:val="00E15F96"/>
    <w:rsid w:val="00E24A08"/>
    <w:rsid w:val="00E36631"/>
    <w:rsid w:val="00E36CAF"/>
    <w:rsid w:val="00E42BB4"/>
    <w:rsid w:val="00E46C9D"/>
    <w:rsid w:val="00E47201"/>
    <w:rsid w:val="00E51BB7"/>
    <w:rsid w:val="00E52D83"/>
    <w:rsid w:val="00E54C26"/>
    <w:rsid w:val="00E56568"/>
    <w:rsid w:val="00E60B03"/>
    <w:rsid w:val="00E61A54"/>
    <w:rsid w:val="00E63B15"/>
    <w:rsid w:val="00E6688C"/>
    <w:rsid w:val="00E71F77"/>
    <w:rsid w:val="00E72E37"/>
    <w:rsid w:val="00E77322"/>
    <w:rsid w:val="00E8483F"/>
    <w:rsid w:val="00E8492E"/>
    <w:rsid w:val="00E859D4"/>
    <w:rsid w:val="00E9228F"/>
    <w:rsid w:val="00E9306F"/>
    <w:rsid w:val="00E952C6"/>
    <w:rsid w:val="00E96F91"/>
    <w:rsid w:val="00EA1560"/>
    <w:rsid w:val="00EA5E0A"/>
    <w:rsid w:val="00EA6D5E"/>
    <w:rsid w:val="00EB1B22"/>
    <w:rsid w:val="00EB1B74"/>
    <w:rsid w:val="00EB23B0"/>
    <w:rsid w:val="00EB2BF3"/>
    <w:rsid w:val="00EB30B3"/>
    <w:rsid w:val="00EC1FF1"/>
    <w:rsid w:val="00EC3306"/>
    <w:rsid w:val="00EC6B29"/>
    <w:rsid w:val="00ED4E7B"/>
    <w:rsid w:val="00ED5FF7"/>
    <w:rsid w:val="00EE1259"/>
    <w:rsid w:val="00EE5DC2"/>
    <w:rsid w:val="00EE685D"/>
    <w:rsid w:val="00EF0EE1"/>
    <w:rsid w:val="00EF7DDD"/>
    <w:rsid w:val="00F009C7"/>
    <w:rsid w:val="00F03063"/>
    <w:rsid w:val="00F0425C"/>
    <w:rsid w:val="00F06D04"/>
    <w:rsid w:val="00F116E5"/>
    <w:rsid w:val="00F11750"/>
    <w:rsid w:val="00F125E0"/>
    <w:rsid w:val="00F20C0A"/>
    <w:rsid w:val="00F244BF"/>
    <w:rsid w:val="00F2554F"/>
    <w:rsid w:val="00F25B9E"/>
    <w:rsid w:val="00F26E0A"/>
    <w:rsid w:val="00F311E9"/>
    <w:rsid w:val="00F31F4C"/>
    <w:rsid w:val="00F320FD"/>
    <w:rsid w:val="00F3291B"/>
    <w:rsid w:val="00F3461C"/>
    <w:rsid w:val="00F3505A"/>
    <w:rsid w:val="00F36D12"/>
    <w:rsid w:val="00F470AF"/>
    <w:rsid w:val="00F471FC"/>
    <w:rsid w:val="00F526FE"/>
    <w:rsid w:val="00F52AE0"/>
    <w:rsid w:val="00F55FCE"/>
    <w:rsid w:val="00F65B6A"/>
    <w:rsid w:val="00F667C0"/>
    <w:rsid w:val="00F709B4"/>
    <w:rsid w:val="00F70DD6"/>
    <w:rsid w:val="00F74D76"/>
    <w:rsid w:val="00F76A63"/>
    <w:rsid w:val="00F773E8"/>
    <w:rsid w:val="00F80B60"/>
    <w:rsid w:val="00F81107"/>
    <w:rsid w:val="00F82AB6"/>
    <w:rsid w:val="00F8381F"/>
    <w:rsid w:val="00F83EC1"/>
    <w:rsid w:val="00F84688"/>
    <w:rsid w:val="00F85E49"/>
    <w:rsid w:val="00F92EA5"/>
    <w:rsid w:val="00F94332"/>
    <w:rsid w:val="00F96C67"/>
    <w:rsid w:val="00FA5F59"/>
    <w:rsid w:val="00FB5744"/>
    <w:rsid w:val="00FB7C15"/>
    <w:rsid w:val="00FC00C1"/>
    <w:rsid w:val="00FC078C"/>
    <w:rsid w:val="00FC2237"/>
    <w:rsid w:val="00FC7073"/>
    <w:rsid w:val="00FD0652"/>
    <w:rsid w:val="00FD15B2"/>
    <w:rsid w:val="00FD3ABB"/>
    <w:rsid w:val="00FD5308"/>
    <w:rsid w:val="00FD56E4"/>
    <w:rsid w:val="00FE1C01"/>
    <w:rsid w:val="00FE24F9"/>
    <w:rsid w:val="00FE51AD"/>
    <w:rsid w:val="00FE7411"/>
    <w:rsid w:val="00FF22FF"/>
    <w:rsid w:val="00FF2868"/>
    <w:rsid w:val="00FF33BC"/>
    <w:rsid w:val="00FF3EB8"/>
    <w:rsid w:val="00FF65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644C262-CA1A-4D38-A977-51306B24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6DB"/>
    <w:pPr>
      <w:spacing w:after="120" w:line="300" w:lineRule="atLeast"/>
    </w:pPr>
    <w:rPr>
      <w:rFonts w:ascii="Arial" w:hAnsi="Arial"/>
      <w:sz w:val="22"/>
      <w:szCs w:val="24"/>
      <w:lang w:eastAsia="en-US"/>
    </w:rPr>
  </w:style>
  <w:style w:type="paragraph" w:styleId="Heading1">
    <w:name w:val="heading 1"/>
    <w:next w:val="Normal"/>
    <w:link w:val="Heading1Char"/>
    <w:qFormat/>
    <w:rsid w:val="0094252E"/>
    <w:pPr>
      <w:keepNext/>
      <w:spacing w:before="240" w:after="120" w:line="300" w:lineRule="atLeast"/>
      <w:outlineLvl w:val="0"/>
    </w:pPr>
    <w:rPr>
      <w:rFonts w:ascii="Arial" w:hAnsi="Arial" w:cs="Arial"/>
      <w:b/>
      <w:bCs/>
      <w:color w:val="971A4B"/>
      <w:kern w:val="32"/>
      <w:sz w:val="32"/>
      <w:szCs w:val="32"/>
    </w:rPr>
  </w:style>
  <w:style w:type="paragraph" w:styleId="Heading2">
    <w:name w:val="heading 2"/>
    <w:next w:val="Normal"/>
    <w:qFormat/>
    <w:rsid w:val="0094252E"/>
    <w:pPr>
      <w:keepNext/>
      <w:spacing w:before="240" w:after="120" w:line="300" w:lineRule="atLeast"/>
      <w:outlineLvl w:val="1"/>
    </w:pPr>
    <w:rPr>
      <w:rFonts w:ascii="Arial" w:hAnsi="Arial" w:cs="Arial"/>
      <w:b/>
      <w:bCs/>
      <w:iCs/>
      <w:color w:val="971A4B"/>
      <w:sz w:val="28"/>
      <w:szCs w:val="28"/>
    </w:rPr>
  </w:style>
  <w:style w:type="paragraph" w:styleId="Heading3">
    <w:name w:val="heading 3"/>
    <w:next w:val="Normal"/>
    <w:qFormat/>
    <w:rsid w:val="007E76DB"/>
    <w:pPr>
      <w:keepNext/>
      <w:spacing w:before="240" w:after="120" w:line="300" w:lineRule="atLeast"/>
      <w:outlineLvl w:val="2"/>
    </w:pPr>
    <w:rPr>
      <w:rFonts w:ascii="Arial" w:hAnsi="Arial" w:cs="Arial"/>
      <w:b/>
      <w:bCs/>
      <w:sz w:val="26"/>
      <w:szCs w:val="26"/>
    </w:rPr>
  </w:style>
  <w:style w:type="paragraph" w:styleId="Heading4">
    <w:name w:val="heading 4"/>
    <w:basedOn w:val="Heading3"/>
    <w:qFormat/>
    <w:rsid w:val="007E76DB"/>
    <w:pPr>
      <w:outlineLvl w:val="3"/>
    </w:pPr>
    <w:rPr>
      <w:sz w:val="24"/>
      <w:szCs w:val="24"/>
    </w:rPr>
  </w:style>
  <w:style w:type="paragraph" w:styleId="Heading5">
    <w:name w:val="heading 5"/>
    <w:basedOn w:val="Normal"/>
    <w:qFormat/>
    <w:rsid w:val="007E76DB"/>
    <w:pPr>
      <w:spacing w:before="240"/>
      <w:outlineLvl w:val="4"/>
    </w:pPr>
    <w:rPr>
      <w:b/>
    </w:rPr>
  </w:style>
  <w:style w:type="paragraph" w:styleId="Heading6">
    <w:name w:val="heading 6"/>
    <w:basedOn w:val="Heading5"/>
    <w:next w:val="Normal"/>
    <w:qFormat/>
    <w:rsid w:val="007E76DB"/>
    <w:pPr>
      <w:outlineLvl w:val="5"/>
    </w:pPr>
  </w:style>
  <w:style w:type="paragraph" w:styleId="Heading7">
    <w:name w:val="heading 7"/>
    <w:basedOn w:val="Heading6"/>
    <w:next w:val="Normal"/>
    <w:qFormat/>
    <w:rsid w:val="007E76DB"/>
    <w:pPr>
      <w:outlineLvl w:val="6"/>
    </w:pPr>
  </w:style>
  <w:style w:type="paragraph" w:styleId="Heading8">
    <w:name w:val="heading 8"/>
    <w:basedOn w:val="Heading7"/>
    <w:next w:val="Normal"/>
    <w:qFormat/>
    <w:rsid w:val="007E76DB"/>
    <w:pPr>
      <w:outlineLvl w:val="7"/>
    </w:pPr>
  </w:style>
  <w:style w:type="paragraph" w:styleId="Heading9">
    <w:name w:val="heading 9"/>
    <w:basedOn w:val="Heading8"/>
    <w:next w:val="Normal"/>
    <w:qFormat/>
    <w:rsid w:val="007E7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picture">
    <w:name w:val="VLA picture"/>
    <w:next w:val="Normal"/>
    <w:rsid w:val="007E76DB"/>
    <w:pPr>
      <w:spacing w:after="120" w:line="300" w:lineRule="atLeast"/>
    </w:pPr>
    <w:rPr>
      <w:rFonts w:ascii="Arial" w:hAnsi="Arial"/>
      <w:sz w:val="22"/>
      <w:szCs w:val="24"/>
      <w:lang w:eastAsia="en-US"/>
    </w:rPr>
  </w:style>
  <w:style w:type="paragraph" w:styleId="ListBullet">
    <w:name w:val="List Bullet"/>
    <w:rsid w:val="007E76DB"/>
    <w:pPr>
      <w:numPr>
        <w:numId w:val="17"/>
      </w:numPr>
      <w:spacing w:after="120" w:line="300" w:lineRule="atLeast"/>
    </w:pPr>
    <w:rPr>
      <w:rFonts w:ascii="Arial" w:hAnsi="Arial"/>
      <w:sz w:val="22"/>
      <w:szCs w:val="24"/>
      <w:lang w:eastAsia="en-US"/>
    </w:rPr>
  </w:style>
  <w:style w:type="paragraph" w:styleId="ListBullet2">
    <w:name w:val="List Bullet 2"/>
    <w:rsid w:val="007E76DB"/>
    <w:pPr>
      <w:numPr>
        <w:ilvl w:val="1"/>
        <w:numId w:val="19"/>
      </w:numPr>
      <w:spacing w:after="120" w:line="300" w:lineRule="atLeast"/>
    </w:pPr>
    <w:rPr>
      <w:rFonts w:ascii="Arial" w:hAnsi="Arial"/>
      <w:sz w:val="22"/>
      <w:szCs w:val="24"/>
      <w:lang w:eastAsia="en-US"/>
    </w:rPr>
  </w:style>
  <w:style w:type="paragraph" w:styleId="ListBullet3">
    <w:name w:val="List Bullet 3"/>
    <w:rsid w:val="007E76DB"/>
    <w:pPr>
      <w:numPr>
        <w:ilvl w:val="2"/>
        <w:numId w:val="19"/>
      </w:numPr>
      <w:spacing w:after="120" w:line="300" w:lineRule="atLeast"/>
    </w:pPr>
    <w:rPr>
      <w:rFonts w:ascii="Arial" w:hAnsi="Arial"/>
      <w:sz w:val="22"/>
      <w:szCs w:val="24"/>
      <w:lang w:eastAsia="en-US"/>
    </w:rPr>
  </w:style>
  <w:style w:type="paragraph" w:customStyle="1" w:styleId="VLA1">
    <w:name w:val="VLA 1."/>
    <w:aliases w:val="2.,3."/>
    <w:rsid w:val="007E76DB"/>
    <w:pPr>
      <w:numPr>
        <w:numId w:val="22"/>
      </w:numPr>
      <w:spacing w:after="120" w:line="300" w:lineRule="atLeast"/>
    </w:pPr>
    <w:rPr>
      <w:rFonts w:ascii="Arial" w:hAnsi="Arial"/>
      <w:sz w:val="22"/>
      <w:szCs w:val="24"/>
      <w:lang w:eastAsia="en-US"/>
    </w:rPr>
  </w:style>
  <w:style w:type="paragraph" w:customStyle="1" w:styleId="VLAa">
    <w:name w:val="VLA a."/>
    <w:aliases w:val="b.,c."/>
    <w:rsid w:val="007E76DB"/>
    <w:pPr>
      <w:numPr>
        <w:ilvl w:val="1"/>
        <w:numId w:val="22"/>
      </w:numPr>
      <w:spacing w:after="120" w:line="300" w:lineRule="atLeast"/>
    </w:pPr>
    <w:rPr>
      <w:rFonts w:ascii="Arial" w:hAnsi="Arial"/>
      <w:sz w:val="22"/>
      <w:szCs w:val="24"/>
      <w:lang w:eastAsia="en-US"/>
    </w:rPr>
  </w:style>
  <w:style w:type="paragraph" w:customStyle="1" w:styleId="VLAi">
    <w:name w:val="VLA i."/>
    <w:aliases w:val="ii.,iii."/>
    <w:rsid w:val="007E76DB"/>
    <w:pPr>
      <w:numPr>
        <w:ilvl w:val="2"/>
        <w:numId w:val="22"/>
      </w:numPr>
      <w:spacing w:after="120" w:line="300" w:lineRule="atLeast"/>
    </w:pPr>
    <w:rPr>
      <w:rFonts w:ascii="Arial" w:hAnsi="Arial"/>
      <w:sz w:val="22"/>
      <w:szCs w:val="24"/>
      <w:lang w:eastAsia="en-US"/>
    </w:rPr>
  </w:style>
  <w:style w:type="paragraph" w:customStyle="1" w:styleId="VLAdate">
    <w:name w:val="VLA date"/>
    <w:basedOn w:val="VLAsubtitle"/>
    <w:qFormat/>
    <w:rsid w:val="007E76DB"/>
    <w:rPr>
      <w:b w:val="0"/>
      <w:sz w:val="24"/>
    </w:rPr>
  </w:style>
  <w:style w:type="paragraph" w:styleId="FootnoteText">
    <w:name w:val="footnote text"/>
    <w:aliases w:val="Footnote Text Char1"/>
    <w:basedOn w:val="Normal"/>
    <w:link w:val="FootnoteTextChar"/>
    <w:uiPriority w:val="99"/>
    <w:rsid w:val="007E76DB"/>
    <w:pPr>
      <w:ind w:left="284" w:hanging="284"/>
    </w:pPr>
    <w:rPr>
      <w:sz w:val="18"/>
      <w:szCs w:val="20"/>
    </w:rPr>
  </w:style>
  <w:style w:type="paragraph" w:styleId="Header">
    <w:name w:val="header"/>
    <w:rsid w:val="0094252E"/>
    <w:pPr>
      <w:pBdr>
        <w:bottom w:val="single" w:sz="4" w:space="1" w:color="971A4B"/>
      </w:pBdr>
      <w:tabs>
        <w:tab w:val="center" w:pos="4604"/>
        <w:tab w:val="right" w:pos="9214"/>
      </w:tabs>
      <w:spacing w:line="240" w:lineRule="atLeast"/>
    </w:pPr>
    <w:rPr>
      <w:rFonts w:ascii="Arial" w:hAnsi="Arial"/>
      <w:sz w:val="22"/>
      <w:szCs w:val="24"/>
      <w:lang w:eastAsia="en-US"/>
    </w:rPr>
  </w:style>
  <w:style w:type="paragraph" w:customStyle="1" w:styleId="Contents">
    <w:name w:val="Contents"/>
    <w:basedOn w:val="VLAdivision"/>
    <w:next w:val="Normal"/>
    <w:rsid w:val="0094252E"/>
  </w:style>
  <w:style w:type="character" w:styleId="Hyperlink">
    <w:name w:val="Hyperlink"/>
    <w:uiPriority w:val="99"/>
    <w:rsid w:val="007E76DB"/>
    <w:rPr>
      <w:rFonts w:ascii="Arial" w:hAnsi="Arial"/>
      <w:color w:val="0000FF"/>
      <w:u w:val="single"/>
      <w:lang w:val="en-AU"/>
    </w:rPr>
  </w:style>
  <w:style w:type="paragraph" w:styleId="Title">
    <w:name w:val="Title"/>
    <w:qFormat/>
    <w:rsid w:val="0094252E"/>
    <w:pPr>
      <w:spacing w:before="2000" w:after="240" w:line="400" w:lineRule="exact"/>
      <w:outlineLvl w:val="0"/>
    </w:pPr>
    <w:rPr>
      <w:rFonts w:ascii="Arial Bold" w:hAnsi="Arial Bold" w:cs="Arial"/>
      <w:b/>
      <w:bCs/>
      <w:color w:val="971A4B"/>
      <w:kern w:val="28"/>
      <w:sz w:val="36"/>
      <w:szCs w:val="32"/>
      <w:lang w:eastAsia="en-US"/>
    </w:rPr>
  </w:style>
  <w:style w:type="table" w:styleId="TableGrid">
    <w:name w:val="Table Grid"/>
    <w:basedOn w:val="TableNormal"/>
    <w:rsid w:val="007E76DB"/>
    <w:pPr>
      <w:spacing w:before="60" w:after="60"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rsid w:val="007E76DB"/>
    <w:pPr>
      <w:tabs>
        <w:tab w:val="right" w:leader="dot" w:pos="9790"/>
      </w:tabs>
      <w:spacing w:before="60" w:after="60"/>
      <w:ind w:left="567" w:right="760" w:hanging="567"/>
    </w:pPr>
    <w:rPr>
      <w:rFonts w:ascii="Arial" w:hAnsi="Arial"/>
      <w:b/>
      <w:szCs w:val="24"/>
      <w:lang w:eastAsia="en-US"/>
    </w:rPr>
  </w:style>
  <w:style w:type="paragraph" w:styleId="ListBullet4">
    <w:name w:val="List Bullet 4"/>
    <w:basedOn w:val="Normal"/>
    <w:semiHidden/>
    <w:rsid w:val="007E76DB"/>
    <w:pPr>
      <w:spacing w:after="80"/>
    </w:pPr>
  </w:style>
  <w:style w:type="character" w:styleId="PageNumber">
    <w:name w:val="page number"/>
    <w:semiHidden/>
    <w:rsid w:val="007E76DB"/>
    <w:rPr>
      <w:rFonts w:ascii="Arial" w:hAnsi="Arial"/>
      <w:sz w:val="18"/>
    </w:rPr>
  </w:style>
  <w:style w:type="paragraph" w:customStyle="1" w:styleId="Appendix">
    <w:name w:val="Appendix"/>
    <w:next w:val="Normal"/>
    <w:rsid w:val="0094252E"/>
    <w:pPr>
      <w:numPr>
        <w:numId w:val="16"/>
      </w:numPr>
      <w:spacing w:before="240" w:after="240" w:line="280" w:lineRule="exact"/>
    </w:pPr>
    <w:rPr>
      <w:rFonts w:ascii="Arial" w:hAnsi="Arial" w:cs="Arial"/>
      <w:b/>
      <w:bCs/>
      <w:color w:val="971A4B"/>
      <w:kern w:val="32"/>
      <w:sz w:val="28"/>
      <w:szCs w:val="32"/>
    </w:rPr>
  </w:style>
  <w:style w:type="paragraph" w:customStyle="1" w:styleId="VLAtitle">
    <w:name w:val="VLA title"/>
    <w:basedOn w:val="Title"/>
    <w:rsid w:val="0094252E"/>
    <w:rPr>
      <w:rFonts w:ascii="Arial" w:hAnsi="Arial"/>
    </w:rPr>
  </w:style>
  <w:style w:type="paragraph" w:customStyle="1" w:styleId="VLAsubtitle">
    <w:name w:val="VLA subtitle"/>
    <w:basedOn w:val="Normal"/>
    <w:rsid w:val="007E76DB"/>
    <w:pPr>
      <w:spacing w:before="240" w:after="240" w:line="240" w:lineRule="atLeast"/>
    </w:pPr>
    <w:rPr>
      <w:b/>
      <w:bCs/>
      <w:sz w:val="28"/>
      <w:szCs w:val="28"/>
    </w:rPr>
  </w:style>
  <w:style w:type="paragraph" w:customStyle="1" w:styleId="VLAauthor">
    <w:name w:val="VLA author"/>
    <w:basedOn w:val="Normal"/>
    <w:next w:val="VLAdivision"/>
    <w:rsid w:val="0094252E"/>
    <w:pPr>
      <w:spacing w:before="240" w:after="60"/>
    </w:pPr>
    <w:rPr>
      <w:b/>
      <w:color w:val="971A4B"/>
      <w:sz w:val="28"/>
      <w:szCs w:val="28"/>
      <w:lang w:eastAsia="en-AU"/>
    </w:rPr>
  </w:style>
  <w:style w:type="paragraph" w:customStyle="1" w:styleId="VLAdivision">
    <w:name w:val="VLA division"/>
    <w:basedOn w:val="Normal"/>
    <w:next w:val="VLAauthor"/>
    <w:rsid w:val="0094252E"/>
    <w:pPr>
      <w:spacing w:before="60" w:after="240"/>
    </w:pPr>
    <w:rPr>
      <w:b/>
      <w:color w:val="971A4B"/>
      <w:sz w:val="28"/>
      <w:szCs w:val="28"/>
      <w:lang w:eastAsia="en-AU"/>
    </w:rPr>
  </w:style>
  <w:style w:type="paragraph" w:customStyle="1" w:styleId="VLApublicationdate">
    <w:name w:val="VLA publication date"/>
    <w:basedOn w:val="Normal"/>
    <w:rsid w:val="007E76DB"/>
    <w:pPr>
      <w:spacing w:before="1000"/>
    </w:pPr>
    <w:rPr>
      <w:b/>
      <w:sz w:val="28"/>
      <w:szCs w:val="20"/>
      <w:lang w:eastAsia="en-AU"/>
    </w:rPr>
  </w:style>
  <w:style w:type="paragraph" w:customStyle="1" w:styleId="VLAcaption">
    <w:name w:val="VLA caption"/>
    <w:basedOn w:val="Normal"/>
    <w:next w:val="Normal"/>
    <w:rsid w:val="007E76DB"/>
    <w:rPr>
      <w:i/>
      <w:sz w:val="20"/>
    </w:rPr>
  </w:style>
  <w:style w:type="paragraph" w:customStyle="1" w:styleId="Confidentialityclause">
    <w:name w:val="Confidentiality clause"/>
    <w:rsid w:val="007E76DB"/>
    <w:pPr>
      <w:spacing w:after="120"/>
    </w:pPr>
    <w:rPr>
      <w:rFonts w:ascii="Arial" w:hAnsi="Arial"/>
      <w:bCs/>
      <w:kern w:val="28"/>
      <w:sz w:val="18"/>
      <w:lang w:eastAsia="en-US"/>
    </w:rPr>
  </w:style>
  <w:style w:type="character" w:styleId="FootnoteReference">
    <w:name w:val="footnote reference"/>
    <w:uiPriority w:val="99"/>
    <w:rsid w:val="007E76DB"/>
    <w:rPr>
      <w:rFonts w:ascii="Arial" w:hAnsi="Arial"/>
      <w:sz w:val="18"/>
      <w:vertAlign w:val="superscript"/>
    </w:rPr>
  </w:style>
  <w:style w:type="paragraph" w:customStyle="1" w:styleId="Filename">
    <w:name w:val="Filename"/>
    <w:basedOn w:val="Normal"/>
    <w:rsid w:val="0094252E"/>
    <w:pPr>
      <w:pBdr>
        <w:top w:val="single" w:sz="4" w:space="1" w:color="971A4B"/>
      </w:pBdr>
      <w:tabs>
        <w:tab w:val="right" w:pos="9240"/>
      </w:tabs>
    </w:pPr>
    <w:rPr>
      <w:sz w:val="18"/>
    </w:rPr>
  </w:style>
  <w:style w:type="paragraph" w:styleId="TOC2">
    <w:name w:val="toc 2"/>
    <w:basedOn w:val="Normal"/>
    <w:next w:val="Normal"/>
    <w:rsid w:val="007E76DB"/>
    <w:pPr>
      <w:tabs>
        <w:tab w:val="right" w:leader="dot" w:pos="9790"/>
      </w:tabs>
      <w:spacing w:before="60" w:after="60"/>
      <w:ind w:left="330" w:right="650"/>
    </w:pPr>
    <w:rPr>
      <w:noProof/>
      <w:sz w:val="20"/>
    </w:rPr>
  </w:style>
  <w:style w:type="paragraph" w:styleId="TOC3">
    <w:name w:val="toc 3"/>
    <w:basedOn w:val="Normal"/>
    <w:next w:val="Normal"/>
    <w:rsid w:val="007E76DB"/>
    <w:pPr>
      <w:tabs>
        <w:tab w:val="right" w:leader="dot" w:pos="9790"/>
      </w:tabs>
      <w:spacing w:before="60" w:after="60"/>
      <w:ind w:left="550" w:right="760"/>
    </w:pPr>
    <w:rPr>
      <w:noProof/>
      <w:sz w:val="20"/>
    </w:rPr>
  </w:style>
  <w:style w:type="paragraph" w:styleId="Footer">
    <w:name w:val="footer"/>
    <w:basedOn w:val="Normal"/>
    <w:rsid w:val="007E76DB"/>
    <w:pPr>
      <w:tabs>
        <w:tab w:val="center" w:pos="4153"/>
        <w:tab w:val="right" w:pos="8306"/>
      </w:tabs>
    </w:pPr>
  </w:style>
  <w:style w:type="paragraph" w:customStyle="1" w:styleId="VLAquotation">
    <w:name w:val="VLA quotation"/>
    <w:basedOn w:val="VLApicture"/>
    <w:rsid w:val="007E76DB"/>
    <w:pPr>
      <w:ind w:left="720"/>
    </w:pPr>
    <w:rPr>
      <w:i/>
    </w:rPr>
  </w:style>
  <w:style w:type="paragraph" w:customStyle="1" w:styleId="VLAdefinition">
    <w:name w:val="VLA definition"/>
    <w:basedOn w:val="Normal"/>
    <w:rsid w:val="007E76DB"/>
    <w:pPr>
      <w:tabs>
        <w:tab w:val="left" w:pos="2268"/>
      </w:tabs>
      <w:spacing w:before="60"/>
      <w:ind w:left="2268" w:hanging="2268"/>
    </w:pPr>
    <w:rPr>
      <w:szCs w:val="22"/>
    </w:rPr>
  </w:style>
  <w:style w:type="character" w:styleId="Strong">
    <w:name w:val="Strong"/>
    <w:uiPriority w:val="22"/>
    <w:qFormat/>
    <w:rsid w:val="007E76DB"/>
    <w:rPr>
      <w:b/>
      <w:bCs/>
    </w:rPr>
  </w:style>
  <w:style w:type="paragraph" w:customStyle="1" w:styleId="NormalBold">
    <w:name w:val="Normal Bold"/>
    <w:basedOn w:val="Normal"/>
    <w:next w:val="Normal"/>
    <w:rsid w:val="00957221"/>
    <w:rPr>
      <w:b/>
      <w:lang w:eastAsia="en-AU"/>
    </w:rPr>
  </w:style>
  <w:style w:type="paragraph" w:customStyle="1" w:styleId="Normalbold0">
    <w:name w:val="Normal bold"/>
    <w:basedOn w:val="Normal"/>
    <w:next w:val="Normal"/>
    <w:rsid w:val="007E76DB"/>
    <w:rPr>
      <w:b/>
      <w:lang w:eastAsia="en-AU"/>
    </w:rPr>
  </w:style>
  <w:style w:type="paragraph" w:customStyle="1" w:styleId="Normalwithborder">
    <w:name w:val="Normal with border"/>
    <w:basedOn w:val="Heading5"/>
    <w:qFormat/>
    <w:rsid w:val="007E76DB"/>
  </w:style>
  <w:style w:type="paragraph" w:customStyle="1" w:styleId="AppendixH1">
    <w:name w:val="Appendix H1"/>
    <w:next w:val="Normal"/>
    <w:rsid w:val="0094252E"/>
    <w:pPr>
      <w:spacing w:before="240" w:after="240" w:line="300" w:lineRule="atLeast"/>
    </w:pPr>
    <w:rPr>
      <w:rFonts w:ascii="Arial" w:hAnsi="Arial" w:cs="Arial"/>
      <w:b/>
      <w:bCs/>
      <w:color w:val="971A4B"/>
      <w:kern w:val="32"/>
      <w:sz w:val="28"/>
      <w:szCs w:val="26"/>
    </w:rPr>
  </w:style>
  <w:style w:type="paragraph" w:customStyle="1" w:styleId="AppendixH2">
    <w:name w:val="Appendix H2"/>
    <w:next w:val="Normal"/>
    <w:rsid w:val="0094252E"/>
    <w:pPr>
      <w:spacing w:before="160" w:after="40" w:line="300" w:lineRule="atLeast"/>
    </w:pPr>
    <w:rPr>
      <w:rFonts w:ascii="Arial" w:hAnsi="Arial" w:cs="Arial"/>
      <w:b/>
      <w:bCs/>
      <w:iCs/>
      <w:color w:val="971A4B"/>
      <w:sz w:val="26"/>
      <w:szCs w:val="28"/>
    </w:rPr>
  </w:style>
  <w:style w:type="paragraph" w:customStyle="1" w:styleId="AppendixH3">
    <w:name w:val="Appendix H3"/>
    <w:next w:val="Normal"/>
    <w:rsid w:val="007E76DB"/>
    <w:pPr>
      <w:spacing w:before="120" w:after="40" w:line="300" w:lineRule="atLeast"/>
    </w:pPr>
    <w:rPr>
      <w:rFonts w:ascii="Arial" w:hAnsi="Arial" w:cs="Arial"/>
      <w:b/>
      <w:bCs/>
      <w:sz w:val="24"/>
      <w:szCs w:val="26"/>
    </w:rPr>
  </w:style>
  <w:style w:type="paragraph" w:customStyle="1" w:styleId="Normalwithgreyhighlightbox">
    <w:name w:val="Normal with grey highlight box"/>
    <w:basedOn w:val="Heading4"/>
    <w:qFormat/>
    <w:rsid w:val="007E76DB"/>
  </w:style>
  <w:style w:type="paragraph" w:customStyle="1" w:styleId="VLALetterText">
    <w:name w:val="VLA Letter Text"/>
    <w:uiPriority w:val="1"/>
    <w:qFormat/>
    <w:rsid w:val="00C449F2"/>
    <w:pPr>
      <w:spacing w:after="120" w:line="300" w:lineRule="atLeast"/>
    </w:pPr>
    <w:rPr>
      <w:rFonts w:ascii="Arial" w:hAnsi="Arial"/>
      <w:sz w:val="22"/>
      <w:szCs w:val="24"/>
      <w:lang w:eastAsia="en-US"/>
    </w:rPr>
  </w:style>
  <w:style w:type="character" w:customStyle="1" w:styleId="FootnoteTextChar">
    <w:name w:val="Footnote Text Char"/>
    <w:aliases w:val="Footnote Text Char1 Char"/>
    <w:basedOn w:val="DefaultParagraphFont"/>
    <w:link w:val="FootnoteText"/>
    <w:uiPriority w:val="99"/>
    <w:rsid w:val="00C449F2"/>
    <w:rPr>
      <w:rFonts w:ascii="Arial" w:hAnsi="Arial"/>
      <w:sz w:val="18"/>
      <w:lang w:eastAsia="en-US"/>
    </w:rPr>
  </w:style>
  <w:style w:type="character" w:styleId="CommentReference">
    <w:name w:val="annotation reference"/>
    <w:rsid w:val="00CB0828"/>
    <w:rPr>
      <w:sz w:val="16"/>
      <w:szCs w:val="16"/>
    </w:rPr>
  </w:style>
  <w:style w:type="paragraph" w:styleId="CommentText">
    <w:name w:val="annotation text"/>
    <w:basedOn w:val="Normal"/>
    <w:link w:val="CommentTextChar"/>
    <w:rsid w:val="00CB0828"/>
    <w:pPr>
      <w:spacing w:after="200" w:line="276" w:lineRule="auto"/>
    </w:pPr>
    <w:rPr>
      <w:rFonts w:ascii="Tw Cen MT" w:eastAsia="Tw Cen MT" w:hAnsi="Tw Cen MT"/>
      <w:sz w:val="20"/>
      <w:szCs w:val="20"/>
    </w:rPr>
  </w:style>
  <w:style w:type="character" w:customStyle="1" w:styleId="CommentTextChar">
    <w:name w:val="Comment Text Char"/>
    <w:basedOn w:val="DefaultParagraphFont"/>
    <w:link w:val="CommentText"/>
    <w:rsid w:val="00CB0828"/>
    <w:rPr>
      <w:rFonts w:ascii="Tw Cen MT" w:eastAsia="Tw Cen MT" w:hAnsi="Tw Cen MT"/>
      <w:lang w:eastAsia="en-US"/>
    </w:rPr>
  </w:style>
  <w:style w:type="paragraph" w:styleId="BalloonText">
    <w:name w:val="Balloon Text"/>
    <w:basedOn w:val="Normal"/>
    <w:link w:val="BalloonTextChar"/>
    <w:rsid w:val="00CB0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B0828"/>
    <w:rPr>
      <w:rFonts w:ascii="Segoe UI" w:hAnsi="Segoe UI" w:cs="Segoe UI"/>
      <w:sz w:val="18"/>
      <w:szCs w:val="18"/>
      <w:lang w:eastAsia="en-US"/>
    </w:rPr>
  </w:style>
  <w:style w:type="paragraph" w:styleId="CommentSubject">
    <w:name w:val="annotation subject"/>
    <w:basedOn w:val="CommentText"/>
    <w:next w:val="CommentText"/>
    <w:link w:val="CommentSubjectChar"/>
    <w:rsid w:val="00D43222"/>
    <w:pPr>
      <w:spacing w:after="120" w:line="240" w:lineRule="auto"/>
    </w:pPr>
    <w:rPr>
      <w:rFonts w:ascii="Arial" w:eastAsia="Times New Roman" w:hAnsi="Arial"/>
      <w:b/>
      <w:bCs/>
    </w:rPr>
  </w:style>
  <w:style w:type="character" w:customStyle="1" w:styleId="CommentSubjectChar">
    <w:name w:val="Comment Subject Char"/>
    <w:basedOn w:val="CommentTextChar"/>
    <w:link w:val="CommentSubject"/>
    <w:rsid w:val="00D43222"/>
    <w:rPr>
      <w:rFonts w:ascii="Arial" w:eastAsia="Tw Cen MT" w:hAnsi="Arial"/>
      <w:b/>
      <w:bCs/>
      <w:lang w:eastAsia="en-US"/>
    </w:rPr>
  </w:style>
  <w:style w:type="paragraph" w:customStyle="1" w:styleId="Default">
    <w:name w:val="Default"/>
    <w:rsid w:val="00CA2364"/>
    <w:pPr>
      <w:autoSpaceDE w:val="0"/>
      <w:autoSpaceDN w:val="0"/>
      <w:adjustRightInd w:val="0"/>
    </w:pPr>
    <w:rPr>
      <w:rFonts w:ascii="Calibri" w:hAnsi="Calibri" w:cs="Calibri"/>
      <w:color w:val="000000"/>
      <w:sz w:val="24"/>
      <w:szCs w:val="24"/>
    </w:rPr>
  </w:style>
  <w:style w:type="paragraph" w:styleId="ListParagraph">
    <w:name w:val="List Paragraph"/>
    <w:basedOn w:val="Normal"/>
    <w:qFormat/>
    <w:rsid w:val="00F36D12"/>
    <w:pPr>
      <w:ind w:left="720"/>
      <w:contextualSpacing/>
    </w:pPr>
  </w:style>
  <w:style w:type="paragraph" w:styleId="NormalWeb">
    <w:name w:val="Normal (Web)"/>
    <w:basedOn w:val="Normal"/>
    <w:uiPriority w:val="99"/>
    <w:unhideWhenUsed/>
    <w:rsid w:val="00BE4443"/>
    <w:pPr>
      <w:spacing w:after="240" w:line="240" w:lineRule="auto"/>
    </w:pPr>
    <w:rPr>
      <w:rFonts w:ascii="Times New Roman" w:hAnsi="Times New Roman"/>
      <w:sz w:val="24"/>
      <w:lang w:eastAsia="en-AU"/>
    </w:rPr>
  </w:style>
  <w:style w:type="character" w:styleId="FollowedHyperlink">
    <w:name w:val="FollowedHyperlink"/>
    <w:basedOn w:val="DefaultParagraphFont"/>
    <w:rsid w:val="00650B16"/>
    <w:rPr>
      <w:color w:val="954F72" w:themeColor="followedHyperlink"/>
      <w:u w:val="single"/>
    </w:rPr>
  </w:style>
  <w:style w:type="character" w:customStyle="1" w:styleId="Heading1Char">
    <w:name w:val="Heading 1 Char"/>
    <w:basedOn w:val="DefaultParagraphFont"/>
    <w:link w:val="Heading1"/>
    <w:rsid w:val="003C1EBE"/>
    <w:rPr>
      <w:rFonts w:ascii="Arial" w:hAnsi="Arial" w:cs="Arial"/>
      <w:b/>
      <w:bCs/>
      <w:color w:val="971A4B"/>
      <w:kern w:val="32"/>
      <w:sz w:val="32"/>
      <w:szCs w:val="32"/>
    </w:rPr>
  </w:style>
  <w:style w:type="character" w:customStyle="1" w:styleId="Italic">
    <w:name w:val="Italic"/>
    <w:rsid w:val="00A36B6A"/>
    <w:rPr>
      <w:i/>
      <w:iCs/>
    </w:rPr>
  </w:style>
  <w:style w:type="character" w:customStyle="1" w:styleId="tightinline1">
    <w:name w:val="tightinline1"/>
    <w:basedOn w:val="DefaultParagraphFont"/>
    <w:rsid w:val="004940D9"/>
  </w:style>
  <w:style w:type="character" w:customStyle="1" w:styleId="italic1">
    <w:name w:val="italic1"/>
    <w:basedOn w:val="DefaultParagraphFont"/>
    <w:rsid w:val="004940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736">
      <w:bodyDiv w:val="1"/>
      <w:marLeft w:val="0"/>
      <w:marRight w:val="0"/>
      <w:marTop w:val="0"/>
      <w:marBottom w:val="0"/>
      <w:divBdr>
        <w:top w:val="none" w:sz="0" w:space="0" w:color="auto"/>
        <w:left w:val="none" w:sz="0" w:space="0" w:color="auto"/>
        <w:bottom w:val="none" w:sz="0" w:space="0" w:color="auto"/>
        <w:right w:val="none" w:sz="0" w:space="0" w:color="auto"/>
      </w:divBdr>
    </w:div>
    <w:div w:id="151341226">
      <w:bodyDiv w:val="1"/>
      <w:marLeft w:val="360"/>
      <w:marRight w:val="360"/>
      <w:marTop w:val="360"/>
      <w:marBottom w:val="360"/>
      <w:divBdr>
        <w:top w:val="none" w:sz="0" w:space="0" w:color="auto"/>
        <w:left w:val="none" w:sz="0" w:space="0" w:color="auto"/>
        <w:bottom w:val="none" w:sz="0" w:space="0" w:color="auto"/>
        <w:right w:val="none" w:sz="0" w:space="0" w:color="auto"/>
      </w:divBdr>
    </w:div>
    <w:div w:id="745223394">
      <w:bodyDiv w:val="1"/>
      <w:marLeft w:val="0"/>
      <w:marRight w:val="0"/>
      <w:marTop w:val="0"/>
      <w:marBottom w:val="0"/>
      <w:divBdr>
        <w:top w:val="none" w:sz="0" w:space="0" w:color="auto"/>
        <w:left w:val="none" w:sz="0" w:space="0" w:color="auto"/>
        <w:bottom w:val="none" w:sz="0" w:space="0" w:color="auto"/>
        <w:right w:val="none" w:sz="0" w:space="0" w:color="auto"/>
      </w:divBdr>
    </w:div>
    <w:div w:id="795180670">
      <w:bodyDiv w:val="1"/>
      <w:marLeft w:val="0"/>
      <w:marRight w:val="0"/>
      <w:marTop w:val="0"/>
      <w:marBottom w:val="0"/>
      <w:divBdr>
        <w:top w:val="none" w:sz="0" w:space="0" w:color="auto"/>
        <w:left w:val="none" w:sz="0" w:space="0" w:color="auto"/>
        <w:bottom w:val="none" w:sz="0" w:space="0" w:color="auto"/>
        <w:right w:val="none" w:sz="0" w:space="0" w:color="auto"/>
      </w:divBdr>
    </w:div>
    <w:div w:id="1603489510">
      <w:bodyDiv w:val="1"/>
      <w:marLeft w:val="0"/>
      <w:marRight w:val="0"/>
      <w:marTop w:val="0"/>
      <w:marBottom w:val="0"/>
      <w:divBdr>
        <w:top w:val="none" w:sz="0" w:space="0" w:color="auto"/>
        <w:left w:val="none" w:sz="0" w:space="0" w:color="auto"/>
        <w:bottom w:val="none" w:sz="0" w:space="0" w:color="auto"/>
        <w:right w:val="none" w:sz="0" w:space="0" w:color="auto"/>
      </w:divBdr>
      <w:divsChild>
        <w:div w:id="1246695064">
          <w:marLeft w:val="0"/>
          <w:marRight w:val="0"/>
          <w:marTop w:val="0"/>
          <w:marBottom w:val="0"/>
          <w:divBdr>
            <w:top w:val="none" w:sz="0" w:space="0" w:color="auto"/>
            <w:left w:val="none" w:sz="0" w:space="0" w:color="auto"/>
            <w:bottom w:val="none" w:sz="0" w:space="0" w:color="auto"/>
            <w:right w:val="none" w:sz="0" w:space="0" w:color="auto"/>
          </w:divBdr>
          <w:divsChild>
            <w:div w:id="2010868518">
              <w:marLeft w:val="0"/>
              <w:marRight w:val="0"/>
              <w:marTop w:val="0"/>
              <w:marBottom w:val="0"/>
              <w:divBdr>
                <w:top w:val="none" w:sz="0" w:space="0" w:color="auto"/>
                <w:left w:val="none" w:sz="0" w:space="0" w:color="auto"/>
                <w:bottom w:val="none" w:sz="0" w:space="0" w:color="auto"/>
                <w:right w:val="none" w:sz="0" w:space="0" w:color="auto"/>
              </w:divBdr>
              <w:divsChild>
                <w:div w:id="14262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07431">
      <w:bodyDiv w:val="1"/>
      <w:marLeft w:val="0"/>
      <w:marRight w:val="0"/>
      <w:marTop w:val="0"/>
      <w:marBottom w:val="0"/>
      <w:divBdr>
        <w:top w:val="none" w:sz="0" w:space="0" w:color="auto"/>
        <w:left w:val="none" w:sz="0" w:space="0" w:color="auto"/>
        <w:bottom w:val="none" w:sz="0" w:space="0" w:color="auto"/>
        <w:right w:val="none" w:sz="0" w:space="0" w:color="auto"/>
      </w:divBdr>
    </w:div>
    <w:div w:id="1788088061">
      <w:bodyDiv w:val="1"/>
      <w:marLeft w:val="0"/>
      <w:marRight w:val="0"/>
      <w:marTop w:val="0"/>
      <w:marBottom w:val="0"/>
      <w:divBdr>
        <w:top w:val="none" w:sz="0" w:space="0" w:color="auto"/>
        <w:left w:val="none" w:sz="0" w:space="0" w:color="auto"/>
        <w:bottom w:val="none" w:sz="0" w:space="0" w:color="auto"/>
        <w:right w:val="none" w:sz="0" w:space="0" w:color="auto"/>
      </w:divBdr>
      <w:divsChild>
        <w:div w:id="2133669644">
          <w:marLeft w:val="0"/>
          <w:marRight w:val="0"/>
          <w:marTop w:val="0"/>
          <w:marBottom w:val="0"/>
          <w:divBdr>
            <w:top w:val="none" w:sz="0" w:space="0" w:color="auto"/>
            <w:left w:val="none" w:sz="0" w:space="0" w:color="auto"/>
            <w:bottom w:val="none" w:sz="0" w:space="0" w:color="auto"/>
            <w:right w:val="none" w:sz="0" w:space="0" w:color="auto"/>
          </w:divBdr>
          <w:divsChild>
            <w:div w:id="1655528394">
              <w:marLeft w:val="0"/>
              <w:marRight w:val="0"/>
              <w:marTop w:val="0"/>
              <w:marBottom w:val="0"/>
              <w:divBdr>
                <w:top w:val="none" w:sz="0" w:space="0" w:color="auto"/>
                <w:left w:val="none" w:sz="0" w:space="0" w:color="auto"/>
                <w:bottom w:val="none" w:sz="0" w:space="0" w:color="auto"/>
                <w:right w:val="none" w:sz="0" w:space="0" w:color="auto"/>
              </w:divBdr>
              <w:divsChild>
                <w:div w:id="16884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6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B0A72-EEEA-4F48-B62B-E63332C2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6722</Words>
  <Characters>39090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Sentencing guidance reference – submission to the Sentencing Advisory Council</vt:lpstr>
    </vt:vector>
  </TitlesOfParts>
  <Company>Victoria Legal Aid</Company>
  <LinksUpToDate>false</LinksUpToDate>
  <CharactersWithSpaces>45721</CharactersWithSpaces>
  <SharedDoc>false</SharedDoc>
  <HLinks>
    <vt:vector size="30" baseType="variant">
      <vt:variant>
        <vt:i4>1376260</vt:i4>
      </vt:variant>
      <vt:variant>
        <vt:i4>29</vt:i4>
      </vt:variant>
      <vt:variant>
        <vt:i4>0</vt:i4>
      </vt:variant>
      <vt:variant>
        <vt:i4>5</vt:i4>
      </vt:variant>
      <vt:variant>
        <vt:lpwstr/>
      </vt:variant>
      <vt:variant>
        <vt:lpwstr>_Toc354042750</vt:lpwstr>
      </vt:variant>
      <vt:variant>
        <vt:i4>1310733</vt:i4>
      </vt:variant>
      <vt:variant>
        <vt:i4>23</vt:i4>
      </vt:variant>
      <vt:variant>
        <vt:i4>0</vt:i4>
      </vt:variant>
      <vt:variant>
        <vt:i4>5</vt:i4>
      </vt:variant>
      <vt:variant>
        <vt:lpwstr/>
      </vt:variant>
      <vt:variant>
        <vt:lpwstr>_Toc354042749</vt:lpwstr>
      </vt:variant>
      <vt:variant>
        <vt:i4>1310732</vt:i4>
      </vt:variant>
      <vt:variant>
        <vt:i4>17</vt:i4>
      </vt:variant>
      <vt:variant>
        <vt:i4>0</vt:i4>
      </vt:variant>
      <vt:variant>
        <vt:i4>5</vt:i4>
      </vt:variant>
      <vt:variant>
        <vt:lpwstr/>
      </vt:variant>
      <vt:variant>
        <vt:lpwstr>_Toc354042748</vt:lpwstr>
      </vt:variant>
      <vt:variant>
        <vt:i4>3342364</vt:i4>
      </vt:variant>
      <vt:variant>
        <vt:i4>2977</vt:i4>
      </vt:variant>
      <vt:variant>
        <vt:i4>1026</vt:i4>
      </vt:variant>
      <vt:variant>
        <vt:i4>1</vt:i4>
      </vt:variant>
      <vt:variant>
        <vt:lpwstr>vla_logo</vt:lpwstr>
      </vt:variant>
      <vt:variant>
        <vt:lpwstr/>
      </vt:variant>
      <vt:variant>
        <vt:i4>2687020</vt:i4>
      </vt:variant>
      <vt:variant>
        <vt:i4>2984</vt:i4>
      </vt:variant>
      <vt:variant>
        <vt:i4>1025</vt:i4>
      </vt:variant>
      <vt:variant>
        <vt:i4>1</vt:i4>
      </vt:variant>
      <vt:variant>
        <vt:lpwstr>vla_logo_hor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Sentencing guidance reference – submission to the Sentencing Advisory Council</dc:title>
  <dc:creator>Victoria Legal Aid</dc:creator>
  <cp:lastModifiedBy/>
  <cp:revision>1</cp:revision>
  <dcterms:created xsi:type="dcterms:W3CDTF">2021-04-30T00:08:00Z</dcterms:created>
  <dcterms:modified xsi:type="dcterms:W3CDTF">2021-04-30T00:08:00Z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nguage">
    <vt:lpwstr>English</vt:lpwstr>
  </op:property>
  <op:property fmtid="{D5CDD505-2E9C-101B-9397-08002B2CF9AE}" pid="3" name="_MarkAsFinal">
    <vt:bool>true</vt:bool>
  </op:property>
</op:Properties>
</file>