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735E4" w14:textId="77777777" w:rsidR="000B6F57" w:rsidRDefault="000B6F57" w:rsidP="000B6F57">
      <w:pPr>
        <w:pStyle w:val="Heading1"/>
      </w:pPr>
      <w:r>
        <w:t xml:space="preserve">Snapshot – </w:t>
      </w:r>
      <w:r w:rsidR="005A4E5E">
        <w:t>seeking</w:t>
      </w:r>
      <w:r>
        <w:t xml:space="preserve"> costs</w:t>
      </w:r>
      <w:bookmarkStart w:id="0" w:name="_GoBack"/>
      <w:bookmarkEnd w:id="0"/>
      <w:r>
        <w:t xml:space="preserve"> in family law proceedings</w:t>
      </w:r>
    </w:p>
    <w:p w14:paraId="1BCB3363" w14:textId="77777777" w:rsidR="000B6F57" w:rsidRPr="00FD1D4F" w:rsidRDefault="000B6F57" w:rsidP="000B6F57">
      <w:pPr>
        <w:pStyle w:val="Heading2"/>
      </w:pPr>
      <w:r>
        <w:t xml:space="preserve">Why </w:t>
      </w:r>
      <w:proofErr w:type="gramStart"/>
      <w:r>
        <w:t>seek</w:t>
      </w:r>
      <w:proofErr w:type="gramEnd"/>
      <w:r>
        <w:t xml:space="preserve"> costs?</w:t>
      </w:r>
    </w:p>
    <w:p w14:paraId="5D7F2259" w14:textId="77777777" w:rsidR="000B6F57" w:rsidRDefault="000B6F57" w:rsidP="000B6F57">
      <w:r>
        <w:t xml:space="preserve">You should apply for costs </w:t>
      </w:r>
      <w:r w:rsidRPr="00F568A4">
        <w:t xml:space="preserve">wherever </w:t>
      </w:r>
      <w:r>
        <w:t>appropriate in legally aided matters, so that the funds can be used for other client matters</w:t>
      </w:r>
      <w:r w:rsidRPr="00F568A4">
        <w:t>.</w:t>
      </w:r>
      <w:r>
        <w:t xml:space="preserve"> Costs orders also work as a deterrent in vexatious and/or unwarranted litigation. </w:t>
      </w:r>
    </w:p>
    <w:p w14:paraId="715591D0" w14:textId="77777777" w:rsidR="000B6F57" w:rsidRDefault="000B6F57" w:rsidP="000B6F57">
      <w:pPr>
        <w:pStyle w:val="Heading2"/>
      </w:pPr>
      <w:r>
        <w:t xml:space="preserve">What does the </w:t>
      </w:r>
      <w:r w:rsidRPr="009E4754">
        <w:t>Family Law Act</w:t>
      </w:r>
      <w:r>
        <w:t xml:space="preserve"> say about costs?</w:t>
      </w:r>
    </w:p>
    <w:p w14:paraId="7AC7BE76" w14:textId="77777777" w:rsidR="000B6F57" w:rsidRDefault="000B6F57" w:rsidP="000B6F57">
      <w:r w:rsidRPr="00D024F2">
        <w:t xml:space="preserve">See </w:t>
      </w:r>
      <w:r w:rsidRPr="009E4754">
        <w:rPr>
          <w:i/>
        </w:rPr>
        <w:t>Family Law Act 1975</w:t>
      </w:r>
      <w:r w:rsidRPr="00532B6A">
        <w:t xml:space="preserve"> </w:t>
      </w:r>
      <w:r>
        <w:t>(</w:t>
      </w:r>
      <w:proofErr w:type="spellStart"/>
      <w:r>
        <w:t>Cth</w:t>
      </w:r>
      <w:proofErr w:type="spellEnd"/>
      <w:r>
        <w:t>):</w:t>
      </w:r>
    </w:p>
    <w:p w14:paraId="5BE2B644" w14:textId="77777777" w:rsidR="000B6F57" w:rsidRPr="000B6F57" w:rsidRDefault="009A0D80" w:rsidP="000B6F57">
      <w:pPr>
        <w:pStyle w:val="ListBullet"/>
      </w:pPr>
      <w:hyperlink r:id="rId8" w:history="1">
        <w:r w:rsidR="000B6F57" w:rsidRPr="000B6F57">
          <w:rPr>
            <w:rStyle w:val="Hyperlink"/>
          </w:rPr>
          <w:t>Section 117 Costs</w:t>
        </w:r>
      </w:hyperlink>
    </w:p>
    <w:p w14:paraId="23774338" w14:textId="77777777" w:rsidR="000B6F57" w:rsidRDefault="000B6F57" w:rsidP="000B6F57">
      <w:pPr>
        <w:pStyle w:val="ListBullet"/>
      </w:pPr>
      <w:r>
        <w:t xml:space="preserve">Section </w:t>
      </w:r>
      <w:hyperlink r:id="rId9" w:history="1">
        <w:r w:rsidRPr="0059636E">
          <w:rPr>
            <w:rStyle w:val="Hyperlink"/>
          </w:rPr>
          <w:t>117AA  Costs in</w:t>
        </w:r>
      </w:hyperlink>
      <w:r w:rsidRPr="00D024F2">
        <w:t xml:space="preserve"> </w:t>
      </w:r>
      <w:hyperlink r:id="rId10" w:anchor="proceedings" w:history="1">
        <w:r w:rsidRPr="00D024F2">
          <w:t>proceedings</w:t>
        </w:r>
      </w:hyperlink>
      <w:r w:rsidRPr="00D024F2">
        <w:t xml:space="preserve"> relating to overseas enforcement and international Conventions</w:t>
      </w:r>
      <w:bookmarkStart w:id="1" w:name="s117ac"/>
      <w:bookmarkEnd w:id="1"/>
    </w:p>
    <w:p w14:paraId="315A8021" w14:textId="77777777" w:rsidR="000B6F57" w:rsidRPr="00D024F2" w:rsidRDefault="000B6F57" w:rsidP="000B6F57">
      <w:pPr>
        <w:pStyle w:val="ListBullet"/>
      </w:pPr>
      <w:r>
        <w:t xml:space="preserve">Section </w:t>
      </w:r>
      <w:hyperlink r:id="rId11" w:history="1">
        <w:r w:rsidRPr="0059636E">
          <w:rPr>
            <w:rStyle w:val="Hyperlink"/>
          </w:rPr>
          <w:t>117AC</w:t>
        </w:r>
        <w:r>
          <w:rPr>
            <w:rStyle w:val="Hyperlink"/>
          </w:rPr>
          <w:t xml:space="preserve"> </w:t>
        </w:r>
        <w:r w:rsidRPr="0059636E">
          <w:rPr>
            <w:rStyle w:val="Hyperlink"/>
          </w:rPr>
          <w:t>Securit</w:t>
        </w:r>
      </w:hyperlink>
      <w:r w:rsidRPr="00D024F2">
        <w:t>y for costs</w:t>
      </w:r>
    </w:p>
    <w:p w14:paraId="77F24215" w14:textId="77777777" w:rsidR="000B6F57" w:rsidRPr="00D024F2" w:rsidRDefault="000B6F57" w:rsidP="000B6F57">
      <w:pPr>
        <w:pStyle w:val="ListBullet"/>
      </w:pPr>
      <w:bookmarkStart w:id="2" w:name="s117a"/>
      <w:bookmarkEnd w:id="2"/>
      <w:r>
        <w:t xml:space="preserve">Section </w:t>
      </w:r>
      <w:hyperlink r:id="rId12" w:history="1">
        <w:r w:rsidRPr="0059636E">
          <w:rPr>
            <w:rStyle w:val="Hyperlink"/>
          </w:rPr>
          <w:t>117A Repara</w:t>
        </w:r>
        <w:r>
          <w:rPr>
            <w:rStyle w:val="Hyperlink"/>
          </w:rPr>
          <w:t>tion</w:t>
        </w:r>
      </w:hyperlink>
      <w:r w:rsidRPr="00D024F2">
        <w:t xml:space="preserve"> for certain losses and expenses relating to </w:t>
      </w:r>
      <w:hyperlink r:id="rId13" w:anchor="child" w:history="1">
        <w:r w:rsidRPr="00D024F2">
          <w:t>children</w:t>
        </w:r>
      </w:hyperlink>
    </w:p>
    <w:p w14:paraId="23DE2680" w14:textId="77777777" w:rsidR="000B6F57" w:rsidRDefault="000B6F57" w:rsidP="000B6F57">
      <w:pPr>
        <w:pStyle w:val="ListBullet"/>
      </w:pPr>
      <w:bookmarkStart w:id="3" w:name="s117b"/>
      <w:bookmarkEnd w:id="3"/>
      <w:r>
        <w:t xml:space="preserve">Section </w:t>
      </w:r>
      <w:hyperlink r:id="rId14" w:history="1">
        <w:r w:rsidRPr="00F60076">
          <w:rPr>
            <w:rStyle w:val="Hyperlink"/>
          </w:rPr>
          <w:t>117B Interest</w:t>
        </w:r>
      </w:hyperlink>
      <w:r w:rsidRPr="00F60076">
        <w:t xml:space="preserve"> on m</w:t>
      </w:r>
      <w:r w:rsidRPr="00D024F2">
        <w:t>oneys ordered to be paid</w:t>
      </w:r>
      <w:bookmarkStart w:id="4" w:name="s117c"/>
      <w:bookmarkEnd w:id="4"/>
    </w:p>
    <w:p w14:paraId="1C77D48B" w14:textId="77777777" w:rsidR="000B6F57" w:rsidRPr="00D024F2" w:rsidRDefault="000B6F57" w:rsidP="000B6F57">
      <w:pPr>
        <w:pStyle w:val="ListBullet"/>
      </w:pPr>
      <w:r>
        <w:t xml:space="preserve">Section </w:t>
      </w:r>
      <w:hyperlink r:id="rId15" w:history="1">
        <w:r w:rsidRPr="0059636E">
          <w:rPr>
            <w:rStyle w:val="Hyperlink"/>
          </w:rPr>
          <w:t>117C Offers</w:t>
        </w:r>
      </w:hyperlink>
      <w:r w:rsidRPr="00D024F2">
        <w:t xml:space="preserve"> of settlement on </w:t>
      </w:r>
      <w:hyperlink r:id="rId16" w:history="1">
        <w:r w:rsidRPr="00F60076">
          <w:rPr>
            <w:rStyle w:val="Hyperlink"/>
          </w:rPr>
          <w:t>costs</w:t>
        </w:r>
      </w:hyperlink>
      <w:r w:rsidRPr="00D024F2">
        <w:t>.</w:t>
      </w:r>
    </w:p>
    <w:p w14:paraId="3C219C62" w14:textId="77777777" w:rsidR="000B6F57" w:rsidRDefault="000B6F57" w:rsidP="000B6F57">
      <w:pPr>
        <w:pStyle w:val="Heading2"/>
        <w:keepNext w:val="0"/>
      </w:pPr>
      <w:r>
        <w:t>What are the common scenarios where costs can be sought?</w:t>
      </w:r>
    </w:p>
    <w:p w14:paraId="707924CE" w14:textId="77777777" w:rsidR="000B6F57" w:rsidRDefault="000B6F57" w:rsidP="000B6F57">
      <w:pPr>
        <w:pStyle w:val="ListBullet"/>
        <w:rPr>
          <w:lang w:eastAsia="en-AU"/>
        </w:rPr>
      </w:pPr>
      <w:r w:rsidRPr="009E4754">
        <w:rPr>
          <w:b/>
          <w:lang w:eastAsia="en-AU"/>
        </w:rPr>
        <w:t>In applications where you seek a bond or security for costs</w:t>
      </w:r>
      <w:r>
        <w:rPr>
          <w:lang w:eastAsia="en-AU"/>
        </w:rPr>
        <w:t xml:space="preserve"> – eg to secure the return of children from overseas travel, ensure your estimate includes costs of a grant of legal assistance for the client.</w:t>
      </w:r>
    </w:p>
    <w:p w14:paraId="7285DE6E" w14:textId="77777777" w:rsidR="000B6F57" w:rsidRDefault="000B6F57" w:rsidP="000B6F57">
      <w:pPr>
        <w:pStyle w:val="ListBullet"/>
        <w:rPr>
          <w:lang w:eastAsia="en-AU"/>
        </w:rPr>
      </w:pPr>
      <w:r w:rsidRPr="009E4754">
        <w:rPr>
          <w:b/>
          <w:lang w:eastAsia="en-AU"/>
        </w:rPr>
        <w:t>Where trial doesn’t procee</w:t>
      </w:r>
      <w:r>
        <w:rPr>
          <w:b/>
          <w:lang w:eastAsia="en-AU"/>
        </w:rPr>
        <w:t xml:space="preserve">d </w:t>
      </w:r>
      <w:r>
        <w:rPr>
          <w:lang w:eastAsia="en-AU"/>
        </w:rPr>
        <w:t>– the cost of trial preparation and/or instructing counsel to prepare and appear in trials which are aborted due to the other party not being ready to proceed.</w:t>
      </w:r>
    </w:p>
    <w:p w14:paraId="14B31BDF" w14:textId="77777777" w:rsidR="000B6F57" w:rsidRDefault="000B6F57" w:rsidP="000B6F57">
      <w:pPr>
        <w:pStyle w:val="ListBullet"/>
        <w:rPr>
          <w:lang w:eastAsia="en-AU"/>
        </w:rPr>
      </w:pPr>
      <w:r w:rsidRPr="009E4754">
        <w:rPr>
          <w:b/>
          <w:lang w:eastAsia="en-AU"/>
        </w:rPr>
        <w:t>Adjournments</w:t>
      </w:r>
      <w:r>
        <w:rPr>
          <w:lang w:eastAsia="en-AU"/>
        </w:rPr>
        <w:t xml:space="preserve"> – where the cost of court adjournment is caused due to the other party’s fault/delay.</w:t>
      </w:r>
    </w:p>
    <w:p w14:paraId="364101DE" w14:textId="77777777" w:rsidR="000B6F57" w:rsidRDefault="000B6F57" w:rsidP="000B6F57">
      <w:pPr>
        <w:pStyle w:val="ListBullet"/>
        <w:rPr>
          <w:lang w:eastAsia="en-AU"/>
        </w:rPr>
      </w:pPr>
      <w:r w:rsidRPr="009E4754">
        <w:rPr>
          <w:b/>
          <w:lang w:eastAsia="en-AU"/>
        </w:rPr>
        <w:t>Medical report costs</w:t>
      </w:r>
      <w:r>
        <w:rPr>
          <w:lang w:eastAsia="en-AU"/>
        </w:rPr>
        <w:t xml:space="preserve"> – where paid for by legal aid incurred due to unreasonable claims/allegations made by the other party.</w:t>
      </w:r>
    </w:p>
    <w:p w14:paraId="76F182E7" w14:textId="77777777" w:rsidR="000B6F57" w:rsidRDefault="000B6F57" w:rsidP="000B6F57">
      <w:pPr>
        <w:pStyle w:val="ListBullet"/>
        <w:rPr>
          <w:lang w:eastAsia="en-AU"/>
        </w:rPr>
      </w:pPr>
      <w:r w:rsidRPr="009E4754">
        <w:rPr>
          <w:b/>
          <w:lang w:eastAsia="en-AU"/>
        </w:rPr>
        <w:t>Hopeless applications</w:t>
      </w:r>
      <w:r w:rsidRPr="009E4754">
        <w:rPr>
          <w:lang w:eastAsia="en-AU"/>
        </w:rPr>
        <w:t xml:space="preserve"> –</w:t>
      </w:r>
      <w:r>
        <w:rPr>
          <w:lang w:eastAsia="en-AU"/>
        </w:rPr>
        <w:t xml:space="preserve"> Interim or final hearing applications made without merit or hope of success.</w:t>
      </w:r>
    </w:p>
    <w:p w14:paraId="2A37CF48" w14:textId="77777777" w:rsidR="000B6F57" w:rsidRDefault="000B6F57" w:rsidP="000B6F57">
      <w:pPr>
        <w:pStyle w:val="ListBullet"/>
        <w:rPr>
          <w:lang w:eastAsia="en-AU"/>
        </w:rPr>
      </w:pPr>
      <w:r w:rsidRPr="009E4754">
        <w:rPr>
          <w:b/>
          <w:lang w:eastAsia="en-AU"/>
        </w:rPr>
        <w:t>Recovery orders for children</w:t>
      </w:r>
      <w:r>
        <w:rPr>
          <w:lang w:eastAsia="en-AU"/>
        </w:rPr>
        <w:t xml:space="preserve"> – where there was no merit in the child being withheld from the applicant parent. </w:t>
      </w:r>
    </w:p>
    <w:p w14:paraId="3A17BE45" w14:textId="77777777" w:rsidR="000B6F57" w:rsidRDefault="000B6F57" w:rsidP="000B6F57">
      <w:pPr>
        <w:pStyle w:val="ListBullet"/>
        <w:rPr>
          <w:lang w:eastAsia="en-AU"/>
        </w:rPr>
      </w:pPr>
      <w:r w:rsidRPr="009E4754">
        <w:rPr>
          <w:b/>
          <w:lang w:eastAsia="en-AU"/>
        </w:rPr>
        <w:t>Appeals</w:t>
      </w:r>
      <w:r>
        <w:rPr>
          <w:lang w:eastAsia="en-AU"/>
        </w:rPr>
        <w:t xml:space="preserve"> </w:t>
      </w:r>
      <w:r w:rsidRPr="000B6F57">
        <w:rPr>
          <w:b/>
          <w:lang w:eastAsia="en-AU"/>
        </w:rPr>
        <w:t>and final hearings</w:t>
      </w:r>
      <w:r>
        <w:rPr>
          <w:lang w:eastAsia="en-AU"/>
        </w:rPr>
        <w:t xml:space="preserve"> – where the other party is wholly unsuccessful. </w:t>
      </w:r>
    </w:p>
    <w:p w14:paraId="3BEB30FD" w14:textId="77777777" w:rsidR="000B6F57" w:rsidRDefault="000B6F57" w:rsidP="000B6F57">
      <w:pPr>
        <w:pStyle w:val="ListBullet"/>
        <w:rPr>
          <w:lang w:eastAsia="en-AU"/>
        </w:rPr>
      </w:pPr>
      <w:proofErr w:type="spellStart"/>
      <w:r w:rsidRPr="009E4754">
        <w:rPr>
          <w:b/>
          <w:lang w:eastAsia="en-AU"/>
        </w:rPr>
        <w:t>Hungerfords</w:t>
      </w:r>
      <w:proofErr w:type="spellEnd"/>
      <w:r w:rsidRPr="009E4754">
        <w:rPr>
          <w:b/>
          <w:lang w:eastAsia="en-AU"/>
        </w:rPr>
        <w:t xml:space="preserve"> letter</w:t>
      </w:r>
      <w:r>
        <w:rPr>
          <w:lang w:eastAsia="en-AU"/>
        </w:rPr>
        <w:t xml:space="preserve"> – where one is </w:t>
      </w:r>
      <w:r w:rsidRPr="000A0715">
        <w:rPr>
          <w:lang w:eastAsia="en-AU"/>
        </w:rPr>
        <w:t xml:space="preserve">served on the other party during negotiations and a trial proceeds; in such a case the other party must obtain a less desirable result than exchanged during the final negotiation. </w:t>
      </w:r>
    </w:p>
    <w:p w14:paraId="48C31E2B" w14:textId="77777777" w:rsidR="000B6F57" w:rsidRDefault="000B6F57" w:rsidP="000B6F57">
      <w:pPr>
        <w:pStyle w:val="Heading2"/>
      </w:pPr>
      <w:r>
        <w:lastRenderedPageBreak/>
        <w:t>Considerations in seeking costs</w:t>
      </w:r>
    </w:p>
    <w:p w14:paraId="006943AC" w14:textId="77777777" w:rsidR="000B6F57" w:rsidRDefault="000B6F57" w:rsidP="000B6F57">
      <w:pPr>
        <w:pStyle w:val="ListBullet"/>
        <w:rPr>
          <w:lang w:eastAsia="en-AU"/>
        </w:rPr>
      </w:pPr>
      <w:r>
        <w:rPr>
          <w:lang w:eastAsia="en-AU"/>
        </w:rPr>
        <w:t xml:space="preserve">What is the likelihood of recovery of costs from the other party? </w:t>
      </w:r>
    </w:p>
    <w:p w14:paraId="6155CE1C" w14:textId="77777777" w:rsidR="000B6F57" w:rsidRDefault="000B6F57" w:rsidP="000B6F57">
      <w:pPr>
        <w:pStyle w:val="ListBullet"/>
        <w:rPr>
          <w:lang w:eastAsia="en-AU"/>
        </w:rPr>
      </w:pPr>
      <w:r>
        <w:rPr>
          <w:lang w:eastAsia="en-AU"/>
        </w:rPr>
        <w:t>Is the costs order worth pursuing or is the other party unable to pay?</w:t>
      </w:r>
    </w:p>
    <w:p w14:paraId="33D103F5" w14:textId="77777777" w:rsidR="000B6F57" w:rsidRDefault="000B6F57" w:rsidP="000B6F57">
      <w:pPr>
        <w:pStyle w:val="ListBullet"/>
        <w:rPr>
          <w:lang w:eastAsia="en-AU"/>
        </w:rPr>
      </w:pPr>
      <w:r>
        <w:rPr>
          <w:lang w:eastAsia="en-AU"/>
        </w:rPr>
        <w:t>Is the other party legally aided also?</w:t>
      </w:r>
    </w:p>
    <w:p w14:paraId="7491928F" w14:textId="77777777" w:rsidR="000B6F57" w:rsidRDefault="000B6F57" w:rsidP="000B6F57">
      <w:pPr>
        <w:pStyle w:val="ListBullet"/>
        <w:rPr>
          <w:lang w:eastAsia="en-AU"/>
        </w:rPr>
      </w:pPr>
      <w:r>
        <w:rPr>
          <w:lang w:eastAsia="en-AU"/>
        </w:rPr>
        <w:t xml:space="preserve">Is there a need for a separate court date to argue costs which then adds to the costs (which may not be recoverable)? </w:t>
      </w:r>
    </w:p>
    <w:p w14:paraId="0FB07FDF" w14:textId="77777777" w:rsidR="000B6F57" w:rsidRDefault="000B6F57" w:rsidP="000B6F57">
      <w:pPr>
        <w:pStyle w:val="ListBullet"/>
        <w:rPr>
          <w:lang w:eastAsia="en-AU"/>
        </w:rPr>
      </w:pPr>
      <w:r>
        <w:rPr>
          <w:lang w:eastAsia="en-AU"/>
        </w:rPr>
        <w:t xml:space="preserve">It takes time to prepare the costs application affidavit. VLA may not fund the costs application/hearing because costs do not follow the event under the </w:t>
      </w:r>
      <w:r w:rsidRPr="009E4754">
        <w:rPr>
          <w:lang w:eastAsia="en-AU"/>
        </w:rPr>
        <w:t>Family Law Act</w:t>
      </w:r>
      <w:r>
        <w:rPr>
          <w:lang w:eastAsia="en-AU"/>
        </w:rPr>
        <w:t>.</w:t>
      </w:r>
    </w:p>
    <w:p w14:paraId="012654AC" w14:textId="77777777" w:rsidR="000B6F57" w:rsidRDefault="000B6F57" w:rsidP="000B6F57">
      <w:pPr>
        <w:pStyle w:val="Heading2"/>
      </w:pPr>
      <w:r>
        <w:t xml:space="preserve">How do I </w:t>
      </w:r>
      <w:r w:rsidRPr="000B6F57">
        <w:t>make</w:t>
      </w:r>
      <w:r>
        <w:t xml:space="preserve"> the application for costs?</w:t>
      </w:r>
    </w:p>
    <w:p w14:paraId="368B08FA" w14:textId="77777777" w:rsidR="000B6F57" w:rsidRDefault="000B6F57" w:rsidP="000B6F57">
      <w:pPr>
        <w:pStyle w:val="ListNumber"/>
        <w:rPr>
          <w:lang w:eastAsia="en-AU"/>
        </w:rPr>
      </w:pPr>
      <w:r>
        <w:rPr>
          <w:lang w:eastAsia="en-AU"/>
        </w:rPr>
        <w:t xml:space="preserve">During the course of litigation, where appropriate, in interim court appearances, ensure that at the end of a hearing you or counsel is briefed to seek costs be reserved; or such an order is included in any minutes tendered, so as to preserve a future costs claim. Keep a contemporaneous note of the basis that justifies your claim and the amount of your claim for that day. Check </w:t>
      </w:r>
      <w:r w:rsidRPr="00F60076">
        <w:rPr>
          <w:lang w:eastAsia="en-AU"/>
        </w:rPr>
        <w:t xml:space="preserve">the </w:t>
      </w:r>
      <w:hyperlink r:id="rId17" w:history="1">
        <w:r w:rsidRPr="00F60076">
          <w:rPr>
            <w:rStyle w:val="Hyperlink"/>
            <w:lang w:eastAsia="en-AU"/>
          </w:rPr>
          <w:t>VLA Handbook</w:t>
        </w:r>
      </w:hyperlink>
      <w:r>
        <w:rPr>
          <w:lang w:eastAsia="en-AU"/>
        </w:rPr>
        <w:t xml:space="preserve"> if you are unsure of the costs to be claimed.</w:t>
      </w:r>
    </w:p>
    <w:p w14:paraId="0EE42508" w14:textId="77777777" w:rsidR="000B6F57" w:rsidRDefault="000B6F57" w:rsidP="000B6F57">
      <w:pPr>
        <w:pStyle w:val="ListNumber"/>
        <w:rPr>
          <w:lang w:eastAsia="en-AU"/>
        </w:rPr>
      </w:pPr>
      <w:r>
        <w:t xml:space="preserve">After judgement in a trial, give active consideration as to whether it is possible to seek a costs order against the other party, in whole or in part. Raise the issue with the trial judge once reasons for judgement and final orders are handed down. </w:t>
      </w:r>
    </w:p>
    <w:p w14:paraId="616D6A69" w14:textId="77777777" w:rsidR="000B6F57" w:rsidRDefault="000B6F57" w:rsidP="000B6F57">
      <w:pPr>
        <w:pStyle w:val="ListNumber"/>
        <w:rPr>
          <w:lang w:eastAsia="en-AU"/>
        </w:rPr>
      </w:pPr>
      <w:r>
        <w:t>The court may make a standard order for costs as agreed, and failing agreement by the parties, costs will need to be taxed.</w:t>
      </w:r>
    </w:p>
    <w:p w14:paraId="3D983B6D" w14:textId="77777777" w:rsidR="000B6F57" w:rsidRDefault="000B6F57" w:rsidP="000B6F57">
      <w:pPr>
        <w:pStyle w:val="Heading2"/>
        <w:keepNext w:val="0"/>
      </w:pPr>
      <w:r>
        <w:t>What do I do when I have the order for costs?</w:t>
      </w:r>
    </w:p>
    <w:p w14:paraId="142C930D" w14:textId="041A090B" w:rsidR="000B6F57" w:rsidRDefault="000B6F57" w:rsidP="000B6F57">
      <w:pPr>
        <w:pStyle w:val="ListBullet"/>
        <w:rPr>
          <w:lang w:eastAsia="en-AU"/>
        </w:rPr>
      </w:pPr>
      <w:r>
        <w:rPr>
          <w:lang w:eastAsia="en-AU"/>
        </w:rPr>
        <w:t xml:space="preserve">Notify </w:t>
      </w:r>
      <w:r w:rsidR="00F327E6">
        <w:rPr>
          <w:lang w:eastAsia="en-AU"/>
        </w:rPr>
        <w:t>Grants and Quality Assurance</w:t>
      </w:r>
      <w:r>
        <w:rPr>
          <w:lang w:eastAsia="en-AU"/>
        </w:rPr>
        <w:t xml:space="preserve"> that an order for costs have been made by uploading a copy on the ATLAS file. </w:t>
      </w:r>
    </w:p>
    <w:p w14:paraId="0D121405" w14:textId="77777777" w:rsidR="000B6F57" w:rsidRDefault="000B6F57" w:rsidP="000B6F57">
      <w:pPr>
        <w:pStyle w:val="ListBullet"/>
        <w:rPr>
          <w:lang w:eastAsia="en-AU"/>
        </w:rPr>
      </w:pPr>
      <w:r>
        <w:rPr>
          <w:lang w:eastAsia="en-AU"/>
        </w:rPr>
        <w:t xml:space="preserve">Write a letter of demand to the other party; specify a fixed time for compliance with the order to pay (note: VLA does not fund the writing of a letter of demand). </w:t>
      </w:r>
    </w:p>
    <w:p w14:paraId="0996C36F" w14:textId="4F398B0E" w:rsidR="000B6F57" w:rsidRDefault="000B6F57" w:rsidP="000B6F57">
      <w:pPr>
        <w:pStyle w:val="ListBullet"/>
        <w:rPr>
          <w:lang w:eastAsia="en-AU"/>
        </w:rPr>
      </w:pPr>
      <w:r>
        <w:rPr>
          <w:lang w:eastAsia="en-AU"/>
        </w:rPr>
        <w:t xml:space="preserve">Diarise the final date for payment. If the other party fails to comply, then notify </w:t>
      </w:r>
      <w:r w:rsidR="00F327E6">
        <w:rPr>
          <w:lang w:eastAsia="en-AU"/>
        </w:rPr>
        <w:t>Grants and Quality Assurance</w:t>
      </w:r>
      <w:r>
        <w:rPr>
          <w:lang w:eastAsia="en-AU"/>
        </w:rPr>
        <w:t xml:space="preserve">. </w:t>
      </w:r>
    </w:p>
    <w:p w14:paraId="77D434F7" w14:textId="0FC9DB12" w:rsidR="000B6F57" w:rsidRDefault="000B6F57" w:rsidP="000B6F57">
      <w:pPr>
        <w:pStyle w:val="ListBullet"/>
        <w:rPr>
          <w:lang w:eastAsia="en-AU"/>
        </w:rPr>
      </w:pPr>
      <w:r>
        <w:rPr>
          <w:lang w:eastAsia="en-AU"/>
        </w:rPr>
        <w:t xml:space="preserve">Load any additional documents into ATLAS. Provide all the relevant information regarding the orders eg the name and address of the party against whom the costs were awarded etc. </w:t>
      </w:r>
      <w:r w:rsidR="00F327E6">
        <w:rPr>
          <w:lang w:eastAsia="en-AU"/>
        </w:rPr>
        <w:t>Grants and Quality Assurance</w:t>
      </w:r>
      <w:r>
        <w:rPr>
          <w:lang w:eastAsia="en-AU"/>
        </w:rPr>
        <w:t xml:space="preserve"> can then make payment arrangements with the other side.</w:t>
      </w:r>
    </w:p>
    <w:p w14:paraId="2300D80D" w14:textId="77777777" w:rsidR="000B6F57" w:rsidRDefault="000B6F57" w:rsidP="000B6F57">
      <w:pPr>
        <w:pStyle w:val="Heading2"/>
        <w:keepNext w:val="0"/>
      </w:pPr>
      <w:r>
        <w:t>If you need help</w:t>
      </w:r>
    </w:p>
    <w:p w14:paraId="74E28788" w14:textId="5826FB88" w:rsidR="00D75C29" w:rsidRPr="00091432" w:rsidRDefault="000B6F57" w:rsidP="000B6F57">
      <w:r>
        <w:rPr>
          <w:lang w:eastAsia="en-AU"/>
        </w:rPr>
        <w:t xml:space="preserve">Contact </w:t>
      </w:r>
      <w:r w:rsidR="00F327E6">
        <w:rPr>
          <w:lang w:eastAsia="en-AU"/>
        </w:rPr>
        <w:t xml:space="preserve">Grants and Quality Assurance </w:t>
      </w:r>
      <w:r>
        <w:rPr>
          <w:lang w:eastAsia="en-AU"/>
        </w:rPr>
        <w:t xml:space="preserve">by email </w:t>
      </w:r>
      <w:hyperlink r:id="rId18" w:history="1">
        <w:r w:rsidR="009A0D80" w:rsidRPr="009A0D80">
          <w:rPr>
            <w:rStyle w:val="Hyperlink"/>
            <w:lang w:eastAsia="en-AU"/>
          </w:rPr>
          <w:t>Grants@vla.vic.gov.au</w:t>
        </w:r>
      </w:hyperlink>
      <w:r w:rsidR="009A0D80">
        <w:rPr>
          <w:lang w:eastAsia="en-AU"/>
        </w:rPr>
        <w:t xml:space="preserve"> </w:t>
      </w:r>
      <w:r>
        <w:rPr>
          <w:lang w:eastAsia="en-AU"/>
        </w:rPr>
        <w:t>or phone (03) 9269 0600.</w:t>
      </w:r>
    </w:p>
    <w:sectPr w:rsidR="00D75C29" w:rsidRPr="00091432" w:rsidSect="00F77E0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7DDE6" w14:textId="77777777" w:rsidR="000B6F57" w:rsidRDefault="000B6F5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48593624" w14:textId="77777777" w:rsidR="000B6F57" w:rsidRDefault="000B6F5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AF262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117C23" w14:textId="77777777" w:rsidR="00BB122F" w:rsidRDefault="00BB122F" w:rsidP="008074B3">
    <w:pPr>
      <w:pStyle w:val="Footer"/>
      <w:ind w:right="360" w:firstLine="360"/>
    </w:pPr>
  </w:p>
  <w:p w14:paraId="0AD3F8B9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C1C55" w14:textId="77777777" w:rsidR="00BB122F" w:rsidRDefault="00BB122F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5C2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3F5D197A" wp14:editId="71A73343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D13AFC0" id="Line 3" o:spid="_x0000_s1026" alt=" 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662FC" w14:textId="77777777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049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8D9CC99" wp14:editId="068AEAC5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5E188EAC" id="Line 3" o:spid="_x0000_s1026" alt=" 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67441" w14:textId="77777777" w:rsidR="000B6F57" w:rsidRDefault="000B6F5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1E741014" w14:textId="77777777" w:rsidR="000B6F57" w:rsidRDefault="000B6F57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7EED6" w14:textId="77777777" w:rsidR="00BB122F" w:rsidRDefault="00BB122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125B23" w14:textId="77777777" w:rsidR="00BB122F" w:rsidRDefault="00BB122F" w:rsidP="00091AFC">
    <w:pPr>
      <w:pStyle w:val="Header"/>
      <w:ind w:right="360"/>
    </w:pPr>
  </w:p>
  <w:p w14:paraId="523F2DEC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19A12" w14:textId="77777777" w:rsidR="00BB122F" w:rsidRPr="006A6FC6" w:rsidRDefault="00BB122F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22B0929C" w14:textId="77777777" w:rsidR="00BB122F" w:rsidRPr="00EF7C5C" w:rsidRDefault="000B6F57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color w:val="B1005D"/>
        <w:sz w:val="18"/>
        <w:szCs w:val="18"/>
      </w:rPr>
      <w:t xml:space="preserve">Snapshot – </w:t>
    </w:r>
    <w:r w:rsidR="005A4E5E">
      <w:rPr>
        <w:rFonts w:ascii="Arial Bold" w:hAnsi="Arial Bold" w:cs="Arial"/>
        <w:b/>
        <w:color w:val="B1005D"/>
        <w:sz w:val="18"/>
        <w:szCs w:val="18"/>
      </w:rPr>
      <w:t>seeking</w:t>
    </w:r>
    <w:r>
      <w:rPr>
        <w:rFonts w:ascii="Arial Bold" w:hAnsi="Arial Bold" w:cs="Arial"/>
        <w:b/>
        <w:color w:val="B1005D"/>
        <w:sz w:val="18"/>
        <w:szCs w:val="18"/>
      </w:rPr>
      <w:t xml:space="preserve"> costs in family law proceedings</w:t>
    </w:r>
    <w:r>
      <w:rPr>
        <w:rFonts w:ascii="Arial Bold" w:hAnsi="Arial Bold" w:cs="Arial"/>
        <w:b/>
        <w:noProof/>
        <w:color w:val="B1005D"/>
        <w:sz w:val="18"/>
        <w:szCs w:val="18"/>
        <w:lang w:eastAsia="en-AU"/>
      </w:rPr>
      <w:t xml:space="preserve"> </w:t>
    </w:r>
    <w:r w:rsidR="00BB122F">
      <w:rPr>
        <w:rFonts w:ascii="Arial Bold" w:hAnsi="Arial Bold" w:cs="Arial"/>
        <w:b/>
        <w:noProof/>
        <w:color w:val="B100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87424" behindDoc="1" locked="1" layoutInCell="1" allowOverlap="1" wp14:anchorId="10DA575D" wp14:editId="23564335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7D729B5" id="Straight Connector 3" o:spid="_x0000_s1026" alt=" 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F2D43" w14:textId="77777777" w:rsidR="00BB122F" w:rsidRPr="00833658" w:rsidRDefault="00BB122F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eastAsia="en-AU"/>
      </w:rPr>
      <w:drawing>
        <wp:anchor distT="0" distB="0" distL="114300" distR="114300" simplePos="0" relativeHeight="251697664" behindDoc="1" locked="0" layoutInCell="1" allowOverlap="1" wp14:anchorId="3666784B" wp14:editId="14219EE7">
          <wp:simplePos x="0" y="0"/>
          <wp:positionH relativeFrom="column">
            <wp:posOffset>-389890</wp:posOffset>
          </wp:positionH>
          <wp:positionV relativeFrom="paragraph">
            <wp:posOffset>423</wp:posOffset>
          </wp:positionV>
          <wp:extent cx="7200000" cy="1258537"/>
          <wp:effectExtent l="0" t="0" r="0" b="1206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25853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28555B" w14:textId="17AEAA7D" w:rsidR="00BB122F" w:rsidRPr="00D82005" w:rsidRDefault="009A0D80" w:rsidP="00D82005">
    <w:pPr>
      <w:pStyle w:val="VLAPublicationdate"/>
      <w:spacing w:before="240" w:after="1200"/>
    </w:pPr>
    <w:r>
      <w:t>1 September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EEF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5014096"/>
    <w:multiLevelType w:val="hybridMultilevel"/>
    <w:tmpl w:val="048CE5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0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39448E"/>
    <w:multiLevelType w:val="hybridMultilevel"/>
    <w:tmpl w:val="7DF8342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31087"/>
    <w:multiLevelType w:val="hybridMultilevel"/>
    <w:tmpl w:val="A126C7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4B053347"/>
    <w:multiLevelType w:val="hybridMultilevel"/>
    <w:tmpl w:val="CEBEEE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4"/>
  </w:num>
  <w:num w:numId="5">
    <w:abstractNumId w:val="16"/>
  </w:num>
  <w:num w:numId="6">
    <w:abstractNumId w:val="16"/>
  </w:num>
  <w:num w:numId="7">
    <w:abstractNumId w:val="17"/>
  </w:num>
  <w:num w:numId="8">
    <w:abstractNumId w:val="16"/>
  </w:num>
  <w:num w:numId="9">
    <w:abstractNumId w:val="13"/>
  </w:num>
  <w:num w:numId="10">
    <w:abstractNumId w:val="9"/>
  </w:num>
  <w:num w:numId="11">
    <w:abstractNumId w:val="13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9"/>
  </w:num>
  <w:num w:numId="17">
    <w:abstractNumId w:val="16"/>
  </w:num>
  <w:num w:numId="18">
    <w:abstractNumId w:val="16"/>
  </w:num>
  <w:num w:numId="19">
    <w:abstractNumId w:val="14"/>
  </w:num>
  <w:num w:numId="20">
    <w:abstractNumId w:val="14"/>
  </w:num>
  <w:num w:numId="21">
    <w:abstractNumId w:val="14"/>
  </w:num>
  <w:num w:numId="22">
    <w:abstractNumId w:val="13"/>
  </w:num>
  <w:num w:numId="23">
    <w:abstractNumId w:val="9"/>
  </w:num>
  <w:num w:numId="24">
    <w:abstractNumId w:val="16"/>
  </w:num>
  <w:num w:numId="25">
    <w:abstractNumId w:val="16"/>
  </w:num>
  <w:num w:numId="26">
    <w:abstractNumId w:val="14"/>
  </w:num>
  <w:num w:numId="27">
    <w:abstractNumId w:val="14"/>
  </w:num>
  <w:num w:numId="28">
    <w:abstractNumId w:val="14"/>
  </w:num>
  <w:num w:numId="29">
    <w:abstractNumId w:val="6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5"/>
  </w:num>
  <w:num w:numId="36">
    <w:abstractNumId w:val="15"/>
  </w:num>
  <w:num w:numId="37">
    <w:abstractNumId w:val="8"/>
  </w:num>
  <w:num w:numId="38">
    <w:abstractNumId w:val="12"/>
  </w:num>
  <w:num w:numId="39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12289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0B6F57"/>
    <w:rsid w:val="000078CE"/>
    <w:rsid w:val="000360EC"/>
    <w:rsid w:val="00040F0B"/>
    <w:rsid w:val="00057FDC"/>
    <w:rsid w:val="000759A6"/>
    <w:rsid w:val="00091432"/>
    <w:rsid w:val="00091AFC"/>
    <w:rsid w:val="00094FE1"/>
    <w:rsid w:val="000A1C94"/>
    <w:rsid w:val="000B6F57"/>
    <w:rsid w:val="000C6955"/>
    <w:rsid w:val="000E1BEB"/>
    <w:rsid w:val="00151B7E"/>
    <w:rsid w:val="0015359B"/>
    <w:rsid w:val="00160C7E"/>
    <w:rsid w:val="00181303"/>
    <w:rsid w:val="001A2999"/>
    <w:rsid w:val="0021722B"/>
    <w:rsid w:val="002B73A4"/>
    <w:rsid w:val="002D737F"/>
    <w:rsid w:val="002F7860"/>
    <w:rsid w:val="00306C10"/>
    <w:rsid w:val="00310DD1"/>
    <w:rsid w:val="00315C03"/>
    <w:rsid w:val="003224F8"/>
    <w:rsid w:val="003315F4"/>
    <w:rsid w:val="00360994"/>
    <w:rsid w:val="003655D7"/>
    <w:rsid w:val="0037081E"/>
    <w:rsid w:val="00402557"/>
    <w:rsid w:val="004158B6"/>
    <w:rsid w:val="00427C16"/>
    <w:rsid w:val="004421BD"/>
    <w:rsid w:val="00443649"/>
    <w:rsid w:val="004707EF"/>
    <w:rsid w:val="004C75B1"/>
    <w:rsid w:val="004D7100"/>
    <w:rsid w:val="00504F13"/>
    <w:rsid w:val="005317C2"/>
    <w:rsid w:val="00546C0D"/>
    <w:rsid w:val="005A4E5E"/>
    <w:rsid w:val="005B1640"/>
    <w:rsid w:val="005B3D02"/>
    <w:rsid w:val="005C1DFD"/>
    <w:rsid w:val="005D19C7"/>
    <w:rsid w:val="005D4A19"/>
    <w:rsid w:val="005D5C9C"/>
    <w:rsid w:val="0066019E"/>
    <w:rsid w:val="006764E3"/>
    <w:rsid w:val="00680746"/>
    <w:rsid w:val="006A00A7"/>
    <w:rsid w:val="006A6FC6"/>
    <w:rsid w:val="006B35B8"/>
    <w:rsid w:val="006B3F5E"/>
    <w:rsid w:val="006B612D"/>
    <w:rsid w:val="006B6E7E"/>
    <w:rsid w:val="006F181A"/>
    <w:rsid w:val="006F2D6F"/>
    <w:rsid w:val="00714549"/>
    <w:rsid w:val="00724661"/>
    <w:rsid w:val="00781FFA"/>
    <w:rsid w:val="0078739B"/>
    <w:rsid w:val="007B0612"/>
    <w:rsid w:val="007C43E2"/>
    <w:rsid w:val="007D5BA7"/>
    <w:rsid w:val="008074B3"/>
    <w:rsid w:val="0082595B"/>
    <w:rsid w:val="00833658"/>
    <w:rsid w:val="00847377"/>
    <w:rsid w:val="00856DA8"/>
    <w:rsid w:val="008636E1"/>
    <w:rsid w:val="008841BB"/>
    <w:rsid w:val="008958CB"/>
    <w:rsid w:val="00896E60"/>
    <w:rsid w:val="008A1E5F"/>
    <w:rsid w:val="008B2419"/>
    <w:rsid w:val="008C388A"/>
    <w:rsid w:val="008F4DC6"/>
    <w:rsid w:val="00940793"/>
    <w:rsid w:val="0099270D"/>
    <w:rsid w:val="009A0D80"/>
    <w:rsid w:val="009A74F1"/>
    <w:rsid w:val="009B0D09"/>
    <w:rsid w:val="009B59BF"/>
    <w:rsid w:val="009D539D"/>
    <w:rsid w:val="009E1AC3"/>
    <w:rsid w:val="009F0AA0"/>
    <w:rsid w:val="00A11120"/>
    <w:rsid w:val="00A4395A"/>
    <w:rsid w:val="00A52F29"/>
    <w:rsid w:val="00A93509"/>
    <w:rsid w:val="00AB5376"/>
    <w:rsid w:val="00AC3D95"/>
    <w:rsid w:val="00B044A6"/>
    <w:rsid w:val="00B6049A"/>
    <w:rsid w:val="00B85795"/>
    <w:rsid w:val="00BB122F"/>
    <w:rsid w:val="00BD3873"/>
    <w:rsid w:val="00BE36EB"/>
    <w:rsid w:val="00C16B80"/>
    <w:rsid w:val="00C23872"/>
    <w:rsid w:val="00C33AEF"/>
    <w:rsid w:val="00C415B1"/>
    <w:rsid w:val="00C50166"/>
    <w:rsid w:val="00C61CB5"/>
    <w:rsid w:val="00C64A61"/>
    <w:rsid w:val="00C81372"/>
    <w:rsid w:val="00C84D28"/>
    <w:rsid w:val="00CB48F9"/>
    <w:rsid w:val="00CC0626"/>
    <w:rsid w:val="00CC216F"/>
    <w:rsid w:val="00CF2D05"/>
    <w:rsid w:val="00D30B8E"/>
    <w:rsid w:val="00D75C29"/>
    <w:rsid w:val="00D82005"/>
    <w:rsid w:val="00DB07C5"/>
    <w:rsid w:val="00DC01DC"/>
    <w:rsid w:val="00DD5EE1"/>
    <w:rsid w:val="00DE037E"/>
    <w:rsid w:val="00DE3C33"/>
    <w:rsid w:val="00E865F8"/>
    <w:rsid w:val="00E92D5D"/>
    <w:rsid w:val="00EF4FC5"/>
    <w:rsid w:val="00EF7C5C"/>
    <w:rsid w:val="00F0005B"/>
    <w:rsid w:val="00F14EC8"/>
    <w:rsid w:val="00F327E6"/>
    <w:rsid w:val="00F63972"/>
    <w:rsid w:val="00F77E0F"/>
    <w:rsid w:val="00F825B6"/>
    <w:rsid w:val="00FB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o:colormru v:ext="edit" colors="#017165,#96004a,#b1005d"/>
    </o:shapedefaults>
    <o:shapelayout v:ext="edit">
      <o:idmap v:ext="edit" data="1"/>
    </o:shapelayout>
  </w:shapeDefaults>
  <w:decimalSymbol w:val="."/>
  <w:listSeparator w:val=","/>
  <w14:docId w14:val="035061F6"/>
  <w15:docId w15:val="{0CC94783-F0C4-4F96-A7C5-6774DACD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F57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15359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15359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DB07C5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15359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eastAsia="en-AU"/>
    </w:rPr>
  </w:style>
  <w:style w:type="paragraph" w:customStyle="1" w:styleId="VLAi">
    <w:name w:val="VL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icture">
    <w:name w:val="VL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caption">
    <w:name w:val="VLA caption"/>
    <w:basedOn w:val="Normal"/>
    <w:next w:val="Normal"/>
    <w:rsid w:val="00DB07C5"/>
    <w:rPr>
      <w:i/>
      <w:sz w:val="20"/>
    </w:rPr>
  </w:style>
  <w:style w:type="paragraph" w:customStyle="1" w:styleId="VLAquotation">
    <w:name w:val="VLA quotation"/>
    <w:basedOn w:val="VLApicture"/>
    <w:rsid w:val="00DB07C5"/>
    <w:pPr>
      <w:ind w:left="720"/>
    </w:pPr>
    <w:rPr>
      <w:i/>
    </w:rPr>
  </w:style>
  <w:style w:type="paragraph" w:customStyle="1" w:styleId="VLA1">
    <w:name w:val="VL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a">
    <w:name w:val="VL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rogram">
    <w:name w:val="VLA Program"/>
    <w:basedOn w:val="Header"/>
    <w:next w:val="Normal"/>
    <w:rsid w:val="0015359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15359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15359B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eastAsia="en-AU"/>
    </w:rPr>
  </w:style>
  <w:style w:type="paragraph" w:customStyle="1" w:styleId="VLAdivision">
    <w:name w:val="VLA division"/>
    <w:basedOn w:val="Normal"/>
    <w:next w:val="VLAauthor"/>
    <w:rsid w:val="0015359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VLAauthor">
    <w:name w:val="VLA author"/>
    <w:basedOn w:val="Normal"/>
    <w:next w:val="VLAdivision"/>
    <w:rsid w:val="0015359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15359B"/>
  </w:style>
  <w:style w:type="paragraph" w:customStyle="1" w:styleId="Filename">
    <w:name w:val="Filename"/>
    <w:basedOn w:val="Normal"/>
    <w:rsid w:val="0015359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15359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character" w:customStyle="1" w:styleId="TitleChar">
    <w:name w:val="Title Char"/>
    <w:link w:val="Title"/>
    <w:rsid w:val="0015359B"/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paragraph" w:customStyle="1" w:styleId="VLAdate">
    <w:name w:val="VL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VLApublicationdate0">
    <w:name w:val="VL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0B6F57"/>
    <w:pPr>
      <w:numPr>
        <w:numId w:val="29"/>
      </w:numPr>
      <w:ind w:left="357" w:hanging="357"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character" w:customStyle="1" w:styleId="Heading1Char">
    <w:name w:val="Heading 1 Char"/>
    <w:basedOn w:val="DefaultParagraphFont"/>
    <w:link w:val="Heading1"/>
    <w:rsid w:val="000B6F57"/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B6F5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327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27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27E6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2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27E6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32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327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au/legis/cth/consol_act/fla1975114/s117.html" TargetMode="External"/><Relationship Id="rId13" Type="http://schemas.openxmlformats.org/officeDocument/2006/relationships/hyperlink" Target="http://www.austlii.edu.au/au/legis/cth/consol_act/fla1975114/s4.html" TargetMode="External"/><Relationship Id="rId18" Type="http://schemas.openxmlformats.org/officeDocument/2006/relationships/hyperlink" Target="mailto:Grants@vla.vic.gov.a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austlii.edu.au/au/legis/cth/consol_act/fla1975114/s117a.html" TargetMode="External"/><Relationship Id="rId17" Type="http://schemas.openxmlformats.org/officeDocument/2006/relationships/hyperlink" Target="http://handbook.vla.vic.gov.a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ustlii.edu.au/cgi-bin/sinodisp/au/legis/cth/consol_act/fla1975114/s117b.html?stem=0&amp;synonyms=0&amp;query=Family%20Law%20Ac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stlii.edu.au/au/legis/cth/consol_act/fla1975114/s117ac.htm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austlii.edu.au/au/legis/cth/consol_act/fla1975114/s117c.html" TargetMode="External"/><Relationship Id="rId23" Type="http://schemas.openxmlformats.org/officeDocument/2006/relationships/header" Target="header3.xml"/><Relationship Id="rId10" Type="http://schemas.openxmlformats.org/officeDocument/2006/relationships/hyperlink" Target="http://www.austlii.edu.au/au/legis/cth/consol_act/fla1975114/s102q.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ustlii.edu.au/au/legis/cth/consol_act/fla1975114/s117aa.html" TargetMode="External"/><Relationship Id="rId14" Type="http://schemas.openxmlformats.org/officeDocument/2006/relationships/hyperlink" Target="http://www.austlii.edu.au/cgi-bin/sinodisp/au/legis/cth/consol_act/fla1975114/s117b.html?stem=0&amp;synonyms=0&amp;query=Family%20Law%20Act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2FD3DD-F038-465F-94BC-17BB1358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– seeking costs in family law proceedings</vt:lpstr>
    </vt:vector>
  </TitlesOfParts>
  <Company>Victoria Legal Aid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– seeking costs in family law proceedings</dc:title>
  <dc:subject/>
  <dc:creator>Victoria Legal Aid</dc:creator>
  <cp:keywords/>
  <cp:lastModifiedBy/>
  <cp:revision>1</cp:revision>
  <dcterms:created xsi:type="dcterms:W3CDTF">2021-04-30T00:08:00Z</dcterms:created>
  <dcterms:modified xsi:type="dcterms:W3CDTF">2021-04-30T00:08:00Z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nguage">
    <vt:lpwstr>English</vt:lpwstr>
  </op:property>
  <op:property fmtid="{D5CDD505-2E9C-101B-9397-08002B2CF9AE}" pid="3" name="_MarkAsFinal">
    <vt:bool>true</vt:bool>
  </op:property>
</op:Properties>
</file>