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5267E" w14:textId="589E28C4" w:rsidR="00853BDA" w:rsidRDefault="002815DC" w:rsidP="00C73D71">
      <w:pPr>
        <w:pStyle w:val="Heading1"/>
        <w:spacing w:before="10000"/>
        <w:ind w:left="567"/>
        <w:rPr>
          <w:sz w:val="44"/>
          <w:szCs w:val="44"/>
        </w:rPr>
      </w:pPr>
      <w:bookmarkStart w:id="0" w:name="_Toc40967915"/>
      <w:bookmarkStart w:id="1" w:name="_Toc40971732"/>
      <w:bookmarkStart w:id="2" w:name="_Toc41057630"/>
      <w:bookmarkStart w:id="3" w:name="_Toc41468137"/>
      <w:bookmarkStart w:id="4" w:name="_Toc41644699"/>
      <w:bookmarkStart w:id="5" w:name="_Toc41659769"/>
      <w:r>
        <w:rPr>
          <w:sz w:val="44"/>
          <w:szCs w:val="44"/>
        </w:rPr>
        <w:t>Preventing the escalation of legal pr</w:t>
      </w:r>
      <w:bookmarkStart w:id="6" w:name="_GoBack"/>
      <w:bookmarkEnd w:id="6"/>
      <w:r>
        <w:rPr>
          <w:sz w:val="44"/>
          <w:szCs w:val="44"/>
        </w:rPr>
        <w:t>oblems during COVID-19</w:t>
      </w:r>
      <w:bookmarkEnd w:id="0"/>
      <w:bookmarkEnd w:id="1"/>
      <w:bookmarkEnd w:id="2"/>
      <w:bookmarkEnd w:id="3"/>
      <w:bookmarkEnd w:id="4"/>
      <w:bookmarkEnd w:id="5"/>
    </w:p>
    <w:p w14:paraId="3D225A1C" w14:textId="255E5B2C" w:rsidR="00E47E64" w:rsidRDefault="008431EA" w:rsidP="00E47E64">
      <w:pPr>
        <w:ind w:left="567"/>
        <w:rPr>
          <w:color w:val="009DBD"/>
          <w:sz w:val="32"/>
          <w:szCs w:val="32"/>
          <w:lang w:eastAsia="en-AU"/>
        </w:rPr>
      </w:pPr>
      <w:r>
        <w:rPr>
          <w:color w:val="009DBD"/>
          <w:sz w:val="32"/>
          <w:szCs w:val="32"/>
          <w:lang w:eastAsia="en-AU"/>
        </w:rPr>
        <w:t>Submission to the Senate Select Committee on COVID-19</w:t>
      </w:r>
    </w:p>
    <w:p w14:paraId="69E7AFB3" w14:textId="4238A334" w:rsidR="00E47E64" w:rsidRPr="00C73D71" w:rsidRDefault="00E47E64" w:rsidP="00E47E64">
      <w:pPr>
        <w:pStyle w:val="VLAcaption"/>
        <w:ind w:left="567" w:right="1500"/>
        <w:rPr>
          <w:lang w:eastAsia="en-AU"/>
        </w:rPr>
        <w:sectPr w:rsidR="00E47E64" w:rsidRPr="00C73D71" w:rsidSect="00622BCF">
          <w:headerReference w:type="even" r:id="rId11"/>
          <w:headerReference w:type="default" r:id="rId12"/>
          <w:footerReference w:type="default" r:id="rId13"/>
          <w:headerReference w:type="first" r:id="rId14"/>
          <w:pgSz w:w="11906" w:h="16838" w:code="9"/>
          <w:pgMar w:top="851" w:right="1021" w:bottom="851" w:left="1021" w:header="851" w:footer="284" w:gutter="0"/>
          <w:cols w:space="720"/>
          <w:titlePg/>
          <w:docGrid w:linePitch="299"/>
        </w:sectPr>
      </w:pPr>
    </w:p>
    <w:p w14:paraId="784C4376" w14:textId="77777777" w:rsidR="00696BAC" w:rsidRPr="00E24A08" w:rsidRDefault="00696BAC" w:rsidP="002A7402">
      <w:pPr>
        <w:pStyle w:val="Confidentialityclause"/>
        <w:rPr>
          <w:bCs w:val="0"/>
        </w:rPr>
      </w:pPr>
    </w:p>
    <w:p w14:paraId="3EAF7315" w14:textId="77777777" w:rsidR="002B4970" w:rsidRPr="0056464E" w:rsidRDefault="002B4970" w:rsidP="00CF1AFF">
      <w:pPr>
        <w:pStyle w:val="Heading1"/>
      </w:pPr>
      <w:bookmarkStart w:id="7" w:name="_Toc40967916"/>
      <w:bookmarkStart w:id="8" w:name="_Toc40971733"/>
      <w:bookmarkStart w:id="9" w:name="_Toc41057631"/>
      <w:bookmarkStart w:id="10" w:name="_Toc41468138"/>
      <w:bookmarkStart w:id="11" w:name="_Toc41644700"/>
      <w:bookmarkStart w:id="12" w:name="_Toc41659770"/>
      <w:r w:rsidRPr="0056464E">
        <w:t>Contents</w:t>
      </w:r>
      <w:bookmarkEnd w:id="7"/>
      <w:bookmarkEnd w:id="8"/>
      <w:bookmarkEnd w:id="9"/>
      <w:bookmarkEnd w:id="10"/>
      <w:bookmarkEnd w:id="11"/>
      <w:bookmarkEnd w:id="12"/>
    </w:p>
    <w:p w14:paraId="35A860F2" w14:textId="014F9404" w:rsidR="00BB5409" w:rsidRDefault="008104B7">
      <w:pPr>
        <w:pStyle w:val="TOC1"/>
        <w:rPr>
          <w:rFonts w:asciiTheme="minorHAnsi" w:eastAsiaTheme="minorEastAsia" w:hAnsiTheme="minorHAnsi" w:cstheme="minorBidi"/>
          <w:noProof/>
          <w:szCs w:val="22"/>
          <w:lang w:eastAsia="en-AU"/>
        </w:rPr>
      </w:pPr>
      <w:r>
        <w:rPr>
          <w:color w:val="2B579A"/>
          <w:shd w:val="clear" w:color="auto" w:fill="E6E6E6"/>
        </w:rPr>
        <w:fldChar w:fldCharType="begin"/>
      </w:r>
      <w:r>
        <w:rPr>
          <w:bCs/>
        </w:rPr>
        <w:instrText xml:space="preserve"> TOC \o "1-3" \h \z \u </w:instrText>
      </w:r>
      <w:r>
        <w:rPr>
          <w:color w:val="2B579A"/>
          <w:shd w:val="clear" w:color="auto" w:fill="E6E6E6"/>
        </w:rPr>
        <w:fldChar w:fldCharType="separate"/>
      </w:r>
      <w:hyperlink w:anchor="_Toc41659769" w:history="1">
        <w:r w:rsidR="00BB5409" w:rsidRPr="0087440C">
          <w:rPr>
            <w:rStyle w:val="Hyperlink"/>
            <w:noProof/>
          </w:rPr>
          <w:t>Preventing the escalation of legal problems during COVID-19</w:t>
        </w:r>
        <w:r w:rsidR="00BB5409">
          <w:rPr>
            <w:noProof/>
            <w:webHidden/>
          </w:rPr>
          <w:tab/>
        </w:r>
        <w:r w:rsidR="00BB5409">
          <w:rPr>
            <w:noProof/>
            <w:webHidden/>
          </w:rPr>
          <w:fldChar w:fldCharType="begin"/>
        </w:r>
        <w:r w:rsidR="00BB5409">
          <w:rPr>
            <w:noProof/>
            <w:webHidden/>
          </w:rPr>
          <w:instrText xml:space="preserve"> PAGEREF _Toc41659769 \h </w:instrText>
        </w:r>
        <w:r w:rsidR="00BB5409">
          <w:rPr>
            <w:noProof/>
            <w:webHidden/>
          </w:rPr>
        </w:r>
        <w:r w:rsidR="00BB5409">
          <w:rPr>
            <w:noProof/>
            <w:webHidden/>
          </w:rPr>
          <w:fldChar w:fldCharType="separate"/>
        </w:r>
        <w:r w:rsidR="00A137AA">
          <w:rPr>
            <w:noProof/>
            <w:webHidden/>
          </w:rPr>
          <w:t>1</w:t>
        </w:r>
        <w:r w:rsidR="00BB5409">
          <w:rPr>
            <w:noProof/>
            <w:webHidden/>
          </w:rPr>
          <w:fldChar w:fldCharType="end"/>
        </w:r>
      </w:hyperlink>
    </w:p>
    <w:p w14:paraId="179BE721" w14:textId="58E6A982" w:rsidR="00BB5409" w:rsidRDefault="00BB5409">
      <w:pPr>
        <w:pStyle w:val="TOC1"/>
        <w:rPr>
          <w:rFonts w:asciiTheme="minorHAnsi" w:eastAsiaTheme="minorEastAsia" w:hAnsiTheme="minorHAnsi" w:cstheme="minorBidi"/>
          <w:noProof/>
          <w:szCs w:val="22"/>
          <w:lang w:eastAsia="en-AU"/>
        </w:rPr>
      </w:pPr>
      <w:hyperlink w:anchor="_Toc41659770" w:history="1">
        <w:r w:rsidRPr="0087440C">
          <w:rPr>
            <w:rStyle w:val="Hyperlink"/>
            <w:noProof/>
          </w:rPr>
          <w:t>Contents</w:t>
        </w:r>
        <w:r>
          <w:rPr>
            <w:noProof/>
            <w:webHidden/>
          </w:rPr>
          <w:tab/>
        </w:r>
        <w:r>
          <w:rPr>
            <w:noProof/>
            <w:webHidden/>
          </w:rPr>
          <w:fldChar w:fldCharType="begin"/>
        </w:r>
        <w:r>
          <w:rPr>
            <w:noProof/>
            <w:webHidden/>
          </w:rPr>
          <w:instrText xml:space="preserve"> PAGEREF _Toc41659770 \h </w:instrText>
        </w:r>
        <w:r>
          <w:rPr>
            <w:noProof/>
            <w:webHidden/>
          </w:rPr>
        </w:r>
        <w:r>
          <w:rPr>
            <w:noProof/>
            <w:webHidden/>
          </w:rPr>
          <w:fldChar w:fldCharType="separate"/>
        </w:r>
        <w:r w:rsidR="00A137AA">
          <w:rPr>
            <w:noProof/>
            <w:webHidden/>
          </w:rPr>
          <w:t>i</w:t>
        </w:r>
        <w:r>
          <w:rPr>
            <w:noProof/>
            <w:webHidden/>
          </w:rPr>
          <w:fldChar w:fldCharType="end"/>
        </w:r>
      </w:hyperlink>
    </w:p>
    <w:p w14:paraId="52FE8DD7" w14:textId="75E95AB1" w:rsidR="00BB5409" w:rsidRDefault="00BB5409">
      <w:pPr>
        <w:pStyle w:val="TOC1"/>
        <w:rPr>
          <w:rFonts w:asciiTheme="minorHAnsi" w:eastAsiaTheme="minorEastAsia" w:hAnsiTheme="minorHAnsi" w:cstheme="minorBidi"/>
          <w:noProof/>
          <w:szCs w:val="22"/>
          <w:lang w:eastAsia="en-AU"/>
        </w:rPr>
      </w:pPr>
      <w:hyperlink w:anchor="_Toc41659771" w:history="1">
        <w:r w:rsidRPr="0087440C">
          <w:rPr>
            <w:rStyle w:val="Hyperlink"/>
            <w:noProof/>
          </w:rPr>
          <w:t>Executive Summary</w:t>
        </w:r>
        <w:r>
          <w:rPr>
            <w:noProof/>
            <w:webHidden/>
          </w:rPr>
          <w:tab/>
        </w:r>
        <w:r>
          <w:rPr>
            <w:noProof/>
            <w:webHidden/>
          </w:rPr>
          <w:fldChar w:fldCharType="begin"/>
        </w:r>
        <w:r>
          <w:rPr>
            <w:noProof/>
            <w:webHidden/>
          </w:rPr>
          <w:instrText xml:space="preserve"> PAGEREF _Toc41659771 \h </w:instrText>
        </w:r>
        <w:r>
          <w:rPr>
            <w:noProof/>
            <w:webHidden/>
          </w:rPr>
        </w:r>
        <w:r>
          <w:rPr>
            <w:noProof/>
            <w:webHidden/>
          </w:rPr>
          <w:fldChar w:fldCharType="separate"/>
        </w:r>
        <w:r w:rsidR="00A137AA">
          <w:rPr>
            <w:noProof/>
            <w:webHidden/>
          </w:rPr>
          <w:t>2</w:t>
        </w:r>
        <w:r>
          <w:rPr>
            <w:noProof/>
            <w:webHidden/>
          </w:rPr>
          <w:fldChar w:fldCharType="end"/>
        </w:r>
      </w:hyperlink>
    </w:p>
    <w:p w14:paraId="0A945B6F" w14:textId="571AE945" w:rsidR="00BB5409" w:rsidRDefault="00BB5409" w:rsidP="00946BEF">
      <w:pPr>
        <w:pStyle w:val="TOC2"/>
        <w:tabs>
          <w:tab w:val="left" w:pos="567"/>
        </w:tabs>
        <w:ind w:left="0"/>
        <w:rPr>
          <w:rFonts w:asciiTheme="minorHAnsi" w:eastAsiaTheme="minorEastAsia" w:hAnsiTheme="minorHAnsi" w:cstheme="minorBidi"/>
          <w:szCs w:val="22"/>
          <w:lang w:eastAsia="en-AU"/>
        </w:rPr>
      </w:pPr>
      <w:hyperlink w:anchor="_Toc41659772" w:history="1">
        <w:r w:rsidRPr="0087440C">
          <w:rPr>
            <w:rStyle w:val="Hyperlink"/>
          </w:rPr>
          <w:t>1.</w:t>
        </w:r>
        <w:r>
          <w:rPr>
            <w:rFonts w:asciiTheme="minorHAnsi" w:eastAsiaTheme="minorEastAsia" w:hAnsiTheme="minorHAnsi" w:cstheme="minorBidi"/>
            <w:szCs w:val="22"/>
            <w:lang w:eastAsia="en-AU"/>
          </w:rPr>
          <w:tab/>
        </w:r>
        <w:r w:rsidRPr="0087440C">
          <w:rPr>
            <w:rStyle w:val="Hyperlink"/>
          </w:rPr>
          <w:t>Family violence and family law</w:t>
        </w:r>
        <w:r>
          <w:rPr>
            <w:webHidden/>
          </w:rPr>
          <w:tab/>
        </w:r>
        <w:r>
          <w:rPr>
            <w:webHidden/>
          </w:rPr>
          <w:fldChar w:fldCharType="begin"/>
        </w:r>
        <w:r>
          <w:rPr>
            <w:webHidden/>
          </w:rPr>
          <w:instrText xml:space="preserve"> PAGEREF _Toc41659772 \h </w:instrText>
        </w:r>
        <w:r>
          <w:rPr>
            <w:webHidden/>
          </w:rPr>
        </w:r>
        <w:r>
          <w:rPr>
            <w:webHidden/>
          </w:rPr>
          <w:fldChar w:fldCharType="separate"/>
        </w:r>
        <w:r w:rsidR="00A137AA">
          <w:rPr>
            <w:webHidden/>
          </w:rPr>
          <w:t>3</w:t>
        </w:r>
        <w:r>
          <w:rPr>
            <w:webHidden/>
          </w:rPr>
          <w:fldChar w:fldCharType="end"/>
        </w:r>
      </w:hyperlink>
    </w:p>
    <w:p w14:paraId="78845B22" w14:textId="7C551D49" w:rsidR="00BB5409" w:rsidRDefault="00BB5409">
      <w:pPr>
        <w:pStyle w:val="TOC3"/>
        <w:tabs>
          <w:tab w:val="left" w:pos="1100"/>
        </w:tabs>
        <w:rPr>
          <w:rFonts w:asciiTheme="minorHAnsi" w:eastAsiaTheme="minorEastAsia" w:hAnsiTheme="minorHAnsi" w:cstheme="minorBidi"/>
          <w:szCs w:val="22"/>
          <w:lang w:eastAsia="en-AU"/>
        </w:rPr>
      </w:pPr>
      <w:hyperlink w:anchor="_Toc41659773" w:history="1">
        <w:r w:rsidRPr="0087440C">
          <w:rPr>
            <w:rStyle w:val="Hyperlink"/>
          </w:rPr>
          <w:t>(a)</w:t>
        </w:r>
        <w:r>
          <w:rPr>
            <w:rFonts w:asciiTheme="minorHAnsi" w:eastAsiaTheme="minorEastAsia" w:hAnsiTheme="minorHAnsi" w:cstheme="minorBidi"/>
            <w:szCs w:val="22"/>
            <w:lang w:eastAsia="en-AU"/>
          </w:rPr>
          <w:tab/>
        </w:r>
        <w:r w:rsidRPr="0087440C">
          <w:rPr>
            <w:rStyle w:val="Hyperlink"/>
          </w:rPr>
          <w:t>Impacts of COVID-19 in family violence and family law</w:t>
        </w:r>
        <w:r>
          <w:rPr>
            <w:webHidden/>
          </w:rPr>
          <w:tab/>
        </w:r>
        <w:r>
          <w:rPr>
            <w:webHidden/>
          </w:rPr>
          <w:fldChar w:fldCharType="begin"/>
        </w:r>
        <w:r>
          <w:rPr>
            <w:webHidden/>
          </w:rPr>
          <w:instrText xml:space="preserve"> PAGEREF _Toc41659773 \h </w:instrText>
        </w:r>
        <w:r>
          <w:rPr>
            <w:webHidden/>
          </w:rPr>
        </w:r>
        <w:r>
          <w:rPr>
            <w:webHidden/>
          </w:rPr>
          <w:fldChar w:fldCharType="separate"/>
        </w:r>
        <w:r w:rsidR="00A137AA">
          <w:rPr>
            <w:webHidden/>
          </w:rPr>
          <w:t>3</w:t>
        </w:r>
        <w:r>
          <w:rPr>
            <w:webHidden/>
          </w:rPr>
          <w:fldChar w:fldCharType="end"/>
        </w:r>
      </w:hyperlink>
    </w:p>
    <w:p w14:paraId="08A90ED5" w14:textId="1A2A4F33" w:rsidR="00BB5409" w:rsidRDefault="00BB5409">
      <w:pPr>
        <w:pStyle w:val="TOC3"/>
        <w:tabs>
          <w:tab w:val="left" w:pos="1100"/>
        </w:tabs>
        <w:rPr>
          <w:rFonts w:asciiTheme="minorHAnsi" w:eastAsiaTheme="minorEastAsia" w:hAnsiTheme="minorHAnsi" w:cstheme="minorBidi"/>
          <w:szCs w:val="22"/>
          <w:lang w:eastAsia="en-AU"/>
        </w:rPr>
      </w:pPr>
      <w:hyperlink w:anchor="_Toc41659774" w:history="1">
        <w:r w:rsidRPr="0087440C">
          <w:rPr>
            <w:rStyle w:val="Hyperlink"/>
          </w:rPr>
          <w:t>(b)</w:t>
        </w:r>
        <w:r>
          <w:rPr>
            <w:rFonts w:asciiTheme="minorHAnsi" w:eastAsiaTheme="minorEastAsia" w:hAnsiTheme="minorHAnsi" w:cstheme="minorBidi"/>
            <w:szCs w:val="22"/>
            <w:lang w:eastAsia="en-AU"/>
          </w:rPr>
          <w:tab/>
        </w:r>
        <w:r w:rsidRPr="0087440C">
          <w:rPr>
            <w:rStyle w:val="Hyperlink"/>
          </w:rPr>
          <w:t>Australian Government response to date</w:t>
        </w:r>
        <w:r>
          <w:rPr>
            <w:webHidden/>
          </w:rPr>
          <w:tab/>
        </w:r>
        <w:r>
          <w:rPr>
            <w:webHidden/>
          </w:rPr>
          <w:fldChar w:fldCharType="begin"/>
        </w:r>
        <w:r>
          <w:rPr>
            <w:webHidden/>
          </w:rPr>
          <w:instrText xml:space="preserve"> PAGEREF _Toc41659774 \h </w:instrText>
        </w:r>
        <w:r>
          <w:rPr>
            <w:webHidden/>
          </w:rPr>
        </w:r>
        <w:r>
          <w:rPr>
            <w:webHidden/>
          </w:rPr>
          <w:fldChar w:fldCharType="separate"/>
        </w:r>
        <w:r w:rsidR="00A137AA">
          <w:rPr>
            <w:webHidden/>
          </w:rPr>
          <w:t>4</w:t>
        </w:r>
        <w:r>
          <w:rPr>
            <w:webHidden/>
          </w:rPr>
          <w:fldChar w:fldCharType="end"/>
        </w:r>
      </w:hyperlink>
    </w:p>
    <w:p w14:paraId="58AAAF02" w14:textId="2FCC8E5F" w:rsidR="00BB5409" w:rsidRDefault="00BB5409" w:rsidP="00946BEF">
      <w:pPr>
        <w:pStyle w:val="TOC2"/>
        <w:tabs>
          <w:tab w:val="left" w:pos="567"/>
        </w:tabs>
        <w:ind w:left="0"/>
        <w:rPr>
          <w:rFonts w:asciiTheme="minorHAnsi" w:eastAsiaTheme="minorEastAsia" w:hAnsiTheme="minorHAnsi" w:cstheme="minorBidi"/>
          <w:szCs w:val="22"/>
          <w:lang w:eastAsia="en-AU"/>
        </w:rPr>
      </w:pPr>
      <w:hyperlink w:anchor="_Toc41659775" w:history="1">
        <w:r w:rsidRPr="0087440C">
          <w:rPr>
            <w:rStyle w:val="Hyperlink"/>
          </w:rPr>
          <w:t>2.</w:t>
        </w:r>
        <w:r>
          <w:rPr>
            <w:rFonts w:asciiTheme="minorHAnsi" w:eastAsiaTheme="minorEastAsia" w:hAnsiTheme="minorHAnsi" w:cstheme="minorBidi"/>
            <w:szCs w:val="22"/>
            <w:lang w:eastAsia="en-AU"/>
          </w:rPr>
          <w:tab/>
        </w:r>
        <w:r w:rsidRPr="0087440C">
          <w:rPr>
            <w:rStyle w:val="Hyperlink"/>
          </w:rPr>
          <w:t>Social security</w:t>
        </w:r>
        <w:r>
          <w:rPr>
            <w:webHidden/>
          </w:rPr>
          <w:tab/>
        </w:r>
        <w:r>
          <w:rPr>
            <w:webHidden/>
          </w:rPr>
          <w:fldChar w:fldCharType="begin"/>
        </w:r>
        <w:r>
          <w:rPr>
            <w:webHidden/>
          </w:rPr>
          <w:instrText xml:space="preserve"> PAGEREF _Toc41659775 \h </w:instrText>
        </w:r>
        <w:r>
          <w:rPr>
            <w:webHidden/>
          </w:rPr>
        </w:r>
        <w:r>
          <w:rPr>
            <w:webHidden/>
          </w:rPr>
          <w:fldChar w:fldCharType="separate"/>
        </w:r>
        <w:r w:rsidR="00A137AA">
          <w:rPr>
            <w:webHidden/>
          </w:rPr>
          <w:t>5</w:t>
        </w:r>
        <w:r>
          <w:rPr>
            <w:webHidden/>
          </w:rPr>
          <w:fldChar w:fldCharType="end"/>
        </w:r>
      </w:hyperlink>
    </w:p>
    <w:p w14:paraId="2708D152" w14:textId="76733834" w:rsidR="00BB5409" w:rsidRDefault="00BB5409" w:rsidP="00946BEF">
      <w:pPr>
        <w:pStyle w:val="TOC2"/>
        <w:tabs>
          <w:tab w:val="left" w:pos="567"/>
        </w:tabs>
        <w:ind w:left="0"/>
        <w:rPr>
          <w:rFonts w:asciiTheme="minorHAnsi" w:eastAsiaTheme="minorEastAsia" w:hAnsiTheme="minorHAnsi" w:cstheme="minorBidi"/>
          <w:szCs w:val="22"/>
          <w:lang w:eastAsia="en-AU"/>
        </w:rPr>
      </w:pPr>
      <w:hyperlink w:anchor="_Toc41659778" w:history="1">
        <w:r w:rsidRPr="0087440C">
          <w:rPr>
            <w:rStyle w:val="Hyperlink"/>
          </w:rPr>
          <w:t>3.</w:t>
        </w:r>
        <w:r>
          <w:rPr>
            <w:rFonts w:asciiTheme="minorHAnsi" w:eastAsiaTheme="minorEastAsia" w:hAnsiTheme="minorHAnsi" w:cstheme="minorBidi"/>
            <w:szCs w:val="22"/>
            <w:lang w:eastAsia="en-AU"/>
          </w:rPr>
          <w:tab/>
        </w:r>
        <w:r w:rsidRPr="0087440C">
          <w:rPr>
            <w:rStyle w:val="Hyperlink"/>
          </w:rPr>
          <w:t>National Disability Insurance Scheme</w:t>
        </w:r>
        <w:r>
          <w:rPr>
            <w:webHidden/>
          </w:rPr>
          <w:tab/>
        </w:r>
        <w:r>
          <w:rPr>
            <w:webHidden/>
          </w:rPr>
          <w:fldChar w:fldCharType="begin"/>
        </w:r>
        <w:r>
          <w:rPr>
            <w:webHidden/>
          </w:rPr>
          <w:instrText xml:space="preserve"> PAGEREF _Toc41659778 \h </w:instrText>
        </w:r>
        <w:r>
          <w:rPr>
            <w:webHidden/>
          </w:rPr>
        </w:r>
        <w:r>
          <w:rPr>
            <w:webHidden/>
          </w:rPr>
          <w:fldChar w:fldCharType="separate"/>
        </w:r>
        <w:r w:rsidR="00A137AA">
          <w:rPr>
            <w:webHidden/>
          </w:rPr>
          <w:t>6</w:t>
        </w:r>
        <w:r>
          <w:rPr>
            <w:webHidden/>
          </w:rPr>
          <w:fldChar w:fldCharType="end"/>
        </w:r>
      </w:hyperlink>
    </w:p>
    <w:p w14:paraId="1852F85B" w14:textId="5D9563CF" w:rsidR="00BB5409" w:rsidRDefault="00BB5409">
      <w:pPr>
        <w:pStyle w:val="TOC3"/>
        <w:tabs>
          <w:tab w:val="left" w:pos="1100"/>
        </w:tabs>
        <w:rPr>
          <w:rFonts w:asciiTheme="minorHAnsi" w:eastAsiaTheme="minorEastAsia" w:hAnsiTheme="minorHAnsi" w:cstheme="minorBidi"/>
          <w:szCs w:val="22"/>
          <w:lang w:eastAsia="en-AU"/>
        </w:rPr>
      </w:pPr>
      <w:hyperlink w:anchor="_Toc41659779" w:history="1">
        <w:r w:rsidRPr="0087440C">
          <w:rPr>
            <w:rStyle w:val="Hyperlink"/>
          </w:rPr>
          <w:t>(a)</w:t>
        </w:r>
        <w:r>
          <w:rPr>
            <w:rFonts w:asciiTheme="minorHAnsi" w:eastAsiaTheme="minorEastAsia" w:hAnsiTheme="minorHAnsi" w:cstheme="minorBidi"/>
            <w:szCs w:val="22"/>
            <w:lang w:eastAsia="en-AU"/>
          </w:rPr>
          <w:tab/>
        </w:r>
        <w:r w:rsidRPr="0087440C">
          <w:rPr>
            <w:rStyle w:val="Hyperlink"/>
          </w:rPr>
          <w:t>Positive NDIS changes in response to COVID-19</w:t>
        </w:r>
        <w:r>
          <w:rPr>
            <w:webHidden/>
          </w:rPr>
          <w:tab/>
        </w:r>
        <w:r>
          <w:rPr>
            <w:webHidden/>
          </w:rPr>
          <w:fldChar w:fldCharType="begin"/>
        </w:r>
        <w:r>
          <w:rPr>
            <w:webHidden/>
          </w:rPr>
          <w:instrText xml:space="preserve"> PAGEREF _Toc41659779 \h </w:instrText>
        </w:r>
        <w:r>
          <w:rPr>
            <w:webHidden/>
          </w:rPr>
        </w:r>
        <w:r>
          <w:rPr>
            <w:webHidden/>
          </w:rPr>
          <w:fldChar w:fldCharType="separate"/>
        </w:r>
        <w:r w:rsidR="00A137AA">
          <w:rPr>
            <w:webHidden/>
          </w:rPr>
          <w:t>6</w:t>
        </w:r>
        <w:r>
          <w:rPr>
            <w:webHidden/>
          </w:rPr>
          <w:fldChar w:fldCharType="end"/>
        </w:r>
      </w:hyperlink>
    </w:p>
    <w:p w14:paraId="420E6C10" w14:textId="232E791F" w:rsidR="00BB5409" w:rsidRDefault="00BB5409">
      <w:pPr>
        <w:pStyle w:val="TOC3"/>
        <w:tabs>
          <w:tab w:val="left" w:pos="1100"/>
        </w:tabs>
        <w:rPr>
          <w:rFonts w:asciiTheme="minorHAnsi" w:eastAsiaTheme="minorEastAsia" w:hAnsiTheme="minorHAnsi" w:cstheme="minorBidi"/>
          <w:szCs w:val="22"/>
          <w:lang w:eastAsia="en-AU"/>
        </w:rPr>
      </w:pPr>
      <w:hyperlink w:anchor="_Toc41659780" w:history="1">
        <w:r w:rsidRPr="0087440C">
          <w:rPr>
            <w:rStyle w:val="Hyperlink"/>
          </w:rPr>
          <w:t>(b)</w:t>
        </w:r>
        <w:r>
          <w:rPr>
            <w:rFonts w:asciiTheme="minorHAnsi" w:eastAsiaTheme="minorEastAsia" w:hAnsiTheme="minorHAnsi" w:cstheme="minorBidi"/>
            <w:szCs w:val="22"/>
            <w:lang w:eastAsia="en-AU"/>
          </w:rPr>
          <w:tab/>
        </w:r>
        <w:r w:rsidRPr="0087440C">
          <w:rPr>
            <w:rStyle w:val="Hyperlink"/>
          </w:rPr>
          <w:t>Risks for NDIS participants during COVID-19</w:t>
        </w:r>
        <w:r>
          <w:rPr>
            <w:webHidden/>
          </w:rPr>
          <w:tab/>
        </w:r>
        <w:r>
          <w:rPr>
            <w:webHidden/>
          </w:rPr>
          <w:fldChar w:fldCharType="begin"/>
        </w:r>
        <w:r>
          <w:rPr>
            <w:webHidden/>
          </w:rPr>
          <w:instrText xml:space="preserve"> PAGEREF _Toc41659780 \h </w:instrText>
        </w:r>
        <w:r>
          <w:rPr>
            <w:webHidden/>
          </w:rPr>
        </w:r>
        <w:r>
          <w:rPr>
            <w:webHidden/>
          </w:rPr>
          <w:fldChar w:fldCharType="separate"/>
        </w:r>
        <w:r w:rsidR="00A137AA">
          <w:rPr>
            <w:webHidden/>
          </w:rPr>
          <w:t>6</w:t>
        </w:r>
        <w:r>
          <w:rPr>
            <w:webHidden/>
          </w:rPr>
          <w:fldChar w:fldCharType="end"/>
        </w:r>
      </w:hyperlink>
    </w:p>
    <w:p w14:paraId="3E5473B6" w14:textId="39387EC1" w:rsidR="00BB5409" w:rsidRDefault="00BB5409" w:rsidP="00946BEF">
      <w:pPr>
        <w:pStyle w:val="TOC2"/>
        <w:tabs>
          <w:tab w:val="left" w:pos="567"/>
        </w:tabs>
        <w:ind w:left="0"/>
        <w:rPr>
          <w:rFonts w:asciiTheme="minorHAnsi" w:eastAsiaTheme="minorEastAsia" w:hAnsiTheme="minorHAnsi" w:cstheme="minorBidi"/>
          <w:szCs w:val="22"/>
          <w:lang w:eastAsia="en-AU"/>
        </w:rPr>
      </w:pPr>
      <w:hyperlink w:anchor="_Toc41659781" w:history="1">
        <w:r w:rsidRPr="0087440C">
          <w:rPr>
            <w:rStyle w:val="Hyperlink"/>
          </w:rPr>
          <w:t>4.</w:t>
        </w:r>
        <w:r>
          <w:rPr>
            <w:rFonts w:asciiTheme="minorHAnsi" w:eastAsiaTheme="minorEastAsia" w:hAnsiTheme="minorHAnsi" w:cstheme="minorBidi"/>
            <w:szCs w:val="22"/>
            <w:lang w:eastAsia="en-AU"/>
          </w:rPr>
          <w:tab/>
        </w:r>
        <w:r w:rsidRPr="0087440C">
          <w:rPr>
            <w:rStyle w:val="Hyperlink"/>
          </w:rPr>
          <w:t>Migration</w:t>
        </w:r>
        <w:r>
          <w:rPr>
            <w:webHidden/>
          </w:rPr>
          <w:tab/>
        </w:r>
        <w:r>
          <w:rPr>
            <w:webHidden/>
          </w:rPr>
          <w:fldChar w:fldCharType="begin"/>
        </w:r>
        <w:r>
          <w:rPr>
            <w:webHidden/>
          </w:rPr>
          <w:instrText xml:space="preserve"> PAGEREF _Toc41659781 \h </w:instrText>
        </w:r>
        <w:r>
          <w:rPr>
            <w:webHidden/>
          </w:rPr>
        </w:r>
        <w:r>
          <w:rPr>
            <w:webHidden/>
          </w:rPr>
          <w:fldChar w:fldCharType="separate"/>
        </w:r>
        <w:r w:rsidR="00A137AA">
          <w:rPr>
            <w:webHidden/>
          </w:rPr>
          <w:t>8</w:t>
        </w:r>
        <w:r>
          <w:rPr>
            <w:webHidden/>
          </w:rPr>
          <w:fldChar w:fldCharType="end"/>
        </w:r>
      </w:hyperlink>
    </w:p>
    <w:p w14:paraId="48E7D50C" w14:textId="51F6F60F" w:rsidR="00BB5409" w:rsidRDefault="00BB5409">
      <w:pPr>
        <w:pStyle w:val="TOC3"/>
        <w:tabs>
          <w:tab w:val="left" w:pos="1100"/>
        </w:tabs>
        <w:rPr>
          <w:rFonts w:asciiTheme="minorHAnsi" w:eastAsiaTheme="minorEastAsia" w:hAnsiTheme="minorHAnsi" w:cstheme="minorBidi"/>
          <w:szCs w:val="22"/>
          <w:lang w:eastAsia="en-AU"/>
        </w:rPr>
      </w:pPr>
      <w:hyperlink w:anchor="_Toc41659782" w:history="1">
        <w:r w:rsidRPr="0087440C">
          <w:rPr>
            <w:rStyle w:val="Hyperlink"/>
          </w:rPr>
          <w:t>(a)</w:t>
        </w:r>
        <w:r>
          <w:rPr>
            <w:rFonts w:asciiTheme="minorHAnsi" w:eastAsiaTheme="minorEastAsia" w:hAnsiTheme="minorHAnsi" w:cstheme="minorBidi"/>
            <w:szCs w:val="22"/>
            <w:lang w:eastAsia="en-AU"/>
          </w:rPr>
          <w:tab/>
        </w:r>
        <w:r w:rsidRPr="0087440C">
          <w:rPr>
            <w:rStyle w:val="Hyperlink"/>
          </w:rPr>
          <w:t>Unsafe conditions in immigration detention</w:t>
        </w:r>
        <w:r>
          <w:rPr>
            <w:webHidden/>
          </w:rPr>
          <w:tab/>
        </w:r>
        <w:r>
          <w:rPr>
            <w:webHidden/>
          </w:rPr>
          <w:fldChar w:fldCharType="begin"/>
        </w:r>
        <w:r>
          <w:rPr>
            <w:webHidden/>
          </w:rPr>
          <w:instrText xml:space="preserve"> PAGEREF _Toc41659782 \h </w:instrText>
        </w:r>
        <w:r>
          <w:rPr>
            <w:webHidden/>
          </w:rPr>
        </w:r>
        <w:r>
          <w:rPr>
            <w:webHidden/>
          </w:rPr>
          <w:fldChar w:fldCharType="separate"/>
        </w:r>
        <w:r w:rsidR="00A137AA">
          <w:rPr>
            <w:webHidden/>
          </w:rPr>
          <w:t>9</w:t>
        </w:r>
        <w:r>
          <w:rPr>
            <w:webHidden/>
          </w:rPr>
          <w:fldChar w:fldCharType="end"/>
        </w:r>
      </w:hyperlink>
    </w:p>
    <w:p w14:paraId="00E51597" w14:textId="6980D901" w:rsidR="00BB5409" w:rsidRDefault="00BB5409">
      <w:pPr>
        <w:pStyle w:val="TOC3"/>
        <w:tabs>
          <w:tab w:val="left" w:pos="1100"/>
        </w:tabs>
        <w:rPr>
          <w:rFonts w:asciiTheme="minorHAnsi" w:eastAsiaTheme="minorEastAsia" w:hAnsiTheme="minorHAnsi" w:cstheme="minorBidi"/>
          <w:szCs w:val="22"/>
          <w:lang w:eastAsia="en-AU"/>
        </w:rPr>
      </w:pPr>
      <w:hyperlink w:anchor="_Toc41659783" w:history="1">
        <w:r w:rsidRPr="0087440C">
          <w:rPr>
            <w:rStyle w:val="Hyperlink"/>
          </w:rPr>
          <w:t>(b)</w:t>
        </w:r>
        <w:r>
          <w:rPr>
            <w:rFonts w:asciiTheme="minorHAnsi" w:eastAsiaTheme="minorEastAsia" w:hAnsiTheme="minorHAnsi" w:cstheme="minorBidi"/>
            <w:szCs w:val="22"/>
            <w:lang w:eastAsia="en-AU"/>
          </w:rPr>
          <w:tab/>
        </w:r>
        <w:r w:rsidRPr="0087440C">
          <w:rPr>
            <w:rStyle w:val="Hyperlink"/>
          </w:rPr>
          <w:t>Limited access to social security and healthcare</w:t>
        </w:r>
        <w:r>
          <w:rPr>
            <w:webHidden/>
          </w:rPr>
          <w:tab/>
        </w:r>
        <w:r>
          <w:rPr>
            <w:webHidden/>
          </w:rPr>
          <w:fldChar w:fldCharType="begin"/>
        </w:r>
        <w:r>
          <w:rPr>
            <w:webHidden/>
          </w:rPr>
          <w:instrText xml:space="preserve"> PAGEREF _Toc41659783 \h </w:instrText>
        </w:r>
        <w:r>
          <w:rPr>
            <w:webHidden/>
          </w:rPr>
        </w:r>
        <w:r>
          <w:rPr>
            <w:webHidden/>
          </w:rPr>
          <w:fldChar w:fldCharType="separate"/>
        </w:r>
        <w:r w:rsidR="00A137AA">
          <w:rPr>
            <w:webHidden/>
          </w:rPr>
          <w:t>10</w:t>
        </w:r>
        <w:r>
          <w:rPr>
            <w:webHidden/>
          </w:rPr>
          <w:fldChar w:fldCharType="end"/>
        </w:r>
      </w:hyperlink>
    </w:p>
    <w:p w14:paraId="6F79E85E" w14:textId="3DE472C2" w:rsidR="00BB5409" w:rsidRDefault="00BB5409" w:rsidP="00946BEF">
      <w:pPr>
        <w:pStyle w:val="TOC2"/>
        <w:tabs>
          <w:tab w:val="left" w:pos="567"/>
        </w:tabs>
        <w:ind w:left="0"/>
        <w:rPr>
          <w:rFonts w:asciiTheme="minorHAnsi" w:eastAsiaTheme="minorEastAsia" w:hAnsiTheme="minorHAnsi" w:cstheme="minorBidi"/>
          <w:szCs w:val="22"/>
          <w:lang w:eastAsia="en-AU"/>
        </w:rPr>
      </w:pPr>
      <w:hyperlink w:anchor="_Toc41659784" w:history="1">
        <w:r w:rsidRPr="0087440C">
          <w:rPr>
            <w:rStyle w:val="Hyperlink"/>
          </w:rPr>
          <w:t>5.</w:t>
        </w:r>
        <w:r>
          <w:rPr>
            <w:rFonts w:asciiTheme="minorHAnsi" w:eastAsiaTheme="minorEastAsia" w:hAnsiTheme="minorHAnsi" w:cstheme="minorBidi"/>
            <w:szCs w:val="22"/>
            <w:lang w:eastAsia="en-AU"/>
          </w:rPr>
          <w:tab/>
        </w:r>
        <w:r w:rsidRPr="0087440C">
          <w:rPr>
            <w:rStyle w:val="Hyperlink"/>
          </w:rPr>
          <w:t>Discrimination and sexual harassment</w:t>
        </w:r>
        <w:r>
          <w:rPr>
            <w:webHidden/>
          </w:rPr>
          <w:tab/>
        </w:r>
        <w:r>
          <w:rPr>
            <w:webHidden/>
          </w:rPr>
          <w:fldChar w:fldCharType="begin"/>
        </w:r>
        <w:r>
          <w:rPr>
            <w:webHidden/>
          </w:rPr>
          <w:instrText xml:space="preserve"> PAGEREF _Toc41659784 \h </w:instrText>
        </w:r>
        <w:r>
          <w:rPr>
            <w:webHidden/>
          </w:rPr>
        </w:r>
        <w:r>
          <w:rPr>
            <w:webHidden/>
          </w:rPr>
          <w:fldChar w:fldCharType="separate"/>
        </w:r>
        <w:r w:rsidR="00A137AA">
          <w:rPr>
            <w:webHidden/>
          </w:rPr>
          <w:t>12</w:t>
        </w:r>
        <w:r>
          <w:rPr>
            <w:webHidden/>
          </w:rPr>
          <w:fldChar w:fldCharType="end"/>
        </w:r>
      </w:hyperlink>
    </w:p>
    <w:p w14:paraId="32D445ED" w14:textId="7D9EB8BA" w:rsidR="00BB5409" w:rsidRDefault="00BB5409">
      <w:pPr>
        <w:pStyle w:val="TOC3"/>
        <w:tabs>
          <w:tab w:val="left" w:pos="1100"/>
        </w:tabs>
        <w:rPr>
          <w:rFonts w:asciiTheme="minorHAnsi" w:eastAsiaTheme="minorEastAsia" w:hAnsiTheme="minorHAnsi" w:cstheme="minorBidi"/>
          <w:szCs w:val="22"/>
          <w:lang w:eastAsia="en-AU"/>
        </w:rPr>
      </w:pPr>
      <w:hyperlink w:anchor="_Toc41659785" w:history="1">
        <w:r w:rsidRPr="0087440C">
          <w:rPr>
            <w:rStyle w:val="Hyperlink"/>
          </w:rPr>
          <w:t>(a)</w:t>
        </w:r>
        <w:r>
          <w:rPr>
            <w:rFonts w:asciiTheme="minorHAnsi" w:eastAsiaTheme="minorEastAsia" w:hAnsiTheme="minorHAnsi" w:cstheme="minorBidi"/>
            <w:szCs w:val="22"/>
            <w:lang w:eastAsia="en-AU"/>
          </w:rPr>
          <w:tab/>
        </w:r>
        <w:r w:rsidRPr="0087440C">
          <w:rPr>
            <w:rStyle w:val="Hyperlink"/>
          </w:rPr>
          <w:t>Experiences of discrimination related to COVID-19</w:t>
        </w:r>
        <w:r>
          <w:rPr>
            <w:webHidden/>
          </w:rPr>
          <w:tab/>
        </w:r>
        <w:r>
          <w:rPr>
            <w:webHidden/>
          </w:rPr>
          <w:fldChar w:fldCharType="begin"/>
        </w:r>
        <w:r>
          <w:rPr>
            <w:webHidden/>
          </w:rPr>
          <w:instrText xml:space="preserve"> PAGEREF _Toc41659785 \h </w:instrText>
        </w:r>
        <w:r>
          <w:rPr>
            <w:webHidden/>
          </w:rPr>
        </w:r>
        <w:r>
          <w:rPr>
            <w:webHidden/>
          </w:rPr>
          <w:fldChar w:fldCharType="separate"/>
        </w:r>
        <w:r w:rsidR="00A137AA">
          <w:rPr>
            <w:webHidden/>
          </w:rPr>
          <w:t>12</w:t>
        </w:r>
        <w:r>
          <w:rPr>
            <w:webHidden/>
          </w:rPr>
          <w:fldChar w:fldCharType="end"/>
        </w:r>
      </w:hyperlink>
    </w:p>
    <w:p w14:paraId="148B6A25" w14:textId="230115F7" w:rsidR="00BB5409" w:rsidRDefault="00BB5409">
      <w:pPr>
        <w:pStyle w:val="TOC3"/>
        <w:tabs>
          <w:tab w:val="left" w:pos="1100"/>
        </w:tabs>
        <w:rPr>
          <w:rFonts w:asciiTheme="minorHAnsi" w:eastAsiaTheme="minorEastAsia" w:hAnsiTheme="minorHAnsi" w:cstheme="minorBidi"/>
          <w:szCs w:val="22"/>
          <w:lang w:eastAsia="en-AU"/>
        </w:rPr>
      </w:pPr>
      <w:hyperlink w:anchor="_Toc41659786" w:history="1">
        <w:r w:rsidRPr="0087440C">
          <w:rPr>
            <w:rStyle w:val="Hyperlink"/>
          </w:rPr>
          <w:t>(b)</w:t>
        </w:r>
        <w:r>
          <w:rPr>
            <w:rFonts w:asciiTheme="minorHAnsi" w:eastAsiaTheme="minorEastAsia" w:hAnsiTheme="minorHAnsi" w:cstheme="minorBidi"/>
            <w:szCs w:val="22"/>
            <w:lang w:eastAsia="en-AU"/>
          </w:rPr>
          <w:tab/>
        </w:r>
        <w:r w:rsidRPr="0087440C">
          <w:rPr>
            <w:rStyle w:val="Hyperlink"/>
          </w:rPr>
          <w:t>Impact of discrimination on VLA clients</w:t>
        </w:r>
        <w:r>
          <w:rPr>
            <w:webHidden/>
          </w:rPr>
          <w:tab/>
        </w:r>
        <w:r>
          <w:rPr>
            <w:webHidden/>
          </w:rPr>
          <w:fldChar w:fldCharType="begin"/>
        </w:r>
        <w:r>
          <w:rPr>
            <w:webHidden/>
          </w:rPr>
          <w:instrText xml:space="preserve"> PAGEREF _Toc41659786 \h </w:instrText>
        </w:r>
        <w:r>
          <w:rPr>
            <w:webHidden/>
          </w:rPr>
        </w:r>
        <w:r>
          <w:rPr>
            <w:webHidden/>
          </w:rPr>
          <w:fldChar w:fldCharType="separate"/>
        </w:r>
        <w:r w:rsidR="00A137AA">
          <w:rPr>
            <w:webHidden/>
          </w:rPr>
          <w:t>14</w:t>
        </w:r>
        <w:r>
          <w:rPr>
            <w:webHidden/>
          </w:rPr>
          <w:fldChar w:fldCharType="end"/>
        </w:r>
      </w:hyperlink>
    </w:p>
    <w:p w14:paraId="4373C723" w14:textId="5512681A" w:rsidR="00BB5409" w:rsidRDefault="00BB5409">
      <w:pPr>
        <w:pStyle w:val="TOC3"/>
        <w:tabs>
          <w:tab w:val="left" w:pos="1100"/>
        </w:tabs>
        <w:rPr>
          <w:rFonts w:asciiTheme="minorHAnsi" w:eastAsiaTheme="minorEastAsia" w:hAnsiTheme="minorHAnsi" w:cstheme="minorBidi"/>
          <w:szCs w:val="22"/>
          <w:lang w:eastAsia="en-AU"/>
        </w:rPr>
      </w:pPr>
      <w:hyperlink w:anchor="_Toc41659787" w:history="1">
        <w:r w:rsidRPr="0087440C">
          <w:rPr>
            <w:rStyle w:val="Hyperlink"/>
          </w:rPr>
          <w:t>(c)</w:t>
        </w:r>
        <w:r>
          <w:rPr>
            <w:rFonts w:asciiTheme="minorHAnsi" w:eastAsiaTheme="minorEastAsia" w:hAnsiTheme="minorHAnsi" w:cstheme="minorBidi"/>
            <w:szCs w:val="22"/>
            <w:lang w:eastAsia="en-AU"/>
          </w:rPr>
          <w:tab/>
        </w:r>
        <w:r w:rsidRPr="0087440C">
          <w:rPr>
            <w:rStyle w:val="Hyperlink"/>
          </w:rPr>
          <w:t>Preventing workplace discrimination and sexual harassment</w:t>
        </w:r>
        <w:r>
          <w:rPr>
            <w:webHidden/>
          </w:rPr>
          <w:tab/>
        </w:r>
        <w:r>
          <w:rPr>
            <w:webHidden/>
          </w:rPr>
          <w:fldChar w:fldCharType="begin"/>
        </w:r>
        <w:r>
          <w:rPr>
            <w:webHidden/>
          </w:rPr>
          <w:instrText xml:space="preserve"> PAGEREF _Toc41659787 \h </w:instrText>
        </w:r>
        <w:r>
          <w:rPr>
            <w:webHidden/>
          </w:rPr>
        </w:r>
        <w:r>
          <w:rPr>
            <w:webHidden/>
          </w:rPr>
          <w:fldChar w:fldCharType="separate"/>
        </w:r>
        <w:r w:rsidR="00A137AA">
          <w:rPr>
            <w:webHidden/>
          </w:rPr>
          <w:t>15</w:t>
        </w:r>
        <w:r>
          <w:rPr>
            <w:webHidden/>
          </w:rPr>
          <w:fldChar w:fldCharType="end"/>
        </w:r>
      </w:hyperlink>
    </w:p>
    <w:p w14:paraId="4BAB5E4F" w14:textId="65755C31" w:rsidR="00BB5409" w:rsidRDefault="00BB5409" w:rsidP="00946BEF">
      <w:pPr>
        <w:pStyle w:val="TOC2"/>
        <w:tabs>
          <w:tab w:val="left" w:pos="567"/>
        </w:tabs>
        <w:ind w:left="0"/>
        <w:rPr>
          <w:rFonts w:asciiTheme="minorHAnsi" w:eastAsiaTheme="minorEastAsia" w:hAnsiTheme="minorHAnsi" w:cstheme="minorBidi"/>
          <w:szCs w:val="22"/>
          <w:lang w:eastAsia="en-AU"/>
        </w:rPr>
      </w:pPr>
      <w:hyperlink w:anchor="_Toc41659788" w:history="1">
        <w:r w:rsidRPr="0087440C">
          <w:rPr>
            <w:rStyle w:val="Hyperlink"/>
          </w:rPr>
          <w:t>6.</w:t>
        </w:r>
        <w:r>
          <w:rPr>
            <w:rFonts w:asciiTheme="minorHAnsi" w:eastAsiaTheme="minorEastAsia" w:hAnsiTheme="minorHAnsi" w:cstheme="minorBidi"/>
            <w:szCs w:val="22"/>
            <w:lang w:eastAsia="en-AU"/>
          </w:rPr>
          <w:tab/>
        </w:r>
        <w:r w:rsidRPr="0087440C">
          <w:rPr>
            <w:rStyle w:val="Hyperlink"/>
          </w:rPr>
          <w:t>Access to legal assistance</w:t>
        </w:r>
        <w:r>
          <w:rPr>
            <w:webHidden/>
          </w:rPr>
          <w:tab/>
        </w:r>
        <w:r>
          <w:rPr>
            <w:webHidden/>
          </w:rPr>
          <w:fldChar w:fldCharType="begin"/>
        </w:r>
        <w:r>
          <w:rPr>
            <w:webHidden/>
          </w:rPr>
          <w:instrText xml:space="preserve"> PAGEREF _Toc41659788 \h </w:instrText>
        </w:r>
        <w:r>
          <w:rPr>
            <w:webHidden/>
          </w:rPr>
        </w:r>
        <w:r>
          <w:rPr>
            <w:webHidden/>
          </w:rPr>
          <w:fldChar w:fldCharType="separate"/>
        </w:r>
        <w:r w:rsidR="00A137AA">
          <w:rPr>
            <w:webHidden/>
          </w:rPr>
          <w:t>16</w:t>
        </w:r>
        <w:r>
          <w:rPr>
            <w:webHidden/>
          </w:rPr>
          <w:fldChar w:fldCharType="end"/>
        </w:r>
      </w:hyperlink>
    </w:p>
    <w:p w14:paraId="084DD950" w14:textId="65679081" w:rsidR="00BB5409" w:rsidRDefault="00BB5409">
      <w:pPr>
        <w:pStyle w:val="TOC1"/>
        <w:rPr>
          <w:rFonts w:asciiTheme="minorHAnsi" w:eastAsiaTheme="minorEastAsia" w:hAnsiTheme="minorHAnsi" w:cstheme="minorBidi"/>
          <w:noProof/>
          <w:szCs w:val="22"/>
          <w:lang w:eastAsia="en-AU"/>
        </w:rPr>
      </w:pPr>
      <w:hyperlink w:anchor="_Toc41659789" w:history="1">
        <w:r w:rsidRPr="0087440C">
          <w:rPr>
            <w:rStyle w:val="Hyperlink"/>
            <w:noProof/>
          </w:rPr>
          <w:t>Appendix A: List of recommendations</w:t>
        </w:r>
        <w:r>
          <w:rPr>
            <w:noProof/>
            <w:webHidden/>
          </w:rPr>
          <w:tab/>
        </w:r>
        <w:r>
          <w:rPr>
            <w:noProof/>
            <w:webHidden/>
          </w:rPr>
          <w:fldChar w:fldCharType="begin"/>
        </w:r>
        <w:r>
          <w:rPr>
            <w:noProof/>
            <w:webHidden/>
          </w:rPr>
          <w:instrText xml:space="preserve"> PAGEREF _Toc41659789 \h </w:instrText>
        </w:r>
        <w:r>
          <w:rPr>
            <w:noProof/>
            <w:webHidden/>
          </w:rPr>
        </w:r>
        <w:r>
          <w:rPr>
            <w:noProof/>
            <w:webHidden/>
          </w:rPr>
          <w:fldChar w:fldCharType="separate"/>
        </w:r>
        <w:r w:rsidR="00A137AA">
          <w:rPr>
            <w:noProof/>
            <w:webHidden/>
          </w:rPr>
          <w:t>18</w:t>
        </w:r>
        <w:r>
          <w:rPr>
            <w:noProof/>
            <w:webHidden/>
          </w:rPr>
          <w:fldChar w:fldCharType="end"/>
        </w:r>
      </w:hyperlink>
    </w:p>
    <w:p w14:paraId="2D969905" w14:textId="41EA7E71" w:rsidR="00BB5409" w:rsidRDefault="00BB5409">
      <w:pPr>
        <w:pStyle w:val="TOC1"/>
        <w:rPr>
          <w:rFonts w:asciiTheme="minorHAnsi" w:eastAsiaTheme="minorEastAsia" w:hAnsiTheme="minorHAnsi" w:cstheme="minorBidi"/>
          <w:noProof/>
          <w:szCs w:val="22"/>
          <w:lang w:eastAsia="en-AU"/>
        </w:rPr>
      </w:pPr>
      <w:hyperlink w:anchor="_Toc41659790" w:history="1">
        <w:r w:rsidRPr="0087440C">
          <w:rPr>
            <w:rStyle w:val="Hyperlink"/>
            <w:noProof/>
          </w:rPr>
          <w:t>Appendix B: About Victoria Legal Aid</w:t>
        </w:r>
        <w:r>
          <w:rPr>
            <w:noProof/>
            <w:webHidden/>
          </w:rPr>
          <w:tab/>
        </w:r>
        <w:r>
          <w:rPr>
            <w:noProof/>
            <w:webHidden/>
          </w:rPr>
          <w:fldChar w:fldCharType="begin"/>
        </w:r>
        <w:r>
          <w:rPr>
            <w:noProof/>
            <w:webHidden/>
          </w:rPr>
          <w:instrText xml:space="preserve"> PAGEREF _Toc41659790 \h </w:instrText>
        </w:r>
        <w:r>
          <w:rPr>
            <w:noProof/>
            <w:webHidden/>
          </w:rPr>
        </w:r>
        <w:r>
          <w:rPr>
            <w:noProof/>
            <w:webHidden/>
          </w:rPr>
          <w:fldChar w:fldCharType="separate"/>
        </w:r>
        <w:r w:rsidR="00A137AA">
          <w:rPr>
            <w:noProof/>
            <w:webHidden/>
          </w:rPr>
          <w:t>20</w:t>
        </w:r>
        <w:r>
          <w:rPr>
            <w:noProof/>
            <w:webHidden/>
          </w:rPr>
          <w:fldChar w:fldCharType="end"/>
        </w:r>
      </w:hyperlink>
    </w:p>
    <w:p w14:paraId="1FA0BE1E" w14:textId="6219C845" w:rsidR="008F6C6E" w:rsidRDefault="008104B7" w:rsidP="008C554E">
      <w:pPr>
        <w:pStyle w:val="Confidentialityclause"/>
        <w:spacing w:before="600"/>
        <w:rPr>
          <w:color w:val="2B579A"/>
          <w:kern w:val="0"/>
          <w:sz w:val="22"/>
          <w:szCs w:val="22"/>
          <w:shd w:val="clear" w:color="auto" w:fill="E6E6E6"/>
        </w:rPr>
      </w:pPr>
      <w:r w:rsidRPr="6BF51CF0">
        <w:rPr>
          <w:color w:val="2B579A"/>
          <w:sz w:val="22"/>
          <w:szCs w:val="22"/>
        </w:rPr>
        <w:fldChar w:fldCharType="end"/>
      </w:r>
    </w:p>
    <w:p w14:paraId="16A83AF3" w14:textId="3D2F26B9" w:rsidR="008C554E" w:rsidRPr="00847CDC" w:rsidRDefault="008C554E" w:rsidP="00CC3457">
      <w:pPr>
        <w:pStyle w:val="Confidentialityclause"/>
        <w:spacing w:before="600"/>
      </w:pPr>
      <w:r w:rsidRPr="008C554E">
        <w:rPr>
          <w:color w:val="216E96"/>
        </w:rPr>
        <w:t xml:space="preserve">© 2020 Victoria Legal Aid. </w:t>
      </w:r>
      <w:r w:rsidRPr="00847CDC">
        <w:t>Reproduction without express written permission is prohibited.</w:t>
      </w:r>
    </w:p>
    <w:p w14:paraId="4EEA48A1" w14:textId="77777777" w:rsidR="008C554E" w:rsidRPr="00847CDC" w:rsidRDefault="008C554E" w:rsidP="00CC3457">
      <w:pPr>
        <w:pStyle w:val="Confidentialityclause"/>
      </w:pPr>
      <w:r w:rsidRPr="00847CDC">
        <w:t>Written requests should be directed to Victoria Legal Aid, Strategic Communications, 570 Bourke St, Melbourne Vic 3000.</w:t>
      </w:r>
    </w:p>
    <w:p w14:paraId="1A45DC1D" w14:textId="77777777" w:rsidR="008C554E" w:rsidRDefault="00B73A7A" w:rsidP="00CC3457">
      <w:pPr>
        <w:spacing w:after="360" w:line="240" w:lineRule="auto"/>
        <w:rPr>
          <w:color w:val="216E96"/>
        </w:rPr>
      </w:pPr>
      <w:r>
        <w:rPr>
          <w:noProof/>
          <w:color w:val="216E96"/>
          <w:shd w:val="clear" w:color="auto" w:fill="E6E6E6"/>
        </w:rPr>
        <w:drawing>
          <wp:anchor distT="0" distB="0" distL="36195" distR="36195" simplePos="0" relativeHeight="251658240" behindDoc="1" locked="0" layoutInCell="1" allowOverlap="1" wp14:anchorId="5166E901" wp14:editId="7405A3A0">
            <wp:simplePos x="0" y="0"/>
            <wp:positionH relativeFrom="column">
              <wp:posOffset>2136775</wp:posOffset>
            </wp:positionH>
            <wp:positionV relativeFrom="paragraph">
              <wp:posOffset>366395</wp:posOffset>
            </wp:positionV>
            <wp:extent cx="608400" cy="280800"/>
            <wp:effectExtent l="0" t="0" r="1270" b="0"/>
            <wp:wrapTight wrapText="bothSides">
              <wp:wrapPolygon edited="0">
                <wp:start x="0" y="0"/>
                <wp:lineTo x="0" y="20525"/>
                <wp:lineTo x="21194" y="20525"/>
                <wp:lineTo x="21194" y="0"/>
                <wp:lineTo x="0" y="0"/>
              </wp:wrapPolygon>
            </wp:wrapTight>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_media_icon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8400" cy="280800"/>
                    </a:xfrm>
                    <a:prstGeom prst="rect">
                      <a:avLst/>
                    </a:prstGeom>
                  </pic:spPr>
                </pic:pic>
              </a:graphicData>
            </a:graphic>
            <wp14:sizeRelH relativeFrom="margin">
              <wp14:pctWidth>0</wp14:pctWidth>
            </wp14:sizeRelH>
            <wp14:sizeRelV relativeFrom="margin">
              <wp14:pctHeight>0</wp14:pctHeight>
            </wp14:sizeRelV>
          </wp:anchor>
        </w:drawing>
      </w:r>
      <w:hyperlink r:id="rId16" w:history="1">
        <w:r w:rsidR="008C554E" w:rsidRPr="00122A41">
          <w:rPr>
            <w:rStyle w:val="Hyperlink"/>
          </w:rPr>
          <w:t>www.legalaid.vic.gov.au</w:t>
        </w:r>
      </w:hyperlink>
    </w:p>
    <w:p w14:paraId="0519F5B1" w14:textId="77777777" w:rsidR="008C554E" w:rsidRPr="00B73A7A" w:rsidRDefault="00B36E38" w:rsidP="00CC3457">
      <w:pPr>
        <w:spacing w:after="360" w:line="240" w:lineRule="auto"/>
        <w:rPr>
          <w:b/>
          <w:bCs/>
          <w:color w:val="009DBD"/>
        </w:rPr>
      </w:pPr>
      <w:r w:rsidRPr="00B73A7A">
        <w:rPr>
          <w:b/>
          <w:bCs/>
          <w:color w:val="009DBD"/>
        </w:rPr>
        <w:t xml:space="preserve">Connect with </w:t>
      </w:r>
      <w:r w:rsidR="008C554E" w:rsidRPr="00B73A7A">
        <w:rPr>
          <w:b/>
          <w:bCs/>
          <w:color w:val="009DBD"/>
        </w:rPr>
        <w:t>Victoria Legal Aid</w:t>
      </w:r>
    </w:p>
    <w:p w14:paraId="4FF340C5" w14:textId="77777777" w:rsidR="008C554E" w:rsidRPr="00912769" w:rsidRDefault="008C554E" w:rsidP="00CC3457">
      <w:pPr>
        <w:spacing w:line="240" w:lineRule="auto"/>
        <w:rPr>
          <w:color w:val="009DBD"/>
        </w:rPr>
      </w:pPr>
      <w:r w:rsidRPr="00912769">
        <w:rPr>
          <w:color w:val="009DBD"/>
        </w:rPr>
        <w:t>Victoria Legal Aid operates on Aboriginal country throughout Victoria</w:t>
      </w:r>
      <w:r w:rsidR="00147A15">
        <w:rPr>
          <w:color w:val="009DBD"/>
        </w:rPr>
        <w:t>. W</w:t>
      </w:r>
      <w:r w:rsidRPr="00912769">
        <w:rPr>
          <w:color w:val="009DBD"/>
        </w:rPr>
        <w:t>e acknowledge the traditional custodians of the land and respect their continuing connections to land, sea and community.</w:t>
      </w:r>
    </w:p>
    <w:p w14:paraId="4208AB9E" w14:textId="77777777" w:rsidR="002B4970" w:rsidRPr="00A37C6E" w:rsidRDefault="002B4970" w:rsidP="00AA2CCE">
      <w:pPr>
        <w:rPr>
          <w:lang w:eastAsia="en-AU"/>
        </w:rPr>
        <w:sectPr w:rsidR="002B4970" w:rsidRPr="00A37C6E" w:rsidSect="0040537D">
          <w:headerReference w:type="even" r:id="rId17"/>
          <w:headerReference w:type="default" r:id="rId18"/>
          <w:footerReference w:type="default" r:id="rId19"/>
          <w:headerReference w:type="first" r:id="rId20"/>
          <w:footerReference w:type="first" r:id="rId21"/>
          <w:pgSz w:w="11906" w:h="16838" w:code="9"/>
          <w:pgMar w:top="851" w:right="1021" w:bottom="851" w:left="1021" w:header="851" w:footer="284" w:gutter="0"/>
          <w:pgNumType w:fmt="lowerRoman" w:start="1"/>
          <w:cols w:space="720"/>
          <w:titlePg/>
          <w:docGrid w:linePitch="299"/>
        </w:sectPr>
      </w:pPr>
    </w:p>
    <w:p w14:paraId="61ACB55F" w14:textId="77777777" w:rsidR="007825F3" w:rsidRPr="00DA0C0C" w:rsidRDefault="007825F3" w:rsidP="00DA0C0C">
      <w:pPr>
        <w:pStyle w:val="Heading1"/>
      </w:pPr>
      <w:bookmarkStart w:id="13" w:name="_Toc41659771"/>
      <w:r w:rsidRPr="00DA0C0C">
        <w:lastRenderedPageBreak/>
        <w:t>Executive Summary</w:t>
      </w:r>
      <w:bookmarkEnd w:id="13"/>
    </w:p>
    <w:p w14:paraId="6EDF1855" w14:textId="6401AACD" w:rsidR="00C6635C" w:rsidRDefault="00A71A87" w:rsidP="00C6635C">
      <w:r>
        <w:t xml:space="preserve">The COVID-19 crisis has presented an unprecedented challenge for the Australian Government to respond rapidly to prevent a public health catastrophe, while mitigating the impact of economic consequences for Australians. </w:t>
      </w:r>
    </w:p>
    <w:p w14:paraId="594B5719" w14:textId="43059EE1" w:rsidR="006A4BC7" w:rsidRDefault="00BD3DE2" w:rsidP="006A4BC7">
      <w:pPr>
        <w:rPr>
          <w:iCs/>
        </w:rPr>
      </w:pPr>
      <w:r>
        <w:t xml:space="preserve">We commend the Australian Government on a range of measures implemented within weeks to address both the </w:t>
      </w:r>
      <w:r w:rsidR="009656B5">
        <w:t xml:space="preserve">public </w:t>
      </w:r>
      <w:r>
        <w:t xml:space="preserve">health and economic aspects of COVID-19. </w:t>
      </w:r>
      <w:r w:rsidR="00606B36">
        <w:t>W</w:t>
      </w:r>
      <w:r>
        <w:t xml:space="preserve">e welcome additional </w:t>
      </w:r>
      <w:r w:rsidR="007466D1">
        <w:t>funding for family violence and mental health services,</w:t>
      </w:r>
      <w:r w:rsidR="00BC7F1E">
        <w:t xml:space="preserve"> </w:t>
      </w:r>
      <w:r>
        <w:t xml:space="preserve">new </w:t>
      </w:r>
      <w:proofErr w:type="spellStart"/>
      <w:r>
        <w:t>JobSeeker</w:t>
      </w:r>
      <w:proofErr w:type="spellEnd"/>
      <w:r>
        <w:t xml:space="preserve"> and </w:t>
      </w:r>
      <w:proofErr w:type="spellStart"/>
      <w:r>
        <w:t>JobKeeper</w:t>
      </w:r>
      <w:proofErr w:type="spellEnd"/>
      <w:r>
        <w:t xml:space="preserve"> payments</w:t>
      </w:r>
      <w:r w:rsidR="009656B5">
        <w:t>,</w:t>
      </w:r>
      <w:r w:rsidR="007466D1">
        <w:t xml:space="preserve"> and temporary</w:t>
      </w:r>
      <w:r w:rsidR="00700C9C">
        <w:t xml:space="preserve"> hold</w:t>
      </w:r>
      <w:r w:rsidR="007466D1">
        <w:t>s</w:t>
      </w:r>
      <w:r w:rsidR="00700C9C">
        <w:t xml:space="preserve"> on </w:t>
      </w:r>
      <w:r w:rsidR="007466D1">
        <w:t>Centrelink debt enforcement and mutual obligations requirements</w:t>
      </w:r>
      <w:r w:rsidR="00BC7F1E">
        <w:t>.</w:t>
      </w:r>
      <w:r w:rsidR="006A4BC7">
        <w:t xml:space="preserve"> </w:t>
      </w:r>
      <w:r w:rsidR="00F37264">
        <w:t xml:space="preserve">We welcome additional funding to address immediate legal issues related </w:t>
      </w:r>
      <w:r w:rsidR="323EB93F">
        <w:t xml:space="preserve">to </w:t>
      </w:r>
      <w:r w:rsidR="00F37264">
        <w:t>COVID-</w:t>
      </w:r>
      <w:proofErr w:type="gramStart"/>
      <w:r w:rsidR="00F37264">
        <w:t>19, but</w:t>
      </w:r>
      <w:proofErr w:type="gramEnd"/>
      <w:r w:rsidR="00F37264">
        <w:t xml:space="preserve"> note that further resources are needed to meet the long-term impacts of COVID-19 on legal need.</w:t>
      </w:r>
    </w:p>
    <w:p w14:paraId="546A16EE" w14:textId="7D40F029" w:rsidR="000B3D08" w:rsidRDefault="000B3D08" w:rsidP="00775B8F">
      <w:r>
        <w:rPr>
          <w:lang w:eastAsia="en-GB"/>
        </w:rPr>
        <w:t xml:space="preserve">VLA </w:t>
      </w:r>
      <w:r w:rsidR="008E201A" w:rsidRPr="008E201A">
        <w:rPr>
          <w:lang w:eastAsia="en-GB"/>
        </w:rPr>
        <w:t>practices in a range of Commonwealth jurisdictions where the Australian Government’s COVID-19 response ha</w:t>
      </w:r>
      <w:r w:rsidR="008E201A">
        <w:rPr>
          <w:lang w:eastAsia="en-GB"/>
        </w:rPr>
        <w:t>s</w:t>
      </w:r>
      <w:r w:rsidR="008E201A" w:rsidRPr="008E201A">
        <w:rPr>
          <w:lang w:eastAsia="en-GB"/>
        </w:rPr>
        <w:t xml:space="preserve"> </w:t>
      </w:r>
      <w:r w:rsidR="5E1A2065" w:rsidRPr="2D97F66B">
        <w:rPr>
          <w:lang w:eastAsia="en-GB"/>
        </w:rPr>
        <w:t xml:space="preserve">had </w:t>
      </w:r>
      <w:r w:rsidR="008E201A" w:rsidRPr="008E201A">
        <w:rPr>
          <w:lang w:eastAsia="en-GB"/>
        </w:rPr>
        <w:t>a significant impact both for our service delivery and our clients’ outcomes.</w:t>
      </w:r>
      <w:r w:rsidR="00CD6CBA">
        <w:rPr>
          <w:lang w:eastAsia="en-GB"/>
        </w:rPr>
        <w:t xml:space="preserve"> During the COVID-19 period, we have seen </w:t>
      </w:r>
      <w:r w:rsidR="001C34D1" w:rsidRPr="00756AF8">
        <w:rPr>
          <w:lang w:eastAsia="en-GB"/>
        </w:rPr>
        <w:t>changes in</w:t>
      </w:r>
      <w:r w:rsidR="001C34D1" w:rsidRPr="00756AF8">
        <w:t xml:space="preserve"> demand and service patterns</w:t>
      </w:r>
      <w:r w:rsidR="00713766" w:rsidRPr="00756AF8">
        <w:t xml:space="preserve"> that accord with</w:t>
      </w:r>
      <w:r w:rsidR="00313F58" w:rsidRPr="00756AF8">
        <w:t xml:space="preserve"> reports more generally of</w:t>
      </w:r>
      <w:r w:rsidR="00713766" w:rsidRPr="00756AF8">
        <w:t xml:space="preserve"> the risk of an increase in family breakdown </w:t>
      </w:r>
      <w:r w:rsidR="0078598B">
        <w:t>and family violence.</w:t>
      </w:r>
    </w:p>
    <w:p w14:paraId="284E5AE6" w14:textId="36482C5F" w:rsidR="002604CD" w:rsidRDefault="00B233DE" w:rsidP="00775B8F">
      <w:pPr>
        <w:rPr>
          <w:lang w:eastAsia="en-GB"/>
        </w:rPr>
      </w:pPr>
      <w:r>
        <w:rPr>
          <w:lang w:eastAsia="en-GB"/>
        </w:rPr>
        <w:t>This inquiry provides an opportunity to reflect on the Australian Government’s response to COVID-19</w:t>
      </w:r>
      <w:r w:rsidR="009656B5">
        <w:rPr>
          <w:lang w:eastAsia="en-GB"/>
        </w:rPr>
        <w:t xml:space="preserve"> so far, and anticipate additional measures </w:t>
      </w:r>
      <w:r w:rsidR="00A71A87">
        <w:rPr>
          <w:lang w:eastAsia="en-GB"/>
        </w:rPr>
        <w:t xml:space="preserve">needed </w:t>
      </w:r>
      <w:r w:rsidR="009656B5">
        <w:rPr>
          <w:lang w:eastAsia="en-GB"/>
        </w:rPr>
        <w:t>to address emerging issues arising through VLA’s casework</w:t>
      </w:r>
      <w:r>
        <w:rPr>
          <w:lang w:eastAsia="en-GB"/>
        </w:rPr>
        <w:t xml:space="preserve">. Based on emerging trends through calls for legal assistance, and changes in ongoing legal matters, </w:t>
      </w:r>
      <w:r w:rsidR="00D66B43">
        <w:rPr>
          <w:lang w:eastAsia="en-GB"/>
        </w:rPr>
        <w:t>this submission highlights</w:t>
      </w:r>
      <w:r w:rsidR="002604CD">
        <w:rPr>
          <w:lang w:eastAsia="en-GB"/>
        </w:rPr>
        <w:t xml:space="preserve"> key </w:t>
      </w:r>
      <w:r w:rsidR="00D66B43">
        <w:rPr>
          <w:lang w:eastAsia="en-GB"/>
        </w:rPr>
        <w:t>issues where further responsive measures could</w:t>
      </w:r>
      <w:r w:rsidR="0071016A">
        <w:rPr>
          <w:lang w:eastAsia="en-GB"/>
        </w:rPr>
        <w:t xml:space="preserve"> </w:t>
      </w:r>
      <w:r w:rsidR="00D66B43">
        <w:rPr>
          <w:lang w:eastAsia="en-GB"/>
        </w:rPr>
        <w:t xml:space="preserve">prevent the escalation of legal problems </w:t>
      </w:r>
      <w:r w:rsidR="009656B5">
        <w:rPr>
          <w:lang w:eastAsia="en-GB"/>
        </w:rPr>
        <w:t>and address</w:t>
      </w:r>
      <w:r w:rsidR="00D66B43">
        <w:rPr>
          <w:lang w:eastAsia="en-GB"/>
        </w:rPr>
        <w:t xml:space="preserve"> the underlying causes of social disadvantage</w:t>
      </w:r>
      <w:r w:rsidR="00E474FA">
        <w:rPr>
          <w:lang w:eastAsia="en-GB"/>
        </w:rPr>
        <w:t>.</w:t>
      </w:r>
    </w:p>
    <w:p w14:paraId="482A7B1A" w14:textId="2C70BD54" w:rsidR="00F3419E" w:rsidRDefault="00F3419E" w:rsidP="00775B8F">
      <w:pPr>
        <w:rPr>
          <w:lang w:eastAsia="en-GB"/>
        </w:rPr>
      </w:pPr>
      <w:r>
        <w:rPr>
          <w:lang w:eastAsia="en-GB"/>
        </w:rPr>
        <w:t>Our submission makes the following key recommendations</w:t>
      </w:r>
      <w:r w:rsidR="006871C8">
        <w:rPr>
          <w:lang w:eastAsia="en-GB"/>
        </w:rPr>
        <w:t xml:space="preserve"> (full list at A</w:t>
      </w:r>
      <w:r w:rsidR="00F9644B">
        <w:rPr>
          <w:lang w:eastAsia="en-GB"/>
        </w:rPr>
        <w:t>ppendix</w:t>
      </w:r>
      <w:r w:rsidR="006871C8">
        <w:rPr>
          <w:lang w:eastAsia="en-GB"/>
        </w:rPr>
        <w:t xml:space="preserve"> A)</w:t>
      </w:r>
      <w:r>
        <w:rPr>
          <w:lang w:eastAsia="en-GB"/>
        </w:rPr>
        <w:t>:</w:t>
      </w:r>
    </w:p>
    <w:p w14:paraId="37D23A5C" w14:textId="74B4660C" w:rsidR="00F3419E" w:rsidRDefault="008F000E" w:rsidP="00D502C3">
      <w:pPr>
        <w:pStyle w:val="ListParagraph"/>
        <w:numPr>
          <w:ilvl w:val="0"/>
          <w:numId w:val="11"/>
        </w:numPr>
        <w:rPr>
          <w:lang w:eastAsia="en-GB"/>
        </w:rPr>
      </w:pPr>
      <w:r>
        <w:rPr>
          <w:b/>
          <w:bCs/>
          <w:lang w:eastAsia="en-GB"/>
        </w:rPr>
        <w:t xml:space="preserve">Family </w:t>
      </w:r>
      <w:r w:rsidR="006C04E1">
        <w:rPr>
          <w:b/>
          <w:bCs/>
          <w:lang w:eastAsia="en-GB"/>
        </w:rPr>
        <w:t xml:space="preserve">violence and family </w:t>
      </w:r>
      <w:r>
        <w:rPr>
          <w:b/>
          <w:bCs/>
          <w:lang w:eastAsia="en-GB"/>
        </w:rPr>
        <w:t xml:space="preserve">law: </w:t>
      </w:r>
      <w:r>
        <w:rPr>
          <w:lang w:eastAsia="en-GB"/>
        </w:rPr>
        <w:t>Implement</w:t>
      </w:r>
      <w:r w:rsidR="002604CD">
        <w:rPr>
          <w:lang w:eastAsia="en-GB"/>
        </w:rPr>
        <w:t xml:space="preserve"> </w:t>
      </w:r>
      <w:r>
        <w:rPr>
          <w:lang w:eastAsia="en-GB"/>
        </w:rPr>
        <w:t>further measures to address family violence and adequately resource the family law system to reduce delays and meet increased demand</w:t>
      </w:r>
      <w:r w:rsidR="0044409F">
        <w:rPr>
          <w:lang w:eastAsia="en-GB"/>
        </w:rPr>
        <w:t xml:space="preserve"> during COVID-19.</w:t>
      </w:r>
    </w:p>
    <w:p w14:paraId="5A540204" w14:textId="2FE5AB94" w:rsidR="008F000E" w:rsidRDefault="008F000E" w:rsidP="00D502C3">
      <w:pPr>
        <w:pStyle w:val="ListParagraph"/>
        <w:numPr>
          <w:ilvl w:val="0"/>
          <w:numId w:val="11"/>
        </w:numPr>
        <w:rPr>
          <w:lang w:eastAsia="en-GB"/>
        </w:rPr>
      </w:pPr>
      <w:r>
        <w:rPr>
          <w:b/>
          <w:bCs/>
          <w:lang w:eastAsia="en-GB"/>
        </w:rPr>
        <w:t>Social security:</w:t>
      </w:r>
      <w:r>
        <w:rPr>
          <w:lang w:eastAsia="en-GB"/>
        </w:rPr>
        <w:t xml:space="preserve"> </w:t>
      </w:r>
      <w:r w:rsidR="002604CD">
        <w:rPr>
          <w:lang w:eastAsia="en-GB"/>
        </w:rPr>
        <w:t>Further boost</w:t>
      </w:r>
      <w:r w:rsidR="00D7370D">
        <w:rPr>
          <w:lang w:eastAsia="en-GB"/>
        </w:rPr>
        <w:t xml:space="preserve"> social security support during COVID-19</w:t>
      </w:r>
      <w:r w:rsidR="002604CD">
        <w:rPr>
          <w:lang w:eastAsia="en-GB"/>
        </w:rPr>
        <w:t xml:space="preserve"> for vulnerable cohorts.</w:t>
      </w:r>
    </w:p>
    <w:p w14:paraId="1DA7F7FD" w14:textId="579628FD" w:rsidR="00F407E5" w:rsidRDefault="00F407E5" w:rsidP="00D502C3">
      <w:pPr>
        <w:pStyle w:val="ListParagraph"/>
        <w:numPr>
          <w:ilvl w:val="0"/>
          <w:numId w:val="11"/>
        </w:numPr>
        <w:rPr>
          <w:lang w:eastAsia="en-GB"/>
        </w:rPr>
      </w:pPr>
      <w:r>
        <w:rPr>
          <w:b/>
          <w:bCs/>
          <w:lang w:eastAsia="en-GB"/>
        </w:rPr>
        <w:t>N</w:t>
      </w:r>
      <w:r w:rsidR="006A4BC7">
        <w:rPr>
          <w:b/>
          <w:bCs/>
          <w:lang w:eastAsia="en-GB"/>
        </w:rPr>
        <w:t>ational Disability Insurance Scheme (NDIS)</w:t>
      </w:r>
      <w:r>
        <w:rPr>
          <w:b/>
          <w:bCs/>
          <w:lang w:eastAsia="en-GB"/>
        </w:rPr>
        <w:t>:</w:t>
      </w:r>
      <w:r>
        <w:rPr>
          <w:lang w:eastAsia="en-GB"/>
        </w:rPr>
        <w:t xml:space="preserve"> Increas</w:t>
      </w:r>
      <w:r w:rsidR="00896EA6">
        <w:rPr>
          <w:lang w:eastAsia="en-GB"/>
        </w:rPr>
        <w:t>e</w:t>
      </w:r>
      <w:r>
        <w:rPr>
          <w:lang w:eastAsia="en-GB"/>
        </w:rPr>
        <w:t xml:space="preserve"> flexibility in how NDIS plans can be used, responsiveness and timeliness of NDIA processes, and</w:t>
      </w:r>
      <w:r w:rsidR="006871C8">
        <w:rPr>
          <w:lang w:eastAsia="en-GB"/>
        </w:rPr>
        <w:t xml:space="preserve"> cooperation</w:t>
      </w:r>
      <w:r w:rsidR="009C50DC">
        <w:rPr>
          <w:lang w:eastAsia="en-GB"/>
        </w:rPr>
        <w:t xml:space="preserve"> with state and territory governments to ensure there is a service safety net where the NDIS market fails.</w:t>
      </w:r>
    </w:p>
    <w:p w14:paraId="6EA3DDA1" w14:textId="1A4AD67B" w:rsidR="0071016A" w:rsidRDefault="0071016A" w:rsidP="00D502C3">
      <w:pPr>
        <w:pStyle w:val="ListParagraph"/>
        <w:numPr>
          <w:ilvl w:val="0"/>
          <w:numId w:val="11"/>
        </w:numPr>
        <w:rPr>
          <w:lang w:eastAsia="en-GB"/>
        </w:rPr>
      </w:pPr>
      <w:r>
        <w:rPr>
          <w:b/>
          <w:bCs/>
          <w:lang w:eastAsia="en-GB"/>
        </w:rPr>
        <w:t>Migration:</w:t>
      </w:r>
      <w:r>
        <w:rPr>
          <w:lang w:eastAsia="en-GB"/>
        </w:rPr>
        <w:t xml:space="preserve"> Fast track the release of vulnerable people from immigration detention, </w:t>
      </w:r>
      <w:r w:rsidR="0044409F">
        <w:rPr>
          <w:lang w:eastAsia="en-GB"/>
        </w:rPr>
        <w:t>improve healthcare arrangements in immigration detention, and ensure refugees living in the community can access healthcare and income supports during COVID-19.</w:t>
      </w:r>
    </w:p>
    <w:p w14:paraId="4412EA93" w14:textId="792C1666" w:rsidR="0044409F" w:rsidRDefault="0044409F" w:rsidP="00D502C3">
      <w:pPr>
        <w:pStyle w:val="ListParagraph"/>
        <w:numPr>
          <w:ilvl w:val="0"/>
          <w:numId w:val="11"/>
        </w:numPr>
        <w:rPr>
          <w:lang w:eastAsia="en-GB"/>
        </w:rPr>
      </w:pPr>
      <w:r>
        <w:rPr>
          <w:b/>
          <w:bCs/>
          <w:lang w:eastAsia="en-GB"/>
        </w:rPr>
        <w:t>Discrimination and sexual harassment:</w:t>
      </w:r>
      <w:r>
        <w:rPr>
          <w:lang w:eastAsia="en-GB"/>
        </w:rPr>
        <w:t xml:space="preserve"> </w:t>
      </w:r>
      <w:r w:rsidR="00147A15">
        <w:rPr>
          <w:lang w:eastAsia="en-GB"/>
        </w:rPr>
        <w:t>Provide protections from discrimination related to ‘reasonable business grounds’ to refuse flexible work arrangements</w:t>
      </w:r>
      <w:r w:rsidR="0008454F">
        <w:rPr>
          <w:lang w:eastAsia="en-GB"/>
        </w:rPr>
        <w:t>,</w:t>
      </w:r>
      <w:r w:rsidR="003A38AC">
        <w:rPr>
          <w:lang w:eastAsia="en-GB"/>
        </w:rPr>
        <w:t xml:space="preserve"> </w:t>
      </w:r>
      <w:r w:rsidR="00147A15">
        <w:rPr>
          <w:lang w:eastAsia="en-GB"/>
        </w:rPr>
        <w:t xml:space="preserve">under </w:t>
      </w:r>
      <w:proofErr w:type="spellStart"/>
      <w:r w:rsidR="00147A15">
        <w:rPr>
          <w:lang w:eastAsia="en-GB"/>
        </w:rPr>
        <w:t>JobKeeper</w:t>
      </w:r>
      <w:proofErr w:type="spellEnd"/>
      <w:r w:rsidR="00147A15">
        <w:rPr>
          <w:lang w:eastAsia="en-GB"/>
        </w:rPr>
        <w:t xml:space="preserve"> dispute resolution powers, and indirect discrimination on the basis of family responsibilities.</w:t>
      </w:r>
    </w:p>
    <w:p w14:paraId="177161AC" w14:textId="0B6E86FC" w:rsidR="00F37264" w:rsidRDefault="00F37264" w:rsidP="00D502C3">
      <w:pPr>
        <w:pStyle w:val="ListParagraph"/>
        <w:numPr>
          <w:ilvl w:val="0"/>
          <w:numId w:val="11"/>
        </w:numPr>
        <w:rPr>
          <w:lang w:eastAsia="en-GB"/>
        </w:rPr>
      </w:pPr>
      <w:r>
        <w:rPr>
          <w:b/>
          <w:bCs/>
          <w:lang w:eastAsia="en-GB"/>
        </w:rPr>
        <w:t>Access to legal assistance:</w:t>
      </w:r>
      <w:r>
        <w:rPr>
          <w:lang w:eastAsia="en-GB"/>
        </w:rPr>
        <w:t xml:space="preserve"> Provide adequate funding for legal assistance providers to </w:t>
      </w:r>
      <w:r w:rsidR="00B620C0">
        <w:rPr>
          <w:lang w:eastAsia="en-GB"/>
        </w:rPr>
        <w:t>meet</w:t>
      </w:r>
      <w:r>
        <w:rPr>
          <w:lang w:eastAsia="en-GB"/>
        </w:rPr>
        <w:t xml:space="preserve"> increased demand in the aftermath of COVID-19</w:t>
      </w:r>
      <w:r w:rsidR="008D5C9B">
        <w:rPr>
          <w:lang w:eastAsia="en-GB"/>
        </w:rPr>
        <w:t>.</w:t>
      </w:r>
    </w:p>
    <w:p w14:paraId="0F6A025B" w14:textId="2156F846" w:rsidR="00775B8F" w:rsidRDefault="00E474FA" w:rsidP="00C6635C">
      <w:r>
        <w:t xml:space="preserve">The transition and recovery period out of the COVID-19 pandemic will be long and unpredictable. </w:t>
      </w:r>
      <w:r w:rsidR="007E23E8">
        <w:t>T</w:t>
      </w:r>
      <w:r>
        <w:t xml:space="preserve">o ensure public health measures </w:t>
      </w:r>
      <w:r w:rsidR="006871C8">
        <w:t>are</w:t>
      </w:r>
      <w:r>
        <w:t xml:space="preserve"> successful and </w:t>
      </w:r>
      <w:r w:rsidR="00C93C2A">
        <w:t>avoid</w:t>
      </w:r>
      <w:r w:rsidR="009A0892">
        <w:t xml:space="preserve"> </w:t>
      </w:r>
      <w:r w:rsidR="006527AF">
        <w:t>unnecessary financial hardship and poverty</w:t>
      </w:r>
      <w:r w:rsidR="00647280">
        <w:t xml:space="preserve">, </w:t>
      </w:r>
      <w:r w:rsidR="00C030E4">
        <w:t>we encourage</w:t>
      </w:r>
      <w:r w:rsidR="00647280">
        <w:t xml:space="preserve"> the Australian Government to </w:t>
      </w:r>
      <w:r w:rsidR="006871C8">
        <w:t>respond</w:t>
      </w:r>
      <w:r w:rsidR="00647280">
        <w:t xml:space="preserve"> to</w:t>
      </w:r>
      <w:r w:rsidR="006871C8">
        <w:t xml:space="preserve"> emerging </w:t>
      </w:r>
      <w:r w:rsidR="00647280">
        <w:t xml:space="preserve">community needs requiring </w:t>
      </w:r>
      <w:r w:rsidR="000A65B7">
        <w:t xml:space="preserve">urgent intervention. We </w:t>
      </w:r>
      <w:r w:rsidR="003945F6">
        <w:t>have</w:t>
      </w:r>
      <w:r w:rsidR="000A65B7">
        <w:t xml:space="preserve"> </w:t>
      </w:r>
      <w:proofErr w:type="gramStart"/>
      <w:r w:rsidR="000A65B7">
        <w:t>concerns</w:t>
      </w:r>
      <w:proofErr w:type="gramEnd"/>
      <w:r w:rsidR="000A65B7">
        <w:t xml:space="preserve"> that time limits on positive measures may need to be extended to prevent a sudden influx of people forced into poverty</w:t>
      </w:r>
      <w:r w:rsidR="001612A1">
        <w:t xml:space="preserve"> and homelessness</w:t>
      </w:r>
      <w:r w:rsidR="00207ED7">
        <w:t xml:space="preserve">, </w:t>
      </w:r>
      <w:r w:rsidR="009656B5">
        <w:t xml:space="preserve">or forced to stay in family violence situations, </w:t>
      </w:r>
      <w:r w:rsidR="00207ED7">
        <w:t>who are more likely to experience legal problems.</w:t>
      </w:r>
    </w:p>
    <w:p w14:paraId="39B6E9B5" w14:textId="6BED6595" w:rsidR="00DA0C0C" w:rsidRDefault="00775B8F" w:rsidP="00D502C3">
      <w:pPr>
        <w:pStyle w:val="Heading2"/>
        <w:numPr>
          <w:ilvl w:val="0"/>
          <w:numId w:val="10"/>
        </w:numPr>
      </w:pPr>
      <w:bookmarkStart w:id="14" w:name="_Toc41659772"/>
      <w:r>
        <w:lastRenderedPageBreak/>
        <w:t xml:space="preserve">Family </w:t>
      </w:r>
      <w:r w:rsidR="008E75CC">
        <w:t xml:space="preserve">violence and family </w:t>
      </w:r>
      <w:r>
        <w:t>law</w:t>
      </w:r>
      <w:bookmarkEnd w:id="14"/>
    </w:p>
    <w:p w14:paraId="051197EF" w14:textId="6D7759CA" w:rsidR="009656B5" w:rsidRPr="00AF5542" w:rsidRDefault="009656B5" w:rsidP="009656B5">
      <w:pPr>
        <w:rPr>
          <w:lang w:eastAsia="en-AU"/>
        </w:rPr>
      </w:pPr>
      <w:bookmarkStart w:id="15" w:name="Text11"/>
      <w:r>
        <w:rPr>
          <w:rFonts w:cs="Arial"/>
        </w:rPr>
        <w:t>VLA plays a leading role in the coordination of family law and family violence legal services in Victoria. We provide d</w:t>
      </w:r>
      <w:r>
        <w:rPr>
          <w:rFonts w:eastAsia="Calibri"/>
          <w:lang w:eastAsia="en-AU"/>
        </w:rPr>
        <w:t xml:space="preserve">uty lawyer, legal advice, </w:t>
      </w:r>
      <w:r w:rsidR="00B965EA">
        <w:rPr>
          <w:rFonts w:eastAsia="Calibri"/>
          <w:lang w:eastAsia="en-AU"/>
        </w:rPr>
        <w:t xml:space="preserve">legal </w:t>
      </w:r>
      <w:r>
        <w:rPr>
          <w:rFonts w:eastAsia="Calibri"/>
          <w:lang w:eastAsia="en-AU"/>
        </w:rPr>
        <w:t>representation and information services in child support, parenting disputes, child protection and family violence matters across the state, to children and to parents. We also provide lawyer-assisted and child-inclusive family dispute resolution to help settle disputes without going to court through our Family Dispute Resolution Service</w:t>
      </w:r>
      <w:r w:rsidR="006A4BC7">
        <w:rPr>
          <w:rFonts w:eastAsia="Calibri"/>
          <w:lang w:eastAsia="en-AU"/>
        </w:rPr>
        <w:t xml:space="preserve"> (</w:t>
      </w:r>
      <w:r w:rsidR="006A4BC7" w:rsidRPr="006A4BC7">
        <w:rPr>
          <w:rFonts w:eastAsia="Calibri"/>
          <w:b/>
          <w:bCs/>
          <w:lang w:eastAsia="en-AU"/>
        </w:rPr>
        <w:t>FDRS</w:t>
      </w:r>
      <w:r w:rsidR="006A4BC7">
        <w:rPr>
          <w:rFonts w:eastAsia="Calibri"/>
          <w:lang w:eastAsia="en-AU"/>
        </w:rPr>
        <w:t>)</w:t>
      </w:r>
      <w:r w:rsidR="003F6A9A">
        <w:rPr>
          <w:rFonts w:eastAsia="Calibri"/>
          <w:lang w:eastAsia="en-AU"/>
        </w:rPr>
        <w:t>,</w:t>
      </w:r>
      <w:r>
        <w:rPr>
          <w:rFonts w:eastAsia="Calibri"/>
          <w:lang w:eastAsia="en-AU"/>
        </w:rPr>
        <w:t xml:space="preserve"> and </w:t>
      </w:r>
      <w:r w:rsidR="006A4BC7">
        <w:rPr>
          <w:rFonts w:eastAsia="Calibri"/>
          <w:lang w:eastAsia="en-AU"/>
        </w:rPr>
        <w:t>I</w:t>
      </w:r>
      <w:r>
        <w:rPr>
          <w:rFonts w:eastAsia="Calibri"/>
          <w:lang w:eastAsia="en-AU"/>
        </w:rPr>
        <w:t xml:space="preserve">ndependent </w:t>
      </w:r>
      <w:r w:rsidR="006A4BC7">
        <w:rPr>
          <w:rFonts w:eastAsia="Calibri"/>
          <w:lang w:eastAsia="en-AU"/>
        </w:rPr>
        <w:t>C</w:t>
      </w:r>
      <w:r>
        <w:rPr>
          <w:rFonts w:eastAsia="Calibri"/>
          <w:lang w:eastAsia="en-AU"/>
        </w:rPr>
        <w:t xml:space="preserve">hildren’s </w:t>
      </w:r>
      <w:r w:rsidR="006A4BC7">
        <w:rPr>
          <w:rFonts w:eastAsia="Calibri"/>
          <w:lang w:eastAsia="en-AU"/>
        </w:rPr>
        <w:t>L</w:t>
      </w:r>
      <w:r>
        <w:rPr>
          <w:rFonts w:eastAsia="Calibri"/>
          <w:lang w:eastAsia="en-AU"/>
        </w:rPr>
        <w:t>awyers</w:t>
      </w:r>
      <w:r w:rsidR="006A4BC7">
        <w:rPr>
          <w:rFonts w:eastAsia="Calibri"/>
          <w:lang w:eastAsia="en-AU"/>
        </w:rPr>
        <w:t xml:space="preserve"> (</w:t>
      </w:r>
      <w:r w:rsidR="006A4BC7" w:rsidRPr="006A4BC7">
        <w:rPr>
          <w:rFonts w:eastAsia="Calibri"/>
          <w:b/>
          <w:bCs/>
          <w:lang w:eastAsia="en-AU"/>
        </w:rPr>
        <w:t>ICLs</w:t>
      </w:r>
      <w:r w:rsidR="006A4BC7">
        <w:rPr>
          <w:rFonts w:eastAsia="Calibri"/>
          <w:lang w:eastAsia="en-AU"/>
        </w:rPr>
        <w:t>)</w:t>
      </w:r>
      <w:r>
        <w:rPr>
          <w:rFonts w:eastAsia="Calibri"/>
          <w:lang w:eastAsia="en-AU"/>
        </w:rPr>
        <w:t xml:space="preserve"> who promote the </w:t>
      </w:r>
      <w:r w:rsidR="003F6A9A">
        <w:rPr>
          <w:rFonts w:eastAsia="Calibri"/>
          <w:lang w:eastAsia="en-AU"/>
        </w:rPr>
        <w:t xml:space="preserve">best </w:t>
      </w:r>
      <w:r>
        <w:rPr>
          <w:rFonts w:eastAsia="Calibri"/>
          <w:lang w:eastAsia="en-AU"/>
        </w:rPr>
        <w:t>interests of children at risk</w:t>
      </w:r>
      <w:bookmarkStart w:id="16" w:name="_Hlk25936652"/>
      <w:r>
        <w:rPr>
          <w:rFonts w:eastAsia="Calibri"/>
          <w:lang w:eastAsia="en-AU"/>
        </w:rPr>
        <w:t xml:space="preserve">. </w:t>
      </w:r>
      <w:r>
        <w:rPr>
          <w:lang w:val="en-US"/>
        </w:rPr>
        <w:t xml:space="preserve">In the 2018-2019 financial year, we provided </w:t>
      </w:r>
      <w:r>
        <w:rPr>
          <w:rFonts w:eastAsia="Calibri"/>
          <w:lang w:eastAsia="en-AU"/>
        </w:rPr>
        <w:t>services to over 42,000 clients.</w:t>
      </w:r>
      <w:r>
        <w:rPr>
          <w:rStyle w:val="FootnoteReference"/>
          <w:lang w:val="en-US"/>
        </w:rPr>
        <w:footnoteReference w:id="2"/>
      </w:r>
      <w:r>
        <w:rPr>
          <w:rFonts w:eastAsia="Calibri"/>
          <w:lang w:eastAsia="en-AU"/>
        </w:rPr>
        <w:t xml:space="preserve"> </w:t>
      </w:r>
      <w:bookmarkEnd w:id="15"/>
      <w:bookmarkEnd w:id="16"/>
    </w:p>
    <w:p w14:paraId="082CAAB4" w14:textId="5C4A49C9" w:rsidR="006722A4" w:rsidRDefault="006722A4" w:rsidP="00147A15">
      <w:pPr>
        <w:pStyle w:val="Heading3"/>
        <w:numPr>
          <w:ilvl w:val="0"/>
          <w:numId w:val="26"/>
        </w:numPr>
      </w:pPr>
      <w:bookmarkStart w:id="17" w:name="_Toc41659773"/>
      <w:r>
        <w:t>Impact</w:t>
      </w:r>
      <w:r w:rsidR="00B54325">
        <w:t>s</w:t>
      </w:r>
      <w:r w:rsidR="008850D7">
        <w:t xml:space="preserve"> of COVID-19 </w:t>
      </w:r>
      <w:r w:rsidR="00B54325">
        <w:t>in family violence and family law</w:t>
      </w:r>
      <w:bookmarkEnd w:id="17"/>
    </w:p>
    <w:p w14:paraId="7F9E64C9" w14:textId="0E7FFE91" w:rsidR="00C67ED9" w:rsidRDefault="00C67ED9" w:rsidP="00C67ED9">
      <w:r>
        <w:t xml:space="preserve">COVID-19 measures are likely to have an ongoing impact on legal demand in the </w:t>
      </w:r>
      <w:r w:rsidR="008B19D6">
        <w:t>family law system and courts</w:t>
      </w:r>
      <w:r>
        <w:t xml:space="preserve"> for some time beyond the easing of lockdown restrictions. The changes in demand and service patterns we are observing accord with reports more generally of </w:t>
      </w:r>
      <w:r w:rsidR="00E22F0E">
        <w:t xml:space="preserve">the risk of </w:t>
      </w:r>
      <w:r>
        <w:t>an increase in family breakdown in the context of increased economic stress and the negative impact of stay-at-home and social distancing directions on families.</w:t>
      </w:r>
    </w:p>
    <w:p w14:paraId="6D9F065B" w14:textId="1DAFD0FD" w:rsidR="00037F84" w:rsidRPr="00076499" w:rsidRDefault="00C67ED9" w:rsidP="00037F84">
      <w:r>
        <w:t xml:space="preserve">During the COVID-19 pandemic response period, VLA has </w:t>
      </w:r>
      <w:r w:rsidR="00037F84">
        <w:t xml:space="preserve">observed </w:t>
      </w:r>
      <w:r w:rsidR="001766A5">
        <w:t>changes</w:t>
      </w:r>
      <w:r w:rsidR="00F51635">
        <w:rPr>
          <w:rStyle w:val="FootnoteReference"/>
        </w:rPr>
        <w:footnoteReference w:id="3"/>
      </w:r>
      <w:r w:rsidR="00037F84">
        <w:t xml:space="preserve"> in </w:t>
      </w:r>
      <w:r w:rsidR="001766A5">
        <w:t xml:space="preserve">how </w:t>
      </w:r>
      <w:r w:rsidR="00037F84">
        <w:t xml:space="preserve">people </w:t>
      </w:r>
      <w:r w:rsidR="001766A5">
        <w:t xml:space="preserve">are </w:t>
      </w:r>
      <w:r w:rsidR="00037F84">
        <w:t xml:space="preserve">seeking </w:t>
      </w:r>
      <w:r w:rsidR="00DF1F3B">
        <w:t xml:space="preserve">legal information and </w:t>
      </w:r>
      <w:r w:rsidR="00037F84">
        <w:t xml:space="preserve">advice </w:t>
      </w:r>
      <w:r w:rsidR="00D67BAD">
        <w:t>for</w:t>
      </w:r>
      <w:r w:rsidR="00037F84">
        <w:t xml:space="preserve"> family violence</w:t>
      </w:r>
      <w:r w:rsidR="00531795">
        <w:t xml:space="preserve"> queries</w:t>
      </w:r>
      <w:r w:rsidR="00037F84">
        <w:t xml:space="preserve">. </w:t>
      </w:r>
      <w:r w:rsidR="00E966C1">
        <w:t xml:space="preserve">VLA implemented a priority phone line for callers with family violence queries in late May 2020 </w:t>
      </w:r>
      <w:r w:rsidR="00037F84">
        <w:t xml:space="preserve">due to the </w:t>
      </w:r>
      <w:r w:rsidR="00531795">
        <w:t xml:space="preserve">continuing </w:t>
      </w:r>
      <w:r w:rsidR="00037F84">
        <w:t xml:space="preserve">number and type of </w:t>
      </w:r>
      <w:r w:rsidR="00E966C1">
        <w:t xml:space="preserve">family violence </w:t>
      </w:r>
      <w:r w:rsidR="00037F84">
        <w:t xml:space="preserve">calls VLA’s Legal Help </w:t>
      </w:r>
      <w:r w:rsidR="00CA34A2">
        <w:t xml:space="preserve">service </w:t>
      </w:r>
      <w:r w:rsidR="00037F84">
        <w:t>has been receiving</w:t>
      </w:r>
      <w:r w:rsidR="00CA34A2">
        <w:t xml:space="preserve"> and at time of writing we are preparing to implement a similar priority webchat channel</w:t>
      </w:r>
      <w:r w:rsidR="00037F84">
        <w:t xml:space="preserve">. </w:t>
      </w:r>
    </w:p>
    <w:p w14:paraId="701EDBBA" w14:textId="6B0CAF00" w:rsidR="00C67ED9" w:rsidRPr="00076499" w:rsidRDefault="00C67ED9" w:rsidP="00C67ED9">
      <w:r>
        <w:t xml:space="preserve">VLA has </w:t>
      </w:r>
      <w:r w:rsidR="00291113">
        <w:t xml:space="preserve">also </w:t>
      </w:r>
      <w:r>
        <w:t xml:space="preserve">been seeing significant confusion and concern for the safety and wellbeing of children where </w:t>
      </w:r>
      <w:r w:rsidR="00CA34A2">
        <w:t>family law</w:t>
      </w:r>
      <w:r>
        <w:t xml:space="preserve"> parenting orders are in place</w:t>
      </w:r>
      <w:r w:rsidR="00300196">
        <w:t>.</w:t>
      </w:r>
      <w:r w:rsidR="00172E2E">
        <w:t xml:space="preserve"> </w:t>
      </w:r>
      <w:r w:rsidR="00775643">
        <w:t>We observed</w:t>
      </w:r>
      <w:r>
        <w:t xml:space="preserve"> a sharp </w:t>
      </w:r>
      <w:r w:rsidR="008F44D3">
        <w:t xml:space="preserve">change in </w:t>
      </w:r>
      <w:r w:rsidR="00747F3F">
        <w:t>the concentration of</w:t>
      </w:r>
      <w:r>
        <w:t xml:space="preserve"> COVID-19-related queries around issues of spend time arrangements for children and overholding and withholding of children, leading to </w:t>
      </w:r>
      <w:r w:rsidR="003D7B0D">
        <w:t>strong demand for</w:t>
      </w:r>
      <w:r>
        <w:t xml:space="preserve"> advice on recovery orders and contravention applications. </w:t>
      </w:r>
    </w:p>
    <w:p w14:paraId="6AE074FD" w14:textId="5E64DBB7" w:rsidR="00C67ED9" w:rsidRDefault="00C67ED9" w:rsidP="00C67ED9">
      <w:r>
        <w:t xml:space="preserve">While this </w:t>
      </w:r>
      <w:r w:rsidR="00E65876">
        <w:t>has</w:t>
      </w:r>
      <w:r>
        <w:t xml:space="preserve"> subsided, at the initial stages of lockdown parents and carers were concerned about supervised time and how this could be facilitated. Community based supervised contact centres closed and, at time of writing, there remain limited paid supervision services available. This has led to the use of alternatives such as supervision via video and the use of web-based technology. It has also led some parents to seek unsupervised time in circumstances where this is not appropriate.</w:t>
      </w:r>
    </w:p>
    <w:p w14:paraId="3FF50905" w14:textId="18F42688" w:rsidR="00C67ED9" w:rsidRPr="00076499" w:rsidRDefault="00632714" w:rsidP="00C67ED9">
      <w:r>
        <w:t xml:space="preserve">ICLs </w:t>
      </w:r>
      <w:r w:rsidR="00C67ED9">
        <w:t xml:space="preserve">have been called upon more in this current environment and the parties are looking to the ICL for direction with a view to resolving interim and final matters. There has been a sharp increase in the number of requests of </w:t>
      </w:r>
      <w:r w:rsidR="1799F72C">
        <w:t>ICL</w:t>
      </w:r>
      <w:r w:rsidR="6A22425A">
        <w:t>s</w:t>
      </w:r>
      <w:r w:rsidR="00C67ED9">
        <w:t xml:space="preserve"> to arrange </w:t>
      </w:r>
      <w:r w:rsidR="00317A10">
        <w:t xml:space="preserve">family mediation via VLA’s </w:t>
      </w:r>
      <w:r w:rsidR="00172E2E">
        <w:t>FDRS</w:t>
      </w:r>
      <w:r w:rsidR="00C67ED9">
        <w:t xml:space="preserve"> or to participate in private mediations to facilitate the resolution of cases.</w:t>
      </w:r>
    </w:p>
    <w:p w14:paraId="3667C914" w14:textId="637C6C4F" w:rsidR="00C67ED9" w:rsidRDefault="00C67ED9" w:rsidP="00C67ED9">
      <w:r>
        <w:t>VLA has concerns about the availability of ongoing support for vulnerable separating families, as many community agencies are closed or no longer offering face-to-face services. We note this particularly in relation to the risk of family violence. While many agencies are considering alternatives such as phone and video calls, there are limitations on these services, and these may not be a viable option for all families (</w:t>
      </w:r>
      <w:r w:rsidR="00172E2E">
        <w:t xml:space="preserve">e.g. </w:t>
      </w:r>
      <w:r>
        <w:t xml:space="preserve">access to phones or other technology is not necessarily available to all </w:t>
      </w:r>
      <w:r>
        <w:lastRenderedPageBreak/>
        <w:t xml:space="preserve">families, and/or for safety reasons where a perpetrator and victim may be continuing to reside in the same home). </w:t>
      </w:r>
      <w:r w:rsidRPr="000036BE">
        <w:t>This will likely be compounded by an expected increase in demand as lockdown stages ease and more victims are able to seek help.</w:t>
      </w:r>
      <w:r>
        <w:t xml:space="preserve">  </w:t>
      </w:r>
    </w:p>
    <w:p w14:paraId="4699C9F3" w14:textId="0415F43D" w:rsidR="00C67ED9" w:rsidRPr="00215713" w:rsidRDefault="00632714" w:rsidP="00C67ED9">
      <w:r>
        <w:t xml:space="preserve">FDRS </w:t>
      </w:r>
      <w:r w:rsidR="00C67ED9" w:rsidRPr="00215713">
        <w:t>provide</w:t>
      </w:r>
      <w:r>
        <w:t>s</w:t>
      </w:r>
      <w:r w:rsidR="00C67ED9" w:rsidRPr="00215713">
        <w:t xml:space="preserve"> legally assisted family dispute resolution services to vulnerable people. </w:t>
      </w:r>
      <w:r w:rsidR="00770F82">
        <w:t xml:space="preserve">VLA’s </w:t>
      </w:r>
      <w:r w:rsidR="00C67ED9" w:rsidRPr="00215713">
        <w:t>FDRS had already see</w:t>
      </w:r>
      <w:r w:rsidR="00AE02D3">
        <w:t>n</w:t>
      </w:r>
      <w:r w:rsidR="00C67ED9" w:rsidRPr="00215713">
        <w:t xml:space="preserve"> an increase in </w:t>
      </w:r>
      <w:r w:rsidR="009A64D8">
        <w:t>demand</w:t>
      </w:r>
      <w:r w:rsidR="00C67ED9" w:rsidRPr="00215713">
        <w:t xml:space="preserve"> before</w:t>
      </w:r>
      <w:r w:rsidR="00CC3457">
        <w:t xml:space="preserve"> COVID-19,</w:t>
      </w:r>
      <w:r w:rsidR="00C67ED9" w:rsidRPr="00215713">
        <w:t xml:space="preserve"> </w:t>
      </w:r>
      <w:r w:rsidR="00121D9B">
        <w:t>but</w:t>
      </w:r>
      <w:r w:rsidR="00973AE6">
        <w:t xml:space="preserve"> </w:t>
      </w:r>
      <w:r w:rsidR="00560624">
        <w:t>in</w:t>
      </w:r>
      <w:r w:rsidR="00C67ED9" w:rsidRPr="00215713">
        <w:t xml:space="preserve"> March </w:t>
      </w:r>
      <w:r w:rsidR="00560624">
        <w:t>and April</w:t>
      </w:r>
      <w:r w:rsidR="00C67ED9" w:rsidRPr="00215713">
        <w:t xml:space="preserve"> 2020 </w:t>
      </w:r>
      <w:r w:rsidR="00973AE6">
        <w:t xml:space="preserve">we have </w:t>
      </w:r>
      <w:r w:rsidR="00C67ED9" w:rsidRPr="00215713">
        <w:t xml:space="preserve">seen </w:t>
      </w:r>
      <w:r w:rsidR="00B97CFA">
        <w:t>much larger</w:t>
      </w:r>
      <w:r w:rsidR="00C67ED9" w:rsidRPr="00215713">
        <w:t xml:space="preserve"> increases (compared with the same month in the previous year). </w:t>
      </w:r>
      <w:r w:rsidR="0048120A">
        <w:t>This is un</w:t>
      </w:r>
      <w:r w:rsidR="00F403DC">
        <w:t xml:space="preserve">surprising </w:t>
      </w:r>
      <w:r w:rsidR="0048120A">
        <w:t>as</w:t>
      </w:r>
      <w:r w:rsidR="00E6428C">
        <w:t xml:space="preserve"> </w:t>
      </w:r>
      <w:r w:rsidR="003A3D89">
        <w:t>more families are</w:t>
      </w:r>
      <w:r w:rsidR="00E6428C">
        <w:t xml:space="preserve"> seek</w:t>
      </w:r>
      <w:r w:rsidR="003A3D89">
        <w:t>ing</w:t>
      </w:r>
      <w:r w:rsidR="00E6428C">
        <w:t xml:space="preserve"> to resolve matters</w:t>
      </w:r>
      <w:r w:rsidR="00C45149">
        <w:t xml:space="preserve"> </w:t>
      </w:r>
      <w:r w:rsidR="003A3D89">
        <w:t xml:space="preserve">away from court </w:t>
      </w:r>
      <w:r w:rsidR="00C45149">
        <w:t>given court delays</w:t>
      </w:r>
      <w:r w:rsidR="003A3D89">
        <w:t>.</w:t>
      </w:r>
    </w:p>
    <w:p w14:paraId="14E54646" w14:textId="77777777" w:rsidR="00C67ED9" w:rsidRPr="00215713" w:rsidRDefault="00C67ED9" w:rsidP="00C67ED9">
      <w:r w:rsidRPr="00215713">
        <w:t>FDRS mediators and case managers are reporting that clients are extremely stressed and anxious, with many raising concerns about spending time arrangements and the protectiveness of the other parent/carer</w:t>
      </w:r>
      <w:r>
        <w:t xml:space="preserve"> while other </w:t>
      </w:r>
      <w:r w:rsidRPr="00215713">
        <w:t>clients</w:t>
      </w:r>
      <w:r>
        <w:t xml:space="preserve"> have been </w:t>
      </w:r>
      <w:r w:rsidRPr="00215713">
        <w:t>presenting as more willing to participate in family dispute resolution, for the benefit of their children and to achieve some certainty. Both responses suggest there will be no reduction in demand.</w:t>
      </w:r>
    </w:p>
    <w:p w14:paraId="3AC59A7C" w14:textId="13E265DD" w:rsidR="00C67ED9" w:rsidRPr="00215713" w:rsidRDefault="00C67ED9" w:rsidP="00C67ED9">
      <w:r w:rsidRPr="00215713">
        <w:t>FDRS had no service interruption, as it transitioned to delivering all dispute resolution services remotely (primarily by phone), but the ongoing high demand on our service will require further monitoring and close management to ensure families are not exposed to risks as a result of delays (earlier resolution can reduce risk and improve longer term outcomes for children).</w:t>
      </w:r>
    </w:p>
    <w:p w14:paraId="07642D65" w14:textId="7DB0B7F1" w:rsidR="006722A4" w:rsidRDefault="006722A4" w:rsidP="00147A15">
      <w:pPr>
        <w:pStyle w:val="Heading3"/>
        <w:numPr>
          <w:ilvl w:val="0"/>
          <w:numId w:val="26"/>
        </w:numPr>
      </w:pPr>
      <w:bookmarkStart w:id="18" w:name="_Toc41659774"/>
      <w:r>
        <w:t>Australian Government response</w:t>
      </w:r>
      <w:r w:rsidR="006A4BC7">
        <w:t xml:space="preserve"> to date</w:t>
      </w:r>
      <w:bookmarkEnd w:id="18"/>
    </w:p>
    <w:p w14:paraId="544528A7" w14:textId="6976FA1C" w:rsidR="001A79FC" w:rsidRPr="001A79FC" w:rsidRDefault="001A79FC" w:rsidP="00632714">
      <w:pPr>
        <w:rPr>
          <w:color w:val="000000" w:themeColor="text1"/>
        </w:rPr>
      </w:pPr>
      <w:r w:rsidRPr="5DB85FCD">
        <w:t xml:space="preserve">We welcome the Australian Government’s May announcement of funding to the justice sector </w:t>
      </w:r>
      <w:r w:rsidR="00D00C42">
        <w:rPr>
          <w:color w:val="000000" w:themeColor="text1"/>
        </w:rPr>
        <w:t>including</w:t>
      </w:r>
      <w:r w:rsidRPr="5DB85FCD">
        <w:rPr>
          <w:color w:val="000000" w:themeColor="text1"/>
        </w:rPr>
        <w:t xml:space="preserve"> that </w:t>
      </w:r>
      <w:r w:rsidRPr="5DB85FCD">
        <w:rPr>
          <w:color w:val="000000" w:themeColor="text1"/>
          <w:lang w:eastAsia="en-AU"/>
        </w:rPr>
        <w:t xml:space="preserve">40 per cent is to be used for matters involving </w:t>
      </w:r>
      <w:r w:rsidR="00CC3457">
        <w:rPr>
          <w:color w:val="000000" w:themeColor="text1"/>
          <w:lang w:eastAsia="en-AU"/>
        </w:rPr>
        <w:t>family</w:t>
      </w:r>
      <w:r w:rsidRPr="5DB85FCD">
        <w:rPr>
          <w:color w:val="000000" w:themeColor="text1"/>
          <w:lang w:eastAsia="en-AU"/>
        </w:rPr>
        <w:t xml:space="preserve"> violence</w:t>
      </w:r>
      <w:r w:rsidRPr="5DB85FCD">
        <w:rPr>
          <w:color w:val="000000" w:themeColor="text1"/>
        </w:rPr>
        <w:t xml:space="preserve">. </w:t>
      </w:r>
    </w:p>
    <w:p w14:paraId="6E342DD2" w14:textId="1465E1AF" w:rsidR="00F42D88" w:rsidRPr="00CD3391" w:rsidRDefault="00F42D88" w:rsidP="00F42D88">
      <w:pPr>
        <w:rPr>
          <w:iCs/>
        </w:rPr>
      </w:pPr>
      <w:r>
        <w:rPr>
          <w:iCs/>
        </w:rPr>
        <w:t>We commend the</w:t>
      </w:r>
      <w:r w:rsidR="00A71A87">
        <w:rPr>
          <w:iCs/>
        </w:rPr>
        <w:t xml:space="preserve"> </w:t>
      </w:r>
      <w:r>
        <w:rPr>
          <w:iCs/>
        </w:rPr>
        <w:t xml:space="preserve">rapid and constructive response by the family law courts – including in transitioning to virtual hearings, establishing </w:t>
      </w:r>
      <w:r w:rsidRPr="000036BE">
        <w:rPr>
          <w:iCs/>
        </w:rPr>
        <w:t>a specialist COVID-19 list</w:t>
      </w:r>
      <w:r>
        <w:rPr>
          <w:iCs/>
        </w:rPr>
        <w:t xml:space="preserve"> and making several practice changes that have simplified processes and forms. </w:t>
      </w:r>
      <w:r w:rsidRPr="000036BE">
        <w:rPr>
          <w:shd w:val="clear" w:color="auto" w:fill="FFFFFF"/>
        </w:rPr>
        <w:t>The introduction of this list is in response to an increase in the number of urgent applications filed in the Courts over a four week period in March and April, with a 39 per cent increase in the Family Court of Australia and a 23 per cent increase in the Federal Circuit Court.</w:t>
      </w:r>
      <w:r w:rsidR="001A79FC">
        <w:rPr>
          <w:shd w:val="clear" w:color="auto" w:fill="FFFFFF"/>
        </w:rPr>
        <w:t xml:space="preserve"> </w:t>
      </w:r>
      <w:r w:rsidR="00DA255D">
        <w:rPr>
          <w:shd w:val="clear" w:color="auto" w:fill="FFFFFF"/>
        </w:rPr>
        <w:t>We have in turn moved quickly to provide a duty lawyer service for self-represented parties in these lists.</w:t>
      </w:r>
    </w:p>
    <w:p w14:paraId="5ADB7D2F" w14:textId="77777777" w:rsidR="0048120A" w:rsidRDefault="00693856" w:rsidP="00F42D88">
      <w:pPr>
        <w:rPr>
          <w:iCs/>
        </w:rPr>
      </w:pPr>
      <w:r>
        <w:rPr>
          <w:iCs/>
        </w:rPr>
        <w:t>While this response has been important</w:t>
      </w:r>
      <w:r w:rsidR="000446F9">
        <w:rPr>
          <w:iCs/>
        </w:rPr>
        <w:t xml:space="preserve"> in </w:t>
      </w:r>
      <w:r w:rsidR="00DE51B6">
        <w:rPr>
          <w:iCs/>
        </w:rPr>
        <w:t xml:space="preserve">enabling </w:t>
      </w:r>
      <w:r w:rsidR="00230CC6">
        <w:rPr>
          <w:iCs/>
        </w:rPr>
        <w:t>the courts</w:t>
      </w:r>
      <w:r w:rsidR="001B0720">
        <w:rPr>
          <w:iCs/>
        </w:rPr>
        <w:t>’</w:t>
      </w:r>
      <w:r w:rsidR="00230CC6">
        <w:rPr>
          <w:iCs/>
        </w:rPr>
        <w:t xml:space="preserve"> </w:t>
      </w:r>
      <w:r w:rsidR="002732D0">
        <w:rPr>
          <w:iCs/>
        </w:rPr>
        <w:t>rapid response</w:t>
      </w:r>
      <w:r w:rsidR="00C449CE">
        <w:rPr>
          <w:iCs/>
        </w:rPr>
        <w:t xml:space="preserve"> to the impact of COVID-19</w:t>
      </w:r>
      <w:r w:rsidR="00A265DD">
        <w:rPr>
          <w:iCs/>
        </w:rPr>
        <w:t xml:space="preserve"> on families</w:t>
      </w:r>
      <w:r w:rsidR="00DE51B6">
        <w:rPr>
          <w:iCs/>
        </w:rPr>
        <w:t>,</w:t>
      </w:r>
      <w:r w:rsidR="00DA74BE">
        <w:rPr>
          <w:iCs/>
        </w:rPr>
        <w:t xml:space="preserve"> </w:t>
      </w:r>
      <w:r w:rsidR="00495704">
        <w:rPr>
          <w:iCs/>
        </w:rPr>
        <w:t xml:space="preserve">the likelihood </w:t>
      </w:r>
      <w:r w:rsidR="008B41D1">
        <w:rPr>
          <w:iCs/>
        </w:rPr>
        <w:t>of</w:t>
      </w:r>
      <w:r w:rsidR="00846ED4">
        <w:rPr>
          <w:iCs/>
        </w:rPr>
        <w:t xml:space="preserve"> the family violence risk we have been observing during the lockdown period </w:t>
      </w:r>
      <w:r w:rsidR="001A6504">
        <w:rPr>
          <w:iCs/>
        </w:rPr>
        <w:t>continuing</w:t>
      </w:r>
      <w:r w:rsidR="00E7607A">
        <w:rPr>
          <w:iCs/>
        </w:rPr>
        <w:t xml:space="preserve"> will place more demand on</w:t>
      </w:r>
      <w:r w:rsidR="00DE51B6">
        <w:rPr>
          <w:iCs/>
        </w:rPr>
        <w:t xml:space="preserve"> </w:t>
      </w:r>
      <w:r w:rsidR="00E7607A">
        <w:rPr>
          <w:iCs/>
        </w:rPr>
        <w:t xml:space="preserve">a system </w:t>
      </w:r>
      <w:r w:rsidR="00846ED4">
        <w:rPr>
          <w:iCs/>
        </w:rPr>
        <w:t xml:space="preserve">that </w:t>
      </w:r>
      <w:r w:rsidR="00E7607A">
        <w:rPr>
          <w:iCs/>
        </w:rPr>
        <w:t xml:space="preserve">was already under </w:t>
      </w:r>
      <w:r w:rsidR="007961E7">
        <w:rPr>
          <w:iCs/>
        </w:rPr>
        <w:t xml:space="preserve">great </w:t>
      </w:r>
      <w:r w:rsidR="00E7607A">
        <w:rPr>
          <w:iCs/>
        </w:rPr>
        <w:t>pressure. As such</w:t>
      </w:r>
      <w:r w:rsidR="00846ED4">
        <w:rPr>
          <w:iCs/>
        </w:rPr>
        <w:t xml:space="preserve">, </w:t>
      </w:r>
      <w:r w:rsidR="00F42D88" w:rsidRPr="00626D7A">
        <w:rPr>
          <w:iCs/>
        </w:rPr>
        <w:t xml:space="preserve">further measures </w:t>
      </w:r>
      <w:r w:rsidR="002D026E">
        <w:rPr>
          <w:iCs/>
        </w:rPr>
        <w:t>will be</w:t>
      </w:r>
      <w:r w:rsidR="00F42D88" w:rsidRPr="00626D7A">
        <w:rPr>
          <w:iCs/>
        </w:rPr>
        <w:t xml:space="preserve"> needed to give timely and appropriate prioritisation to </w:t>
      </w:r>
      <w:r w:rsidR="00B400C7">
        <w:rPr>
          <w:iCs/>
        </w:rPr>
        <w:t>dealing with</w:t>
      </w:r>
      <w:r w:rsidR="00F42D88" w:rsidRPr="00626D7A">
        <w:rPr>
          <w:iCs/>
        </w:rPr>
        <w:t xml:space="preserve"> family violence </w:t>
      </w:r>
      <w:r w:rsidR="00B400C7">
        <w:rPr>
          <w:iCs/>
        </w:rPr>
        <w:t>issues in</w:t>
      </w:r>
      <w:r w:rsidR="00BF4686">
        <w:rPr>
          <w:iCs/>
        </w:rPr>
        <w:t xml:space="preserve"> cases before</w:t>
      </w:r>
      <w:r w:rsidR="00B400C7">
        <w:rPr>
          <w:iCs/>
        </w:rPr>
        <w:t xml:space="preserve"> the</w:t>
      </w:r>
      <w:r w:rsidR="00B400C7" w:rsidRPr="00626D7A">
        <w:rPr>
          <w:iCs/>
        </w:rPr>
        <w:t xml:space="preserve"> </w:t>
      </w:r>
      <w:r w:rsidR="00B400C7">
        <w:rPr>
          <w:iCs/>
        </w:rPr>
        <w:t>family law courts</w:t>
      </w:r>
      <w:r w:rsidR="00B400C7" w:rsidRPr="00626D7A">
        <w:rPr>
          <w:iCs/>
        </w:rPr>
        <w:t xml:space="preserve"> </w:t>
      </w:r>
      <w:r w:rsidR="00F42D88" w:rsidRPr="00626D7A">
        <w:rPr>
          <w:iCs/>
        </w:rPr>
        <w:t>and to respond to other issues arising in the family law system caused or exacerbated by COVID-19.</w:t>
      </w:r>
    </w:p>
    <w:p w14:paraId="39C707F9" w14:textId="36259540" w:rsidR="008C30E3" w:rsidRDefault="008C30E3" w:rsidP="00F42D88">
      <w:pPr>
        <w:rPr>
          <w:iCs/>
        </w:rPr>
        <w:sectPr w:rsidR="008C30E3" w:rsidSect="00AB001E">
          <w:headerReference w:type="even" r:id="rId22"/>
          <w:footerReference w:type="first" r:id="rId23"/>
          <w:pgSz w:w="11906" w:h="16838" w:code="9"/>
          <w:pgMar w:top="851" w:right="1021" w:bottom="851" w:left="1021" w:header="851" w:footer="284" w:gutter="0"/>
          <w:cols w:space="720"/>
          <w:titlePg/>
          <w:docGrid w:linePitch="299"/>
        </w:sectPr>
      </w:pPr>
    </w:p>
    <w:p w14:paraId="6667B941" w14:textId="154F63CA" w:rsidR="0000099B" w:rsidRPr="008F1A70" w:rsidRDefault="008F1A70" w:rsidP="0048120A">
      <w:pPr>
        <w:pStyle w:val="Normaloutlinebox"/>
        <w:widowControl w:val="0"/>
        <w:rPr>
          <w:b/>
          <w:bCs/>
          <w:color w:val="009BCD"/>
        </w:rPr>
      </w:pPr>
      <w:r w:rsidRPr="008F1A70">
        <w:rPr>
          <w:b/>
          <w:bCs/>
          <w:color w:val="009BCD"/>
        </w:rPr>
        <w:t>Recommendation 1</w:t>
      </w:r>
    </w:p>
    <w:p w14:paraId="70A8D2A8" w14:textId="4D573C8D" w:rsidR="008F1A70" w:rsidRDefault="008F1A70" w:rsidP="0048120A">
      <w:pPr>
        <w:pStyle w:val="Normaloutlinebox"/>
        <w:widowControl w:val="0"/>
      </w:pPr>
      <w:r>
        <w:t xml:space="preserve">The Australian Government should </w:t>
      </w:r>
      <w:r w:rsidR="000075C9">
        <w:t>build on</w:t>
      </w:r>
      <w:r w:rsidR="0000099B">
        <w:t xml:space="preserve"> changes </w:t>
      </w:r>
      <w:r w:rsidR="000075C9">
        <w:t>being implemented</w:t>
      </w:r>
      <w:r w:rsidR="009C3F54">
        <w:t xml:space="preserve"> </w:t>
      </w:r>
      <w:r w:rsidR="56A69B15">
        <w:t xml:space="preserve">in the family law courts </w:t>
      </w:r>
      <w:r w:rsidR="0000099B">
        <w:t xml:space="preserve">to </w:t>
      </w:r>
      <w:r w:rsidR="009C3F54">
        <w:t xml:space="preserve">respond to COVID-19 </w:t>
      </w:r>
      <w:r w:rsidR="0000099B">
        <w:t xml:space="preserve">to </w:t>
      </w:r>
      <w:r w:rsidR="00CC7F33">
        <w:t>ensure</w:t>
      </w:r>
      <w:r w:rsidR="0000099B">
        <w:t xml:space="preserve"> an early and appropriate response to </w:t>
      </w:r>
      <w:r w:rsidR="00B60424">
        <w:t xml:space="preserve">urgent family law </w:t>
      </w:r>
      <w:r w:rsidR="0000099B">
        <w:t>matters</w:t>
      </w:r>
      <w:r w:rsidR="00B60424">
        <w:t>, particularly those</w:t>
      </w:r>
      <w:r w:rsidR="0000099B">
        <w:t xml:space="preserve"> with family violence allegations by:</w:t>
      </w:r>
    </w:p>
    <w:p w14:paraId="2E930CE4" w14:textId="6E351ECC" w:rsidR="008F1A70" w:rsidRDefault="006871C8" w:rsidP="0048120A">
      <w:pPr>
        <w:pStyle w:val="Normaloutlinebox"/>
        <w:widowControl w:val="0"/>
        <w:numPr>
          <w:ilvl w:val="0"/>
          <w:numId w:val="12"/>
        </w:numPr>
      </w:pPr>
      <w:r>
        <w:t>S</w:t>
      </w:r>
      <w:r w:rsidR="0000099B">
        <w:t>ufficiently resourcing the COVID-19 list to avoid diverting resources from existing court matters</w:t>
      </w:r>
    </w:p>
    <w:p w14:paraId="2C6C0AA4" w14:textId="0E48F6B8" w:rsidR="008F1A70" w:rsidRDefault="006871C8" w:rsidP="0048120A">
      <w:pPr>
        <w:pStyle w:val="Normaloutlinebox"/>
        <w:widowControl w:val="0"/>
        <w:numPr>
          <w:ilvl w:val="0"/>
          <w:numId w:val="12"/>
        </w:numPr>
      </w:pPr>
      <w:r>
        <w:t>T</w:t>
      </w:r>
      <w:r w:rsidR="0000099B">
        <w:t>ransitioning the COVID-19 list into a specialist family violence list at an appropriate time</w:t>
      </w:r>
      <w:r>
        <w:t>,</w:t>
      </w:r>
      <w:r w:rsidR="008F1A70">
        <w:t xml:space="preserve"> and</w:t>
      </w:r>
    </w:p>
    <w:p w14:paraId="5A72905E" w14:textId="202D9E41" w:rsidR="0000099B" w:rsidRDefault="006871C8" w:rsidP="0048120A">
      <w:pPr>
        <w:pStyle w:val="Normaloutlinebox"/>
        <w:widowControl w:val="0"/>
        <w:numPr>
          <w:ilvl w:val="0"/>
          <w:numId w:val="12"/>
        </w:numPr>
      </w:pPr>
      <w:r>
        <w:t>P</w:t>
      </w:r>
      <w:r w:rsidR="00902528">
        <w:t>roviding</w:t>
      </w:r>
      <w:r w:rsidR="0000099B">
        <w:t xml:space="preserve"> </w:t>
      </w:r>
      <w:r w:rsidR="00A4269B">
        <w:t>funding for</w:t>
      </w:r>
      <w:r w:rsidR="0000099B">
        <w:t xml:space="preserve"> </w:t>
      </w:r>
      <w:r w:rsidR="005144FB">
        <w:t xml:space="preserve">an expansion </w:t>
      </w:r>
      <w:r w:rsidR="00B406CB">
        <w:t>of pilots such as the</w:t>
      </w:r>
      <w:r w:rsidR="006F047C">
        <w:t xml:space="preserve"> risk screening and triage pilot (the </w:t>
      </w:r>
      <w:r w:rsidR="00B406CB">
        <w:t>Lighthouse project</w:t>
      </w:r>
      <w:r w:rsidR="006F047C">
        <w:t>)</w:t>
      </w:r>
      <w:r w:rsidR="00B406CB">
        <w:t xml:space="preserve"> </w:t>
      </w:r>
      <w:r w:rsidR="005144FB">
        <w:t>into an ongoing process for the courts</w:t>
      </w:r>
      <w:r w:rsidR="00902528">
        <w:t>,</w:t>
      </w:r>
      <w:r w:rsidR="005144FB">
        <w:t xml:space="preserve"> taking into account any findings from the running of the pilot</w:t>
      </w:r>
      <w:r w:rsidR="008F1A70">
        <w:t>.</w:t>
      </w:r>
    </w:p>
    <w:p w14:paraId="448C04C1" w14:textId="3F2BDE27" w:rsidR="00775B8F" w:rsidRDefault="00775B8F" w:rsidP="0048120A">
      <w:pPr>
        <w:pStyle w:val="Heading2"/>
        <w:keepNext w:val="0"/>
        <w:widowControl w:val="0"/>
        <w:numPr>
          <w:ilvl w:val="0"/>
          <w:numId w:val="10"/>
        </w:numPr>
        <w:ind w:left="714" w:hanging="357"/>
      </w:pPr>
      <w:bookmarkStart w:id="19" w:name="_Toc41659775"/>
      <w:r>
        <w:t>Social security</w:t>
      </w:r>
      <w:bookmarkEnd w:id="19"/>
    </w:p>
    <w:p w14:paraId="540988DD" w14:textId="1F1DA879" w:rsidR="009656B5" w:rsidRDefault="00B801D5" w:rsidP="00B801D5">
      <w:pPr>
        <w:pStyle w:val="Default"/>
        <w:spacing w:after="200" w:line="300" w:lineRule="exact"/>
        <w:rPr>
          <w:sz w:val="22"/>
          <w:szCs w:val="22"/>
        </w:rPr>
      </w:pPr>
      <w:r>
        <w:rPr>
          <w:sz w:val="22"/>
          <w:szCs w:val="22"/>
        </w:rPr>
        <w:t>The</w:t>
      </w:r>
      <w:r w:rsidRPr="00CB1876">
        <w:rPr>
          <w:sz w:val="22"/>
          <w:szCs w:val="22"/>
        </w:rPr>
        <w:t xml:space="preserve"> COVID-19 pandemic has caused a surge in numbers of people struggling to pay for daily living costs. The </w:t>
      </w:r>
      <w:r>
        <w:rPr>
          <w:sz w:val="22"/>
          <w:szCs w:val="22"/>
        </w:rPr>
        <w:t xml:space="preserve">Australian Government </w:t>
      </w:r>
      <w:r w:rsidRPr="00CB1876">
        <w:rPr>
          <w:sz w:val="22"/>
          <w:szCs w:val="22"/>
        </w:rPr>
        <w:t>has recognised this</w:t>
      </w:r>
      <w:r>
        <w:rPr>
          <w:sz w:val="22"/>
          <w:szCs w:val="22"/>
        </w:rPr>
        <w:t xml:space="preserve"> by</w:t>
      </w:r>
      <w:r w:rsidRPr="00CB1876">
        <w:rPr>
          <w:sz w:val="22"/>
          <w:szCs w:val="22"/>
        </w:rPr>
        <w:t xml:space="preserve"> significantly increas</w:t>
      </w:r>
      <w:r w:rsidR="002F5A0E">
        <w:rPr>
          <w:sz w:val="22"/>
          <w:szCs w:val="22"/>
        </w:rPr>
        <w:t>ing</w:t>
      </w:r>
      <w:r w:rsidRPr="00CB1876">
        <w:rPr>
          <w:sz w:val="22"/>
          <w:szCs w:val="22"/>
        </w:rPr>
        <w:t xml:space="preserve"> access </w:t>
      </w:r>
      <w:r w:rsidR="002F5A0E">
        <w:rPr>
          <w:sz w:val="22"/>
          <w:szCs w:val="22"/>
        </w:rPr>
        <w:t>to</w:t>
      </w:r>
      <w:r w:rsidRPr="00CB1876">
        <w:rPr>
          <w:sz w:val="22"/>
          <w:szCs w:val="22"/>
        </w:rPr>
        <w:t xml:space="preserve"> and amounts of social security payments during COVID-19, removing in-person mutual obligations, and pausing</w:t>
      </w:r>
      <w:r w:rsidR="00F41F34">
        <w:rPr>
          <w:sz w:val="22"/>
          <w:szCs w:val="22"/>
        </w:rPr>
        <w:t xml:space="preserve"> </w:t>
      </w:r>
      <w:r w:rsidR="003C31D7">
        <w:rPr>
          <w:sz w:val="22"/>
          <w:szCs w:val="22"/>
        </w:rPr>
        <w:t>Centrelink</w:t>
      </w:r>
      <w:r w:rsidR="00F41F34">
        <w:rPr>
          <w:sz w:val="22"/>
          <w:szCs w:val="22"/>
        </w:rPr>
        <w:t xml:space="preserve"> </w:t>
      </w:r>
      <w:r w:rsidRPr="00CB1876">
        <w:rPr>
          <w:sz w:val="22"/>
          <w:szCs w:val="22"/>
        </w:rPr>
        <w:t>debt recovery for 6 months.</w:t>
      </w:r>
      <w:r w:rsidR="00BB5409">
        <w:rPr>
          <w:sz w:val="22"/>
          <w:szCs w:val="22"/>
        </w:rPr>
        <w:t xml:space="preserve"> </w:t>
      </w:r>
      <w:r w:rsidR="009656B5" w:rsidRPr="009656B5">
        <w:rPr>
          <w:sz w:val="22"/>
          <w:szCs w:val="22"/>
        </w:rPr>
        <w:t xml:space="preserve">VLA is the leading provider of legal advice and advocacy to people seeking assistance with social security matters in Victoria. </w:t>
      </w:r>
    </w:p>
    <w:p w14:paraId="2B58DB29" w14:textId="7536FE18" w:rsidR="006A4BC7" w:rsidRDefault="00B801D5" w:rsidP="00B801D5">
      <w:pPr>
        <w:pStyle w:val="Default"/>
        <w:spacing w:after="200" w:line="300" w:lineRule="exact"/>
        <w:rPr>
          <w:sz w:val="22"/>
          <w:szCs w:val="22"/>
        </w:rPr>
      </w:pPr>
      <w:r w:rsidRPr="00CB1876">
        <w:rPr>
          <w:sz w:val="22"/>
          <w:szCs w:val="22"/>
        </w:rPr>
        <w:t xml:space="preserve">VLA </w:t>
      </w:r>
      <w:r w:rsidR="009656B5">
        <w:rPr>
          <w:sz w:val="22"/>
          <w:szCs w:val="22"/>
        </w:rPr>
        <w:t>has</w:t>
      </w:r>
      <w:r w:rsidRPr="00CB1876">
        <w:rPr>
          <w:sz w:val="22"/>
          <w:szCs w:val="22"/>
        </w:rPr>
        <w:t xml:space="preserve"> seen</w:t>
      </w:r>
      <w:r w:rsidR="009656B5">
        <w:rPr>
          <w:sz w:val="22"/>
          <w:szCs w:val="22"/>
        </w:rPr>
        <w:t xml:space="preserve"> </w:t>
      </w:r>
      <w:r w:rsidRPr="00CB1876">
        <w:rPr>
          <w:sz w:val="22"/>
          <w:szCs w:val="22"/>
        </w:rPr>
        <w:t xml:space="preserve">the impact of the </w:t>
      </w:r>
      <w:r w:rsidR="006A4BC7">
        <w:rPr>
          <w:sz w:val="22"/>
          <w:szCs w:val="22"/>
        </w:rPr>
        <w:t xml:space="preserve">COVID-19 </w:t>
      </w:r>
      <w:r w:rsidRPr="00CB1876">
        <w:rPr>
          <w:sz w:val="22"/>
          <w:szCs w:val="22"/>
        </w:rPr>
        <w:t xml:space="preserve">pandemic and </w:t>
      </w:r>
      <w:r w:rsidR="006A4BC7">
        <w:rPr>
          <w:sz w:val="22"/>
          <w:szCs w:val="22"/>
        </w:rPr>
        <w:t xml:space="preserve">the </w:t>
      </w:r>
      <w:r w:rsidRPr="00CB1876">
        <w:rPr>
          <w:sz w:val="22"/>
          <w:szCs w:val="22"/>
        </w:rPr>
        <w:t xml:space="preserve">associated economic downturn, </w:t>
      </w:r>
      <w:r w:rsidR="007B723B">
        <w:rPr>
          <w:sz w:val="22"/>
          <w:szCs w:val="22"/>
        </w:rPr>
        <w:t xml:space="preserve">including </w:t>
      </w:r>
      <w:r w:rsidR="00D86DA5">
        <w:rPr>
          <w:sz w:val="22"/>
          <w:szCs w:val="22"/>
        </w:rPr>
        <w:t xml:space="preserve">the impact on </w:t>
      </w:r>
      <w:r w:rsidR="007B723B">
        <w:rPr>
          <w:sz w:val="22"/>
          <w:szCs w:val="22"/>
        </w:rPr>
        <w:t xml:space="preserve">certain cohorts of </w:t>
      </w:r>
      <w:r w:rsidRPr="00CB1876">
        <w:rPr>
          <w:sz w:val="22"/>
          <w:szCs w:val="22"/>
        </w:rPr>
        <w:t xml:space="preserve">clients </w:t>
      </w:r>
      <w:r w:rsidR="007B723B">
        <w:rPr>
          <w:sz w:val="22"/>
          <w:szCs w:val="22"/>
        </w:rPr>
        <w:t xml:space="preserve">who </w:t>
      </w:r>
      <w:r w:rsidRPr="00CB1876">
        <w:rPr>
          <w:sz w:val="22"/>
          <w:szCs w:val="22"/>
        </w:rPr>
        <w:t xml:space="preserve">are not eligible for payments </w:t>
      </w:r>
      <w:r>
        <w:rPr>
          <w:sz w:val="22"/>
          <w:szCs w:val="22"/>
        </w:rPr>
        <w:t xml:space="preserve">(or additional benefits) </w:t>
      </w:r>
      <w:r w:rsidRPr="00CB1876">
        <w:rPr>
          <w:sz w:val="22"/>
          <w:szCs w:val="22"/>
        </w:rPr>
        <w:t xml:space="preserve">made available by the </w:t>
      </w:r>
      <w:r w:rsidR="009F584C">
        <w:rPr>
          <w:sz w:val="22"/>
          <w:szCs w:val="22"/>
        </w:rPr>
        <w:t>Australian Government</w:t>
      </w:r>
      <w:r w:rsidRPr="00CB1876">
        <w:rPr>
          <w:sz w:val="22"/>
          <w:szCs w:val="22"/>
        </w:rPr>
        <w:t>.</w:t>
      </w:r>
    </w:p>
    <w:p w14:paraId="1C802B30" w14:textId="4B58824A" w:rsidR="00B801D5" w:rsidRPr="00CB1876" w:rsidRDefault="00D86DA5" w:rsidP="00B801D5">
      <w:pPr>
        <w:pStyle w:val="Default"/>
        <w:spacing w:after="200" w:line="300" w:lineRule="exact"/>
        <w:rPr>
          <w:sz w:val="22"/>
          <w:szCs w:val="22"/>
        </w:rPr>
      </w:pPr>
      <w:r>
        <w:rPr>
          <w:sz w:val="22"/>
          <w:szCs w:val="22"/>
        </w:rPr>
        <w:t xml:space="preserve">We have identified a number of </w:t>
      </w:r>
      <w:r w:rsidR="009F584C">
        <w:rPr>
          <w:sz w:val="22"/>
          <w:szCs w:val="22"/>
        </w:rPr>
        <w:t xml:space="preserve">groups </w:t>
      </w:r>
      <w:r w:rsidR="00063376">
        <w:rPr>
          <w:sz w:val="22"/>
          <w:szCs w:val="22"/>
        </w:rPr>
        <w:t xml:space="preserve">that lack adequate </w:t>
      </w:r>
      <w:r w:rsidR="00064862">
        <w:rPr>
          <w:sz w:val="22"/>
          <w:szCs w:val="22"/>
        </w:rPr>
        <w:t xml:space="preserve">income </w:t>
      </w:r>
      <w:r w:rsidR="00063376">
        <w:rPr>
          <w:sz w:val="22"/>
          <w:szCs w:val="22"/>
        </w:rPr>
        <w:t xml:space="preserve">support </w:t>
      </w:r>
      <w:r w:rsidR="003A247E">
        <w:rPr>
          <w:sz w:val="22"/>
          <w:szCs w:val="22"/>
        </w:rPr>
        <w:t>to manage the impact of COVID-19 on their lives</w:t>
      </w:r>
      <w:r w:rsidR="00151E94">
        <w:rPr>
          <w:sz w:val="22"/>
          <w:szCs w:val="22"/>
        </w:rPr>
        <w:t>:</w:t>
      </w:r>
    </w:p>
    <w:p w14:paraId="7B37F2F4" w14:textId="0CDD55B5" w:rsidR="00B801D5" w:rsidRDefault="00151E94" w:rsidP="00544D26">
      <w:pPr>
        <w:pStyle w:val="Listbulletcoloured"/>
      </w:pPr>
      <w:r>
        <w:t>People receiving</w:t>
      </w:r>
      <w:r w:rsidR="00B801D5" w:rsidRPr="00CB1876">
        <w:t xml:space="preserve"> Disability Support Pension </w:t>
      </w:r>
      <w:r w:rsidR="006754C7">
        <w:t>(</w:t>
      </w:r>
      <w:r w:rsidR="006754C7" w:rsidRPr="00E93254">
        <w:rPr>
          <w:b/>
          <w:bCs/>
        </w:rPr>
        <w:t>DSP</w:t>
      </w:r>
      <w:r w:rsidR="006754C7">
        <w:t xml:space="preserve">) </w:t>
      </w:r>
      <w:r w:rsidR="00B801D5" w:rsidRPr="00CB1876">
        <w:t xml:space="preserve">and Carer </w:t>
      </w:r>
      <w:r>
        <w:t>payments who</w:t>
      </w:r>
      <w:r w:rsidR="00B801D5" w:rsidRPr="00CB1876">
        <w:t xml:space="preserve"> have not </w:t>
      </w:r>
      <w:r>
        <w:t>received</w:t>
      </w:r>
      <w:r w:rsidR="00B801D5" w:rsidRPr="00CB1876">
        <w:t xml:space="preserve"> any additional payments</w:t>
      </w:r>
      <w:r>
        <w:t xml:space="preserve"> </w:t>
      </w:r>
      <w:r w:rsidR="00B801D5" w:rsidRPr="00CB1876">
        <w:t>compared with recipients of other social security payments (</w:t>
      </w:r>
      <w:r>
        <w:t xml:space="preserve">e.g. additional COVID-19 payments for people receiving </w:t>
      </w:r>
      <w:proofErr w:type="spellStart"/>
      <w:r w:rsidR="00B801D5" w:rsidRPr="00CB1876">
        <w:t>Job</w:t>
      </w:r>
      <w:r>
        <w:t>S</w:t>
      </w:r>
      <w:r w:rsidR="00B801D5" w:rsidRPr="00CB1876">
        <w:t>eeker</w:t>
      </w:r>
      <w:proofErr w:type="spellEnd"/>
      <w:r>
        <w:t xml:space="preserve"> payments</w:t>
      </w:r>
      <w:r w:rsidR="00B801D5" w:rsidRPr="00CB1876">
        <w:t>)</w:t>
      </w:r>
    </w:p>
    <w:p w14:paraId="2C706411" w14:textId="222DC398" w:rsidR="00B801D5" w:rsidRDefault="00B801D5" w:rsidP="00544D26">
      <w:pPr>
        <w:pStyle w:val="Listbulletcoloured"/>
      </w:pPr>
      <w:r>
        <w:t>Migrant workers</w:t>
      </w:r>
      <w:r w:rsidR="00151E94">
        <w:t xml:space="preserve"> </w:t>
      </w:r>
      <w:r>
        <w:t>who have been left particularly exposed: unable to work, unable to leave the country</w:t>
      </w:r>
      <w:r w:rsidR="1E4ACBF0">
        <w:t>, and unable to access any income support</w:t>
      </w:r>
      <w:r w:rsidR="006871C8">
        <w:t>, and</w:t>
      </w:r>
    </w:p>
    <w:p w14:paraId="5B2B5B09" w14:textId="77777777" w:rsidR="0048120A" w:rsidRDefault="00D50782" w:rsidP="00544D26">
      <w:pPr>
        <w:pStyle w:val="Listbulletcoloured"/>
      </w:pPr>
      <w:r>
        <w:t xml:space="preserve">People seeking asylum living in the Australian community who are denied access to social security support (see </w:t>
      </w:r>
      <w:r w:rsidR="007B0C82">
        <w:rPr>
          <w:i/>
          <w:iCs/>
        </w:rPr>
        <w:t xml:space="preserve">Migration </w:t>
      </w:r>
      <w:r w:rsidR="007B0C82">
        <w:t>section 4 below).</w:t>
      </w:r>
    </w:p>
    <w:p w14:paraId="5AC2CD58" w14:textId="4F54A312" w:rsidR="00F16F9B" w:rsidRDefault="00F16F9B" w:rsidP="00F16F9B">
      <w:pPr>
        <w:pStyle w:val="Normaloutlinebox"/>
        <w:ind w:left="360"/>
        <w:rPr>
          <w:b/>
          <w:bCs/>
          <w:color w:val="009BCD"/>
        </w:rPr>
      </w:pPr>
      <w:r>
        <w:rPr>
          <w:b/>
          <w:bCs/>
          <w:color w:val="009BCD"/>
        </w:rPr>
        <w:t>Re</w:t>
      </w:r>
      <w:r w:rsidRPr="008F1A70">
        <w:rPr>
          <w:b/>
          <w:bCs/>
          <w:color w:val="009BCD"/>
        </w:rPr>
        <w:t xml:space="preserve">commendation </w:t>
      </w:r>
      <w:r w:rsidR="003A1DED">
        <w:rPr>
          <w:b/>
          <w:bCs/>
          <w:color w:val="009BCD"/>
        </w:rPr>
        <w:t>2</w:t>
      </w:r>
    </w:p>
    <w:p w14:paraId="6D569A73" w14:textId="7D00BE6E" w:rsidR="00F16F9B" w:rsidRPr="00F16F9B" w:rsidRDefault="00F16F9B" w:rsidP="00F16F9B">
      <w:pPr>
        <w:pStyle w:val="Normaloutlinebox"/>
        <w:ind w:left="360"/>
        <w:rPr>
          <w:b/>
          <w:bCs/>
          <w:color w:val="009BCD"/>
        </w:rPr>
      </w:pPr>
      <w:r>
        <w:t xml:space="preserve">The Australian Government should </w:t>
      </w:r>
      <w:r w:rsidR="00E24CFC">
        <w:t xml:space="preserve">broaden access to social security supports during COVID-19 </w:t>
      </w:r>
      <w:r w:rsidR="24723994">
        <w:t xml:space="preserve">to </w:t>
      </w:r>
      <w:r w:rsidR="00E24CFC">
        <w:t xml:space="preserve">people receiving </w:t>
      </w:r>
      <w:r w:rsidR="006D722A">
        <w:t xml:space="preserve">Disability Support Pension </w:t>
      </w:r>
      <w:r w:rsidR="00E24CFC">
        <w:t>and Carer’s payments, migrant workers, and people seeking asylum living in our communities.</w:t>
      </w:r>
    </w:p>
    <w:p w14:paraId="5B1C3FBE" w14:textId="526FB4CC" w:rsidR="00F77568" w:rsidRDefault="00F77568" w:rsidP="00D502C3">
      <w:pPr>
        <w:pStyle w:val="Heading2"/>
        <w:numPr>
          <w:ilvl w:val="0"/>
          <w:numId w:val="10"/>
        </w:numPr>
      </w:pPr>
      <w:bookmarkStart w:id="20" w:name="_Toc41659778"/>
      <w:r>
        <w:t>National Disability Insurance Scheme</w:t>
      </w:r>
      <w:bookmarkEnd w:id="20"/>
    </w:p>
    <w:p w14:paraId="193F764A" w14:textId="27B8E05F" w:rsidR="006A4BC7" w:rsidRPr="006A4BC7" w:rsidRDefault="006A4BC7" w:rsidP="005551D4">
      <w:pPr>
        <w:spacing w:after="0" w:line="276" w:lineRule="auto"/>
        <w:rPr>
          <w:rFonts w:cs="Arial"/>
          <w:szCs w:val="22"/>
        </w:rPr>
      </w:pPr>
      <w:r w:rsidRPr="006A4BC7">
        <w:rPr>
          <w:rFonts w:cs="Arial"/>
          <w:szCs w:val="22"/>
        </w:rPr>
        <w:t xml:space="preserve">VLA is the largest provider of legal services to people with disability in Victoria. During </w:t>
      </w:r>
      <w:r>
        <w:rPr>
          <w:rFonts w:cs="Arial"/>
          <w:szCs w:val="22"/>
        </w:rPr>
        <w:t>2018-19</w:t>
      </w:r>
      <w:r w:rsidRPr="006A4BC7">
        <w:rPr>
          <w:rFonts w:cs="Arial"/>
          <w:szCs w:val="22"/>
        </w:rPr>
        <w:t xml:space="preserve">, </w:t>
      </w:r>
      <w:r>
        <w:rPr>
          <w:rFonts w:cs="Arial"/>
          <w:szCs w:val="22"/>
        </w:rPr>
        <w:t xml:space="preserve">approximately 25,000 of our clients identified as having a disability or mental health issue. </w:t>
      </w:r>
      <w:r w:rsidRPr="006A4BC7">
        <w:rPr>
          <w:rFonts w:cs="Arial"/>
          <w:szCs w:val="22"/>
        </w:rPr>
        <w:t>VLA receives funding from the Department of Social Services to provide legal representation in NDIS matters on review at the Administrative Appeals Tribunal (</w:t>
      </w:r>
      <w:r w:rsidRPr="006A4BC7">
        <w:rPr>
          <w:rFonts w:cs="Arial"/>
          <w:b/>
          <w:bCs/>
          <w:szCs w:val="22"/>
        </w:rPr>
        <w:t>AAT</w:t>
      </w:r>
      <w:r w:rsidRPr="006A4BC7">
        <w:rPr>
          <w:rFonts w:cs="Arial"/>
          <w:szCs w:val="22"/>
        </w:rPr>
        <w:t>).</w:t>
      </w:r>
    </w:p>
    <w:p w14:paraId="1A04D13E" w14:textId="16A64E60" w:rsidR="00147A15" w:rsidRDefault="00147A15" w:rsidP="00147A15">
      <w:pPr>
        <w:pStyle w:val="Heading3"/>
        <w:numPr>
          <w:ilvl w:val="0"/>
          <w:numId w:val="28"/>
        </w:numPr>
      </w:pPr>
      <w:bookmarkStart w:id="21" w:name="_Toc41659779"/>
      <w:r>
        <w:t>Positive NDIS changes in response to COVID-19</w:t>
      </w:r>
      <w:bookmarkEnd w:id="21"/>
    </w:p>
    <w:p w14:paraId="4FF5230B" w14:textId="327C5F78" w:rsidR="008B06C4" w:rsidRPr="00E722CC" w:rsidRDefault="008B06C4" w:rsidP="00473DF8">
      <w:pPr>
        <w:rPr>
          <w:rFonts w:cs="Arial"/>
        </w:rPr>
      </w:pPr>
      <w:r w:rsidRPr="00CB1876">
        <w:t>Many people experiencing disability are more severely exposed to the impacts of COVID-19 and associated economic effects than other members of the community.</w:t>
      </w:r>
      <w:r>
        <w:t xml:space="preserve"> In recognition of this, the NDIA </w:t>
      </w:r>
      <w:r w:rsidRPr="00E722CC">
        <w:rPr>
          <w:rFonts w:cs="Arial"/>
        </w:rPr>
        <w:t>has made a number of changes, including:</w:t>
      </w:r>
    </w:p>
    <w:p w14:paraId="41D2E9BB" w14:textId="19C9915F" w:rsidR="00CE6B10" w:rsidRDefault="00CC3457" w:rsidP="00544D26">
      <w:pPr>
        <w:pStyle w:val="Listbulletcoloured"/>
        <w:rPr>
          <w:lang w:val="en"/>
        </w:rPr>
      </w:pPr>
      <w:r>
        <w:rPr>
          <w:lang w:val="en"/>
        </w:rPr>
        <w:t>Automatically extending NDIS</w:t>
      </w:r>
      <w:r w:rsidR="008B06C4" w:rsidRPr="00E722CC">
        <w:rPr>
          <w:lang w:val="en"/>
        </w:rPr>
        <w:t xml:space="preserve"> </w:t>
      </w:r>
      <w:r>
        <w:rPr>
          <w:lang w:val="en"/>
        </w:rPr>
        <w:t xml:space="preserve">plans </w:t>
      </w:r>
      <w:r w:rsidR="008B06C4" w:rsidRPr="00E722CC">
        <w:rPr>
          <w:lang w:val="en"/>
        </w:rPr>
        <w:t>after their review date to ensure continuity of funding</w:t>
      </w:r>
    </w:p>
    <w:p w14:paraId="0A4E43CD" w14:textId="4CC1EA16" w:rsidR="008B06C4" w:rsidRPr="00E722CC" w:rsidRDefault="00CE6B10" w:rsidP="00544D26">
      <w:pPr>
        <w:pStyle w:val="Listbulletcoloured"/>
        <w:rPr>
          <w:lang w:val="en"/>
        </w:rPr>
      </w:pPr>
      <w:r>
        <w:rPr>
          <w:lang w:val="en"/>
        </w:rPr>
        <w:t xml:space="preserve">NDIS participants can access longer plans </w:t>
      </w:r>
      <w:r w:rsidR="00473DF8">
        <w:rPr>
          <w:lang w:val="en"/>
        </w:rPr>
        <w:t>of up to 2 years</w:t>
      </w:r>
    </w:p>
    <w:p w14:paraId="48F927FB" w14:textId="463E1AF2" w:rsidR="008B06C4" w:rsidRPr="00E722CC" w:rsidRDefault="008B06C4" w:rsidP="00544D26">
      <w:pPr>
        <w:pStyle w:val="Listbulletcoloured"/>
      </w:pPr>
      <w:r w:rsidRPr="00E722CC">
        <w:t xml:space="preserve">Efforts have been made to </w:t>
      </w:r>
      <w:r w:rsidR="679731BD">
        <w:t xml:space="preserve">contact participants whose health, disability or </w:t>
      </w:r>
      <w:r w:rsidR="7635B92D">
        <w:t xml:space="preserve">other </w:t>
      </w:r>
      <w:r w:rsidR="679731BD">
        <w:t xml:space="preserve">circumstances could make them more vulnerable during the COVID-19 pandemic and </w:t>
      </w:r>
      <w:r w:rsidRPr="00E722CC">
        <w:t>increase accessibility of advice on changing plans, via web chat and telephone</w:t>
      </w:r>
    </w:p>
    <w:p w14:paraId="3D42AAC5" w14:textId="579C7E4B" w:rsidR="00FC1732" w:rsidRDefault="2E606C67" w:rsidP="00FC1732">
      <w:pPr>
        <w:pStyle w:val="Listbulletcoloured"/>
      </w:pPr>
      <w:r>
        <w:t>NDIS p</w:t>
      </w:r>
      <w:r w:rsidR="00FC1732">
        <w:t xml:space="preserve">articipants with a </w:t>
      </w:r>
      <w:r w:rsidR="699F4009">
        <w:t>p</w:t>
      </w:r>
      <w:r w:rsidR="00FC1732">
        <w:t xml:space="preserve">lan or </w:t>
      </w:r>
      <w:r w:rsidR="10B959D5">
        <w:t>a</w:t>
      </w:r>
      <w:r w:rsidR="00FC1732">
        <w:t xml:space="preserve">gency-managed </w:t>
      </w:r>
      <w:r w:rsidR="6C480817">
        <w:t>c</w:t>
      </w:r>
      <w:r w:rsidR="00FC1732">
        <w:t xml:space="preserve">ore </w:t>
      </w:r>
      <w:r w:rsidR="7EA5103A">
        <w:t>s</w:t>
      </w:r>
      <w:r w:rsidR="00FC1732">
        <w:t xml:space="preserve">upport budget can use </w:t>
      </w:r>
      <w:r w:rsidR="008B06C4" w:rsidRPr="00E722CC">
        <w:t xml:space="preserve">the </w:t>
      </w:r>
      <w:r w:rsidR="00FC1732">
        <w:t>funding categories within this budget flexibly</w:t>
      </w:r>
      <w:r w:rsidR="006871C8">
        <w:t>, and</w:t>
      </w:r>
    </w:p>
    <w:p w14:paraId="197FB103" w14:textId="5B8B460A" w:rsidR="008B06C4" w:rsidRPr="00E722CC" w:rsidRDefault="005D4F15" w:rsidP="00544D26">
      <w:pPr>
        <w:pStyle w:val="Listbulletcoloured"/>
      </w:pPr>
      <w:r>
        <w:t>S</w:t>
      </w:r>
      <w:r w:rsidR="008B06C4">
        <w:t>ome</w:t>
      </w:r>
      <w:r w:rsidR="008B06C4" w:rsidRPr="00E722CC">
        <w:t xml:space="preserve"> participants may use funding flexibly to purchase low-cost assistive technology to ensure they can continue to access their funded supports </w:t>
      </w:r>
      <w:r w:rsidR="00010189">
        <w:t>until September 2020</w:t>
      </w:r>
      <w:r w:rsidR="2BCE613D">
        <w:t>.</w:t>
      </w:r>
    </w:p>
    <w:p w14:paraId="05C56CF3" w14:textId="0F32FF64" w:rsidR="00147A15" w:rsidRDefault="008B06C4" w:rsidP="00473DF8">
      <w:r w:rsidRPr="00E722CC">
        <w:rPr>
          <w:rFonts w:cs="Arial"/>
        </w:rPr>
        <w:t>The</w:t>
      </w:r>
      <w:r>
        <w:rPr>
          <w:rFonts w:cs="Arial"/>
        </w:rPr>
        <w:t>se</w:t>
      </w:r>
      <w:r w:rsidRPr="00E722CC">
        <w:rPr>
          <w:rFonts w:cs="Arial"/>
        </w:rPr>
        <w:t xml:space="preserve"> recent</w:t>
      </w:r>
      <w:r w:rsidRPr="00CB1876">
        <w:t xml:space="preserve"> NDIS</w:t>
      </w:r>
      <w:r w:rsidR="00CC3457">
        <w:t xml:space="preserve"> changes</w:t>
      </w:r>
      <w:r>
        <w:t xml:space="preserve"> are</w:t>
      </w:r>
      <w:r w:rsidRPr="00CB1876">
        <w:t xml:space="preserve"> positive first step</w:t>
      </w:r>
      <w:r>
        <w:t>s</w:t>
      </w:r>
      <w:r w:rsidRPr="00CB1876">
        <w:t xml:space="preserve"> in seeking to deal with </w:t>
      </w:r>
      <w:r w:rsidR="006871C8">
        <w:t>some COVID-19 impacts.</w:t>
      </w:r>
    </w:p>
    <w:p w14:paraId="2135A7FF" w14:textId="096B6AF6" w:rsidR="00147A15" w:rsidRDefault="00147A15" w:rsidP="00147A15">
      <w:pPr>
        <w:pStyle w:val="Heading3"/>
        <w:numPr>
          <w:ilvl w:val="0"/>
          <w:numId w:val="28"/>
        </w:numPr>
      </w:pPr>
      <w:bookmarkStart w:id="22" w:name="_Toc41659780"/>
      <w:r>
        <w:t>Risks for NDIS participants during COVID-19</w:t>
      </w:r>
      <w:bookmarkEnd w:id="22"/>
    </w:p>
    <w:p w14:paraId="5A638004" w14:textId="15001B47" w:rsidR="005A0CE0" w:rsidRDefault="001F369F" w:rsidP="00473DF8">
      <w:r>
        <w:t>Despite the positive changes identified above</w:t>
      </w:r>
      <w:r w:rsidR="008B06C4" w:rsidRPr="00CB1876">
        <w:t xml:space="preserve">, </w:t>
      </w:r>
      <w:r>
        <w:t>VLA is</w:t>
      </w:r>
      <w:r w:rsidR="008B06C4" w:rsidRPr="00CB1876">
        <w:t xml:space="preserve"> also seeing that COVID-19 is creating acute unresolved issues for NDIS participants </w:t>
      </w:r>
      <w:r w:rsidR="008B06C4">
        <w:t xml:space="preserve">seeking </w:t>
      </w:r>
      <w:r w:rsidR="006478BF">
        <w:t xml:space="preserve">our </w:t>
      </w:r>
      <w:r w:rsidR="008B06C4">
        <w:t>assistance</w:t>
      </w:r>
      <w:r w:rsidR="008B06C4" w:rsidRPr="00CB1876">
        <w:t>, including because of existing systemic issues. Our clients report</w:t>
      </w:r>
      <w:r w:rsidR="008B06C4">
        <w:t xml:space="preserve"> t</w:t>
      </w:r>
      <w:r w:rsidR="008B06C4" w:rsidRPr="00CB1876">
        <w:t>he acute impact and potential for crisis in their housing and supports because of the interaction of COVID-19 measures and delay</w:t>
      </w:r>
      <w:r w:rsidR="00CC3457">
        <w:t>s</w:t>
      </w:r>
      <w:r w:rsidR="008B06C4" w:rsidRPr="00CB1876">
        <w:t xml:space="preserve"> in NDIA decision-making, plan and AAT reviews.</w:t>
      </w:r>
      <w:r w:rsidR="008B06C4">
        <w:t xml:space="preserve"> We have seen </w:t>
      </w:r>
      <w:r w:rsidR="008B06C4" w:rsidRPr="00CB1876">
        <w:t xml:space="preserve">unremedied challenges for NDIS participants and their families as a result of remote learning in Victorian schools, where greater assistance is required than </w:t>
      </w:r>
      <w:r w:rsidR="003A1766">
        <w:t xml:space="preserve">is </w:t>
      </w:r>
      <w:r w:rsidR="008B06C4" w:rsidRPr="00CB1876">
        <w:t xml:space="preserve">provided </w:t>
      </w:r>
      <w:r w:rsidR="00CC3457">
        <w:t>under</w:t>
      </w:r>
      <w:r w:rsidR="008B06C4" w:rsidRPr="00CB1876">
        <w:t xml:space="preserve"> existing supports for them to engage with online learning from home.</w:t>
      </w:r>
    </w:p>
    <w:p w14:paraId="039BCBD8" w14:textId="3C666B1E" w:rsidR="00832403" w:rsidRDefault="00832403" w:rsidP="00473DF8">
      <w:pPr>
        <w:rPr>
          <w:rFonts w:cs="Arial"/>
          <w:szCs w:val="22"/>
        </w:rPr>
      </w:pPr>
      <w:r w:rsidRPr="3D0E6AD8">
        <w:rPr>
          <w:rFonts w:cs="Arial"/>
        </w:rPr>
        <w:t xml:space="preserve">Despite ongoing concerns around </w:t>
      </w:r>
      <w:r>
        <w:rPr>
          <w:rFonts w:cs="Arial"/>
        </w:rPr>
        <w:t>“</w:t>
      </w:r>
      <w:r w:rsidRPr="3D0E6AD8">
        <w:rPr>
          <w:rFonts w:cs="Arial"/>
        </w:rPr>
        <w:t>thin markets</w:t>
      </w:r>
      <w:r>
        <w:rPr>
          <w:rFonts w:cs="Arial"/>
        </w:rPr>
        <w:t>”</w:t>
      </w:r>
      <w:r w:rsidRPr="3D0E6AD8">
        <w:rPr>
          <w:rFonts w:cs="Arial"/>
        </w:rPr>
        <w:t>,</w:t>
      </w:r>
      <w:r w:rsidRPr="00955138">
        <w:rPr>
          <w:rStyle w:val="FootnoteReference"/>
          <w:rFonts w:cs="Arial"/>
          <w:sz w:val="22"/>
          <w:szCs w:val="22"/>
        </w:rPr>
        <w:footnoteReference w:id="4"/>
      </w:r>
      <w:r w:rsidRPr="3D0E6AD8">
        <w:rPr>
          <w:rFonts w:cs="Arial"/>
        </w:rPr>
        <w:t xml:space="preserve"> there is still no enforceable obligation on any government body to ensure an NDIS participant receives their funded supports and no systematised </w:t>
      </w:r>
      <w:r w:rsidRPr="3D0E6AD8">
        <w:rPr>
          <w:rFonts w:cs="Arial"/>
        </w:rPr>
        <w:lastRenderedPageBreak/>
        <w:t xml:space="preserve">way of ensuring a person accesses the disability supports they need. </w:t>
      </w:r>
      <w:r w:rsidR="00CC3457">
        <w:rPr>
          <w:rFonts w:cs="Arial"/>
          <w:szCs w:val="22"/>
        </w:rPr>
        <w:t>We</w:t>
      </w:r>
      <w:r w:rsidR="006F759F">
        <w:rPr>
          <w:rFonts w:cs="Arial"/>
          <w:szCs w:val="22"/>
        </w:rPr>
        <w:t xml:space="preserve"> see how our clients</w:t>
      </w:r>
      <w:r w:rsidR="006F759F" w:rsidRPr="00955138">
        <w:rPr>
          <w:rFonts w:cs="Arial"/>
          <w:szCs w:val="22"/>
        </w:rPr>
        <w:t xml:space="preserve"> with disability suffer the consequences </w:t>
      </w:r>
      <w:r w:rsidR="006871C8">
        <w:rPr>
          <w:rFonts w:cs="Arial"/>
          <w:szCs w:val="22"/>
        </w:rPr>
        <w:t>caused by</w:t>
      </w:r>
      <w:r w:rsidR="006F759F">
        <w:rPr>
          <w:rFonts w:cs="Arial"/>
          <w:szCs w:val="22"/>
        </w:rPr>
        <w:t xml:space="preserve"> gaps between the NDIS and mainstream services, or where </w:t>
      </w:r>
      <w:r w:rsidR="006871C8">
        <w:rPr>
          <w:rFonts w:cs="Arial"/>
          <w:szCs w:val="22"/>
        </w:rPr>
        <w:t>the NDIS market does</w:t>
      </w:r>
      <w:r w:rsidR="006F759F" w:rsidRPr="008858FE">
        <w:rPr>
          <w:rFonts w:cs="Arial"/>
          <w:szCs w:val="22"/>
        </w:rPr>
        <w:t xml:space="preserve"> not meet </w:t>
      </w:r>
      <w:r w:rsidR="006F759F">
        <w:rPr>
          <w:rFonts w:cs="Arial"/>
          <w:szCs w:val="22"/>
        </w:rPr>
        <w:t>people’s</w:t>
      </w:r>
      <w:r w:rsidR="006F759F" w:rsidRPr="008858FE">
        <w:rPr>
          <w:rFonts w:cs="Arial"/>
          <w:szCs w:val="22"/>
        </w:rPr>
        <w:t xml:space="preserve"> support needs.</w:t>
      </w:r>
      <w:r w:rsidR="00AF0B4B">
        <w:rPr>
          <w:rFonts w:cs="Arial"/>
          <w:szCs w:val="22"/>
        </w:rPr>
        <w:t xml:space="preserve"> </w:t>
      </w:r>
      <w:r w:rsidR="006871C8">
        <w:rPr>
          <w:rFonts w:cs="Arial"/>
          <w:szCs w:val="22"/>
        </w:rPr>
        <w:t>During COVID-19, the NDIS’</w:t>
      </w:r>
      <w:r w:rsidR="00AF0B4B" w:rsidRPr="00955138">
        <w:rPr>
          <w:rFonts w:cs="Arial"/>
          <w:szCs w:val="22"/>
        </w:rPr>
        <w:t xml:space="preserve"> reliance on market</w:t>
      </w:r>
      <w:r w:rsidR="00AF0B4B">
        <w:rPr>
          <w:rFonts w:cs="Arial"/>
          <w:szCs w:val="22"/>
        </w:rPr>
        <w:t>-</w:t>
      </w:r>
      <w:r w:rsidR="00AF0B4B" w:rsidRPr="00955138">
        <w:rPr>
          <w:rFonts w:cs="Arial"/>
          <w:szCs w:val="22"/>
        </w:rPr>
        <w:t xml:space="preserve">based support provision </w:t>
      </w:r>
      <w:r w:rsidR="006871C8">
        <w:rPr>
          <w:rFonts w:cs="Arial"/>
          <w:szCs w:val="22"/>
        </w:rPr>
        <w:t>presents particular risks for</w:t>
      </w:r>
      <w:r w:rsidR="00AF0B4B" w:rsidRPr="00955138">
        <w:rPr>
          <w:rFonts w:cs="Arial"/>
          <w:szCs w:val="22"/>
        </w:rPr>
        <w:t xml:space="preserve"> </w:t>
      </w:r>
      <w:r w:rsidR="006871C8">
        <w:rPr>
          <w:rFonts w:cs="Arial"/>
          <w:szCs w:val="22"/>
        </w:rPr>
        <w:t>our clients</w:t>
      </w:r>
      <w:r w:rsidR="00AF0B4B" w:rsidRPr="00955138">
        <w:rPr>
          <w:rFonts w:cs="Arial"/>
          <w:szCs w:val="22"/>
        </w:rPr>
        <w:t xml:space="preserve"> with complex needs</w:t>
      </w:r>
      <w:r w:rsidR="006871C8">
        <w:rPr>
          <w:rFonts w:cs="Arial"/>
          <w:szCs w:val="22"/>
        </w:rPr>
        <w:t>.</w:t>
      </w:r>
    </w:p>
    <w:p w14:paraId="0964AF8D" w14:textId="442948D1" w:rsidR="00F9644B" w:rsidRDefault="00CA4594" w:rsidP="00F9644B">
      <w:pPr>
        <w:rPr>
          <w:rFonts w:cs="Arial"/>
          <w:szCs w:val="22"/>
        </w:rPr>
      </w:pPr>
      <w:r w:rsidRPr="3D0E6AD8">
        <w:rPr>
          <w:rFonts w:cs="Arial"/>
        </w:rPr>
        <w:t>The COAG Disability Reform Council acknowledged this need for “an integrated and holistic framework for maintaining critical supports for participants”</w:t>
      </w:r>
      <w:r w:rsidR="005629A5">
        <w:rPr>
          <w:rStyle w:val="FootnoteReference"/>
          <w:rFonts w:cs="Arial"/>
        </w:rPr>
        <w:footnoteReference w:id="5"/>
      </w:r>
      <w:r w:rsidRPr="3D0E6AD8">
        <w:rPr>
          <w:rFonts w:cs="Arial"/>
        </w:rPr>
        <w:t xml:space="preserve"> </w:t>
      </w:r>
      <w:r w:rsidR="006871C8">
        <w:rPr>
          <w:rFonts w:cs="Arial"/>
        </w:rPr>
        <w:t xml:space="preserve">and </w:t>
      </w:r>
      <w:r w:rsidRPr="3D0E6AD8">
        <w:rPr>
          <w:rFonts w:cs="Arial"/>
        </w:rPr>
        <w:t>a “more flexible approach to address market challenges in the NDIS”</w:t>
      </w:r>
      <w:r w:rsidR="006871C8">
        <w:rPr>
          <w:rFonts w:cs="Arial"/>
        </w:rPr>
        <w:t>.</w:t>
      </w:r>
      <w:r w:rsidRPr="00955138">
        <w:rPr>
          <w:rStyle w:val="FootnoteReference"/>
          <w:rFonts w:cs="Arial"/>
          <w:sz w:val="22"/>
          <w:szCs w:val="22"/>
        </w:rPr>
        <w:footnoteReference w:id="6"/>
      </w:r>
      <w:r w:rsidR="006871C8">
        <w:rPr>
          <w:rFonts w:cs="Arial"/>
        </w:rPr>
        <w:t xml:space="preserve"> </w:t>
      </w:r>
      <w:r w:rsidR="006871C8" w:rsidRPr="00955138">
        <w:rPr>
          <w:rFonts w:cs="Arial"/>
          <w:szCs w:val="22"/>
        </w:rPr>
        <w:t xml:space="preserve">We welcome the Council’s recognition </w:t>
      </w:r>
      <w:r w:rsidR="00CC3457">
        <w:rPr>
          <w:rFonts w:cs="Arial"/>
          <w:szCs w:val="22"/>
        </w:rPr>
        <w:t>of the need for</w:t>
      </w:r>
      <w:r w:rsidR="006871C8" w:rsidRPr="00955138">
        <w:rPr>
          <w:rFonts w:cs="Arial"/>
          <w:szCs w:val="22"/>
        </w:rPr>
        <w:t xml:space="preserve"> intergovernmental cooperation to ensure nobody is left to navigate the complexities of gaps in federal</w:t>
      </w:r>
      <w:r w:rsidR="00CC3457">
        <w:rPr>
          <w:rFonts w:cs="Arial"/>
          <w:szCs w:val="22"/>
        </w:rPr>
        <w:t xml:space="preserve"> /</w:t>
      </w:r>
      <w:r w:rsidR="006871C8" w:rsidRPr="00955138">
        <w:rPr>
          <w:rFonts w:cs="Arial"/>
          <w:szCs w:val="22"/>
        </w:rPr>
        <w:t xml:space="preserve"> state responsibility </w:t>
      </w:r>
      <w:r w:rsidR="006871C8">
        <w:rPr>
          <w:rFonts w:cs="Arial"/>
          <w:szCs w:val="22"/>
        </w:rPr>
        <w:t>and market failure</w:t>
      </w:r>
      <w:r w:rsidR="006871C8" w:rsidRPr="00955138">
        <w:rPr>
          <w:rFonts w:cs="Arial"/>
          <w:szCs w:val="22"/>
        </w:rPr>
        <w:t xml:space="preserve"> on their own</w:t>
      </w:r>
      <w:r w:rsidR="00F9644B">
        <w:rPr>
          <w:rFonts w:cs="Arial"/>
          <w:szCs w:val="22"/>
        </w:rPr>
        <w:t>.</w:t>
      </w:r>
      <w:r w:rsidR="00CC3457">
        <w:rPr>
          <w:rFonts w:cs="Arial"/>
          <w:szCs w:val="22"/>
        </w:rPr>
        <w:t xml:space="preserve"> The following client story highlights some of the barriers our clients are facing around using NDIS supports for home schooling during COVID-19.</w:t>
      </w:r>
    </w:p>
    <w:p w14:paraId="1A7F75E8" w14:textId="61154E2B" w:rsidR="00CE7545" w:rsidRPr="00F9644B" w:rsidRDefault="00CE7545" w:rsidP="00F9644B">
      <w:pPr>
        <w:pStyle w:val="Normalshadedbox"/>
        <w:rPr>
          <w:b/>
          <w:bCs/>
          <w:i/>
          <w:iCs/>
        </w:rPr>
      </w:pPr>
      <w:r w:rsidRPr="00F9644B">
        <w:rPr>
          <w:b/>
          <w:bCs/>
          <w:i/>
          <w:iCs/>
        </w:rPr>
        <w:t>My son Lenny’s NDIS supports</w:t>
      </w:r>
      <w:r w:rsidR="00505F2F" w:rsidRPr="00F9644B">
        <w:rPr>
          <w:b/>
          <w:bCs/>
          <w:i/>
          <w:iCs/>
        </w:rPr>
        <w:t xml:space="preserve"> to keep learning at home</w:t>
      </w:r>
      <w:r w:rsidRPr="00F9644B">
        <w:rPr>
          <w:b/>
          <w:bCs/>
          <w:i/>
          <w:iCs/>
        </w:rPr>
        <w:t xml:space="preserve"> during COVID-19</w:t>
      </w:r>
    </w:p>
    <w:p w14:paraId="71501904" w14:textId="77777777" w:rsidR="00F53CDF" w:rsidRPr="00F53CDF" w:rsidRDefault="00F53CDF" w:rsidP="00F53CDF">
      <w:pPr>
        <w:pStyle w:val="Normalshadedbox"/>
      </w:pPr>
      <w:r w:rsidRPr="00F53CDF">
        <w:t xml:space="preserve">The world is a confusing place for my son Lenny when plans change. I am his rock and guide. During COVID-19 I have become a teacher’s aide and a therapy assistant on top of my usual roles as a </w:t>
      </w:r>
      <w:proofErr w:type="spellStart"/>
      <w:r w:rsidRPr="00F53CDF">
        <w:t>carer</w:t>
      </w:r>
      <w:proofErr w:type="spellEnd"/>
      <w:r w:rsidRPr="00F53CDF">
        <w:t xml:space="preserve"> and a single parent. To be honest, on some days I haven’t been coping. </w:t>
      </w:r>
    </w:p>
    <w:p w14:paraId="30EC6568" w14:textId="77777777" w:rsidR="00F53CDF" w:rsidRPr="00F53CDF" w:rsidRDefault="00F53CDF" w:rsidP="00F53CDF">
      <w:pPr>
        <w:pStyle w:val="Normalshadedbox"/>
      </w:pPr>
      <w:r w:rsidRPr="00F53CDF">
        <w:t xml:space="preserve">Lenny is seven and tall for his age. He loves playing with our two cats and going socially distanced scooting with his friend Sam. He has been diagnosed with Autism and sensory processing disorder, as well as ADHD and anxiety. </w:t>
      </w:r>
    </w:p>
    <w:p w14:paraId="75988287" w14:textId="7685A22A" w:rsidR="00F53CDF" w:rsidRPr="00F53CDF" w:rsidRDefault="00F53CDF" w:rsidP="00F53CDF">
      <w:pPr>
        <w:pStyle w:val="Normalshadedbox"/>
      </w:pPr>
      <w:r w:rsidRPr="00F53CDF">
        <w:t xml:space="preserve">Being at home through COVID-19 has been hard. On the one hand Lenny has been much calmer and settled. But since school started, we’ve had some trouble because they’ve been providing the content without voiceovers. His speech therapist says he is dyslexic, so he has challenges with reading and he really struggles with handwriting. We keep falling further behind because he can’t read the tasks, needs constant support and everything takes longer. He got really frustrated and fell behind because he just couldn’t do the tasks that were set. Even though he’d qualified for a teacher’s aide who was due to start helping him at school, when the school went to remote learning we didn’t get any support </w:t>
      </w:r>
      <w:r w:rsidR="571D3936">
        <w:t>un</w:t>
      </w:r>
      <w:r>
        <w:t>til</w:t>
      </w:r>
      <w:r w:rsidRPr="00F53CDF">
        <w:t xml:space="preserve"> week 4. I felt like we were set up to fail.  </w:t>
      </w:r>
    </w:p>
    <w:p w14:paraId="508E7907" w14:textId="77777777" w:rsidR="00F53CDF" w:rsidRPr="00F53CDF" w:rsidRDefault="00F53CDF" w:rsidP="00F53CDF">
      <w:pPr>
        <w:pStyle w:val="Normalshadedbox"/>
      </w:pPr>
      <w:r w:rsidRPr="00F53CDF">
        <w:t xml:space="preserve">Lenny has had weekly occupational therapy since 2018, funded by the NDIS since August 2019. It’s been amazing to see how much improvement he’s made. During COVID-19 I realised I needed a wide angled web-cam in order for the therapy to work, but even though we have money in Len’s NDIS plan, the NDIS have been chopping and changing about whether you can spend money on a device. </w:t>
      </w:r>
      <w:proofErr w:type="gramStart"/>
      <w:r w:rsidRPr="00F53CDF">
        <w:t>First</w:t>
      </w:r>
      <w:proofErr w:type="gramEnd"/>
      <w:r w:rsidRPr="00F53CDF">
        <w:t xml:space="preserve"> it’s ‘yes you can buy a device’, then they’ve put things on their website saying ‘yes you can buy a device’ and then they’ve removed it. People in the self-management Facebook groups have been totally freaking out not knowing if they can get what they need, there was no guideline. Just last week, the </w:t>
      </w:r>
      <w:r w:rsidRPr="00F53CDF">
        <w:lastRenderedPageBreak/>
        <w:t xml:space="preserve">NDIA told me that I will need to withdraw my Tribunal appeal to get some urgent supports during COVID-19. This is scary and stressful. </w:t>
      </w:r>
    </w:p>
    <w:p w14:paraId="4AF21FF0" w14:textId="77777777" w:rsidR="00F53CDF" w:rsidRPr="00F53CDF" w:rsidRDefault="00F53CDF" w:rsidP="00F53CDF">
      <w:pPr>
        <w:pStyle w:val="Normalshadedbox"/>
      </w:pPr>
      <w:r w:rsidRPr="00F53CDF">
        <w:t xml:space="preserve">I feel like I’m on a roller coaster. Some days it’s ok, but on other days I’m drowning in tasks. I try so hard to stay on top of my financial issues so right now I feel in the dark and out of control of everything. I’m pretty much a bad tenant for the first time in my life, I always take care of houses but I can’t pay my rent on time because I can’t afford it at the moment, so I’m worried I’ll fall more behind and get evicted. </w:t>
      </w:r>
    </w:p>
    <w:p w14:paraId="6FF35672" w14:textId="1161CCCE" w:rsidR="00F77568" w:rsidRDefault="00295031" w:rsidP="00F53CDF">
      <w:r>
        <w:t xml:space="preserve">The lack of clarity </w:t>
      </w:r>
      <w:r w:rsidR="005551D4">
        <w:t xml:space="preserve">around </w:t>
      </w:r>
      <w:r>
        <w:t xml:space="preserve">flexible use of funding and meeting urgent support needs during COVID-19 has left Lenny and his mother in crisis. </w:t>
      </w:r>
      <w:r w:rsidR="00CC3457">
        <w:t>P</w:t>
      </w:r>
      <w:r>
        <w:t>roactive, clear and consistent communication from the NDIA</w:t>
      </w:r>
      <w:r w:rsidR="00CC3457">
        <w:t xml:space="preserve"> is needed</w:t>
      </w:r>
      <w:r>
        <w:t xml:space="preserve"> to ensure they can realise the benefit of </w:t>
      </w:r>
      <w:r w:rsidR="00CC3457">
        <w:t xml:space="preserve">new </w:t>
      </w:r>
      <w:r>
        <w:t>flexible use of funding</w:t>
      </w:r>
      <w:r w:rsidR="00CC3457">
        <w:t xml:space="preserve"> policies</w:t>
      </w:r>
      <w:r>
        <w:t xml:space="preserve">. </w:t>
      </w:r>
      <w:r w:rsidR="008B06C4">
        <w:t xml:space="preserve">The delay in the implementation of the recommendations of the </w:t>
      </w:r>
      <w:r w:rsidR="008B06C4" w:rsidRPr="00FD2C89">
        <w:rPr>
          <w:i/>
        </w:rPr>
        <w:t>Tune Review</w:t>
      </w:r>
      <w:r w:rsidR="00AE6C7D">
        <w:rPr>
          <w:iCs/>
        </w:rPr>
        <w:t xml:space="preserve">, </w:t>
      </w:r>
      <w:r w:rsidR="00E655AC">
        <w:rPr>
          <w:rStyle w:val="FootnoteReference"/>
        </w:rPr>
        <w:footnoteReference w:id="7"/>
      </w:r>
      <w:r w:rsidR="00AE6C7D">
        <w:rPr>
          <w:iCs/>
        </w:rPr>
        <w:t xml:space="preserve"> which</w:t>
      </w:r>
      <w:r w:rsidR="00AE6C7D" w:rsidRPr="00AE6C7D">
        <w:t xml:space="preserve"> </w:t>
      </w:r>
      <w:r w:rsidR="00AE6C7D">
        <w:t xml:space="preserve">recommended important </w:t>
      </w:r>
      <w:r w:rsidR="005551D4">
        <w:t xml:space="preserve">NDIS </w:t>
      </w:r>
      <w:r w:rsidR="00AE6C7D">
        <w:t xml:space="preserve">changes </w:t>
      </w:r>
      <w:r w:rsidR="0085414A">
        <w:t xml:space="preserve">to </w:t>
      </w:r>
      <w:r w:rsidR="00AE6C7D">
        <w:t>make it more accessible and flexible</w:t>
      </w:r>
      <w:r w:rsidR="0085414A">
        <w:t>,</w:t>
      </w:r>
      <w:r w:rsidR="008B06C4">
        <w:t xml:space="preserve"> compounds the impacts of the pandemic.</w:t>
      </w:r>
    </w:p>
    <w:p w14:paraId="697AF18E" w14:textId="7FAB2648" w:rsidR="008B06C4" w:rsidRPr="008F1A70" w:rsidRDefault="008B06C4" w:rsidP="008B06C4">
      <w:pPr>
        <w:pStyle w:val="Normaloutlinebox"/>
        <w:rPr>
          <w:b/>
          <w:bCs/>
          <w:color w:val="009BCD"/>
        </w:rPr>
      </w:pPr>
      <w:r w:rsidRPr="008F1A70">
        <w:rPr>
          <w:b/>
          <w:bCs/>
          <w:color w:val="009BCD"/>
        </w:rPr>
        <w:t xml:space="preserve">Recommendation </w:t>
      </w:r>
      <w:r w:rsidR="003A1DED">
        <w:rPr>
          <w:b/>
          <w:bCs/>
          <w:color w:val="009BCD"/>
        </w:rPr>
        <w:t>3</w:t>
      </w:r>
    </w:p>
    <w:p w14:paraId="03562763" w14:textId="32868498" w:rsidR="008B06C4" w:rsidRDefault="008B06C4" w:rsidP="008B06C4">
      <w:pPr>
        <w:pStyle w:val="Normaloutlinebox"/>
      </w:pPr>
      <w:r>
        <w:t>The Australian Government should</w:t>
      </w:r>
      <w:r w:rsidR="003D6C49">
        <w:t>:</w:t>
      </w:r>
    </w:p>
    <w:p w14:paraId="0B722B5D" w14:textId="23C6840B" w:rsidR="00C909D8" w:rsidRDefault="003D6C49" w:rsidP="00D502C3">
      <w:pPr>
        <w:pStyle w:val="Normaloutlinebox"/>
        <w:numPr>
          <w:ilvl w:val="0"/>
          <w:numId w:val="13"/>
        </w:numPr>
      </w:pPr>
      <w:r>
        <w:t>Increase</w:t>
      </w:r>
      <w:r w:rsidR="00553996">
        <w:t xml:space="preserve"> further</w:t>
      </w:r>
      <w:r>
        <w:t xml:space="preserve"> flexibility in how NDIS funding can be used</w:t>
      </w:r>
      <w:r w:rsidR="00552BAE">
        <w:t xml:space="preserve">, including clear communication </w:t>
      </w:r>
      <w:r w:rsidR="0013117E">
        <w:t xml:space="preserve">about how NDIS supports can be accessed </w:t>
      </w:r>
      <w:r w:rsidR="00947768">
        <w:t xml:space="preserve">for urgent </w:t>
      </w:r>
      <w:r w:rsidR="00B66A01">
        <w:t xml:space="preserve">support needs </w:t>
      </w:r>
      <w:r w:rsidR="00BD3C65">
        <w:t>during COVID-19</w:t>
      </w:r>
    </w:p>
    <w:p w14:paraId="6AFAF866" w14:textId="3EC3509E" w:rsidR="00C909D8" w:rsidRDefault="00C909D8" w:rsidP="00D502C3">
      <w:pPr>
        <w:pStyle w:val="Normaloutlinebox"/>
        <w:numPr>
          <w:ilvl w:val="0"/>
          <w:numId w:val="13"/>
        </w:numPr>
      </w:pPr>
      <w:r>
        <w:t>I</w:t>
      </w:r>
      <w:r w:rsidR="00553996">
        <w:t>mprove</w:t>
      </w:r>
      <w:r>
        <w:t xml:space="preserve"> responsiveness and timeliness of</w:t>
      </w:r>
      <w:r w:rsidR="003D6C49">
        <w:t xml:space="preserve"> NDIA processes</w:t>
      </w:r>
      <w:r w:rsidR="00895448">
        <w:t xml:space="preserve"> </w:t>
      </w:r>
      <w:r w:rsidR="00553996">
        <w:t xml:space="preserve">by introducing </w:t>
      </w:r>
      <w:r w:rsidR="00143156">
        <w:t xml:space="preserve">temporary fast track mechanisms and bringing forward </w:t>
      </w:r>
      <w:r w:rsidR="00553996">
        <w:t xml:space="preserve">the implementation of the </w:t>
      </w:r>
      <w:r w:rsidR="00553996">
        <w:rPr>
          <w:i/>
          <w:iCs/>
        </w:rPr>
        <w:t xml:space="preserve">Tune Review </w:t>
      </w:r>
      <w:r w:rsidR="00553996">
        <w:t>recommendations</w:t>
      </w:r>
      <w:r w:rsidR="006871C8">
        <w:t>, and</w:t>
      </w:r>
    </w:p>
    <w:p w14:paraId="76CB1922" w14:textId="079B9034" w:rsidR="00C909D8" w:rsidRDefault="006D6E67" w:rsidP="00D502C3">
      <w:pPr>
        <w:pStyle w:val="Normaloutlinebox"/>
        <w:numPr>
          <w:ilvl w:val="0"/>
          <w:numId w:val="13"/>
        </w:numPr>
      </w:pPr>
      <w:r>
        <w:rPr>
          <w:lang w:eastAsia="en-GB"/>
        </w:rPr>
        <w:t>W</w:t>
      </w:r>
      <w:r w:rsidR="009C50DC">
        <w:rPr>
          <w:lang w:eastAsia="en-GB"/>
        </w:rPr>
        <w:t>ork with state and territory governments to ensure there is a service safety net where the NDIS market fails and market intervention is required</w:t>
      </w:r>
      <w:r w:rsidR="3FEE8C7E" w:rsidRPr="17859924">
        <w:rPr>
          <w:lang w:eastAsia="en-GB"/>
        </w:rPr>
        <w:t>,</w:t>
      </w:r>
    </w:p>
    <w:p w14:paraId="6D997CDA" w14:textId="39185D96" w:rsidR="003D6C49" w:rsidRPr="008B06C4" w:rsidRDefault="003D6C49" w:rsidP="00C909D8">
      <w:pPr>
        <w:pStyle w:val="Normaloutlinebox"/>
      </w:pPr>
      <w:r>
        <w:t xml:space="preserve">to ensure </w:t>
      </w:r>
      <w:r w:rsidR="00E639E2">
        <w:t>people with disability can continue to access reasonable and necessary supports during COVID</w:t>
      </w:r>
      <w:r w:rsidR="00C909D8">
        <w:t>-19.</w:t>
      </w:r>
    </w:p>
    <w:p w14:paraId="4358B1DF" w14:textId="7521FC04" w:rsidR="00775B8F" w:rsidRDefault="00775B8F" w:rsidP="00D502C3">
      <w:pPr>
        <w:pStyle w:val="Heading2"/>
        <w:numPr>
          <w:ilvl w:val="0"/>
          <w:numId w:val="10"/>
        </w:numPr>
      </w:pPr>
      <w:bookmarkStart w:id="23" w:name="_Toc41659781"/>
      <w:r>
        <w:t>Migration</w:t>
      </w:r>
      <w:bookmarkEnd w:id="23"/>
    </w:p>
    <w:p w14:paraId="6BC61097" w14:textId="00D24F09" w:rsidR="00544D26" w:rsidRDefault="003E10D0" w:rsidP="003E10D0">
      <w:pPr>
        <w:rPr>
          <w:rStyle w:val="normaltextrun1"/>
          <w:rFonts w:cs="Arial"/>
          <w:szCs w:val="22"/>
        </w:rPr>
      </w:pPr>
      <w:r>
        <w:rPr>
          <w:rStyle w:val="normaltextrun1"/>
          <w:rFonts w:cs="Arial"/>
          <w:szCs w:val="22"/>
        </w:rPr>
        <w:t xml:space="preserve">VLA’s Migration Program provides </w:t>
      </w:r>
      <w:r w:rsidR="00594983">
        <w:rPr>
          <w:rStyle w:val="normaltextrun1"/>
          <w:rFonts w:cs="Arial"/>
          <w:szCs w:val="22"/>
        </w:rPr>
        <w:t>information,</w:t>
      </w:r>
      <w:r w:rsidR="00EE732E">
        <w:rPr>
          <w:rStyle w:val="FootnoteReference"/>
          <w:rFonts w:cs="Arial"/>
          <w:szCs w:val="22"/>
        </w:rPr>
        <w:footnoteReference w:id="8"/>
      </w:r>
      <w:r w:rsidR="00594983">
        <w:rPr>
          <w:rStyle w:val="normaltextrun1"/>
          <w:rFonts w:cs="Arial"/>
          <w:szCs w:val="22"/>
        </w:rPr>
        <w:t xml:space="preserve"> </w:t>
      </w:r>
      <w:r>
        <w:rPr>
          <w:rStyle w:val="normaltextrun1"/>
          <w:rFonts w:cs="Arial"/>
          <w:szCs w:val="22"/>
        </w:rPr>
        <w:t>advice and assistance to asylum seekers and other vulnerable non-citizens in the Federal Court system. Demand for migration services has remained steady since the outbreak of COVID-19.</w:t>
      </w:r>
    </w:p>
    <w:p w14:paraId="5ED0E7A7" w14:textId="70618BB1" w:rsidR="00544D26" w:rsidRDefault="006871C8" w:rsidP="003E10D0">
      <w:pPr>
        <w:rPr>
          <w:rStyle w:val="normaltextrun1"/>
          <w:rFonts w:cs="Arial"/>
          <w:szCs w:val="22"/>
        </w:rPr>
      </w:pPr>
      <w:r>
        <w:rPr>
          <w:rStyle w:val="normaltextrun1"/>
          <w:rFonts w:cs="Arial"/>
          <w:szCs w:val="22"/>
        </w:rPr>
        <w:t>VLA clients have reported increases in their levels of</w:t>
      </w:r>
      <w:r w:rsidR="003E10D0">
        <w:rPr>
          <w:rStyle w:val="normaltextrun1"/>
          <w:rFonts w:cs="Arial"/>
          <w:szCs w:val="22"/>
        </w:rPr>
        <w:t xml:space="preserve"> anxiety and confusion about COVID-19 processes implemented by court and tribunal registries</w:t>
      </w:r>
      <w:r w:rsidR="00544D26">
        <w:rPr>
          <w:rStyle w:val="normaltextrun1"/>
          <w:rFonts w:cs="Arial"/>
          <w:szCs w:val="22"/>
        </w:rPr>
        <w:t>:</w:t>
      </w:r>
    </w:p>
    <w:p w14:paraId="3199A877" w14:textId="5AB8C6E6" w:rsidR="00544D26" w:rsidRPr="00544D26" w:rsidRDefault="003E10D0" w:rsidP="00544D26">
      <w:pPr>
        <w:pStyle w:val="Listbulletcoloured"/>
        <w:rPr>
          <w:rStyle w:val="eop"/>
          <w:rFonts w:cs="Arial"/>
          <w:szCs w:val="22"/>
        </w:rPr>
      </w:pPr>
      <w:r w:rsidRPr="00544D26">
        <w:rPr>
          <w:rStyle w:val="normaltextrun1"/>
          <w:rFonts w:cs="Arial"/>
          <w:szCs w:val="22"/>
        </w:rPr>
        <w:lastRenderedPageBreak/>
        <w:t>Our clients in the community are experiencing income and job loss, housing insecurity, and distress caused by physical distancing and social isolation. These issues are often exacerbated by the fact that many have limited community connections and are ineligible for a wide range of financial and social supports (e.g. Centrelink, Medicare).</w:t>
      </w:r>
      <w:r w:rsidRPr="00544D26">
        <w:rPr>
          <w:rStyle w:val="eop"/>
          <w:rFonts w:cs="Arial"/>
          <w:szCs w:val="22"/>
          <w:lang w:val="en-US"/>
        </w:rPr>
        <w:t> </w:t>
      </w:r>
    </w:p>
    <w:p w14:paraId="62724812" w14:textId="77777777" w:rsidR="006D5507" w:rsidRPr="006D5507" w:rsidRDefault="003E10D0" w:rsidP="00544D26">
      <w:pPr>
        <w:pStyle w:val="Listbulletcoloured"/>
        <w:rPr>
          <w:rStyle w:val="eop"/>
        </w:rPr>
      </w:pPr>
      <w:r w:rsidRPr="00544D26">
        <w:rPr>
          <w:rStyle w:val="eop"/>
          <w:rFonts w:cs="Arial"/>
          <w:szCs w:val="22"/>
          <w:lang w:val="en-US"/>
        </w:rPr>
        <w:t>Our clients in</w:t>
      </w:r>
      <w:r w:rsidR="00544D26">
        <w:rPr>
          <w:rStyle w:val="eop"/>
          <w:rFonts w:cs="Arial"/>
          <w:szCs w:val="22"/>
          <w:lang w:val="en-US"/>
        </w:rPr>
        <w:t xml:space="preserve"> </w:t>
      </w:r>
      <w:r w:rsidR="00544D26" w:rsidRPr="00544D26">
        <w:rPr>
          <w:rStyle w:val="eop"/>
          <w:rFonts w:cs="Arial"/>
          <w:szCs w:val="22"/>
          <w:lang w:val="en-US"/>
        </w:rPr>
        <w:t>immigration</w:t>
      </w:r>
      <w:r w:rsidRPr="00544D26">
        <w:rPr>
          <w:rStyle w:val="eop"/>
          <w:rFonts w:cs="Arial"/>
          <w:szCs w:val="22"/>
          <w:lang w:val="en-US"/>
        </w:rPr>
        <w:t xml:space="preserve"> detention are experiencing significant additional psychological distress by the fact of their detention in conditions that impede their ability to practice social distancing, because of the known heightened risk of infection to those in institutional settings and in light of usual support avenues having been cut off to prevent the introduction of the virus.</w:t>
      </w:r>
    </w:p>
    <w:p w14:paraId="1DAB5226" w14:textId="77777777" w:rsidR="003A016B" w:rsidRPr="003A016B" w:rsidRDefault="003A016B" w:rsidP="00147A15">
      <w:pPr>
        <w:pStyle w:val="Heading3"/>
        <w:numPr>
          <w:ilvl w:val="0"/>
          <w:numId w:val="29"/>
        </w:numPr>
        <w:rPr>
          <w:rStyle w:val="eop"/>
        </w:rPr>
      </w:pPr>
      <w:bookmarkStart w:id="24" w:name="_Toc41659782"/>
      <w:r w:rsidRPr="003A016B">
        <w:rPr>
          <w:rStyle w:val="eop"/>
        </w:rPr>
        <w:t>Unsafe conditions in immigration detention</w:t>
      </w:r>
      <w:bookmarkEnd w:id="24"/>
      <w:r w:rsidRPr="003A016B">
        <w:rPr>
          <w:rStyle w:val="eop"/>
        </w:rPr>
        <w:t xml:space="preserve"> </w:t>
      </w:r>
    </w:p>
    <w:p w14:paraId="6A1AB84A" w14:textId="0A303182" w:rsidR="00506012" w:rsidRDefault="00506012" w:rsidP="00506012">
      <w:pPr>
        <w:rPr>
          <w:lang w:val="en-US"/>
        </w:rPr>
      </w:pPr>
      <w:r w:rsidRPr="5DB85FCD">
        <w:rPr>
          <w:rStyle w:val="normaltextrun1"/>
          <w:rFonts w:cs="Arial"/>
        </w:rPr>
        <w:t>VLA represents approximately 70 people in immigration detention centres, including a sizable proportion in the Melbourne Immigration Transit Accommodation. Since COVID-19, we have received an increased number of calls from this client group expressing a high level of anxiety and frustration. Some clients have expressed suicidal ideation and we have at least one client who has been hospitalised following an attempted suicide</w:t>
      </w:r>
      <w:r w:rsidR="3B935C38" w:rsidRPr="5DB85FCD">
        <w:rPr>
          <w:rStyle w:val="normaltextrun1"/>
          <w:rFonts w:cs="Arial"/>
        </w:rPr>
        <w:t>.</w:t>
      </w:r>
      <w:r w:rsidRPr="5DB85FCD">
        <w:rPr>
          <w:rStyle w:val="normaltextrun1"/>
          <w:rFonts w:cs="Arial"/>
        </w:rPr>
        <w:t xml:space="preserve"> </w:t>
      </w:r>
    </w:p>
    <w:p w14:paraId="5629DAE1" w14:textId="08AB1AD1" w:rsidR="00506012" w:rsidRDefault="00506012" w:rsidP="00506012">
      <w:pPr>
        <w:rPr>
          <w:lang w:val="en-US"/>
        </w:rPr>
      </w:pPr>
      <w:r>
        <w:rPr>
          <w:rStyle w:val="normaltextrun1"/>
          <w:rFonts w:cs="Arial"/>
          <w:szCs w:val="22"/>
        </w:rPr>
        <w:t xml:space="preserve">The Australian Government has </w:t>
      </w:r>
      <w:r w:rsidR="00222D0C">
        <w:rPr>
          <w:rStyle w:val="normaltextrun1"/>
          <w:rFonts w:cs="Arial"/>
          <w:szCs w:val="22"/>
        </w:rPr>
        <w:t xml:space="preserve">itself </w:t>
      </w:r>
      <w:r>
        <w:rPr>
          <w:rStyle w:val="normaltextrun1"/>
          <w:rFonts w:cs="Arial"/>
          <w:szCs w:val="22"/>
        </w:rPr>
        <w:t xml:space="preserve">confirmed that people in </w:t>
      </w:r>
      <w:r w:rsidR="00222D0C">
        <w:rPr>
          <w:rStyle w:val="normaltextrun1"/>
          <w:rFonts w:cs="Arial"/>
          <w:szCs w:val="22"/>
        </w:rPr>
        <w:t xml:space="preserve">immigration </w:t>
      </w:r>
      <w:r>
        <w:rPr>
          <w:rStyle w:val="normaltextrun1"/>
          <w:rFonts w:cs="Arial"/>
          <w:szCs w:val="22"/>
        </w:rPr>
        <w:t>detention facilities are among those most at risk of serious infection related to COVID-19</w:t>
      </w:r>
      <w:r w:rsidR="00222D0C">
        <w:rPr>
          <w:rStyle w:val="normaltextrun1"/>
          <w:rFonts w:cs="Arial"/>
          <w:szCs w:val="22"/>
        </w:rPr>
        <w:t>.</w:t>
      </w:r>
      <w:r w:rsidR="00222D0C">
        <w:rPr>
          <w:rStyle w:val="FootnoteReference"/>
          <w:rFonts w:cs="Arial"/>
          <w:szCs w:val="22"/>
        </w:rPr>
        <w:footnoteReference w:id="9"/>
      </w:r>
      <w:r>
        <w:rPr>
          <w:rStyle w:val="normaltextrun1"/>
          <w:rFonts w:cs="Arial"/>
          <w:szCs w:val="22"/>
        </w:rPr>
        <w:t xml:space="preserve"> </w:t>
      </w:r>
      <w:r w:rsidR="00222D0C">
        <w:rPr>
          <w:rStyle w:val="normaltextrun1"/>
          <w:rFonts w:cs="Arial"/>
          <w:szCs w:val="22"/>
        </w:rPr>
        <w:t>While in immigration detention, o</w:t>
      </w:r>
      <w:r w:rsidRPr="00F21338">
        <w:rPr>
          <w:rStyle w:val="normaltextrun1"/>
          <w:rFonts w:cs="Arial"/>
          <w:szCs w:val="22"/>
        </w:rPr>
        <w:t xml:space="preserve">ur clients are unable to </w:t>
      </w:r>
      <w:r w:rsidRPr="005D1A78">
        <w:rPr>
          <w:rStyle w:val="normaltextrun1"/>
          <w:rFonts w:cs="Arial"/>
          <w:szCs w:val="22"/>
        </w:rPr>
        <w:t>c</w:t>
      </w:r>
      <w:r>
        <w:rPr>
          <w:rStyle w:val="normaltextrun1"/>
          <w:rFonts w:cs="Arial"/>
          <w:szCs w:val="22"/>
        </w:rPr>
        <w:t>omply with physical distancing guidelines. Some issues include:</w:t>
      </w:r>
      <w:r>
        <w:rPr>
          <w:rStyle w:val="eop"/>
          <w:rFonts w:cs="Arial"/>
          <w:szCs w:val="22"/>
          <w:lang w:val="en-US"/>
        </w:rPr>
        <w:t> </w:t>
      </w:r>
    </w:p>
    <w:p w14:paraId="1EBED5CA" w14:textId="7B5F7562" w:rsidR="00506012" w:rsidRDefault="00506012" w:rsidP="00506012">
      <w:pPr>
        <w:pStyle w:val="Listbulletcoloured"/>
        <w:rPr>
          <w:lang w:val="en-US"/>
        </w:rPr>
      </w:pPr>
      <w:r>
        <w:rPr>
          <w:rStyle w:val="normaltextrun1"/>
          <w:rFonts w:cs="Arial"/>
          <w:szCs w:val="22"/>
        </w:rPr>
        <w:t xml:space="preserve">Shared rooms of up to six people, with insufficient space to physically </w:t>
      </w:r>
      <w:r>
        <w:rPr>
          <w:rStyle w:val="contextualspellingandgrammarerror"/>
          <w:rFonts w:cs="Arial"/>
          <w:szCs w:val="22"/>
        </w:rPr>
        <w:t>distance</w:t>
      </w:r>
    </w:p>
    <w:p w14:paraId="1A1C5704" w14:textId="33C1726A" w:rsidR="00506012" w:rsidRDefault="00506012" w:rsidP="00506012">
      <w:pPr>
        <w:pStyle w:val="Listbulletcoloured"/>
        <w:rPr>
          <w:lang w:val="en-US"/>
        </w:rPr>
      </w:pPr>
      <w:r>
        <w:rPr>
          <w:rStyle w:val="normaltextrun1"/>
          <w:rFonts w:cs="Arial"/>
          <w:szCs w:val="22"/>
        </w:rPr>
        <w:t xml:space="preserve">Crowded meal </w:t>
      </w:r>
      <w:r>
        <w:rPr>
          <w:rStyle w:val="contextualspellingandgrammarerror"/>
          <w:rFonts w:cs="Arial"/>
          <w:szCs w:val="22"/>
        </w:rPr>
        <w:t>areas</w:t>
      </w:r>
    </w:p>
    <w:p w14:paraId="4C42E382" w14:textId="1F4F0AB3" w:rsidR="00506012" w:rsidRPr="00506012" w:rsidRDefault="00506012" w:rsidP="00506012">
      <w:pPr>
        <w:pStyle w:val="Listbulletcoloured"/>
        <w:rPr>
          <w:lang w:val="en-US"/>
        </w:rPr>
      </w:pPr>
      <w:r>
        <w:rPr>
          <w:rStyle w:val="normaltextrun1"/>
          <w:rFonts w:cs="Arial"/>
          <w:szCs w:val="22"/>
        </w:rPr>
        <w:t>Lack of easily accessible hand sanitiser or personal protective equipment</w:t>
      </w:r>
      <w:r w:rsidR="006871C8">
        <w:rPr>
          <w:rStyle w:val="normaltextrun1"/>
          <w:rFonts w:cs="Arial"/>
          <w:szCs w:val="22"/>
        </w:rPr>
        <w:t>, and</w:t>
      </w:r>
    </w:p>
    <w:p w14:paraId="3D1ECEC3" w14:textId="10060097" w:rsidR="00506012" w:rsidRPr="00506012" w:rsidRDefault="00506012" w:rsidP="00506012">
      <w:pPr>
        <w:pStyle w:val="Listbulletcoloured"/>
        <w:rPr>
          <w:rStyle w:val="eop"/>
          <w:rFonts w:cs="Arial"/>
          <w:szCs w:val="22"/>
          <w:lang w:val="en-US"/>
        </w:rPr>
      </w:pPr>
      <w:r w:rsidRPr="00506012">
        <w:rPr>
          <w:rStyle w:val="normaltextrun1"/>
          <w:rFonts w:cs="Arial"/>
          <w:szCs w:val="22"/>
        </w:rPr>
        <w:t>Guards not wearing</w:t>
      </w:r>
      <w:r>
        <w:rPr>
          <w:rStyle w:val="normaltextrun1"/>
          <w:rFonts w:cs="Arial"/>
          <w:szCs w:val="22"/>
        </w:rPr>
        <w:t xml:space="preserve"> personal protective equipment</w:t>
      </w:r>
      <w:r w:rsidRPr="00506012">
        <w:rPr>
          <w:rStyle w:val="normaltextrun1"/>
          <w:rFonts w:cs="Arial"/>
          <w:szCs w:val="22"/>
        </w:rPr>
        <w:t xml:space="preserve"> (including gloves and masks</w:t>
      </w:r>
      <w:r w:rsidRPr="00506012">
        <w:rPr>
          <w:rStyle w:val="contextualspellingandgrammarerror"/>
          <w:rFonts w:cs="Arial"/>
          <w:szCs w:val="22"/>
        </w:rPr>
        <w:t>)</w:t>
      </w:r>
      <w:r w:rsidR="00222D0C">
        <w:rPr>
          <w:rStyle w:val="contextualspellingandgrammarerror"/>
          <w:rFonts w:cs="Arial"/>
          <w:szCs w:val="22"/>
        </w:rPr>
        <w:t>.</w:t>
      </w:r>
    </w:p>
    <w:p w14:paraId="2741374A" w14:textId="63A097AD" w:rsidR="00506012" w:rsidRDefault="00506012" w:rsidP="00506012">
      <w:pPr>
        <w:rPr>
          <w:lang w:val="en-US"/>
        </w:rPr>
      </w:pPr>
      <w:r w:rsidRPr="5DB85FCD">
        <w:rPr>
          <w:rStyle w:val="normaltextrun1"/>
          <w:rFonts w:cs="Arial"/>
        </w:rPr>
        <w:t xml:space="preserve">Our clients are experiencing increased isolation as a number of external support services are suspended. </w:t>
      </w:r>
      <w:r w:rsidR="00222D0C" w:rsidRPr="5DB85FCD">
        <w:rPr>
          <w:rStyle w:val="normaltextrun1"/>
          <w:rFonts w:cs="Arial"/>
        </w:rPr>
        <w:t>Our c</w:t>
      </w:r>
      <w:r w:rsidRPr="5DB85FCD">
        <w:rPr>
          <w:rStyle w:val="normaltextrun1"/>
          <w:rFonts w:cs="Arial"/>
        </w:rPr>
        <w:t xml:space="preserve">lients have reported that external counselling services have been suspended, as have religious services and all visits from family and friends. </w:t>
      </w:r>
      <w:r w:rsidR="00222D0C" w:rsidRPr="5DB85FCD">
        <w:rPr>
          <w:rStyle w:val="normaltextrun1"/>
          <w:rFonts w:cs="Arial"/>
        </w:rPr>
        <w:t>This</w:t>
      </w:r>
      <w:r w:rsidRPr="5DB85FCD">
        <w:rPr>
          <w:rStyle w:val="normaltextrun1"/>
          <w:rFonts w:cs="Arial"/>
        </w:rPr>
        <w:t xml:space="preserve"> is having a significant impact on the mental health of </w:t>
      </w:r>
      <w:r w:rsidR="00222D0C" w:rsidRPr="5DB85FCD">
        <w:rPr>
          <w:rStyle w:val="normaltextrun1"/>
          <w:rFonts w:cs="Arial"/>
        </w:rPr>
        <w:t xml:space="preserve">VLA’s </w:t>
      </w:r>
      <w:r w:rsidRPr="5DB85FCD">
        <w:rPr>
          <w:rStyle w:val="normaltextrun1"/>
          <w:rFonts w:cs="Arial"/>
        </w:rPr>
        <w:t>clients</w:t>
      </w:r>
      <w:r w:rsidR="00222D0C" w:rsidRPr="5DB85FCD">
        <w:rPr>
          <w:rStyle w:val="normaltextrun1"/>
          <w:rFonts w:cs="Arial"/>
        </w:rPr>
        <w:t xml:space="preserve"> during COVID-19, at the same time as their legal matters face delays through the courts.</w:t>
      </w:r>
    </w:p>
    <w:p w14:paraId="7BD208DB" w14:textId="5DF2BDCA" w:rsidR="00506012" w:rsidRDefault="00506012" w:rsidP="00506012">
      <w:pPr>
        <w:rPr>
          <w:rStyle w:val="eop"/>
          <w:rFonts w:cs="Arial"/>
          <w:szCs w:val="22"/>
          <w:lang w:val="en-US"/>
        </w:rPr>
      </w:pPr>
      <w:r>
        <w:rPr>
          <w:rStyle w:val="normaltextrun1"/>
          <w:rFonts w:cs="Arial"/>
          <w:szCs w:val="22"/>
        </w:rPr>
        <w:t xml:space="preserve">VLA has been advocating for the release of individual clients from detention, particularly </w:t>
      </w:r>
      <w:r w:rsidR="00222D0C">
        <w:rPr>
          <w:rStyle w:val="normaltextrun1"/>
          <w:rFonts w:cs="Arial"/>
          <w:szCs w:val="22"/>
        </w:rPr>
        <w:t>people with</w:t>
      </w:r>
      <w:r>
        <w:rPr>
          <w:rStyle w:val="normaltextrun1"/>
          <w:rFonts w:cs="Arial"/>
          <w:szCs w:val="22"/>
        </w:rPr>
        <w:t xml:space="preserve"> a pre-existing health condition and/or where it is accepted that continued detention is not for a protective purpose. </w:t>
      </w:r>
      <w:r w:rsidR="003B6480">
        <w:rPr>
          <w:rStyle w:val="normaltextrun1"/>
          <w:rFonts w:cs="Arial"/>
          <w:szCs w:val="22"/>
        </w:rPr>
        <w:t>Chetan’s story highlights the heightened risk for VLA clients experiencing serious mental health issues, and with health conditions which heighten the risk of complications if they contract COVID-19 in immigration detention.</w:t>
      </w:r>
    </w:p>
    <w:p w14:paraId="64A014C1" w14:textId="0BAC6144" w:rsidR="003769A3" w:rsidRPr="00147A15" w:rsidRDefault="00D16D28" w:rsidP="003769A3">
      <w:pPr>
        <w:pStyle w:val="Normalshadedbox"/>
        <w:rPr>
          <w:rStyle w:val="eop"/>
          <w:rFonts w:cs="Arial"/>
          <w:b/>
          <w:bCs/>
          <w:i/>
          <w:iCs/>
          <w:szCs w:val="22"/>
          <w:lang w:val="en-US"/>
        </w:rPr>
      </w:pPr>
      <w:r w:rsidRPr="00147A15">
        <w:rPr>
          <w:rStyle w:val="eop"/>
          <w:rFonts w:cs="Arial"/>
          <w:b/>
          <w:bCs/>
          <w:i/>
          <w:iCs/>
          <w:szCs w:val="22"/>
          <w:lang w:val="en-US"/>
        </w:rPr>
        <w:t>Chetan’s story</w:t>
      </w:r>
      <w:r w:rsidR="00147A15" w:rsidRPr="00147A15">
        <w:rPr>
          <w:rStyle w:val="eop"/>
          <w:rFonts w:cs="Arial"/>
          <w:b/>
          <w:bCs/>
          <w:i/>
          <w:iCs/>
          <w:szCs w:val="22"/>
          <w:lang w:val="en-US"/>
        </w:rPr>
        <w:t xml:space="preserve"> – More than 10 years in immigration detention</w:t>
      </w:r>
    </w:p>
    <w:p w14:paraId="73496892" w14:textId="77777777" w:rsidR="006031ED" w:rsidRPr="006031ED" w:rsidRDefault="003B6480" w:rsidP="006031ED">
      <w:pPr>
        <w:pStyle w:val="Normalshadedbox"/>
        <w:rPr>
          <w:rStyle w:val="eop"/>
          <w:rFonts w:cs="Arial"/>
          <w:szCs w:val="22"/>
          <w:lang w:val="en-US"/>
        </w:rPr>
      </w:pPr>
      <w:r>
        <w:rPr>
          <w:rStyle w:val="eop"/>
          <w:rFonts w:cs="Arial"/>
          <w:szCs w:val="22"/>
          <w:lang w:val="en-US"/>
        </w:rPr>
        <w:t>Chetan</w:t>
      </w:r>
      <w:r w:rsidR="00147A15">
        <w:rPr>
          <w:rStyle w:val="FootnoteReference"/>
          <w:rFonts w:cs="Arial"/>
          <w:szCs w:val="22"/>
          <w:lang w:val="en-US"/>
        </w:rPr>
        <w:footnoteReference w:id="10"/>
      </w:r>
      <w:r>
        <w:rPr>
          <w:rStyle w:val="eop"/>
          <w:rFonts w:cs="Arial"/>
          <w:szCs w:val="22"/>
          <w:lang w:val="en-US"/>
        </w:rPr>
        <w:t xml:space="preserve"> </w:t>
      </w:r>
      <w:r w:rsidR="006031ED" w:rsidRPr="006031ED">
        <w:rPr>
          <w:rStyle w:val="eop"/>
          <w:rFonts w:cs="Arial"/>
          <w:szCs w:val="22"/>
          <w:lang w:val="en-US"/>
        </w:rPr>
        <w:t xml:space="preserve">fled his home to escape persecution by state authorities.  He arrived in Australia by boat in 2009 and was detained.  He has been detained in immigration detention ever </w:t>
      </w:r>
      <w:r w:rsidR="006031ED" w:rsidRPr="006031ED">
        <w:rPr>
          <w:rStyle w:val="eop"/>
          <w:rFonts w:cs="Arial"/>
          <w:szCs w:val="22"/>
          <w:lang w:val="en-US"/>
        </w:rPr>
        <w:lastRenderedPageBreak/>
        <w:t xml:space="preserve">since – for more than 10 years. Chetan has been admitted to psychiatric facilities for acute mental health care twice during this time. </w:t>
      </w:r>
    </w:p>
    <w:p w14:paraId="71C0AAC9" w14:textId="17722117" w:rsidR="006031ED" w:rsidRPr="006031ED" w:rsidRDefault="006031ED" w:rsidP="006031ED">
      <w:pPr>
        <w:pStyle w:val="Normalshadedbox"/>
        <w:rPr>
          <w:rStyle w:val="eop"/>
          <w:rFonts w:cs="Arial"/>
          <w:szCs w:val="22"/>
          <w:lang w:val="en-US"/>
        </w:rPr>
      </w:pPr>
      <w:r w:rsidRPr="006031ED">
        <w:rPr>
          <w:rStyle w:val="eop"/>
          <w:rFonts w:cs="Arial"/>
          <w:szCs w:val="22"/>
          <w:lang w:val="en-US"/>
        </w:rPr>
        <w:t xml:space="preserve">6 years ago, an International Treaties Obligation Assessment found that Chetan was owed non-refoulement obligations by Australia. A delegate of the Minister has subsequently also found him to be a refugee.  ASIO has confirmed there are no security reasons preventing the Australian </w:t>
      </w:r>
      <w:r w:rsidR="00B4309C">
        <w:rPr>
          <w:rStyle w:val="eop"/>
          <w:rFonts w:cs="Arial"/>
          <w:szCs w:val="22"/>
          <w:lang w:val="en-US"/>
        </w:rPr>
        <w:t>G</w:t>
      </w:r>
      <w:r w:rsidRPr="006031ED">
        <w:rPr>
          <w:rStyle w:val="eop"/>
          <w:rFonts w:cs="Arial"/>
          <w:szCs w:val="22"/>
          <w:lang w:val="en-US"/>
        </w:rPr>
        <w:t>overnment granting Chetan a visa, and the Minister for Immigration has personally accepted that Chetan poses no risk to the Australian community.</w:t>
      </w:r>
    </w:p>
    <w:p w14:paraId="3F7DEEF1" w14:textId="77777777" w:rsidR="006031ED" w:rsidRPr="006031ED" w:rsidRDefault="006031ED" w:rsidP="006031ED">
      <w:pPr>
        <w:pStyle w:val="Normalshadedbox"/>
        <w:rPr>
          <w:rStyle w:val="eop"/>
          <w:rFonts w:cs="Arial"/>
          <w:szCs w:val="22"/>
          <w:lang w:val="en-US"/>
        </w:rPr>
      </w:pPr>
      <w:r w:rsidRPr="006031ED">
        <w:rPr>
          <w:rStyle w:val="eop"/>
          <w:rFonts w:cs="Arial"/>
          <w:szCs w:val="22"/>
          <w:lang w:val="en-US"/>
        </w:rPr>
        <w:t>Despite these findings, Chetan has been refused a protection visa, and he remains in detention.</w:t>
      </w:r>
    </w:p>
    <w:p w14:paraId="7452D5A2" w14:textId="479040EB" w:rsidR="006031ED" w:rsidRDefault="006031ED" w:rsidP="006031ED">
      <w:pPr>
        <w:pStyle w:val="Normalshadedbox"/>
        <w:rPr>
          <w:rStyle w:val="eop"/>
          <w:rFonts w:cs="Arial"/>
          <w:szCs w:val="22"/>
          <w:lang w:val="en-US"/>
        </w:rPr>
      </w:pPr>
      <w:r w:rsidRPr="006031ED">
        <w:rPr>
          <w:rStyle w:val="eop"/>
          <w:rFonts w:cs="Arial"/>
          <w:szCs w:val="22"/>
          <w:lang w:val="en-US"/>
        </w:rPr>
        <w:t>The Commonwealth Ombudsman has made periodic reports to the Australian Parliament pursuant to s</w:t>
      </w:r>
      <w:r w:rsidR="00D8532D">
        <w:rPr>
          <w:rStyle w:val="eop"/>
          <w:rFonts w:cs="Arial"/>
          <w:szCs w:val="22"/>
          <w:lang w:val="en-US"/>
        </w:rPr>
        <w:t>ection</w:t>
      </w:r>
      <w:r w:rsidRPr="006031ED">
        <w:rPr>
          <w:rStyle w:val="eop"/>
          <w:rFonts w:cs="Arial"/>
          <w:szCs w:val="22"/>
          <w:lang w:val="en-US"/>
        </w:rPr>
        <w:t xml:space="preserve"> 486O of the Migration Act, noting the serious mental health consequences of prolonged detention. The Ombudsman has requested that Chetan’s case be expedited and that the Australian Government consider releasing him into the community. During this time, multiple requests have also been made to the Minister to exercise his personal non-compellable power to release Chetan from detention. All have been refused.</w:t>
      </w:r>
    </w:p>
    <w:p w14:paraId="7334D133" w14:textId="0EBA8F9B" w:rsidR="003769A3" w:rsidRDefault="006031ED" w:rsidP="006031ED">
      <w:pPr>
        <w:pStyle w:val="Normalshadedbox"/>
        <w:rPr>
          <w:rStyle w:val="eop"/>
          <w:rFonts w:cs="Arial"/>
          <w:szCs w:val="22"/>
          <w:lang w:val="en-US"/>
        </w:rPr>
      </w:pPr>
      <w:r w:rsidRPr="006031ED">
        <w:rPr>
          <w:rStyle w:val="eop"/>
          <w:rFonts w:cs="Arial"/>
          <w:szCs w:val="22"/>
          <w:lang w:val="en-US"/>
        </w:rPr>
        <w:t xml:space="preserve">VLA has recently lodged a further request for the Minister to release Chetan in light of the evolving COVID-19 situation </w:t>
      </w:r>
      <w:r w:rsidR="00C46153">
        <w:rPr>
          <w:rStyle w:val="eop"/>
          <w:rFonts w:cs="Arial"/>
          <w:szCs w:val="22"/>
          <w:lang w:val="en-US"/>
        </w:rPr>
        <w:t xml:space="preserve">in </w:t>
      </w:r>
      <w:r w:rsidRPr="006031ED">
        <w:rPr>
          <w:rStyle w:val="eop"/>
          <w:rFonts w:cs="Arial"/>
          <w:szCs w:val="22"/>
          <w:lang w:val="en-US"/>
        </w:rPr>
        <w:t xml:space="preserve">immigration detention, and the heightened risk of harm he faces due to his poor mental health and the risk of him developing post-viral asthma (based on previous respiratory issues following illnesses). </w:t>
      </w:r>
      <w:r w:rsidR="003B6480">
        <w:rPr>
          <w:rStyle w:val="eop"/>
          <w:rFonts w:cs="Arial"/>
          <w:szCs w:val="22"/>
          <w:lang w:val="en-US"/>
        </w:rPr>
        <w:t xml:space="preserve">VLA is waiting to hear from the Minister about his decision in Chetan’s case, and for a number of other clients at high risk in immigration detention. </w:t>
      </w:r>
      <w:r>
        <w:rPr>
          <w:rStyle w:val="eop"/>
          <w:rFonts w:cs="Arial"/>
          <w:szCs w:val="22"/>
          <w:lang w:val="en-US"/>
        </w:rPr>
        <w:t>T</w:t>
      </w:r>
      <w:r w:rsidR="003B6480">
        <w:rPr>
          <w:rStyle w:val="eop"/>
          <w:rFonts w:cs="Arial"/>
          <w:szCs w:val="22"/>
          <w:lang w:val="en-US"/>
        </w:rPr>
        <w:t xml:space="preserve">here is no avenue to expedite the process for the Minister to use his non-compellable, discretionary power to </w:t>
      </w:r>
      <w:proofErr w:type="gramStart"/>
      <w:r w:rsidR="003B6480">
        <w:rPr>
          <w:rStyle w:val="eop"/>
          <w:rFonts w:cs="Arial"/>
          <w:szCs w:val="22"/>
          <w:lang w:val="en-US"/>
        </w:rPr>
        <w:t>make a decision</w:t>
      </w:r>
      <w:proofErr w:type="gramEnd"/>
      <w:r w:rsidR="003B6480">
        <w:rPr>
          <w:rStyle w:val="eop"/>
          <w:rFonts w:cs="Arial"/>
          <w:szCs w:val="22"/>
          <w:lang w:val="en-US"/>
        </w:rPr>
        <w:t xml:space="preserve"> about a person’s migration matter in immigration detention.</w:t>
      </w:r>
    </w:p>
    <w:p w14:paraId="4DBB8C81" w14:textId="73666F89" w:rsidR="003B7C49" w:rsidRPr="008F1A70" w:rsidRDefault="003B7C49" w:rsidP="003B7C49">
      <w:pPr>
        <w:pStyle w:val="Normaloutlinebox"/>
        <w:rPr>
          <w:b/>
          <w:bCs/>
          <w:color w:val="009BCD"/>
        </w:rPr>
      </w:pPr>
      <w:r w:rsidRPr="008F1A70">
        <w:rPr>
          <w:b/>
          <w:bCs/>
          <w:color w:val="009BCD"/>
        </w:rPr>
        <w:t xml:space="preserve">Recommendation </w:t>
      </w:r>
      <w:r w:rsidR="00D42901">
        <w:rPr>
          <w:b/>
          <w:bCs/>
          <w:color w:val="009BCD"/>
        </w:rPr>
        <w:t>4</w:t>
      </w:r>
    </w:p>
    <w:p w14:paraId="04116537" w14:textId="77777777" w:rsidR="00FA143A" w:rsidRDefault="003B7C49" w:rsidP="00FA143A">
      <w:pPr>
        <w:pStyle w:val="Normaloutlinebox"/>
      </w:pPr>
      <w:r>
        <w:t>The Australian Government should:</w:t>
      </w:r>
    </w:p>
    <w:p w14:paraId="19DB2648" w14:textId="0BBDA7F3" w:rsidR="00FA143A" w:rsidRDefault="169312F2" w:rsidP="00D502C3">
      <w:pPr>
        <w:pStyle w:val="Normaloutlinebox"/>
        <w:numPr>
          <w:ilvl w:val="0"/>
          <w:numId w:val="14"/>
        </w:numPr>
        <w:rPr>
          <w:rStyle w:val="eop"/>
        </w:rPr>
      </w:pPr>
      <w:r w:rsidRPr="210D5259">
        <w:rPr>
          <w:rStyle w:val="eop"/>
          <w:rFonts w:cs="Arial"/>
          <w:lang w:val="en-US"/>
        </w:rPr>
        <w:t>Fa</w:t>
      </w:r>
      <w:r w:rsidR="0000618C">
        <w:rPr>
          <w:rStyle w:val="eop"/>
          <w:rFonts w:cs="Arial"/>
          <w:lang w:val="en-US"/>
        </w:rPr>
        <w:t>s</w:t>
      </w:r>
      <w:r w:rsidRPr="210D5259">
        <w:rPr>
          <w:rStyle w:val="eop"/>
          <w:rFonts w:cs="Arial"/>
          <w:lang w:val="en-US"/>
        </w:rPr>
        <w:t>t</w:t>
      </w:r>
      <w:r w:rsidR="00FA143A" w:rsidRPr="210D5259">
        <w:rPr>
          <w:rStyle w:val="eop"/>
          <w:rFonts w:cs="Arial"/>
          <w:lang w:val="en-US"/>
        </w:rPr>
        <w:t xml:space="preserve"> track the release of vulnerable people from close</w:t>
      </w:r>
      <w:r w:rsidR="00D05C1E">
        <w:rPr>
          <w:rStyle w:val="eop"/>
          <w:rFonts w:cs="Arial"/>
          <w:lang w:val="en-US"/>
        </w:rPr>
        <w:t>d</w:t>
      </w:r>
      <w:r w:rsidR="00FA143A" w:rsidRPr="210D5259">
        <w:rPr>
          <w:rStyle w:val="eop"/>
          <w:rFonts w:cs="Arial"/>
          <w:lang w:val="en-US"/>
        </w:rPr>
        <w:t xml:space="preserve"> immigration detention by granting bridging visas or making appropriate residence determinations</w:t>
      </w:r>
    </w:p>
    <w:p w14:paraId="16BD6834" w14:textId="4031BC19" w:rsidR="00FA143A" w:rsidRDefault="00FA143A" w:rsidP="00D502C3">
      <w:pPr>
        <w:pStyle w:val="Normaloutlinebox"/>
        <w:numPr>
          <w:ilvl w:val="0"/>
          <w:numId w:val="14"/>
        </w:numPr>
        <w:rPr>
          <w:rStyle w:val="eop"/>
        </w:rPr>
      </w:pPr>
      <w:r w:rsidRPr="00FA143A">
        <w:rPr>
          <w:rStyle w:val="eop"/>
          <w:rFonts w:cs="Arial"/>
          <w:szCs w:val="22"/>
          <w:lang w:val="en-US"/>
        </w:rPr>
        <w:t xml:space="preserve">Ensure people in </w:t>
      </w:r>
      <w:r>
        <w:rPr>
          <w:rStyle w:val="eop"/>
          <w:rFonts w:cs="Arial"/>
          <w:szCs w:val="22"/>
          <w:lang w:val="en-US"/>
        </w:rPr>
        <w:t xml:space="preserve">immigration </w:t>
      </w:r>
      <w:r w:rsidRPr="00FA143A">
        <w:rPr>
          <w:rStyle w:val="eop"/>
          <w:rFonts w:cs="Arial"/>
          <w:szCs w:val="22"/>
          <w:lang w:val="en-US"/>
        </w:rPr>
        <w:t xml:space="preserve">detention are able to physically distance in all areas </w:t>
      </w:r>
      <w:r>
        <w:rPr>
          <w:rStyle w:val="eop"/>
          <w:rFonts w:cs="Arial"/>
          <w:szCs w:val="22"/>
          <w:lang w:val="en-US"/>
        </w:rPr>
        <w:t>(</w:t>
      </w:r>
      <w:r w:rsidRPr="00FA143A">
        <w:rPr>
          <w:rStyle w:val="eop"/>
          <w:rFonts w:cs="Arial"/>
          <w:szCs w:val="22"/>
          <w:lang w:val="en-US"/>
        </w:rPr>
        <w:t>including sleeping quarters</w:t>
      </w:r>
      <w:r>
        <w:rPr>
          <w:rStyle w:val="eop"/>
          <w:rFonts w:cs="Arial"/>
          <w:szCs w:val="22"/>
          <w:lang w:val="en-US"/>
        </w:rPr>
        <w:t>)</w:t>
      </w:r>
    </w:p>
    <w:p w14:paraId="16E7F9CF" w14:textId="4F09E884" w:rsidR="00FA143A" w:rsidRDefault="00FA143A" w:rsidP="00D502C3">
      <w:pPr>
        <w:pStyle w:val="Normaloutlinebox"/>
        <w:numPr>
          <w:ilvl w:val="0"/>
          <w:numId w:val="14"/>
        </w:numPr>
        <w:rPr>
          <w:rStyle w:val="eop"/>
        </w:rPr>
      </w:pPr>
      <w:r w:rsidRPr="00FA143A">
        <w:rPr>
          <w:rStyle w:val="eop"/>
          <w:rFonts w:cs="Arial"/>
          <w:szCs w:val="22"/>
          <w:lang w:val="en-US"/>
        </w:rPr>
        <w:t xml:space="preserve">Ensure people who remain in detention have access to high quality health care </w:t>
      </w:r>
      <w:r>
        <w:rPr>
          <w:rStyle w:val="eop"/>
          <w:rFonts w:cs="Arial"/>
          <w:szCs w:val="22"/>
          <w:lang w:val="en-US"/>
        </w:rPr>
        <w:t>(</w:t>
      </w:r>
      <w:r w:rsidRPr="00FA143A">
        <w:rPr>
          <w:rStyle w:val="eop"/>
          <w:rFonts w:cs="Arial"/>
          <w:szCs w:val="22"/>
          <w:lang w:val="en-US"/>
        </w:rPr>
        <w:t>including</w:t>
      </w:r>
      <w:r>
        <w:rPr>
          <w:rStyle w:val="eop"/>
          <w:rFonts w:cs="Arial"/>
          <w:szCs w:val="22"/>
          <w:lang w:val="en-US"/>
        </w:rPr>
        <w:t xml:space="preserve"> psychological </w:t>
      </w:r>
      <w:r w:rsidRPr="00FA143A">
        <w:rPr>
          <w:rStyle w:val="eop"/>
          <w:rFonts w:cs="Arial"/>
          <w:szCs w:val="22"/>
          <w:lang w:val="en-US"/>
        </w:rPr>
        <w:t>services</w:t>
      </w:r>
      <w:r>
        <w:rPr>
          <w:rStyle w:val="eop"/>
          <w:rFonts w:cs="Arial"/>
          <w:szCs w:val="22"/>
          <w:lang w:val="en-US"/>
        </w:rPr>
        <w:t>)</w:t>
      </w:r>
      <w:r w:rsidR="006871C8">
        <w:rPr>
          <w:rStyle w:val="eop"/>
          <w:rFonts w:cs="Arial"/>
          <w:szCs w:val="22"/>
          <w:lang w:val="en-US"/>
        </w:rPr>
        <w:t>, and</w:t>
      </w:r>
    </w:p>
    <w:p w14:paraId="78FA305A" w14:textId="53D2DB95" w:rsidR="003769A3" w:rsidRPr="00625629" w:rsidRDefault="00FA143A" w:rsidP="00D502C3">
      <w:pPr>
        <w:pStyle w:val="Normaloutlinebox"/>
        <w:numPr>
          <w:ilvl w:val="0"/>
          <w:numId w:val="14"/>
        </w:numPr>
        <w:rPr>
          <w:rStyle w:val="eop"/>
        </w:rPr>
      </w:pPr>
      <w:r w:rsidRPr="00FA143A">
        <w:rPr>
          <w:rStyle w:val="eop"/>
          <w:rFonts w:cs="Arial"/>
          <w:szCs w:val="22"/>
          <w:lang w:val="en-US"/>
        </w:rPr>
        <w:t>Ensure people in detention have access to adequate technology and phones to maintain connection with any community supports</w:t>
      </w:r>
      <w:r>
        <w:rPr>
          <w:rStyle w:val="eop"/>
          <w:rFonts w:cs="Arial"/>
          <w:szCs w:val="22"/>
          <w:lang w:val="en-US"/>
        </w:rPr>
        <w:t xml:space="preserve"> during COVID-19.</w:t>
      </w:r>
    </w:p>
    <w:p w14:paraId="4C683644" w14:textId="77777777" w:rsidR="005A7E62" w:rsidRPr="00E0134A" w:rsidRDefault="005A7E62" w:rsidP="00147A15">
      <w:pPr>
        <w:pStyle w:val="Heading3"/>
        <w:numPr>
          <w:ilvl w:val="0"/>
          <w:numId w:val="29"/>
        </w:numPr>
      </w:pPr>
      <w:bookmarkStart w:id="25" w:name="_Toc41659783"/>
      <w:r w:rsidRPr="00E0134A">
        <w:rPr>
          <w:rStyle w:val="normaltextrun1"/>
        </w:rPr>
        <w:t>Limited access to social security and healthcare</w:t>
      </w:r>
      <w:bookmarkEnd w:id="25"/>
      <w:r w:rsidRPr="00E0134A">
        <w:rPr>
          <w:rStyle w:val="eop"/>
        </w:rPr>
        <w:t> </w:t>
      </w:r>
    </w:p>
    <w:p w14:paraId="08AE6AB5" w14:textId="77777777" w:rsidR="008C30E3" w:rsidRDefault="005A7E62" w:rsidP="005A7E62">
      <w:pPr>
        <w:rPr>
          <w:rStyle w:val="eop"/>
          <w:rFonts w:cs="Arial"/>
          <w:szCs w:val="22"/>
          <w:lang w:val="en-US"/>
        </w:rPr>
        <w:sectPr w:rsidR="008C30E3" w:rsidSect="00AB001E">
          <w:pgSz w:w="11906" w:h="16838" w:code="9"/>
          <w:pgMar w:top="851" w:right="1021" w:bottom="851" w:left="1021" w:header="851" w:footer="284" w:gutter="0"/>
          <w:cols w:space="720"/>
          <w:titlePg/>
          <w:docGrid w:linePitch="299"/>
        </w:sectPr>
      </w:pPr>
      <w:r>
        <w:rPr>
          <w:rStyle w:val="normaltextrun1"/>
          <w:rFonts w:cs="Arial"/>
          <w:szCs w:val="22"/>
        </w:rPr>
        <w:t>Many VLA clients</w:t>
      </w:r>
      <w:r w:rsidR="00E34288">
        <w:rPr>
          <w:rStyle w:val="normaltextrun1"/>
          <w:rFonts w:cs="Arial"/>
          <w:szCs w:val="22"/>
        </w:rPr>
        <w:t xml:space="preserve"> who are asylum seekers</w:t>
      </w:r>
      <w:r>
        <w:rPr>
          <w:rStyle w:val="normaltextrun1"/>
          <w:rFonts w:cs="Arial"/>
          <w:szCs w:val="22"/>
        </w:rPr>
        <w:t xml:space="preserve"> have lost work and income as a result of COVID-19. Asylum seekers are not eligible for </w:t>
      </w:r>
      <w:proofErr w:type="spellStart"/>
      <w:r>
        <w:rPr>
          <w:rStyle w:val="spellingerror"/>
          <w:rFonts w:cs="Arial"/>
          <w:szCs w:val="22"/>
        </w:rPr>
        <w:t>JobSeeker</w:t>
      </w:r>
      <w:proofErr w:type="spellEnd"/>
      <w:r>
        <w:rPr>
          <w:rStyle w:val="normaltextrun1"/>
          <w:rFonts w:cs="Arial"/>
          <w:szCs w:val="22"/>
        </w:rPr>
        <w:t xml:space="preserve"> or </w:t>
      </w:r>
      <w:proofErr w:type="spellStart"/>
      <w:r>
        <w:rPr>
          <w:rStyle w:val="spellingerror"/>
          <w:rFonts w:cs="Arial"/>
          <w:szCs w:val="22"/>
        </w:rPr>
        <w:t>JobKeeper</w:t>
      </w:r>
      <w:proofErr w:type="spellEnd"/>
      <w:r>
        <w:rPr>
          <w:rStyle w:val="normaltextrun1"/>
          <w:rFonts w:cs="Arial"/>
          <w:szCs w:val="22"/>
        </w:rPr>
        <w:t xml:space="preserve"> allowances or the COVID-19 supplement. Without support, many are facing homelessness and poverty. Asylum seekers have lost access to financial and casework support under the Status Resolution Support Services as a result of </w:t>
      </w:r>
      <w:r>
        <w:rPr>
          <w:rStyle w:val="normaltextrun1"/>
          <w:rFonts w:cs="Arial"/>
          <w:szCs w:val="22"/>
        </w:rPr>
        <w:lastRenderedPageBreak/>
        <w:t xml:space="preserve">reductions in income support under </w:t>
      </w:r>
      <w:r w:rsidR="00222D0C">
        <w:rPr>
          <w:rStyle w:val="normaltextrun1"/>
          <w:rFonts w:cs="Arial"/>
          <w:szCs w:val="22"/>
        </w:rPr>
        <w:t xml:space="preserve">Australian </w:t>
      </w:r>
      <w:r>
        <w:rPr>
          <w:rStyle w:val="normaltextrun1"/>
          <w:rFonts w:cs="Arial"/>
          <w:szCs w:val="22"/>
        </w:rPr>
        <w:t xml:space="preserve">Government policies over the past two years. NGOs and charities are overwhelmed with demand from vulnerable people including our client </w:t>
      </w:r>
      <w:r>
        <w:rPr>
          <w:rStyle w:val="contextualspellingandgrammarerror"/>
          <w:rFonts w:cs="Arial"/>
          <w:szCs w:val="22"/>
        </w:rPr>
        <w:t>group and</w:t>
      </w:r>
      <w:r>
        <w:rPr>
          <w:rStyle w:val="normaltextrun1"/>
          <w:rFonts w:cs="Arial"/>
          <w:szCs w:val="22"/>
        </w:rPr>
        <w:t xml:space="preserve"> face the additional difficulty of maintaining frontline services because of the spread of COVID-19.</w:t>
      </w:r>
      <w:r>
        <w:rPr>
          <w:rStyle w:val="eop"/>
          <w:rFonts w:cs="Arial"/>
          <w:szCs w:val="22"/>
          <w:lang w:val="en-US"/>
        </w:rPr>
        <w:t> </w:t>
      </w:r>
    </w:p>
    <w:p w14:paraId="6164EB14" w14:textId="29504D33" w:rsidR="002E5CD2" w:rsidRDefault="002E5CD2" w:rsidP="005A7E62">
      <w:pPr>
        <w:rPr>
          <w:rStyle w:val="eop"/>
          <w:rFonts w:cs="Arial"/>
          <w:szCs w:val="22"/>
          <w:lang w:val="en-US"/>
        </w:rPr>
      </w:pPr>
    </w:p>
    <w:p w14:paraId="48ED6102" w14:textId="7B2BC418" w:rsidR="005416EB" w:rsidRPr="00147A15" w:rsidRDefault="00222D0C" w:rsidP="005416EB">
      <w:pPr>
        <w:pStyle w:val="Normalshadedbox"/>
        <w:rPr>
          <w:rStyle w:val="eop"/>
          <w:rFonts w:cs="Arial"/>
          <w:b/>
          <w:bCs/>
          <w:i/>
          <w:iCs/>
          <w:szCs w:val="22"/>
          <w:lang w:val="en-US"/>
        </w:rPr>
      </w:pPr>
      <w:r w:rsidRPr="00147A15">
        <w:rPr>
          <w:rStyle w:val="eop"/>
          <w:rFonts w:cs="Arial"/>
          <w:b/>
          <w:bCs/>
          <w:i/>
          <w:iCs/>
          <w:szCs w:val="22"/>
          <w:lang w:val="en-US"/>
        </w:rPr>
        <w:t>“I’m scared for my wife and children”</w:t>
      </w:r>
    </w:p>
    <w:p w14:paraId="3269B0D7" w14:textId="45894145" w:rsidR="00892E2E" w:rsidRPr="00892E2E" w:rsidRDefault="00892E2E" w:rsidP="00892E2E">
      <w:pPr>
        <w:pStyle w:val="Normalshadedbox"/>
        <w:rPr>
          <w:rStyle w:val="eop"/>
          <w:rFonts w:cs="Arial"/>
          <w:szCs w:val="22"/>
          <w:lang w:val="en-US"/>
        </w:rPr>
      </w:pPr>
      <w:r w:rsidRPr="00892E2E">
        <w:rPr>
          <w:rStyle w:val="eop"/>
          <w:rFonts w:cs="Arial"/>
          <w:szCs w:val="22"/>
          <w:lang w:val="en-US"/>
        </w:rPr>
        <w:t xml:space="preserve">My name </w:t>
      </w:r>
      <w:r w:rsidR="002E5CD2">
        <w:rPr>
          <w:rStyle w:val="eop"/>
          <w:rFonts w:cs="Arial"/>
          <w:szCs w:val="22"/>
          <w:lang w:val="en-US"/>
        </w:rPr>
        <w:t xml:space="preserve">is </w:t>
      </w:r>
      <w:r w:rsidRPr="00892E2E">
        <w:rPr>
          <w:rStyle w:val="eop"/>
          <w:rFonts w:cs="Arial"/>
          <w:szCs w:val="22"/>
          <w:lang w:val="en-US"/>
        </w:rPr>
        <w:t>Murali</w:t>
      </w:r>
      <w:r w:rsidR="00222D0C">
        <w:rPr>
          <w:rStyle w:val="eop"/>
          <w:rFonts w:cs="Arial"/>
          <w:szCs w:val="22"/>
          <w:lang w:val="en-US"/>
        </w:rPr>
        <w:t xml:space="preserve">. </w:t>
      </w:r>
      <w:r w:rsidRPr="00892E2E">
        <w:rPr>
          <w:rStyle w:val="eop"/>
          <w:rFonts w:cs="Arial"/>
          <w:szCs w:val="22"/>
          <w:lang w:val="en-US"/>
        </w:rPr>
        <w:t>I am an asylum seeker from Sri Lanka</w:t>
      </w:r>
      <w:r w:rsidR="00172E2E">
        <w:rPr>
          <w:rStyle w:val="eop"/>
          <w:rFonts w:cs="Arial"/>
          <w:szCs w:val="22"/>
          <w:lang w:val="en-US"/>
        </w:rPr>
        <w:t xml:space="preserve">. </w:t>
      </w:r>
      <w:r w:rsidRPr="00892E2E">
        <w:rPr>
          <w:rStyle w:val="eop"/>
          <w:rFonts w:cs="Arial"/>
          <w:szCs w:val="22"/>
          <w:lang w:val="en-US"/>
        </w:rPr>
        <w:t>I fled Sri Lanka with my wife and children as we feared for our lives. As a Tamil</w:t>
      </w:r>
      <w:r w:rsidR="00E94CF3">
        <w:rPr>
          <w:rStyle w:val="eop"/>
          <w:rFonts w:cs="Arial"/>
          <w:szCs w:val="22"/>
          <w:lang w:val="en-US"/>
        </w:rPr>
        <w:t>,</w:t>
      </w:r>
      <w:r w:rsidRPr="00892E2E">
        <w:rPr>
          <w:rStyle w:val="eop"/>
          <w:rFonts w:cs="Arial"/>
          <w:szCs w:val="22"/>
          <w:lang w:val="en-US"/>
        </w:rPr>
        <w:t xml:space="preserve"> I suffered greatly in Sri Lanka and was injured by the Sri Lankan authorities. My injuries inhibit my ability to do a lot of hard </w:t>
      </w:r>
      <w:proofErr w:type="spellStart"/>
      <w:r w:rsidRPr="00892E2E">
        <w:rPr>
          <w:rStyle w:val="eop"/>
          <w:rFonts w:cs="Arial"/>
          <w:szCs w:val="22"/>
          <w:lang w:val="en-US"/>
        </w:rPr>
        <w:t>labour</w:t>
      </w:r>
      <w:proofErr w:type="spellEnd"/>
      <w:r w:rsidRPr="00892E2E">
        <w:rPr>
          <w:rStyle w:val="eop"/>
          <w:rFonts w:cs="Arial"/>
          <w:szCs w:val="22"/>
          <w:lang w:val="en-US"/>
        </w:rPr>
        <w:t>.</w:t>
      </w:r>
    </w:p>
    <w:p w14:paraId="13D6D70F" w14:textId="3CE02590" w:rsidR="00892E2E" w:rsidRPr="00892E2E" w:rsidRDefault="00892E2E" w:rsidP="00892E2E">
      <w:pPr>
        <w:pStyle w:val="Normalshadedbox"/>
        <w:rPr>
          <w:rStyle w:val="eop"/>
          <w:rFonts w:cs="Arial"/>
          <w:szCs w:val="22"/>
          <w:lang w:val="en-US"/>
        </w:rPr>
      </w:pPr>
      <w:r w:rsidRPr="00892E2E">
        <w:rPr>
          <w:rStyle w:val="eop"/>
          <w:rFonts w:cs="Arial"/>
          <w:szCs w:val="22"/>
          <w:lang w:val="en-US"/>
        </w:rPr>
        <w:t>Before the pandemic, I was working 3-4 days a week for a rideshare company. My work was very badly impacted when C</w:t>
      </w:r>
      <w:r w:rsidR="00222D0C">
        <w:rPr>
          <w:rStyle w:val="eop"/>
          <w:rFonts w:cs="Arial"/>
          <w:szCs w:val="22"/>
          <w:lang w:val="en-US"/>
        </w:rPr>
        <w:t>OVID</w:t>
      </w:r>
      <w:r>
        <w:t xml:space="preserve">-19 </w:t>
      </w:r>
      <w:r w:rsidRPr="00892E2E">
        <w:rPr>
          <w:rStyle w:val="eop"/>
          <w:rFonts w:cs="Arial"/>
          <w:szCs w:val="22"/>
          <w:lang w:val="en-US"/>
        </w:rPr>
        <w:t xml:space="preserve">hit – I was only getting one ride per </w:t>
      </w:r>
      <w:proofErr w:type="gramStart"/>
      <w:r w:rsidRPr="00892E2E">
        <w:rPr>
          <w:rStyle w:val="eop"/>
          <w:rFonts w:cs="Arial"/>
          <w:szCs w:val="22"/>
          <w:lang w:val="en-US"/>
        </w:rPr>
        <w:t>day,</w:t>
      </w:r>
      <w:proofErr w:type="gramEnd"/>
      <w:r w:rsidRPr="00892E2E">
        <w:rPr>
          <w:rStyle w:val="eop"/>
          <w:rFonts w:cs="Arial"/>
          <w:szCs w:val="22"/>
          <w:lang w:val="en-US"/>
        </w:rPr>
        <w:t xml:space="preserve"> business was incredibly slow. I was concerned for my health and catching C</w:t>
      </w:r>
      <w:r w:rsidR="00222D0C">
        <w:rPr>
          <w:rStyle w:val="eop"/>
          <w:rFonts w:cs="Arial"/>
          <w:szCs w:val="22"/>
          <w:lang w:val="en-US"/>
        </w:rPr>
        <w:t>OVID-19</w:t>
      </w:r>
      <w:r w:rsidRPr="00892E2E">
        <w:rPr>
          <w:rStyle w:val="eop"/>
          <w:rFonts w:cs="Arial"/>
          <w:szCs w:val="22"/>
          <w:lang w:val="en-US"/>
        </w:rPr>
        <w:t xml:space="preserve"> and there was no money in working, only risk. Normally I look after my family which is all I ever want to do but after C</w:t>
      </w:r>
      <w:r w:rsidR="00222D0C">
        <w:rPr>
          <w:rStyle w:val="eop"/>
          <w:rFonts w:cs="Arial"/>
          <w:szCs w:val="22"/>
          <w:lang w:val="en-US"/>
        </w:rPr>
        <w:t>OVID-19</w:t>
      </w:r>
      <w:r w:rsidRPr="00892E2E">
        <w:rPr>
          <w:rStyle w:val="eop"/>
          <w:rFonts w:cs="Arial"/>
          <w:szCs w:val="22"/>
          <w:lang w:val="en-US"/>
        </w:rPr>
        <w:t xml:space="preserve"> I have been unable to do so. I don’t receive Centrelink or any payments from the Australian Government. </w:t>
      </w:r>
    </w:p>
    <w:p w14:paraId="4291FC26" w14:textId="77B8DE81" w:rsidR="00892E2E" w:rsidRPr="00892E2E" w:rsidRDefault="00892E2E" w:rsidP="00892E2E">
      <w:pPr>
        <w:pStyle w:val="Normalshadedbox"/>
        <w:rPr>
          <w:rStyle w:val="eop"/>
          <w:rFonts w:cs="Arial"/>
          <w:szCs w:val="22"/>
          <w:lang w:val="en-US"/>
        </w:rPr>
      </w:pPr>
      <w:r w:rsidRPr="00892E2E">
        <w:rPr>
          <w:rStyle w:val="eop"/>
          <w:rFonts w:cs="Arial"/>
          <w:szCs w:val="22"/>
          <w:lang w:val="en-US"/>
        </w:rPr>
        <w:t xml:space="preserve">I tried to negotiate a discount of rent with my </w:t>
      </w:r>
      <w:r w:rsidR="00222D0C">
        <w:rPr>
          <w:rStyle w:val="eop"/>
          <w:rFonts w:cs="Arial"/>
          <w:szCs w:val="22"/>
          <w:lang w:val="en-US"/>
        </w:rPr>
        <w:t>l</w:t>
      </w:r>
      <w:r w:rsidRPr="00892E2E">
        <w:rPr>
          <w:rStyle w:val="eop"/>
          <w:rFonts w:cs="Arial"/>
          <w:szCs w:val="22"/>
          <w:lang w:val="en-US"/>
        </w:rPr>
        <w:t xml:space="preserve">andlord because I did not have enough money for rent. But the </w:t>
      </w:r>
      <w:r w:rsidR="00222D0C">
        <w:rPr>
          <w:rStyle w:val="eop"/>
          <w:rFonts w:cs="Arial"/>
          <w:szCs w:val="22"/>
          <w:lang w:val="en-US"/>
        </w:rPr>
        <w:t>l</w:t>
      </w:r>
      <w:r w:rsidRPr="00892E2E">
        <w:rPr>
          <w:rStyle w:val="eop"/>
          <w:rFonts w:cs="Arial"/>
          <w:szCs w:val="22"/>
          <w:lang w:val="en-US"/>
        </w:rPr>
        <w:t xml:space="preserve">andlord is still asking me for the money. I do not know how I will pay rent this month. All my friends have lost their jobs and I cannot borrow money from them. </w:t>
      </w:r>
      <w:r w:rsidR="00222D0C">
        <w:rPr>
          <w:rStyle w:val="eop"/>
          <w:rFonts w:cs="Arial"/>
          <w:szCs w:val="22"/>
          <w:lang w:val="en-US"/>
        </w:rPr>
        <w:t xml:space="preserve">The </w:t>
      </w:r>
      <w:r w:rsidRPr="00892E2E">
        <w:rPr>
          <w:rStyle w:val="eop"/>
          <w:rFonts w:cs="Arial"/>
          <w:szCs w:val="22"/>
          <w:lang w:val="en-US"/>
        </w:rPr>
        <w:t>Red Cross and the Asylum Seeker Resource Centre have both said they have no money to assist me at this time. We get one food parcel from the ASRC every fortnight to live off. I’m scared for my wife and children.</w:t>
      </w:r>
    </w:p>
    <w:p w14:paraId="37304192" w14:textId="09DB3C6A" w:rsidR="00222D0C" w:rsidRDefault="00892E2E" w:rsidP="00892E2E">
      <w:pPr>
        <w:pStyle w:val="Normalshadedbox"/>
        <w:rPr>
          <w:rStyle w:val="eop"/>
          <w:rFonts w:cs="Arial"/>
          <w:szCs w:val="22"/>
          <w:lang w:val="en-US"/>
        </w:rPr>
      </w:pPr>
      <w:r w:rsidRPr="00892E2E">
        <w:rPr>
          <w:rStyle w:val="eop"/>
          <w:rFonts w:cs="Arial"/>
          <w:szCs w:val="22"/>
          <w:lang w:val="en-US"/>
        </w:rPr>
        <w:t>Playing cricket was my outlet prior to C</w:t>
      </w:r>
      <w:r w:rsidR="00222D0C">
        <w:rPr>
          <w:rStyle w:val="eop"/>
          <w:rFonts w:cs="Arial"/>
          <w:szCs w:val="22"/>
          <w:lang w:val="en-US"/>
        </w:rPr>
        <w:t>OVID-19</w:t>
      </w:r>
      <w:r w:rsidRPr="00892E2E">
        <w:rPr>
          <w:rStyle w:val="eop"/>
          <w:rFonts w:cs="Arial"/>
          <w:szCs w:val="22"/>
          <w:lang w:val="en-US"/>
        </w:rPr>
        <w:t xml:space="preserve"> and the way I used to relieve the stress of my situation.  Because of my injuries, it is quite painful to p</w:t>
      </w:r>
      <w:r w:rsidR="00925FB1">
        <w:rPr>
          <w:rStyle w:val="eop"/>
          <w:rFonts w:cs="Arial"/>
          <w:szCs w:val="22"/>
          <w:lang w:val="en-US"/>
        </w:rPr>
        <w:t>la</w:t>
      </w:r>
      <w:r w:rsidRPr="00892E2E">
        <w:rPr>
          <w:rStyle w:val="eop"/>
          <w:rFonts w:cs="Arial"/>
          <w:szCs w:val="22"/>
          <w:lang w:val="en-US"/>
        </w:rPr>
        <w:t xml:space="preserve">y cricket but despite this, I have been a successful cricketer </w:t>
      </w:r>
      <w:r w:rsidR="00094C1E">
        <w:rPr>
          <w:rStyle w:val="eop"/>
          <w:rFonts w:cs="Arial"/>
          <w:szCs w:val="22"/>
          <w:lang w:val="en-US"/>
        </w:rPr>
        <w:t xml:space="preserve">with the </w:t>
      </w:r>
      <w:r w:rsidRPr="00892E2E">
        <w:rPr>
          <w:rStyle w:val="eop"/>
          <w:rFonts w:cs="Arial"/>
          <w:szCs w:val="22"/>
          <w:lang w:val="en-US"/>
        </w:rPr>
        <w:t xml:space="preserve">Victorian Turf Cricket Association and the Western Suburbs Churches &amp; Community Cricket Association. My wife and children would come to </w:t>
      </w:r>
      <w:proofErr w:type="gramStart"/>
      <w:r w:rsidRPr="00892E2E">
        <w:rPr>
          <w:rStyle w:val="eop"/>
          <w:rFonts w:cs="Arial"/>
          <w:szCs w:val="22"/>
          <w:lang w:val="en-US"/>
        </w:rPr>
        <w:t>watch</w:t>
      </w:r>
      <w:proofErr w:type="gramEnd"/>
      <w:r w:rsidRPr="00892E2E">
        <w:rPr>
          <w:rStyle w:val="eop"/>
          <w:rFonts w:cs="Arial"/>
          <w:szCs w:val="22"/>
          <w:lang w:val="en-US"/>
        </w:rPr>
        <w:t xml:space="preserve"> and my trophies were a source of pride for the whole family. Now the competitions have stopped due to the pandemic.</w:t>
      </w:r>
    </w:p>
    <w:p w14:paraId="659C75F5" w14:textId="670212C9" w:rsidR="005416EB" w:rsidRDefault="00892E2E" w:rsidP="00892E2E">
      <w:pPr>
        <w:pStyle w:val="Normalshadedbox"/>
        <w:rPr>
          <w:rStyle w:val="eop"/>
          <w:rFonts w:cs="Arial"/>
          <w:lang w:val="en-US"/>
        </w:rPr>
      </w:pPr>
      <w:r w:rsidRPr="5DB85FCD">
        <w:rPr>
          <w:rStyle w:val="eop"/>
          <w:rFonts w:cs="Arial"/>
          <w:lang w:val="en-US"/>
        </w:rPr>
        <w:t xml:space="preserve">Mentally I am in a very hard place. I was so upset with the situation recently that I destroyed my cricket trophies. My trophies meant so much to me, they were the result of my hard work for six years in Australia. I wish I had not done this, I just felt so helpless with my situation, it was a moment of sheer frustration after all my family and I had been through. All I want is the opportunity to provide for my family and for my children to be proud of me. At the moment there is so much doubt and uncertainty </w:t>
      </w:r>
      <w:r w:rsidR="7631878B" w:rsidRPr="5DB85FCD">
        <w:rPr>
          <w:rStyle w:val="eop"/>
          <w:rFonts w:cs="Arial"/>
          <w:lang w:val="en-US"/>
        </w:rPr>
        <w:t>about</w:t>
      </w:r>
      <w:r w:rsidRPr="5DB85FCD">
        <w:rPr>
          <w:rStyle w:val="eop"/>
          <w:rFonts w:cs="Arial"/>
          <w:lang w:val="en-US"/>
        </w:rPr>
        <w:t xml:space="preserve"> how we can get by each day and week without any support from the </w:t>
      </w:r>
      <w:r w:rsidR="00222D0C" w:rsidRPr="5DB85FCD">
        <w:rPr>
          <w:rStyle w:val="eop"/>
          <w:rFonts w:cs="Arial"/>
          <w:lang w:val="en-US"/>
        </w:rPr>
        <w:t>g</w:t>
      </w:r>
      <w:r w:rsidRPr="5DB85FCD">
        <w:rPr>
          <w:rStyle w:val="eop"/>
          <w:rFonts w:cs="Arial"/>
          <w:lang w:val="en-US"/>
        </w:rPr>
        <w:t>overnment.</w:t>
      </w:r>
    </w:p>
    <w:p w14:paraId="4D1CB86A" w14:textId="77777777" w:rsidR="0048120A" w:rsidRDefault="009C0612" w:rsidP="009C0612">
      <w:pPr>
        <w:rPr>
          <w:rStyle w:val="eop"/>
          <w:rFonts w:cs="Arial"/>
          <w:szCs w:val="22"/>
          <w:lang w:val="en-US"/>
        </w:rPr>
        <w:sectPr w:rsidR="0048120A" w:rsidSect="00AB001E">
          <w:pgSz w:w="11906" w:h="16838" w:code="9"/>
          <w:pgMar w:top="851" w:right="1021" w:bottom="851" w:left="1021" w:header="851" w:footer="284" w:gutter="0"/>
          <w:cols w:space="720"/>
          <w:titlePg/>
          <w:docGrid w:linePitch="299"/>
        </w:sectPr>
      </w:pPr>
      <w:r>
        <w:rPr>
          <w:rStyle w:val="normaltextrun1"/>
          <w:rFonts w:cs="Arial"/>
          <w:szCs w:val="22"/>
        </w:rPr>
        <w:t>Asylum seekers without work rights, or evidence of a current bridging visa, have no access to Medicare. As a consequence, asylum seekers are often not able to access the medical care they need and have poor health outcomes. They may need to present at emergency centres to access medical treatment. This is of significant public health concern during the COVID-19 pandemic. VLA has been advocating for individual clients to access Medicare. However, we remain concerned about the impact of the limited access to healthcare during COVID-19. </w:t>
      </w:r>
      <w:r>
        <w:rPr>
          <w:rStyle w:val="eop"/>
          <w:rFonts w:cs="Arial"/>
          <w:szCs w:val="22"/>
          <w:lang w:val="en-US"/>
        </w:rPr>
        <w:t> </w:t>
      </w:r>
    </w:p>
    <w:p w14:paraId="3498D680" w14:textId="05E0D1F9" w:rsidR="00B20B6B" w:rsidRPr="008F1A70" w:rsidRDefault="00B20B6B" w:rsidP="00B20B6B">
      <w:pPr>
        <w:pStyle w:val="Normaloutlinebox"/>
        <w:rPr>
          <w:b/>
          <w:bCs/>
          <w:color w:val="009BCD"/>
        </w:rPr>
      </w:pPr>
      <w:r w:rsidRPr="008F1A70">
        <w:rPr>
          <w:b/>
          <w:bCs/>
          <w:color w:val="009BCD"/>
        </w:rPr>
        <w:lastRenderedPageBreak/>
        <w:t xml:space="preserve">Recommendation </w:t>
      </w:r>
      <w:r w:rsidR="00D42901">
        <w:rPr>
          <w:b/>
          <w:bCs/>
          <w:color w:val="009BCD"/>
        </w:rPr>
        <w:t>5</w:t>
      </w:r>
    </w:p>
    <w:p w14:paraId="35252BCB" w14:textId="77777777" w:rsidR="00663482" w:rsidRDefault="00B20B6B" w:rsidP="00663482">
      <w:pPr>
        <w:pStyle w:val="Normaloutlinebox"/>
      </w:pPr>
      <w:r>
        <w:t>The Australian Government should:</w:t>
      </w:r>
    </w:p>
    <w:p w14:paraId="2ABEA43A" w14:textId="790A1DF0" w:rsidR="00663482" w:rsidRDefault="00663482" w:rsidP="00D502C3">
      <w:pPr>
        <w:pStyle w:val="Normaloutlinebox"/>
        <w:numPr>
          <w:ilvl w:val="0"/>
          <w:numId w:val="15"/>
        </w:numPr>
      </w:pPr>
      <w:r>
        <w:t>Ensure asylum seekers living in the community have valid bridging visas and access to Medicare</w:t>
      </w:r>
    </w:p>
    <w:p w14:paraId="414F1CB4" w14:textId="142B8916" w:rsidR="00C52668" w:rsidRDefault="00663482" w:rsidP="00D502C3">
      <w:pPr>
        <w:pStyle w:val="Normaloutlinebox"/>
        <w:numPr>
          <w:ilvl w:val="0"/>
          <w:numId w:val="15"/>
        </w:numPr>
      </w:pPr>
      <w:r>
        <w:t>Allow asylum seekers and refugees to access superannuation</w:t>
      </w:r>
      <w:r w:rsidR="006871C8">
        <w:t>, and</w:t>
      </w:r>
    </w:p>
    <w:p w14:paraId="4ED5FAB1" w14:textId="5D769D34" w:rsidR="00026EE7" w:rsidRDefault="00F23B81" w:rsidP="00D502C3">
      <w:pPr>
        <w:pStyle w:val="Normaloutlinebox"/>
        <w:numPr>
          <w:ilvl w:val="0"/>
          <w:numId w:val="15"/>
        </w:numPr>
      </w:pPr>
      <w:r>
        <w:t>I</w:t>
      </w:r>
      <w:r w:rsidR="00C52668">
        <w:t>ncrease</w:t>
      </w:r>
      <w:r w:rsidR="00663482">
        <w:t xml:space="preserve"> funding for </w:t>
      </w:r>
      <w:r w:rsidR="00026EE7">
        <w:t>support services for people seeking asylum and refugees.</w:t>
      </w:r>
    </w:p>
    <w:p w14:paraId="101F7CC6" w14:textId="3F37C7A0" w:rsidR="00663482" w:rsidRPr="00C52668" w:rsidRDefault="00663482" w:rsidP="00026EE7">
      <w:pPr>
        <w:pStyle w:val="Normaloutlinebox"/>
      </w:pPr>
      <w:r>
        <w:t xml:space="preserve">See also recommendation </w:t>
      </w:r>
      <w:r w:rsidR="008A57FE">
        <w:t>2</w:t>
      </w:r>
      <w:r>
        <w:t xml:space="preserve"> </w:t>
      </w:r>
      <w:r w:rsidR="00C52668">
        <w:t xml:space="preserve">in </w:t>
      </w:r>
      <w:r w:rsidR="00C52668">
        <w:rPr>
          <w:i/>
          <w:iCs/>
        </w:rPr>
        <w:t xml:space="preserve">Social </w:t>
      </w:r>
      <w:r w:rsidR="00A52E52">
        <w:rPr>
          <w:i/>
          <w:iCs/>
        </w:rPr>
        <w:t>S</w:t>
      </w:r>
      <w:r w:rsidR="00C52668">
        <w:rPr>
          <w:i/>
          <w:iCs/>
        </w:rPr>
        <w:t>ecurity</w:t>
      </w:r>
      <w:r w:rsidR="00C52668">
        <w:t xml:space="preserve"> </w:t>
      </w:r>
      <w:r w:rsidR="00BA1C6B">
        <w:t>on</w:t>
      </w:r>
      <w:r w:rsidR="00C52668">
        <w:t xml:space="preserve"> ensur</w:t>
      </w:r>
      <w:r w:rsidR="00BA1C6B">
        <w:t>ing</w:t>
      </w:r>
      <w:r w:rsidR="00C52668">
        <w:t xml:space="preserve"> social security payments are available to people seeking asylum and refugees during COVID-19.</w:t>
      </w:r>
    </w:p>
    <w:p w14:paraId="46B09468" w14:textId="51D939CE" w:rsidR="00775B8F" w:rsidRDefault="00F77568" w:rsidP="00D502C3">
      <w:pPr>
        <w:pStyle w:val="Heading2"/>
        <w:numPr>
          <w:ilvl w:val="0"/>
          <w:numId w:val="10"/>
        </w:numPr>
      </w:pPr>
      <w:bookmarkStart w:id="26" w:name="_Toc41659784"/>
      <w:r>
        <w:t>Discrimination and sexual harassment</w:t>
      </w:r>
      <w:bookmarkEnd w:id="26"/>
    </w:p>
    <w:p w14:paraId="4B9C9758" w14:textId="4CCB569C" w:rsidR="00AB001E" w:rsidRDefault="00212169" w:rsidP="00E0134A">
      <w:r w:rsidRPr="003823A8">
        <w:t>VLA’s Equality Law Program provides a range of advice and representation services to clients who experience discrimination in all areas of public life. During the COVID-19 pandemic, VLA’s Legal Help services have seen a significant increase in enquiries for employment law information and referral</w:t>
      </w:r>
      <w:r w:rsidR="00222D0C">
        <w:t>. VLA has also</w:t>
      </w:r>
      <w:r w:rsidRPr="003823A8">
        <w:t xml:space="preserve"> </w:t>
      </w:r>
      <w:r>
        <w:t>received</w:t>
      </w:r>
      <w:r w:rsidRPr="003823A8">
        <w:t xml:space="preserve"> enquiries from clients who have experienced discrimination in their employment due to their disability, family responsibilities, and sex.</w:t>
      </w:r>
      <w:r w:rsidR="00E335AE">
        <w:rPr>
          <w:rStyle w:val="FootnoteReference"/>
        </w:rPr>
        <w:footnoteReference w:id="11"/>
      </w:r>
    </w:p>
    <w:p w14:paraId="2B128B7E" w14:textId="55E32E27" w:rsidR="00FF2585" w:rsidRPr="00FF2585" w:rsidRDefault="00FF2585" w:rsidP="00147A15">
      <w:pPr>
        <w:pStyle w:val="Heading3"/>
        <w:numPr>
          <w:ilvl w:val="0"/>
          <w:numId w:val="30"/>
        </w:numPr>
      </w:pPr>
      <w:bookmarkStart w:id="27" w:name="_Toc41659785"/>
      <w:r w:rsidRPr="003823A8">
        <w:t>Experiences of discrimination related to COVID-19</w:t>
      </w:r>
      <w:bookmarkEnd w:id="27"/>
      <w:r w:rsidRPr="003823A8">
        <w:t xml:space="preserve"> </w:t>
      </w:r>
    </w:p>
    <w:p w14:paraId="01BCD3A4" w14:textId="7A675BCE" w:rsidR="00FF2585" w:rsidRPr="003823A8" w:rsidRDefault="00FF2585" w:rsidP="00FF2585">
      <w:r>
        <w:t>VLA</w:t>
      </w:r>
      <w:r w:rsidRPr="003823A8">
        <w:t xml:space="preserve"> has assisted clients who have reported workplace discrimination arising from employer decisions in response to COVID-19 and impacts on business. Employees with the attributes of sex, disability and/or family responsibilities have emerged as those most affected by workplace discrimination during COVID-19.</w:t>
      </w:r>
    </w:p>
    <w:p w14:paraId="2BD03163" w14:textId="4D6B395F" w:rsidR="00FF2585" w:rsidRPr="003823A8" w:rsidRDefault="00FF2585" w:rsidP="00FF2585">
      <w:r w:rsidRPr="003823A8">
        <w:t xml:space="preserve">Enquiries from clients with a disability </w:t>
      </w:r>
      <w:r w:rsidR="6F60B950">
        <w:t>have included</w:t>
      </w:r>
      <w:r w:rsidR="006871C8">
        <w:t xml:space="preserve"> </w:t>
      </w:r>
      <w:r w:rsidRPr="003823A8">
        <w:t>clients with underlying illnesses or conditions who are at higher risk of contracting COVID-19</w:t>
      </w:r>
      <w:r w:rsidR="006871C8">
        <w:t xml:space="preserve">, and </w:t>
      </w:r>
      <w:r w:rsidRPr="003823A8">
        <w:t>clients experiencing symptoms of</w:t>
      </w:r>
      <w:r w:rsidR="006871C8">
        <w:t xml:space="preserve"> (o</w:t>
      </w:r>
      <w:r w:rsidRPr="003823A8">
        <w:t>r presumed to have</w:t>
      </w:r>
      <w:r w:rsidR="006871C8">
        <w:t>)</w:t>
      </w:r>
      <w:r w:rsidRPr="003823A8">
        <w:t xml:space="preserve"> COVID-19.</w:t>
      </w:r>
      <w:r w:rsidR="006871C8">
        <w:t xml:space="preserve"> </w:t>
      </w:r>
      <w:r w:rsidRPr="003823A8">
        <w:t xml:space="preserve">Clients with disability </w:t>
      </w:r>
      <w:r w:rsidR="003F42CE">
        <w:t>seeking legal assistance have described being</w:t>
      </w:r>
      <w:r w:rsidRPr="003823A8">
        <w:t xml:space="preserve"> discriminated against in the following situations: </w:t>
      </w:r>
    </w:p>
    <w:p w14:paraId="6D035EC1" w14:textId="2584DC36" w:rsidR="00FF2585" w:rsidRPr="003823A8" w:rsidRDefault="00FF2585" w:rsidP="00FF2585">
      <w:pPr>
        <w:pStyle w:val="Listbulletcoloured"/>
      </w:pPr>
      <w:r w:rsidRPr="003823A8">
        <w:t xml:space="preserve">Being selected over people who do not have a disability for redundancy and stand down directions </w:t>
      </w:r>
    </w:p>
    <w:p w14:paraId="3557105E" w14:textId="7500D044" w:rsidR="00FF2585" w:rsidRPr="003823A8" w:rsidRDefault="00FF2585" w:rsidP="00FF2585">
      <w:pPr>
        <w:pStyle w:val="Listbulletcoloured"/>
      </w:pPr>
      <w:r w:rsidRPr="003823A8">
        <w:t xml:space="preserve">Being dismissed or stood down </w:t>
      </w:r>
      <w:r w:rsidR="00A26B7A">
        <w:t>for</w:t>
      </w:r>
      <w:r w:rsidRPr="003823A8">
        <w:t xml:space="preserve"> taking sick leave for COVID-19 symptoms</w:t>
      </w:r>
    </w:p>
    <w:p w14:paraId="681BC288" w14:textId="3B42B9F0" w:rsidR="00FF2585" w:rsidRPr="003823A8" w:rsidRDefault="00FF2585" w:rsidP="00FF2585">
      <w:pPr>
        <w:pStyle w:val="Listbulletcoloured"/>
      </w:pPr>
      <w:r w:rsidRPr="003823A8">
        <w:t>Being refused requests to work from home or for reasonable adjustments where they have a higher risk due to their disability</w:t>
      </w:r>
      <w:r w:rsidR="006871C8">
        <w:t>, and</w:t>
      </w:r>
    </w:p>
    <w:p w14:paraId="0C02DA30" w14:textId="77777777" w:rsidR="00FF2585" w:rsidRPr="003823A8" w:rsidRDefault="00FF2585" w:rsidP="00FF2585">
      <w:pPr>
        <w:pStyle w:val="Listbulletcoloured"/>
      </w:pPr>
      <w:r w:rsidRPr="003823A8">
        <w:t>Having changes made to duties which have created a heightened health and safety risk (e.g. increased face-to-face contact and onsite work directions). </w:t>
      </w:r>
    </w:p>
    <w:p w14:paraId="27F19FDB" w14:textId="77777777" w:rsidR="00A53282" w:rsidRDefault="00222D0C" w:rsidP="00222D0C">
      <w:pPr>
        <w:sectPr w:rsidR="00A53282" w:rsidSect="00AB001E">
          <w:pgSz w:w="11906" w:h="16838" w:code="9"/>
          <w:pgMar w:top="851" w:right="1021" w:bottom="851" w:left="1021" w:header="851" w:footer="284" w:gutter="0"/>
          <w:cols w:space="720"/>
          <w:titlePg/>
          <w:docGrid w:linePitch="299"/>
        </w:sectPr>
      </w:pPr>
      <w:r>
        <w:t>The following firsthand account describes the discrimination one client faced after following an employer’s direction to work from home while feeling unwell when they were not eligible for COVID-19 testing.</w:t>
      </w:r>
    </w:p>
    <w:p w14:paraId="2FCD87A3" w14:textId="77777777" w:rsidR="00222D0C" w:rsidRPr="0017245A" w:rsidRDefault="00222D0C" w:rsidP="00222D0C">
      <w:pPr>
        <w:pStyle w:val="Normalshadedbox"/>
        <w:rPr>
          <w:b/>
          <w:bCs/>
          <w:i/>
          <w:iCs/>
        </w:rPr>
      </w:pPr>
      <w:r w:rsidRPr="0017245A">
        <w:rPr>
          <w:b/>
          <w:bCs/>
          <w:i/>
          <w:iCs/>
        </w:rPr>
        <w:lastRenderedPageBreak/>
        <w:t>“During my sick leave, I was advised my contract had been terminated early.”</w:t>
      </w:r>
    </w:p>
    <w:p w14:paraId="7AD9398D" w14:textId="77777777" w:rsidR="00222D0C" w:rsidRDefault="00222D0C" w:rsidP="00222D0C">
      <w:pPr>
        <w:pStyle w:val="Normalshadedbox"/>
      </w:pPr>
      <w:r w:rsidRPr="0017245A">
        <w:t>I was working at my workplace for just under 12 months as an independent contractor. Prior to COVID-19 my employer had indicated that my contract would be extended. During COVID-19, my employer requested that all staff work from home if anyone presented with any COVID related symptoms. I became unwell and requested to work from home in accordance with my employer’s direction. The first day was granted however permission for subsequent days were met with resistance and eventually I was not permitted to work from home even though I was unwell with COVID-19 like symptoms. Other employees were granted the ability to work from home with nearly 20% of the team working from home at the time.</w:t>
      </w:r>
    </w:p>
    <w:p w14:paraId="7A81BF0B" w14:textId="17F9A0E4" w:rsidR="00594983" w:rsidRPr="00594983" w:rsidRDefault="00222D0C" w:rsidP="00594983">
      <w:pPr>
        <w:pStyle w:val="Normalshadedbox"/>
      </w:pPr>
      <w:r w:rsidRPr="0017245A">
        <w:t xml:space="preserve">I am also a single mother and not sure if this had something to do with my treatment in addition to my illness. My employer threatened not to pay me or allow me to work from home unless I could prove I actually had COVID-19 however I was not eligible for testing at the time. I was forced to take unpaid leave. During my sick leave, I was advised my contract had been </w:t>
      </w:r>
      <w:r>
        <w:t>terminated</w:t>
      </w:r>
      <w:r w:rsidRPr="0017245A">
        <w:t xml:space="preserve"> early. I was directed not to speak about my COVID-19 symptoms to other employees. I was too sick at the time to contest any decisions or actions taken by my employer during this time.</w:t>
      </w:r>
    </w:p>
    <w:p w14:paraId="29DAC805" w14:textId="1CE3F5E1" w:rsidR="332D2FCC" w:rsidRPr="00E335AE" w:rsidRDefault="6E2F1E79" w:rsidP="00B366D8">
      <w:pPr>
        <w:pStyle w:val="Normalshadedbox"/>
      </w:pPr>
      <w:r w:rsidRPr="00B366D8">
        <w:rPr>
          <w:rFonts w:eastAsia="Arial"/>
        </w:rPr>
        <w:t>This has caused severe financial impact on my family due to the abrupt end to my employment. The stress was also aggravated by the shock of this behaviour from my workplace, as I had received assurance only days before I became sick that the whole team would be kept on.</w:t>
      </w:r>
    </w:p>
    <w:p w14:paraId="7895610B" w14:textId="059E4C3B" w:rsidR="00FF2585" w:rsidRPr="003823A8" w:rsidRDefault="00FF2585" w:rsidP="00F9644B">
      <w:r w:rsidRPr="003823A8">
        <w:t>Clients with the protected characteristics of sex and/or family responsibilities have made enquiries about employers refusing to implement flexibility arrangements or accommodations. These experiences of discrimination have included</w:t>
      </w:r>
      <w:r w:rsidR="006871C8">
        <w:t xml:space="preserve"> </w:t>
      </w:r>
      <w:r w:rsidR="006B7B21">
        <w:t>h</w:t>
      </w:r>
      <w:r w:rsidRPr="003823A8">
        <w:t>aving requests to work from home refused</w:t>
      </w:r>
      <w:r w:rsidR="006871C8">
        <w:t xml:space="preserve"> (</w:t>
      </w:r>
      <w:r w:rsidRPr="003823A8">
        <w:t>even where duties could be performed remotely</w:t>
      </w:r>
      <w:r w:rsidR="006871C8">
        <w:t>),</w:t>
      </w:r>
      <w:r w:rsidR="00222D0C">
        <w:t xml:space="preserve"> and</w:t>
      </w:r>
      <w:r w:rsidR="006871C8">
        <w:t xml:space="preserve"> </w:t>
      </w:r>
      <w:r w:rsidR="006B7B21">
        <w:t>e</w:t>
      </w:r>
      <w:r w:rsidRPr="003823A8">
        <w:t xml:space="preserve">mployers refusing to modify </w:t>
      </w:r>
      <w:r w:rsidR="00222D0C">
        <w:t xml:space="preserve">the </w:t>
      </w:r>
      <w:r w:rsidRPr="003823A8">
        <w:t xml:space="preserve">span of hours </w:t>
      </w:r>
      <w:r w:rsidR="00222D0C">
        <w:t xml:space="preserve">required to work </w:t>
      </w:r>
      <w:r w:rsidRPr="003823A8">
        <w:t xml:space="preserve">to accommodate home schooling and other family responsibilities. </w:t>
      </w:r>
    </w:p>
    <w:p w14:paraId="03C0EA3E" w14:textId="45788475" w:rsidR="00361EE2" w:rsidRPr="003823A8" w:rsidRDefault="00FF2585" w:rsidP="00FF2585">
      <w:r w:rsidRPr="003823A8">
        <w:t>In our practice experience, women have been disproportionately subject to workplace discrimination due to family responsibilities during the COVID-19 pandemic</w:t>
      </w:r>
      <w:r w:rsidR="00222D0C">
        <w:t>. The following client’s experience describes</w:t>
      </w:r>
      <w:r w:rsidR="0017245A">
        <w:t xml:space="preserve"> an employer’s refusal to provide flexible working arrangements for a single mother who requested additional unpaid maternity leave after experiencing family violence.</w:t>
      </w:r>
    </w:p>
    <w:p w14:paraId="11C2269B" w14:textId="401B122A" w:rsidR="008F2404" w:rsidRPr="008F2404" w:rsidRDefault="008F2404" w:rsidP="008F2404">
      <w:pPr>
        <w:pStyle w:val="Normalshadedbox"/>
        <w:rPr>
          <w:b/>
          <w:bCs/>
          <w:i/>
          <w:iCs/>
        </w:rPr>
      </w:pPr>
      <w:r>
        <w:rPr>
          <w:b/>
          <w:bCs/>
          <w:i/>
          <w:iCs/>
        </w:rPr>
        <w:t>“</w:t>
      </w:r>
      <w:r w:rsidRPr="008F2404">
        <w:rPr>
          <w:b/>
          <w:bCs/>
          <w:i/>
          <w:iCs/>
        </w:rPr>
        <w:t>I needed more time at home to care and support</w:t>
      </w:r>
      <w:r>
        <w:rPr>
          <w:b/>
          <w:bCs/>
          <w:i/>
          <w:iCs/>
        </w:rPr>
        <w:t xml:space="preserve"> my two young children”</w:t>
      </w:r>
    </w:p>
    <w:p w14:paraId="31A3FCB0" w14:textId="77777777" w:rsidR="008F2404" w:rsidRDefault="008F2404" w:rsidP="008F2404">
      <w:pPr>
        <w:pStyle w:val="Normalshadedbox"/>
      </w:pPr>
      <w:r w:rsidRPr="008F2404">
        <w:t xml:space="preserve">I worked in real estate for nearly 5 years and was set to return from my maternity leave when I requested an extension to my unpaid maternity leave due to a domestic violence situation that occurred during my leave. I needed more time at home to care and support, now on my own, my two young children. My employer denied the extension request. I then made a different request to return part time with modified hours and days of work. This request was also rejected. My flexibility requests were rejected with limited consultation. I had to ask my employer multiple times for reasons for the refusal of my requests. Eventually my employer said they needed me back full time in the office face to face as I was a valuable member of the team and the business was suffering and short staffed because of COVID-19. </w:t>
      </w:r>
    </w:p>
    <w:p w14:paraId="76A1E66F" w14:textId="77777777" w:rsidR="00AC1479" w:rsidRDefault="008F2404" w:rsidP="00E655AC">
      <w:pPr>
        <w:pStyle w:val="Normalshadedbox"/>
      </w:pPr>
      <w:r w:rsidRPr="008F2404">
        <w:lastRenderedPageBreak/>
        <w:t>I sought legal help from VLA because I thought it was strange how they needed me to return full time when the business was downsizing during COVID-19. I thought that taking a further period of unpaid leave would not be a hardship for the business. This situation has affected me immensely mentally, physically and financially.</w:t>
      </w:r>
    </w:p>
    <w:p w14:paraId="0C5C86D0" w14:textId="0A62429B" w:rsidR="139F9488" w:rsidRDefault="47B97257" w:rsidP="00E655AC">
      <w:pPr>
        <w:pStyle w:val="Normalshadedbox"/>
      </w:pPr>
      <w:r w:rsidRPr="00E655AC">
        <w:t>The immense stress of this situation made me feel like I was forced to choose between my family and earning a living, and during C</w:t>
      </w:r>
      <w:r w:rsidR="00E655AC">
        <w:t>OVID</w:t>
      </w:r>
      <w:r w:rsidRPr="00E655AC">
        <w:t>-19 where even if I had to choose work over my children it would not have been possible to work as they would not allow me to work from home. I felt like there was no choice but to resign because I also needed to home school my daughter. I am confused and hurt by how this situation played out as I was an earnest, hardworking employee which did not seem to matter to my employer in the end.</w:t>
      </w:r>
      <w:r>
        <w:t xml:space="preserve"> </w:t>
      </w:r>
    </w:p>
    <w:p w14:paraId="0C3DDFD0" w14:textId="2DA77638" w:rsidR="00FF2585" w:rsidRDefault="008F2404" w:rsidP="00E655AC">
      <w:pPr>
        <w:pStyle w:val="Normalshadedbox"/>
      </w:pPr>
      <w:r w:rsidRPr="008F2404">
        <w:t>Because of my employer’s conduct to unreasonably refuse my flexibility requests, I had no other choice but to resign from my job to put my family first and care for them. This means I will now, when the time comes, have to find employment again which will be difficult in this current climate, all because my employer would not accommodate an extension of my unpaid maternity leave.</w:t>
      </w:r>
    </w:p>
    <w:p w14:paraId="1897026E" w14:textId="70C01B3A" w:rsidR="00926101" w:rsidRDefault="00926101" w:rsidP="00926101">
      <w:r w:rsidRPr="000D61AF">
        <w:t xml:space="preserve">VLA clients have continued to seek assistance in relation to being sexually harassed at work since COVID-19, and sexual harassment remains a common topic for </w:t>
      </w:r>
      <w:r>
        <w:t>our</w:t>
      </w:r>
      <w:r w:rsidRPr="000D61AF">
        <w:t xml:space="preserve"> phone advice clients. </w:t>
      </w:r>
    </w:p>
    <w:p w14:paraId="28A13F03" w14:textId="3806B3F5" w:rsidR="00C77C16" w:rsidRDefault="008A0D6C" w:rsidP="00147A15">
      <w:pPr>
        <w:pStyle w:val="Heading3"/>
        <w:numPr>
          <w:ilvl w:val="0"/>
          <w:numId w:val="30"/>
        </w:numPr>
      </w:pPr>
      <w:bookmarkStart w:id="28" w:name="_Toc41659786"/>
      <w:r>
        <w:t>Impact of discrimination on VLA clients</w:t>
      </w:r>
      <w:bookmarkEnd w:id="28"/>
    </w:p>
    <w:p w14:paraId="232DB1DF" w14:textId="6BB628FD" w:rsidR="006D2987" w:rsidRPr="000D61AF" w:rsidRDefault="006D2987" w:rsidP="006D2987">
      <w:r w:rsidRPr="000D61AF">
        <w:t>While there are legal remedies available to employees in the above circumstances</w:t>
      </w:r>
      <w:r w:rsidR="560AE245">
        <w:t>,</w:t>
      </w:r>
      <w:r w:rsidRPr="000D61AF">
        <w:t xml:space="preserve"> these employees have been forced into precarious positions</w:t>
      </w:r>
      <w:r w:rsidR="00222D0C" w:rsidRPr="000D61AF">
        <w:t xml:space="preserve"> in the immediate term </w:t>
      </w:r>
      <w:r w:rsidRPr="000D61AF">
        <w:t xml:space="preserve">where they have been forced to </w:t>
      </w:r>
      <w:r w:rsidR="1982A956">
        <w:t>either</w:t>
      </w:r>
      <w:r w:rsidR="752BB366">
        <w:t xml:space="preserve"> </w:t>
      </w:r>
      <w:r w:rsidRPr="000D61AF">
        <w:t>return to unsuitable working arrangements, take unpaid leave and/or end their employment. </w:t>
      </w:r>
    </w:p>
    <w:p w14:paraId="3D76E55C" w14:textId="25A4ACE8" w:rsidR="006D2987" w:rsidRPr="006D2987" w:rsidRDefault="006D2987" w:rsidP="006D2987">
      <w:r w:rsidRPr="000D61AF">
        <w:t xml:space="preserve">Clients who have </w:t>
      </w:r>
      <w:r w:rsidR="006871C8">
        <w:t>experienced</w:t>
      </w:r>
      <w:r w:rsidRPr="000D61AF">
        <w:t xml:space="preserve"> workplace discrimination during COVID-1</w:t>
      </w:r>
      <w:r w:rsidR="00222D0C">
        <w:t>9</w:t>
      </w:r>
      <w:r w:rsidRPr="000D61AF">
        <w:t xml:space="preserve"> have </w:t>
      </w:r>
      <w:r w:rsidR="006871C8">
        <w:t>reported</w:t>
      </w:r>
      <w:r w:rsidRPr="000D61AF">
        <w:t xml:space="preserve">: </w:t>
      </w:r>
    </w:p>
    <w:p w14:paraId="1549BD56" w14:textId="398A0D88" w:rsidR="006D2987" w:rsidRPr="000D61AF" w:rsidRDefault="006D2987" w:rsidP="006D2987">
      <w:pPr>
        <w:pStyle w:val="Listbulletcoloured"/>
      </w:pPr>
      <w:r w:rsidRPr="000D61AF">
        <w:t>Termination of employment</w:t>
      </w:r>
    </w:p>
    <w:p w14:paraId="48F14796" w14:textId="0035FEAA" w:rsidR="006D2987" w:rsidRPr="000D61AF" w:rsidRDefault="006D2987" w:rsidP="006D2987">
      <w:pPr>
        <w:pStyle w:val="Listbulletcoloured"/>
      </w:pPr>
      <w:r w:rsidRPr="000D61AF">
        <w:t>Loss of flexibility in relation to using accrued entitlements</w:t>
      </w:r>
    </w:p>
    <w:p w14:paraId="6B5419EF" w14:textId="2BC05425" w:rsidR="006D2987" w:rsidRPr="000D61AF" w:rsidRDefault="006D2987" w:rsidP="006D2987">
      <w:pPr>
        <w:pStyle w:val="Listbulletcoloured"/>
      </w:pPr>
      <w:r w:rsidRPr="000D61AF">
        <w:t>Lost income</w:t>
      </w:r>
    </w:p>
    <w:p w14:paraId="1473DADD" w14:textId="2C82E698" w:rsidR="006D2987" w:rsidRPr="000D61AF" w:rsidRDefault="006D2987" w:rsidP="006D2987">
      <w:pPr>
        <w:pStyle w:val="Listbulletcoloured"/>
      </w:pPr>
      <w:r w:rsidRPr="000D61AF">
        <w:t>Difficulty finding a job in the current environmen</w:t>
      </w:r>
      <w:r w:rsidR="006871C8">
        <w:t>t</w:t>
      </w:r>
    </w:p>
    <w:p w14:paraId="3BA01FA3" w14:textId="6DC68ECC" w:rsidR="006D2987" w:rsidRPr="000D61AF" w:rsidRDefault="006D2987" w:rsidP="006D2987">
      <w:pPr>
        <w:pStyle w:val="Listbulletcoloured"/>
      </w:pPr>
      <w:r w:rsidRPr="000D61AF">
        <w:t>Detrimental impact on mental health including symptoms of distress, anxiety and depression</w:t>
      </w:r>
    </w:p>
    <w:p w14:paraId="08EA7168" w14:textId="28187C0F" w:rsidR="006D2987" w:rsidRPr="000D61AF" w:rsidRDefault="006D2987" w:rsidP="006D2987">
      <w:pPr>
        <w:pStyle w:val="Listbulletcoloured"/>
      </w:pPr>
      <w:r w:rsidRPr="000D61AF">
        <w:t>Detrimental impact on being able to meet family and caring obligations</w:t>
      </w:r>
      <w:r w:rsidR="006871C8">
        <w:t>, and</w:t>
      </w:r>
    </w:p>
    <w:p w14:paraId="250D574F" w14:textId="3824B04D" w:rsidR="006D2987" w:rsidRDefault="006D2987" w:rsidP="006D2987">
      <w:pPr>
        <w:pStyle w:val="Listbulletcoloured"/>
      </w:pPr>
      <w:r w:rsidRPr="000D61AF">
        <w:t xml:space="preserve">Worsened relationship with their employer. </w:t>
      </w:r>
    </w:p>
    <w:p w14:paraId="63BABBB0" w14:textId="45F5F15A" w:rsidR="00726C53" w:rsidRPr="000D61AF" w:rsidRDefault="00726C53" w:rsidP="00F9644B">
      <w:r w:rsidRPr="000D61AF">
        <w:t>VLA’s Legal Help has seen a 124</w:t>
      </w:r>
      <w:r w:rsidR="00222D0C">
        <w:t xml:space="preserve"> per cent</w:t>
      </w:r>
      <w:r w:rsidRPr="000D61AF">
        <w:t xml:space="preserve"> increase in legal queries about wages and other terms of employment (not including discrimination) between 16 March</w:t>
      </w:r>
      <w:r w:rsidR="00222D0C">
        <w:t xml:space="preserve"> 2020</w:t>
      </w:r>
      <w:r w:rsidRPr="000D61AF">
        <w:t xml:space="preserve"> to 1 May 2020 compared to the previous year</w:t>
      </w:r>
      <w:r w:rsidR="3C9324BF">
        <w:t>, with queries</w:t>
      </w:r>
      <w:r w:rsidR="006871C8">
        <w:t xml:space="preserve"> relating to r</w:t>
      </w:r>
      <w:r w:rsidRPr="000D61AF">
        <w:t>ights in relation to ‘stand downs’ from work</w:t>
      </w:r>
      <w:r w:rsidR="006871C8">
        <w:t>, e</w:t>
      </w:r>
      <w:r w:rsidRPr="000D61AF">
        <w:t xml:space="preserve">ligibility for </w:t>
      </w:r>
      <w:proofErr w:type="spellStart"/>
      <w:r w:rsidRPr="000D61AF">
        <w:t>JobKeeper</w:t>
      </w:r>
      <w:proofErr w:type="spellEnd"/>
      <w:r w:rsidRPr="000D61AF">
        <w:t xml:space="preserve"> payments</w:t>
      </w:r>
      <w:r w:rsidR="006871C8">
        <w:t>, w</w:t>
      </w:r>
      <w:r w:rsidRPr="000D61AF">
        <w:t>ages and entitlements on termination, redundancy or where stood down from work</w:t>
      </w:r>
      <w:r w:rsidR="006871C8">
        <w:t>, and r</w:t>
      </w:r>
      <w:r w:rsidRPr="000D61AF">
        <w:t>ights in relation to working from home and other flexible work arrangements. </w:t>
      </w:r>
      <w:r w:rsidR="006871C8" w:rsidRPr="000D61AF">
        <w:t>VLA provides information and referral services for employment law matters involv</w:t>
      </w:r>
      <w:r w:rsidR="006871C8">
        <w:t>ing</w:t>
      </w:r>
      <w:r w:rsidR="006871C8" w:rsidRPr="000D61AF">
        <w:t xml:space="preserve"> </w:t>
      </w:r>
      <w:proofErr w:type="gramStart"/>
      <w:r w:rsidR="006871C8" w:rsidRPr="000D61AF">
        <w:t>discrimination</w:t>
      </w:r>
      <w:r w:rsidR="006871C8">
        <w:t>, but</w:t>
      </w:r>
      <w:proofErr w:type="gramEnd"/>
      <w:r w:rsidR="006871C8">
        <w:t xml:space="preserve"> does </w:t>
      </w:r>
      <w:r w:rsidR="006871C8" w:rsidRPr="000D61AF">
        <w:t>not provide advice and representation in these matters.</w:t>
      </w:r>
    </w:p>
    <w:p w14:paraId="7D0D039D" w14:textId="1DD277D9" w:rsidR="00726C53" w:rsidRPr="000D61AF" w:rsidRDefault="00726C53" w:rsidP="00726C53">
      <w:r w:rsidRPr="000D61AF">
        <w:t xml:space="preserve">VLA has developed COVID-19 online information in collaboration with </w:t>
      </w:r>
      <w:proofErr w:type="spellStart"/>
      <w:r w:rsidRPr="000D61AF">
        <w:t>JobWatch</w:t>
      </w:r>
      <w:proofErr w:type="spellEnd"/>
      <w:r w:rsidRPr="000D61AF">
        <w:t xml:space="preserve"> on topics including losing work, being unable to work, caring for others, working from home and safety at work. There have been nearly 17,000 unique page views to date. </w:t>
      </w:r>
    </w:p>
    <w:p w14:paraId="78813B07" w14:textId="5DBA1796" w:rsidR="008E75CC" w:rsidRDefault="008E75CC" w:rsidP="00147A15">
      <w:pPr>
        <w:pStyle w:val="Heading3"/>
        <w:numPr>
          <w:ilvl w:val="0"/>
          <w:numId w:val="30"/>
        </w:numPr>
      </w:pPr>
      <w:bookmarkStart w:id="29" w:name="_Toc41659787"/>
      <w:r>
        <w:lastRenderedPageBreak/>
        <w:t>Preventing workplace discrimination and sexual harassment</w:t>
      </w:r>
      <w:bookmarkEnd w:id="29"/>
    </w:p>
    <w:p w14:paraId="4D192921" w14:textId="35C241E9" w:rsidR="008E75CC" w:rsidRPr="008E75CC" w:rsidRDefault="008E75CC" w:rsidP="008E75CC">
      <w:pPr>
        <w:pStyle w:val="Heading4"/>
        <w:rPr>
          <w:i/>
          <w:iCs/>
        </w:rPr>
      </w:pPr>
      <w:r>
        <w:rPr>
          <w:i/>
          <w:iCs/>
        </w:rPr>
        <w:t>Challenging reasonable business grounds</w:t>
      </w:r>
    </w:p>
    <w:p w14:paraId="0F9FECBF" w14:textId="6085B21E" w:rsidR="008E75CC" w:rsidRPr="000D61AF" w:rsidRDefault="008E75CC" w:rsidP="00726C53">
      <w:r w:rsidRPr="00CB4AEA">
        <w:t xml:space="preserve">The </w:t>
      </w:r>
      <w:r w:rsidRPr="00CB4AEA">
        <w:rPr>
          <w:i/>
          <w:iCs/>
        </w:rPr>
        <w:t>Coronavirus Economic Response Package Omnibus (Measures No. 2) Act</w:t>
      </w:r>
      <w:r w:rsidRPr="00CB4AEA">
        <w:t xml:space="preserve"> </w:t>
      </w:r>
      <w:r w:rsidRPr="00CB4AEA">
        <w:rPr>
          <w:i/>
          <w:iCs/>
        </w:rPr>
        <w:t>2020</w:t>
      </w:r>
      <w:r>
        <w:rPr>
          <w:i/>
          <w:iCs/>
        </w:rPr>
        <w:t xml:space="preserve"> </w:t>
      </w:r>
      <w:r>
        <w:t>(</w:t>
      </w:r>
      <w:proofErr w:type="spellStart"/>
      <w:r>
        <w:t>Cth</w:t>
      </w:r>
      <w:proofErr w:type="spellEnd"/>
      <w:r>
        <w:t>) (</w:t>
      </w:r>
      <w:r w:rsidRPr="008E75CC">
        <w:rPr>
          <w:b/>
          <w:bCs/>
        </w:rPr>
        <w:t>Coronavirus Act 2</w:t>
      </w:r>
      <w:r>
        <w:t>)</w:t>
      </w:r>
      <w:r w:rsidRPr="00CB4AEA">
        <w:rPr>
          <w:i/>
          <w:iCs/>
        </w:rPr>
        <w:t xml:space="preserve"> </w:t>
      </w:r>
      <w:r w:rsidRPr="00CB4AEA">
        <w:t>has implemented temporary changes to allow employees to challenge unreasonable stand down directions and unreasonable directions to change</w:t>
      </w:r>
      <w:r>
        <w:t xml:space="preserve"> of employee</w:t>
      </w:r>
      <w:r w:rsidRPr="003823A8">
        <w:t xml:space="preserve"> location, duties and/or </w:t>
      </w:r>
      <w:r w:rsidRPr="004C5509">
        <w:t>hours</w:t>
      </w:r>
      <w:r w:rsidRPr="00CB4AEA">
        <w:t xml:space="preserve"> of work. It follows that the Fair Work Commission could broaden its dispute resolution function</w:t>
      </w:r>
      <w:r>
        <w:t>s</w:t>
      </w:r>
      <w:r w:rsidRPr="003823A8">
        <w:t xml:space="preserve"> to deal with unreasonable refusals</w:t>
      </w:r>
      <w:r>
        <w:t xml:space="preserve"> of requests for flexibility</w:t>
      </w:r>
      <w:r w:rsidRPr="003823A8">
        <w:t xml:space="preserve"> under s</w:t>
      </w:r>
      <w:r w:rsidR="001D1938">
        <w:t>ection</w:t>
      </w:r>
      <w:r w:rsidRPr="003823A8">
        <w:t xml:space="preserve"> 65 of the </w:t>
      </w:r>
      <w:r w:rsidRPr="006871C8">
        <w:rPr>
          <w:i/>
        </w:rPr>
        <w:t>Fair Work Act</w:t>
      </w:r>
      <w:r w:rsidR="001D1938" w:rsidRPr="006871C8">
        <w:rPr>
          <w:i/>
          <w:iCs/>
        </w:rPr>
        <w:t xml:space="preserve"> 2009</w:t>
      </w:r>
      <w:r w:rsidR="001D1938">
        <w:t xml:space="preserve"> (</w:t>
      </w:r>
      <w:proofErr w:type="spellStart"/>
      <w:r w:rsidR="001D1938">
        <w:t>Cth</w:t>
      </w:r>
      <w:proofErr w:type="spellEnd"/>
      <w:r w:rsidR="001D1938">
        <w:t>)</w:t>
      </w:r>
      <w:r w:rsidR="009E0D03">
        <w:t xml:space="preserve"> (</w:t>
      </w:r>
      <w:r w:rsidR="009E0D03" w:rsidRPr="006871C8">
        <w:rPr>
          <w:b/>
          <w:bCs/>
        </w:rPr>
        <w:t>FWA</w:t>
      </w:r>
      <w:r w:rsidR="009E0D03">
        <w:t>)</w:t>
      </w:r>
      <w:r w:rsidRPr="00CB4AEA">
        <w:t>.</w:t>
      </w:r>
      <w:r>
        <w:t xml:space="preserve"> Given increased uncertainty about what is ‘reasonable’ or ‘unreasonable’ in relation to requests for flexibility</w:t>
      </w:r>
      <w:r w:rsidR="008C0EA2">
        <w:t>,</w:t>
      </w:r>
      <w:r>
        <w:t xml:space="preserve"> it is important that employees and employers can access the dispute resolution function to resolve disagreements as efficiently and fairly as possible.</w:t>
      </w:r>
    </w:p>
    <w:p w14:paraId="4D99D762" w14:textId="705C89F5" w:rsidR="00FA13C5" w:rsidRPr="008F1A70" w:rsidRDefault="00FA13C5" w:rsidP="00FA13C5">
      <w:pPr>
        <w:pStyle w:val="Normaloutlinebox"/>
        <w:rPr>
          <w:b/>
          <w:bCs/>
          <w:color w:val="009BCD"/>
        </w:rPr>
      </w:pPr>
      <w:r w:rsidRPr="008F1A70">
        <w:rPr>
          <w:b/>
          <w:bCs/>
          <w:color w:val="009BCD"/>
        </w:rPr>
        <w:t xml:space="preserve">Recommendation </w:t>
      </w:r>
      <w:r w:rsidR="00D42901">
        <w:rPr>
          <w:b/>
          <w:bCs/>
          <w:color w:val="009BCD"/>
        </w:rPr>
        <w:t>6</w:t>
      </w:r>
    </w:p>
    <w:p w14:paraId="21E8A26B" w14:textId="008B16E8" w:rsidR="00FA13C5" w:rsidRDefault="00FA13C5" w:rsidP="00FA13C5">
      <w:pPr>
        <w:pStyle w:val="Normaloutlinebox"/>
      </w:pPr>
      <w:r>
        <w:t>The Australian Government should</w:t>
      </w:r>
      <w:r w:rsidR="00CD1FDE">
        <w:t xml:space="preserve"> </w:t>
      </w:r>
      <w:r w:rsidR="00CD1FDE" w:rsidRPr="00CD1FDE">
        <w:t xml:space="preserve">implement an additional temporary amendment to the </w:t>
      </w:r>
      <w:r w:rsidR="00CD1FDE" w:rsidRPr="00CD1FDE">
        <w:rPr>
          <w:i/>
          <w:iCs/>
        </w:rPr>
        <w:t>Fair Work Act 2009</w:t>
      </w:r>
      <w:r w:rsidR="00CD1FDE" w:rsidRPr="00CD1FDE">
        <w:t xml:space="preserve"> (</w:t>
      </w:r>
      <w:proofErr w:type="spellStart"/>
      <w:r w:rsidR="00CD1FDE" w:rsidRPr="00CD1FDE">
        <w:t>Cth</w:t>
      </w:r>
      <w:proofErr w:type="spellEnd"/>
      <w:r w:rsidR="00CD1FDE" w:rsidRPr="00CD1FDE">
        <w:t>) to enable employees to challenge ‘reasonable business grounds’ in relation employer refusals of flexibility requests during COVID-19.</w:t>
      </w:r>
    </w:p>
    <w:p w14:paraId="15B8E23B" w14:textId="690540EF" w:rsidR="008E75CC" w:rsidRPr="008E75CC" w:rsidRDefault="008E75CC" w:rsidP="008E75CC">
      <w:pPr>
        <w:pStyle w:val="Heading4"/>
        <w:rPr>
          <w:i/>
          <w:iCs/>
        </w:rPr>
      </w:pPr>
      <w:r w:rsidRPr="008E75CC">
        <w:rPr>
          <w:i/>
          <w:iCs/>
        </w:rPr>
        <w:t xml:space="preserve">Clarify scope of </w:t>
      </w:r>
      <w:proofErr w:type="spellStart"/>
      <w:r w:rsidRPr="008E75CC">
        <w:rPr>
          <w:i/>
          <w:iCs/>
        </w:rPr>
        <w:t>JobKeeper</w:t>
      </w:r>
      <w:proofErr w:type="spellEnd"/>
      <w:r w:rsidRPr="008E75CC">
        <w:rPr>
          <w:i/>
          <w:iCs/>
        </w:rPr>
        <w:t xml:space="preserve"> dispute resolution powers</w:t>
      </w:r>
    </w:p>
    <w:p w14:paraId="7797CED1" w14:textId="58426D34" w:rsidR="00A71A87" w:rsidRDefault="008E75CC" w:rsidP="008E75CC">
      <w:pPr>
        <w:pStyle w:val="VLALetterText"/>
        <w:rPr>
          <w:szCs w:val="22"/>
        </w:rPr>
      </w:pPr>
      <w:r w:rsidRPr="000D61AF">
        <w:rPr>
          <w:szCs w:val="22"/>
        </w:rPr>
        <w:t>The</w:t>
      </w:r>
      <w:r>
        <w:rPr>
          <w:szCs w:val="22"/>
        </w:rPr>
        <w:t xml:space="preserve"> Coronavirus Act 2 </w:t>
      </w:r>
      <w:r w:rsidRPr="000D61AF">
        <w:rPr>
          <w:szCs w:val="22"/>
        </w:rPr>
        <w:t xml:space="preserve">introduces a new Part 6-4C into the </w:t>
      </w:r>
      <w:r w:rsidR="00DF5571">
        <w:rPr>
          <w:szCs w:val="22"/>
        </w:rPr>
        <w:t>FWA</w:t>
      </w:r>
      <w:r w:rsidR="006871C8">
        <w:rPr>
          <w:szCs w:val="22"/>
        </w:rPr>
        <w:t xml:space="preserve"> which </w:t>
      </w:r>
      <w:r w:rsidRPr="000D61AF">
        <w:rPr>
          <w:szCs w:val="22"/>
        </w:rPr>
        <w:t xml:space="preserve">allows employers to give certain directions and make certain requests of </w:t>
      </w:r>
      <w:r w:rsidR="006871C8">
        <w:rPr>
          <w:szCs w:val="22"/>
        </w:rPr>
        <w:t>employees</w:t>
      </w:r>
      <w:r w:rsidRPr="000D61AF">
        <w:rPr>
          <w:szCs w:val="22"/>
        </w:rPr>
        <w:t xml:space="preserve">. </w:t>
      </w:r>
      <w:r w:rsidRPr="00CB4AEA">
        <w:rPr>
          <w:szCs w:val="22"/>
        </w:rPr>
        <w:t>The Commission may deal with a dispute about the operation of the new Part 6-4C by mediation</w:t>
      </w:r>
      <w:r w:rsidR="007214D5">
        <w:rPr>
          <w:szCs w:val="22"/>
        </w:rPr>
        <w:t xml:space="preserve"> or</w:t>
      </w:r>
      <w:r w:rsidRPr="00CB4AEA">
        <w:rPr>
          <w:szCs w:val="22"/>
        </w:rPr>
        <w:t xml:space="preserve"> conciliation</w:t>
      </w:r>
      <w:r w:rsidR="007214D5">
        <w:rPr>
          <w:szCs w:val="22"/>
        </w:rPr>
        <w:t>.</w:t>
      </w:r>
      <w:r w:rsidRPr="00CB4AEA">
        <w:rPr>
          <w:szCs w:val="22"/>
        </w:rPr>
        <w:t xml:space="preserve"> </w:t>
      </w:r>
      <w:r w:rsidR="00A71A87">
        <w:rPr>
          <w:szCs w:val="22"/>
        </w:rPr>
        <w:t>F</w:t>
      </w:r>
      <w:r w:rsidRPr="000D61AF">
        <w:rPr>
          <w:szCs w:val="22"/>
        </w:rPr>
        <w:t>or example</w:t>
      </w:r>
      <w:r w:rsidR="00A71A87">
        <w:rPr>
          <w:szCs w:val="22"/>
        </w:rPr>
        <w:t>:</w:t>
      </w:r>
    </w:p>
    <w:p w14:paraId="59BE73E6" w14:textId="07644C45" w:rsidR="00A71A87" w:rsidRDefault="00A71A87" w:rsidP="00A71A87">
      <w:pPr>
        <w:pStyle w:val="Listbulletcoloured"/>
      </w:pPr>
      <w:r>
        <w:t>W</w:t>
      </w:r>
      <w:r w:rsidR="008E75CC" w:rsidRPr="000D61AF">
        <w:t>hether</w:t>
      </w:r>
      <w:r w:rsidR="008E75CC" w:rsidRPr="000D61AF">
        <w:rPr>
          <w:szCs w:val="22"/>
        </w:rPr>
        <w:t xml:space="preserve"> a </w:t>
      </w:r>
      <w:proofErr w:type="spellStart"/>
      <w:r w:rsidR="008E75CC" w:rsidRPr="000D61AF">
        <w:rPr>
          <w:szCs w:val="22"/>
        </w:rPr>
        <w:t>JobKeeper</w:t>
      </w:r>
      <w:proofErr w:type="spellEnd"/>
      <w:r w:rsidR="008E75CC" w:rsidRPr="000D61AF">
        <w:rPr>
          <w:szCs w:val="22"/>
        </w:rPr>
        <w:t xml:space="preserve"> enabling stand down is ‘because of’ changes to business attributable to the </w:t>
      </w:r>
      <w:r>
        <w:t xml:space="preserve">COVID-19 </w:t>
      </w:r>
      <w:r w:rsidR="008E75CC" w:rsidRPr="000D61AF">
        <w:rPr>
          <w:szCs w:val="22"/>
        </w:rPr>
        <w:t>pandemic or the government’s response to it</w:t>
      </w:r>
    </w:p>
    <w:p w14:paraId="4D07008D" w14:textId="2DCEA785" w:rsidR="00A71A87" w:rsidRDefault="00BF7683" w:rsidP="00A71A87">
      <w:pPr>
        <w:pStyle w:val="Listbulletcoloured"/>
      </w:pPr>
      <w:r>
        <w:rPr>
          <w:szCs w:val="22"/>
        </w:rPr>
        <w:t>S</w:t>
      </w:r>
      <w:r w:rsidR="008E75CC" w:rsidRPr="000D61AF">
        <w:rPr>
          <w:szCs w:val="22"/>
        </w:rPr>
        <w:t>uitability of alternative workplaces</w:t>
      </w:r>
    </w:p>
    <w:p w14:paraId="6AA6ABE3" w14:textId="6BFD527C" w:rsidR="00A71A87" w:rsidRDefault="00BF7683" w:rsidP="00A71A87">
      <w:pPr>
        <w:pStyle w:val="Listbulletcoloured"/>
      </w:pPr>
      <w:r>
        <w:rPr>
          <w:szCs w:val="22"/>
        </w:rPr>
        <w:t>T</w:t>
      </w:r>
      <w:r w:rsidR="008E75CC" w:rsidRPr="000D61AF">
        <w:rPr>
          <w:szCs w:val="22"/>
        </w:rPr>
        <w:t>he reasonableness of employee refusals to work different days or times, or to take annual leave</w:t>
      </w:r>
      <w:r w:rsidR="006871C8">
        <w:rPr>
          <w:szCs w:val="22"/>
        </w:rPr>
        <w:t>, and</w:t>
      </w:r>
    </w:p>
    <w:p w14:paraId="54240344" w14:textId="66D66393" w:rsidR="008E75CC" w:rsidRPr="000D61AF" w:rsidRDefault="00BF7683" w:rsidP="00A71A87">
      <w:pPr>
        <w:pStyle w:val="Listbulletcoloured"/>
        <w:rPr>
          <w:szCs w:val="22"/>
        </w:rPr>
      </w:pPr>
      <w:r>
        <w:rPr>
          <w:szCs w:val="22"/>
        </w:rPr>
        <w:t>W</w:t>
      </w:r>
      <w:r w:rsidR="008E75CC" w:rsidRPr="000D61AF">
        <w:rPr>
          <w:szCs w:val="22"/>
        </w:rPr>
        <w:t>hether a direction is unreasonable in all of the circumstances</w:t>
      </w:r>
      <w:r w:rsidR="008E75CC">
        <w:rPr>
          <w:szCs w:val="22"/>
        </w:rPr>
        <w:t>.</w:t>
      </w:r>
    </w:p>
    <w:p w14:paraId="0D96C429" w14:textId="77777777" w:rsidR="0048120A" w:rsidRDefault="008E75CC" w:rsidP="008E75CC">
      <w:pPr>
        <w:pStyle w:val="VLALetterText"/>
      </w:pPr>
      <w:r>
        <w:t xml:space="preserve">Confirmation from the Australian Government that employees who have been discriminated against in relation to unreasonable </w:t>
      </w:r>
      <w:proofErr w:type="spellStart"/>
      <w:r>
        <w:t>JobKeeper</w:t>
      </w:r>
      <w:proofErr w:type="spellEnd"/>
      <w:r>
        <w:t xml:space="preserve"> directions or agreements can make applications to resolve dispute</w:t>
      </w:r>
      <w:r w:rsidR="006871C8">
        <w:t>s</w:t>
      </w:r>
      <w:r>
        <w:t xml:space="preserve"> would provide certainty for </w:t>
      </w:r>
      <w:r w:rsidR="00A71A87">
        <w:t xml:space="preserve">affected </w:t>
      </w:r>
      <w:r>
        <w:t xml:space="preserve">employees and quick access to justice. Without this </w:t>
      </w:r>
      <w:r w:rsidR="00A71A87">
        <w:t>avenue</w:t>
      </w:r>
      <w:r>
        <w:t xml:space="preserve">, employees </w:t>
      </w:r>
      <w:r w:rsidR="00A71A87">
        <w:t>facing discrimination</w:t>
      </w:r>
      <w:r>
        <w:t xml:space="preserve"> during COVID-19 only have the option of making an application for unfair dismissal or unlawful adverse action under the general </w:t>
      </w:r>
      <w:proofErr w:type="gramStart"/>
      <w:r>
        <w:t>protections</w:t>
      </w:r>
      <w:proofErr w:type="gramEnd"/>
      <w:r>
        <w:t xml:space="preserve"> provisions of the FWA. Achieving positive outcomes for employees who have been discriminated against by way of these ordinary provisions of the FWA are problematic in current circumstances where employers are relying on the blanket business impacts of COVID-19 as the operative reason for taking adverse action against employees with </w:t>
      </w:r>
      <w:r w:rsidR="5DE40DE0">
        <w:t>protected</w:t>
      </w:r>
      <w:r w:rsidR="745CC727">
        <w:t xml:space="preserve"> </w:t>
      </w:r>
      <w:r>
        <w:t xml:space="preserve">attributes.  </w:t>
      </w:r>
    </w:p>
    <w:p w14:paraId="40722505" w14:textId="264058AE" w:rsidR="008C30E3" w:rsidRDefault="008C30E3" w:rsidP="008E75CC">
      <w:pPr>
        <w:pStyle w:val="VLALetterText"/>
        <w:sectPr w:rsidR="008C30E3" w:rsidSect="00AB001E">
          <w:pgSz w:w="11906" w:h="16838" w:code="9"/>
          <w:pgMar w:top="851" w:right="1021" w:bottom="851" w:left="1021" w:header="851" w:footer="284" w:gutter="0"/>
          <w:cols w:space="720"/>
          <w:titlePg/>
          <w:docGrid w:linePitch="299"/>
        </w:sectPr>
      </w:pPr>
    </w:p>
    <w:p w14:paraId="4A500EC1" w14:textId="4E27C1D9" w:rsidR="0013681E" w:rsidRPr="008F1A70" w:rsidRDefault="0013681E" w:rsidP="0013681E">
      <w:pPr>
        <w:pStyle w:val="Normaloutlinebox"/>
        <w:rPr>
          <w:b/>
          <w:bCs/>
          <w:color w:val="009BCD"/>
        </w:rPr>
      </w:pPr>
      <w:r w:rsidRPr="008F1A70">
        <w:rPr>
          <w:b/>
          <w:bCs/>
          <w:color w:val="009BCD"/>
        </w:rPr>
        <w:t xml:space="preserve">Recommendation </w:t>
      </w:r>
      <w:r w:rsidR="00D42901">
        <w:rPr>
          <w:b/>
          <w:bCs/>
          <w:color w:val="009BCD"/>
        </w:rPr>
        <w:t>7</w:t>
      </w:r>
    </w:p>
    <w:p w14:paraId="7C52E9BC" w14:textId="5448DA8E" w:rsidR="0013681E" w:rsidRDefault="0013681E" w:rsidP="0013681E">
      <w:pPr>
        <w:pStyle w:val="Normaloutlinebox"/>
      </w:pPr>
      <w:r>
        <w:t xml:space="preserve">The Australian Government should </w:t>
      </w:r>
      <w:r w:rsidR="0047704B" w:rsidRPr="0047704B">
        <w:t xml:space="preserve">confirm that the Fair Work Commission’s </w:t>
      </w:r>
      <w:proofErr w:type="spellStart"/>
      <w:r w:rsidR="0047704B" w:rsidRPr="0047704B">
        <w:t>JobKeeper</w:t>
      </w:r>
      <w:proofErr w:type="spellEnd"/>
      <w:r w:rsidR="0047704B" w:rsidRPr="0047704B">
        <w:t xml:space="preserve"> dispute resolution powers under section 789GV of the new Part 6-4C of the </w:t>
      </w:r>
      <w:r w:rsidR="004D25F2" w:rsidRPr="00CD1FDE">
        <w:rPr>
          <w:i/>
          <w:iCs/>
        </w:rPr>
        <w:t>Fair Work Act 2009</w:t>
      </w:r>
      <w:r w:rsidR="004D25F2" w:rsidRPr="00CD1FDE">
        <w:t xml:space="preserve"> (</w:t>
      </w:r>
      <w:proofErr w:type="spellStart"/>
      <w:r w:rsidR="004D25F2" w:rsidRPr="00CD1FDE">
        <w:t>Cth</w:t>
      </w:r>
      <w:proofErr w:type="spellEnd"/>
      <w:r w:rsidR="004D25F2" w:rsidRPr="00CD1FDE">
        <w:t xml:space="preserve">) </w:t>
      </w:r>
      <w:r w:rsidR="0047704B" w:rsidRPr="0047704B">
        <w:t>include the power to resolve disputes where an applicant has been discriminated against or treated adversely because of the applicant’s family or caring responsibilities, sex and/or disability.</w:t>
      </w:r>
    </w:p>
    <w:p w14:paraId="5325CD54" w14:textId="5A520D0F" w:rsidR="008E75CC" w:rsidRPr="008E75CC" w:rsidRDefault="008E75CC" w:rsidP="008E75CC">
      <w:pPr>
        <w:pStyle w:val="Heading4"/>
        <w:rPr>
          <w:i/>
          <w:iCs/>
        </w:rPr>
      </w:pPr>
      <w:r>
        <w:rPr>
          <w:i/>
          <w:iCs/>
        </w:rPr>
        <w:t>Protections from indirect discrimination for parents and families</w:t>
      </w:r>
    </w:p>
    <w:p w14:paraId="791A1E64" w14:textId="1DA13907" w:rsidR="008E75CC" w:rsidRDefault="008E75CC" w:rsidP="008E75CC">
      <w:r>
        <w:t xml:space="preserve">VLA </w:t>
      </w:r>
      <w:r w:rsidRPr="000D61AF">
        <w:t xml:space="preserve">clients have experienced </w:t>
      </w:r>
      <w:r>
        <w:t xml:space="preserve">discrimination during COVID-19 </w:t>
      </w:r>
      <w:r w:rsidRPr="000D61AF">
        <w:t>where employers have required them to attend work full-time and/or attend work on a full-time basis in a face to face</w:t>
      </w:r>
      <w:r>
        <w:t>,</w:t>
      </w:r>
      <w:r w:rsidRPr="000D61AF">
        <w:t xml:space="preserve"> on</w:t>
      </w:r>
      <w:r>
        <w:t>-</w:t>
      </w:r>
      <w:r w:rsidRPr="000D61AF">
        <w:t>site capacity</w:t>
      </w:r>
      <w:r>
        <w:t>, even where working from home appears to be a reasonable option</w:t>
      </w:r>
      <w:r w:rsidRPr="000D61AF">
        <w:t>.</w:t>
      </w:r>
      <w:r>
        <w:t xml:space="preserve"> These requirements disadvantage employees with family responsibilities who do not have access to childcare or other social and family supports as a result of COVID-19.</w:t>
      </w:r>
      <w:r w:rsidR="00A71A87">
        <w:t xml:space="preserve"> The legal arguments to prove </w:t>
      </w:r>
      <w:r w:rsidR="2E7BBA66">
        <w:t>that</w:t>
      </w:r>
      <w:r w:rsidR="00A71A87">
        <w:t xml:space="preserve"> such conduct constitutes </w:t>
      </w:r>
      <w:r>
        <w:t>unlawful indirect discrimination on the ground of sex</w:t>
      </w:r>
      <w:r w:rsidR="00A71A87">
        <w:t xml:space="preserve"> is complicated</w:t>
      </w:r>
      <w:r>
        <w:t xml:space="preserve">.  It would be clearer for both employers and employees if it were simply stated in the </w:t>
      </w:r>
      <w:r w:rsidR="00022E66" w:rsidRPr="00AE46D9">
        <w:rPr>
          <w:i/>
          <w:iCs/>
        </w:rPr>
        <w:t>Sex Discrimination Act 1984</w:t>
      </w:r>
      <w:r w:rsidR="00022E66" w:rsidRPr="00AE46D9">
        <w:t xml:space="preserve"> (</w:t>
      </w:r>
      <w:proofErr w:type="spellStart"/>
      <w:r w:rsidR="00022E66" w:rsidRPr="00AE46D9">
        <w:t>Cth</w:t>
      </w:r>
      <w:proofErr w:type="spellEnd"/>
      <w:r w:rsidR="00265CF2">
        <w:t>)</w:t>
      </w:r>
      <w:r w:rsidR="00022E66">
        <w:t xml:space="preserve"> </w:t>
      </w:r>
      <w:r w:rsidR="00265CF2">
        <w:t>(</w:t>
      </w:r>
      <w:r w:rsidRPr="006871C8">
        <w:rPr>
          <w:b/>
        </w:rPr>
        <w:t>SDA</w:t>
      </w:r>
      <w:r w:rsidR="00265CF2">
        <w:t>)</w:t>
      </w:r>
      <w:r>
        <w:t xml:space="preserve"> that indirect discrimination on the ground of family responsibilities is unlawful.</w:t>
      </w:r>
    </w:p>
    <w:p w14:paraId="30C1AC2C" w14:textId="6644875C" w:rsidR="004A6ECC" w:rsidRPr="008F1A70" w:rsidRDefault="004A6ECC" w:rsidP="004A6ECC">
      <w:pPr>
        <w:pStyle w:val="Normaloutlinebox"/>
        <w:rPr>
          <w:b/>
          <w:bCs/>
          <w:color w:val="009BCD"/>
        </w:rPr>
      </w:pPr>
      <w:r w:rsidRPr="008F1A70">
        <w:rPr>
          <w:b/>
          <w:bCs/>
          <w:color w:val="009BCD"/>
        </w:rPr>
        <w:t xml:space="preserve">Recommendation </w:t>
      </w:r>
      <w:r w:rsidR="00D42901">
        <w:rPr>
          <w:b/>
          <w:bCs/>
          <w:color w:val="009BCD"/>
        </w:rPr>
        <w:t>8</w:t>
      </w:r>
    </w:p>
    <w:p w14:paraId="0C6EFAC5" w14:textId="105A652D" w:rsidR="00926101" w:rsidRDefault="004A6ECC" w:rsidP="004A6ECC">
      <w:pPr>
        <w:pStyle w:val="Normaloutlinebox"/>
      </w:pPr>
      <w:r>
        <w:t>The Australian Government should</w:t>
      </w:r>
      <w:r w:rsidR="00AE46D9">
        <w:t xml:space="preserve"> amend the </w:t>
      </w:r>
      <w:r w:rsidR="00AE46D9" w:rsidRPr="00AE46D9">
        <w:rPr>
          <w:i/>
          <w:iCs/>
        </w:rPr>
        <w:t>Sex Discrimination Act 1984</w:t>
      </w:r>
      <w:r w:rsidR="00AE46D9" w:rsidRPr="00AE46D9">
        <w:t xml:space="preserve"> (</w:t>
      </w:r>
      <w:proofErr w:type="spellStart"/>
      <w:r w:rsidR="00AE46D9" w:rsidRPr="00AE46D9">
        <w:t>Cth</w:t>
      </w:r>
      <w:proofErr w:type="spellEnd"/>
      <w:r w:rsidR="00AE46D9" w:rsidRPr="00AE46D9">
        <w:t xml:space="preserve">) to include a cause of action for indirect discrimination on the ground of family responsibilities.  </w:t>
      </w:r>
    </w:p>
    <w:p w14:paraId="29F53073" w14:textId="52D57E54" w:rsidR="00F37264" w:rsidRDefault="00B620C0" w:rsidP="00F37264">
      <w:pPr>
        <w:pStyle w:val="Heading2"/>
        <w:numPr>
          <w:ilvl w:val="0"/>
          <w:numId w:val="10"/>
        </w:numPr>
      </w:pPr>
      <w:bookmarkStart w:id="30" w:name="_Toc41659788"/>
      <w:r>
        <w:t>Access to legal assistance</w:t>
      </w:r>
      <w:bookmarkEnd w:id="30"/>
    </w:p>
    <w:p w14:paraId="49FF25B6" w14:textId="1D13F289" w:rsidR="00F37264" w:rsidRDefault="00F37264" w:rsidP="00F37264">
      <w:pPr>
        <w:rPr>
          <w:iCs/>
        </w:rPr>
      </w:pPr>
      <w:r w:rsidRPr="00F76366">
        <w:rPr>
          <w:iCs/>
        </w:rPr>
        <w:t xml:space="preserve">We welcome the </w:t>
      </w:r>
      <w:r>
        <w:rPr>
          <w:iCs/>
        </w:rPr>
        <w:t xml:space="preserve">Australian </w:t>
      </w:r>
      <w:r w:rsidRPr="00F76366">
        <w:rPr>
          <w:iCs/>
        </w:rPr>
        <w:t>Gov</w:t>
      </w:r>
      <w:r>
        <w:rPr>
          <w:iCs/>
        </w:rPr>
        <w:t>ernment</w:t>
      </w:r>
      <w:r w:rsidRPr="00F76366">
        <w:rPr>
          <w:iCs/>
        </w:rPr>
        <w:t xml:space="preserve">’s funding </w:t>
      </w:r>
      <w:r>
        <w:rPr>
          <w:iCs/>
        </w:rPr>
        <w:t>injection for</w:t>
      </w:r>
      <w:r w:rsidRPr="00F76366">
        <w:rPr>
          <w:iCs/>
        </w:rPr>
        <w:t xml:space="preserve"> the justice sector </w:t>
      </w:r>
      <w:r w:rsidRPr="000036BE">
        <w:rPr>
          <w:iCs/>
        </w:rPr>
        <w:t xml:space="preserve">with </w:t>
      </w:r>
      <w:r w:rsidRPr="000036BE">
        <w:rPr>
          <w:lang w:eastAsia="en-AU"/>
        </w:rPr>
        <w:t xml:space="preserve">$49.8 million for additional frontline legal services, 40 per cent </w:t>
      </w:r>
      <w:r w:rsidR="009A7CBB">
        <w:rPr>
          <w:lang w:eastAsia="en-AU"/>
        </w:rPr>
        <w:t xml:space="preserve">of which is to be </w:t>
      </w:r>
      <w:r>
        <w:rPr>
          <w:lang w:eastAsia="en-AU"/>
        </w:rPr>
        <w:t>allocated</w:t>
      </w:r>
      <w:r w:rsidRPr="000036BE">
        <w:rPr>
          <w:lang w:eastAsia="en-AU"/>
        </w:rPr>
        <w:t xml:space="preserve"> </w:t>
      </w:r>
      <w:r w:rsidR="009A7CBB">
        <w:rPr>
          <w:lang w:eastAsia="en-AU"/>
        </w:rPr>
        <w:t>to</w:t>
      </w:r>
      <w:r w:rsidR="009A7CBB" w:rsidRPr="000036BE">
        <w:rPr>
          <w:lang w:eastAsia="en-AU"/>
        </w:rPr>
        <w:t xml:space="preserve"> </w:t>
      </w:r>
      <w:r w:rsidRPr="000036BE">
        <w:rPr>
          <w:lang w:eastAsia="en-AU"/>
        </w:rPr>
        <w:t xml:space="preserve">matters involving </w:t>
      </w:r>
      <w:r>
        <w:rPr>
          <w:lang w:eastAsia="en-AU"/>
        </w:rPr>
        <w:t>family</w:t>
      </w:r>
      <w:r w:rsidRPr="000036BE">
        <w:rPr>
          <w:lang w:eastAsia="en-AU"/>
        </w:rPr>
        <w:t xml:space="preserve"> violence</w:t>
      </w:r>
      <w:r w:rsidRPr="000036BE">
        <w:rPr>
          <w:iCs/>
        </w:rPr>
        <w:t>.</w:t>
      </w:r>
      <w:r>
        <w:rPr>
          <w:iCs/>
        </w:rPr>
        <w:t xml:space="preserve"> </w:t>
      </w:r>
      <w:r w:rsidR="009A7CBB">
        <w:rPr>
          <w:iCs/>
        </w:rPr>
        <w:t>We understand that t</w:t>
      </w:r>
      <w:r>
        <w:rPr>
          <w:iCs/>
        </w:rPr>
        <w:t xml:space="preserve">hese funds will be distributed across state and territory Aboriginal </w:t>
      </w:r>
      <w:r w:rsidR="006E3CB9">
        <w:rPr>
          <w:iCs/>
        </w:rPr>
        <w:t>and Torres Strait Islander l</w:t>
      </w:r>
      <w:r>
        <w:rPr>
          <w:iCs/>
        </w:rPr>
        <w:t xml:space="preserve">egal </w:t>
      </w:r>
      <w:r w:rsidR="006E3CB9">
        <w:rPr>
          <w:iCs/>
        </w:rPr>
        <w:t>s</w:t>
      </w:r>
      <w:r>
        <w:rPr>
          <w:iCs/>
        </w:rPr>
        <w:t xml:space="preserve">ervices, </w:t>
      </w:r>
      <w:r w:rsidR="006E3CB9">
        <w:rPr>
          <w:iCs/>
        </w:rPr>
        <w:t>l</w:t>
      </w:r>
      <w:r>
        <w:rPr>
          <w:iCs/>
        </w:rPr>
        <w:t xml:space="preserve">egal </w:t>
      </w:r>
      <w:r w:rsidR="006E3CB9">
        <w:rPr>
          <w:iCs/>
        </w:rPr>
        <w:t>a</w:t>
      </w:r>
      <w:r>
        <w:rPr>
          <w:iCs/>
        </w:rPr>
        <w:t xml:space="preserve">id </w:t>
      </w:r>
      <w:r w:rsidR="006E3CB9">
        <w:rPr>
          <w:iCs/>
        </w:rPr>
        <w:t>c</w:t>
      </w:r>
      <w:r>
        <w:rPr>
          <w:iCs/>
        </w:rPr>
        <w:t xml:space="preserve">ommissions and community legal centres to address the </w:t>
      </w:r>
      <w:r w:rsidR="00270DD4">
        <w:rPr>
          <w:iCs/>
        </w:rPr>
        <w:t>surge</w:t>
      </w:r>
      <w:r>
        <w:rPr>
          <w:iCs/>
        </w:rPr>
        <w:t xml:space="preserve"> in demand for legal information, advice and representation during the initial phase of responding to COVID-19.</w:t>
      </w:r>
    </w:p>
    <w:p w14:paraId="745D2CE7" w14:textId="5379A407" w:rsidR="00F37264" w:rsidRDefault="00F37264" w:rsidP="00F37264">
      <w:pPr>
        <w:rPr>
          <w:iCs/>
        </w:rPr>
      </w:pPr>
      <w:r>
        <w:rPr>
          <w:iCs/>
        </w:rPr>
        <w:t xml:space="preserve">The Victorian Government has also </w:t>
      </w:r>
      <w:r w:rsidR="00270DD4">
        <w:rPr>
          <w:iCs/>
        </w:rPr>
        <w:t xml:space="preserve">announced an addition $17.5 million </w:t>
      </w:r>
      <w:r w:rsidR="009A7CBB">
        <w:rPr>
          <w:iCs/>
        </w:rPr>
        <w:t>to deliver essential legal assistance during the COVID-19 pandemic. This will support f</w:t>
      </w:r>
      <w:r w:rsidR="00270DD4">
        <w:rPr>
          <w:iCs/>
        </w:rPr>
        <w:t xml:space="preserve">rontline legal services in Victoria which are </w:t>
      </w:r>
      <w:r w:rsidR="00270DD4" w:rsidRPr="00270DD4">
        <w:rPr>
          <w:iCs/>
        </w:rPr>
        <w:t>rapidly shifting to delive</w:t>
      </w:r>
      <w:r w:rsidR="00270DD4">
        <w:rPr>
          <w:iCs/>
        </w:rPr>
        <w:t>r</w:t>
      </w:r>
      <w:r w:rsidR="00270DD4" w:rsidRPr="00270DD4">
        <w:rPr>
          <w:iCs/>
        </w:rPr>
        <w:t xml:space="preserve"> services over the phone or using our webchat rather than face-to-face</w:t>
      </w:r>
      <w:r w:rsidR="00270DD4">
        <w:rPr>
          <w:iCs/>
        </w:rPr>
        <w:t xml:space="preserve"> service delivery. </w:t>
      </w:r>
      <w:r w:rsidR="009A7CBB">
        <w:rPr>
          <w:iCs/>
        </w:rPr>
        <w:t xml:space="preserve">It </w:t>
      </w:r>
      <w:r w:rsidR="00270DD4">
        <w:rPr>
          <w:iCs/>
        </w:rPr>
        <w:t xml:space="preserve">will </w:t>
      </w:r>
      <w:r w:rsidR="009A7CBB">
        <w:rPr>
          <w:iCs/>
        </w:rPr>
        <w:t xml:space="preserve">also </w:t>
      </w:r>
      <w:r w:rsidR="00270DD4">
        <w:rPr>
          <w:iCs/>
        </w:rPr>
        <w:t>enable Victoria Legal Aid and our legal sector partners to provide access to legal information and advice about family violence, as a preventative factor to help mitigate risk.</w:t>
      </w:r>
    </w:p>
    <w:p w14:paraId="678BEBA7" w14:textId="339716A3" w:rsidR="00270DD4" w:rsidRDefault="00270DD4" w:rsidP="00F37264">
      <w:pPr>
        <w:rPr>
          <w:iCs/>
        </w:rPr>
      </w:pPr>
      <w:r>
        <w:rPr>
          <w:iCs/>
        </w:rPr>
        <w:t xml:space="preserve">People experiencing economic disadvantage (e.g. unemployment or insecure housing) are more likely to experience legal issues, but often do not recognise that they are issues </w:t>
      </w:r>
      <w:r w:rsidR="009A7CBB">
        <w:rPr>
          <w:iCs/>
        </w:rPr>
        <w:t xml:space="preserve">that </w:t>
      </w:r>
      <w:r>
        <w:rPr>
          <w:iCs/>
        </w:rPr>
        <w:t xml:space="preserve">could </w:t>
      </w:r>
      <w:r w:rsidR="009A7CBB">
        <w:rPr>
          <w:iCs/>
        </w:rPr>
        <w:t xml:space="preserve">be </w:t>
      </w:r>
      <w:r>
        <w:rPr>
          <w:iCs/>
        </w:rPr>
        <w:t>resolve</w:t>
      </w:r>
      <w:r w:rsidR="009A7CBB">
        <w:rPr>
          <w:iCs/>
        </w:rPr>
        <w:t>d</w:t>
      </w:r>
      <w:r>
        <w:rPr>
          <w:iCs/>
        </w:rPr>
        <w:t xml:space="preserve"> with legal help. Early </w:t>
      </w:r>
      <w:r w:rsidRPr="00270DD4">
        <w:rPr>
          <w:iCs/>
        </w:rPr>
        <w:t>access</w:t>
      </w:r>
      <w:r w:rsidR="009A7CBB">
        <w:rPr>
          <w:iCs/>
        </w:rPr>
        <w:t xml:space="preserve"> to</w:t>
      </w:r>
      <w:r w:rsidRPr="00270DD4">
        <w:rPr>
          <w:iCs/>
        </w:rPr>
        <w:t xml:space="preserve"> legal information and advice </w:t>
      </w:r>
      <w:r>
        <w:rPr>
          <w:iCs/>
        </w:rPr>
        <w:t xml:space="preserve">is essential </w:t>
      </w:r>
      <w:r w:rsidR="009A7CBB">
        <w:rPr>
          <w:iCs/>
        </w:rPr>
        <w:t>for</w:t>
      </w:r>
      <w:r>
        <w:rPr>
          <w:iCs/>
        </w:rPr>
        <w:t xml:space="preserve"> preventing the escalation of legal and social issues.</w:t>
      </w:r>
    </w:p>
    <w:p w14:paraId="26E002BD" w14:textId="5D5A6623" w:rsidR="00270DD4" w:rsidRDefault="00270DD4" w:rsidP="00F37264">
      <w:pPr>
        <w:rPr>
          <w:iCs/>
        </w:rPr>
      </w:pPr>
      <w:r>
        <w:rPr>
          <w:iCs/>
        </w:rPr>
        <w:t>We welcome the new National Legal Assistance Partnership 2020-25 Agreement which provides funding over the next five years.</w:t>
      </w:r>
      <w:r w:rsidR="00570866" w:rsidRPr="00570866">
        <w:rPr>
          <w:iCs/>
        </w:rPr>
        <w:t xml:space="preserve"> We anticipate that legal need will significantly increase in the next 2-3 years as the social and economic impacts of COVID-19 continue to be felt by a large number of people experiencing unemployment, financial hardship, poverty, homelessness, family violence and </w:t>
      </w:r>
      <w:r w:rsidR="00570866" w:rsidRPr="00570866">
        <w:rPr>
          <w:iCs/>
        </w:rPr>
        <w:lastRenderedPageBreak/>
        <w:t>mental health issues. Legal assistance providers will be unable to maintain current service levels, and a greater proportion of people will be unable to access the legal help they need, which may result in the escalation of social problems with flow-on impacts for our community as a whole.</w:t>
      </w:r>
    </w:p>
    <w:p w14:paraId="7AD5C873" w14:textId="700D2474" w:rsidR="00270DD4" w:rsidRPr="008F1A70" w:rsidRDefault="00270DD4" w:rsidP="00270DD4">
      <w:pPr>
        <w:pStyle w:val="Normaloutlinebox"/>
        <w:rPr>
          <w:b/>
          <w:bCs/>
          <w:color w:val="009BCD"/>
        </w:rPr>
      </w:pPr>
      <w:r w:rsidRPr="008F1A70">
        <w:rPr>
          <w:b/>
          <w:bCs/>
          <w:color w:val="009BCD"/>
        </w:rPr>
        <w:t xml:space="preserve">Recommendation </w:t>
      </w:r>
      <w:r w:rsidR="00D42901">
        <w:rPr>
          <w:b/>
          <w:bCs/>
          <w:color w:val="009BCD"/>
        </w:rPr>
        <w:t>9</w:t>
      </w:r>
    </w:p>
    <w:p w14:paraId="7A6CAFAC" w14:textId="34F97917" w:rsidR="00B620C0" w:rsidRDefault="00270DD4" w:rsidP="008D5C9B">
      <w:pPr>
        <w:pStyle w:val="Normaloutlinebox"/>
        <w:sectPr w:rsidR="00B620C0" w:rsidSect="00AB001E">
          <w:pgSz w:w="11906" w:h="16838" w:code="9"/>
          <w:pgMar w:top="851" w:right="1021" w:bottom="851" w:left="1021" w:header="851" w:footer="284" w:gutter="0"/>
          <w:cols w:space="720"/>
          <w:titlePg/>
          <w:docGrid w:linePitch="299"/>
        </w:sectPr>
      </w:pPr>
      <w:r>
        <w:t xml:space="preserve">The Australian Government should provide </w:t>
      </w:r>
      <w:r w:rsidR="008D5C9B">
        <w:t xml:space="preserve">further </w:t>
      </w:r>
      <w:r>
        <w:t xml:space="preserve">funding for legal assistance providers to meet increased legal need </w:t>
      </w:r>
      <w:r w:rsidR="00B620C0">
        <w:t>in the aftermath of COVID-19</w:t>
      </w:r>
      <w:r w:rsidR="008D5C9B">
        <w:t>, when the full impacts of COVID-19 are known.</w:t>
      </w:r>
    </w:p>
    <w:p w14:paraId="3107E07F" w14:textId="2F58BD8E" w:rsidR="00A832AC" w:rsidRDefault="009656B5" w:rsidP="009656B5">
      <w:pPr>
        <w:pStyle w:val="Heading1"/>
      </w:pPr>
      <w:bookmarkStart w:id="31" w:name="_Toc41659789"/>
      <w:r>
        <w:lastRenderedPageBreak/>
        <w:t>A</w:t>
      </w:r>
      <w:r w:rsidR="00F9644B">
        <w:t>ppendix</w:t>
      </w:r>
      <w:r>
        <w:t xml:space="preserve"> A: List of recommendations</w:t>
      </w:r>
      <w:bookmarkEnd w:id="31"/>
    </w:p>
    <w:tbl>
      <w:tblPr>
        <w:tblStyle w:val="GridTable1Light-Accent5"/>
        <w:tblW w:w="0" w:type="auto"/>
        <w:tblInd w:w="279" w:type="dxa"/>
        <w:tblLook w:val="0420" w:firstRow="1" w:lastRow="0" w:firstColumn="0" w:lastColumn="0" w:noHBand="0" w:noVBand="1"/>
      </w:tblPr>
      <w:tblGrid>
        <w:gridCol w:w="645"/>
        <w:gridCol w:w="8920"/>
      </w:tblGrid>
      <w:tr w:rsidR="009656B5" w:rsidRPr="00286BAC" w14:paraId="1B72FDA6" w14:textId="77777777" w:rsidTr="00641935">
        <w:trPr>
          <w:cnfStyle w:val="100000000000" w:firstRow="1" w:lastRow="0" w:firstColumn="0" w:lastColumn="0" w:oddVBand="0" w:evenVBand="0" w:oddHBand="0" w:evenHBand="0" w:firstRowFirstColumn="0" w:firstRowLastColumn="0" w:lastRowFirstColumn="0" w:lastRowLastColumn="0"/>
          <w:trHeight w:val="56"/>
        </w:trPr>
        <w:tc>
          <w:tcPr>
            <w:tcW w:w="645" w:type="dxa"/>
            <w:tcBorders>
              <w:top w:val="single" w:sz="8" w:space="0" w:color="0098CB"/>
              <w:left w:val="single" w:sz="8" w:space="0" w:color="0098CB"/>
              <w:bottom w:val="single" w:sz="8" w:space="0" w:color="0098CB"/>
              <w:right w:val="single" w:sz="8" w:space="0" w:color="0098CB"/>
            </w:tcBorders>
            <w:shd w:val="clear" w:color="auto" w:fill="B3E1F9"/>
            <w:vAlign w:val="bottom"/>
          </w:tcPr>
          <w:p w14:paraId="0C20C268" w14:textId="7F063F4E" w:rsidR="009656B5" w:rsidRPr="00C85A7A" w:rsidRDefault="009656B5" w:rsidP="006C04E1">
            <w:pPr>
              <w:pStyle w:val="Tableheading"/>
              <w:rPr>
                <w:sz w:val="22"/>
                <w:szCs w:val="22"/>
              </w:rPr>
            </w:pPr>
            <w:r w:rsidRPr="00C85A7A">
              <w:rPr>
                <w:sz w:val="22"/>
                <w:szCs w:val="22"/>
              </w:rPr>
              <w:t>#</w:t>
            </w:r>
          </w:p>
        </w:tc>
        <w:tc>
          <w:tcPr>
            <w:tcW w:w="8920" w:type="dxa"/>
            <w:tcBorders>
              <w:top w:val="single" w:sz="8" w:space="0" w:color="0098CB"/>
              <w:left w:val="single" w:sz="8" w:space="0" w:color="0098CB"/>
              <w:bottom w:val="single" w:sz="8" w:space="0" w:color="0098CB"/>
              <w:right w:val="single" w:sz="8" w:space="0" w:color="0098CB"/>
            </w:tcBorders>
            <w:shd w:val="clear" w:color="auto" w:fill="B3E1F9"/>
            <w:vAlign w:val="bottom"/>
          </w:tcPr>
          <w:p w14:paraId="5FCECBF2" w14:textId="73A9AC9B" w:rsidR="009656B5" w:rsidRPr="00C85A7A" w:rsidRDefault="009656B5" w:rsidP="006C04E1">
            <w:pPr>
              <w:pStyle w:val="Tableheading"/>
              <w:rPr>
                <w:sz w:val="22"/>
                <w:szCs w:val="22"/>
              </w:rPr>
            </w:pPr>
            <w:r w:rsidRPr="00C85A7A">
              <w:rPr>
                <w:sz w:val="22"/>
                <w:szCs w:val="22"/>
              </w:rPr>
              <w:t>Recommendation</w:t>
            </w:r>
          </w:p>
        </w:tc>
      </w:tr>
      <w:tr w:rsidR="008E75CC" w:rsidRPr="0043612A" w14:paraId="42D27123" w14:textId="77777777" w:rsidTr="00641935">
        <w:trPr>
          <w:trHeight w:val="56"/>
        </w:trPr>
        <w:tc>
          <w:tcPr>
            <w:tcW w:w="645" w:type="dxa"/>
            <w:tcBorders>
              <w:top w:val="single" w:sz="8" w:space="0" w:color="0098CB"/>
              <w:left w:val="single" w:sz="8" w:space="0" w:color="0098CB"/>
              <w:bottom w:val="single" w:sz="8" w:space="0" w:color="0098CB"/>
              <w:right w:val="nil"/>
            </w:tcBorders>
            <w:shd w:val="clear" w:color="auto" w:fill="DEEAF6" w:themeFill="accent5" w:themeFillTint="33"/>
            <w:vAlign w:val="bottom"/>
          </w:tcPr>
          <w:p w14:paraId="2DADA486" w14:textId="77777777" w:rsidR="008E75CC" w:rsidRPr="0043612A" w:rsidRDefault="008E75CC" w:rsidP="006C04E1">
            <w:pPr>
              <w:pStyle w:val="Tableheading"/>
              <w:rPr>
                <w:rFonts w:cs="Arial"/>
                <w:sz w:val="22"/>
                <w:szCs w:val="22"/>
              </w:rPr>
            </w:pPr>
          </w:p>
        </w:tc>
        <w:tc>
          <w:tcPr>
            <w:tcW w:w="8920" w:type="dxa"/>
            <w:tcBorders>
              <w:top w:val="single" w:sz="8" w:space="0" w:color="0098CB"/>
              <w:left w:val="nil"/>
              <w:bottom w:val="single" w:sz="8" w:space="0" w:color="0098CB"/>
              <w:right w:val="single" w:sz="8" w:space="0" w:color="0098CB"/>
            </w:tcBorders>
            <w:shd w:val="clear" w:color="auto" w:fill="DEEAF6" w:themeFill="accent5" w:themeFillTint="33"/>
            <w:vAlign w:val="bottom"/>
          </w:tcPr>
          <w:p w14:paraId="798D751A" w14:textId="04D5189B" w:rsidR="008E75CC" w:rsidRPr="0043612A" w:rsidRDefault="008E75CC" w:rsidP="006C04E1">
            <w:pPr>
              <w:pStyle w:val="Tableheading"/>
              <w:rPr>
                <w:rFonts w:cs="Arial"/>
                <w:b/>
                <w:bCs w:val="0"/>
                <w:i/>
                <w:iCs/>
                <w:sz w:val="22"/>
                <w:szCs w:val="22"/>
              </w:rPr>
            </w:pPr>
            <w:r w:rsidRPr="0043612A">
              <w:rPr>
                <w:rFonts w:cs="Arial"/>
                <w:b/>
                <w:bCs w:val="0"/>
                <w:i/>
                <w:iCs/>
                <w:sz w:val="22"/>
                <w:szCs w:val="22"/>
              </w:rPr>
              <w:t>Family violence and family law</w:t>
            </w:r>
          </w:p>
        </w:tc>
      </w:tr>
      <w:tr w:rsidR="009656B5" w:rsidRPr="0043612A" w14:paraId="42D2DC62" w14:textId="77777777" w:rsidTr="00641935">
        <w:trPr>
          <w:trHeight w:val="1948"/>
        </w:trPr>
        <w:tc>
          <w:tcPr>
            <w:tcW w:w="645" w:type="dxa"/>
            <w:tcBorders>
              <w:top w:val="single" w:sz="8" w:space="0" w:color="0098CB"/>
              <w:left w:val="single" w:sz="8" w:space="0" w:color="0098CB"/>
              <w:bottom w:val="single" w:sz="8" w:space="0" w:color="0098CB"/>
              <w:right w:val="single" w:sz="8" w:space="0" w:color="0098CB"/>
            </w:tcBorders>
          </w:tcPr>
          <w:p w14:paraId="25799103" w14:textId="4F8ED4B1" w:rsidR="009656B5" w:rsidRPr="0043612A" w:rsidRDefault="009656B5" w:rsidP="008E75CC">
            <w:pPr>
              <w:pStyle w:val="Tablecopy"/>
              <w:spacing w:before="40" w:after="40" w:line="240" w:lineRule="auto"/>
              <w:rPr>
                <w:rFonts w:cs="Arial"/>
                <w:sz w:val="22"/>
                <w:szCs w:val="22"/>
              </w:rPr>
            </w:pPr>
            <w:r w:rsidRPr="0043612A">
              <w:rPr>
                <w:rFonts w:cs="Arial"/>
                <w:sz w:val="22"/>
                <w:szCs w:val="22"/>
              </w:rPr>
              <w:t xml:space="preserve">1. </w:t>
            </w:r>
          </w:p>
        </w:tc>
        <w:tc>
          <w:tcPr>
            <w:tcW w:w="8920" w:type="dxa"/>
            <w:tcBorders>
              <w:top w:val="single" w:sz="8" w:space="0" w:color="0098CB"/>
              <w:left w:val="single" w:sz="8" w:space="0" w:color="0098CB"/>
              <w:bottom w:val="single" w:sz="8" w:space="0" w:color="0098CB"/>
              <w:right w:val="single" w:sz="8" w:space="0" w:color="0098CB"/>
            </w:tcBorders>
          </w:tcPr>
          <w:p w14:paraId="738B027D" w14:textId="4215C36E" w:rsidR="00D42901" w:rsidRPr="0043612A" w:rsidRDefault="00D42901" w:rsidP="00D42901">
            <w:pPr>
              <w:pStyle w:val="Tablecopy"/>
              <w:numPr>
                <w:ilvl w:val="0"/>
                <w:numId w:val="34"/>
              </w:numPr>
              <w:spacing w:before="40" w:after="40" w:line="240" w:lineRule="auto"/>
              <w:rPr>
                <w:rFonts w:cs="Arial"/>
                <w:sz w:val="22"/>
                <w:szCs w:val="22"/>
              </w:rPr>
            </w:pPr>
            <w:r w:rsidRPr="0043612A">
              <w:rPr>
                <w:rFonts w:cs="Arial"/>
                <w:sz w:val="22"/>
                <w:szCs w:val="22"/>
              </w:rPr>
              <w:t>Sufficiently resource the COVID-19 list to avoid diverting resources from existing court matters</w:t>
            </w:r>
          </w:p>
          <w:p w14:paraId="2033BC2D" w14:textId="4215C36E" w:rsidR="00D42901" w:rsidRPr="0043612A" w:rsidRDefault="00D42901" w:rsidP="00D42901">
            <w:pPr>
              <w:pStyle w:val="Tablecopy"/>
              <w:numPr>
                <w:ilvl w:val="0"/>
                <w:numId w:val="34"/>
              </w:numPr>
              <w:spacing w:before="40" w:after="40" w:line="240" w:lineRule="auto"/>
              <w:rPr>
                <w:rFonts w:cs="Arial"/>
                <w:sz w:val="22"/>
                <w:szCs w:val="22"/>
              </w:rPr>
            </w:pPr>
            <w:r w:rsidRPr="0043612A">
              <w:rPr>
                <w:rFonts w:cs="Arial"/>
                <w:sz w:val="22"/>
                <w:szCs w:val="22"/>
              </w:rPr>
              <w:t>Transition the COVID-19 list into a specialist family violence list at an appropriate time, and</w:t>
            </w:r>
          </w:p>
          <w:p w14:paraId="43BCF369" w14:textId="49102660" w:rsidR="009656B5" w:rsidRPr="0043612A" w:rsidRDefault="00D42901" w:rsidP="00641935">
            <w:pPr>
              <w:pStyle w:val="Tablecopy"/>
              <w:numPr>
                <w:ilvl w:val="0"/>
                <w:numId w:val="34"/>
              </w:numPr>
              <w:spacing w:before="40" w:after="40" w:line="240" w:lineRule="auto"/>
              <w:rPr>
                <w:rFonts w:cs="Arial"/>
                <w:sz w:val="22"/>
                <w:szCs w:val="22"/>
              </w:rPr>
            </w:pPr>
            <w:r w:rsidRPr="0043612A">
              <w:rPr>
                <w:rFonts w:cs="Arial"/>
                <w:sz w:val="22"/>
                <w:szCs w:val="22"/>
              </w:rPr>
              <w:t>Provide funding for an expansion of pilots such as the risk screening and triage pilot (the Lighthouse project) into an ongoing process for the courts, taking into account any findings from the running of the pilot.</w:t>
            </w:r>
          </w:p>
        </w:tc>
      </w:tr>
      <w:tr w:rsidR="008E75CC" w:rsidRPr="0043612A" w14:paraId="7B716A37" w14:textId="77777777" w:rsidTr="00641935">
        <w:trPr>
          <w:trHeight w:val="56"/>
        </w:trPr>
        <w:tc>
          <w:tcPr>
            <w:tcW w:w="645" w:type="dxa"/>
            <w:tcBorders>
              <w:top w:val="single" w:sz="8" w:space="0" w:color="0098CB"/>
              <w:left w:val="single" w:sz="8" w:space="0" w:color="0098CB"/>
              <w:bottom w:val="single" w:sz="8" w:space="0" w:color="0098CB"/>
              <w:right w:val="nil"/>
            </w:tcBorders>
            <w:shd w:val="clear" w:color="auto" w:fill="DEEAF6" w:themeFill="accent5" w:themeFillTint="33"/>
            <w:vAlign w:val="bottom"/>
          </w:tcPr>
          <w:p w14:paraId="4B5AF5CA" w14:textId="77777777" w:rsidR="008E75CC" w:rsidRPr="0043612A" w:rsidRDefault="008E75CC" w:rsidP="006C04E1">
            <w:pPr>
              <w:pStyle w:val="Tableheading"/>
              <w:rPr>
                <w:rFonts w:cs="Arial"/>
                <w:sz w:val="22"/>
                <w:szCs w:val="22"/>
              </w:rPr>
            </w:pPr>
          </w:p>
        </w:tc>
        <w:tc>
          <w:tcPr>
            <w:tcW w:w="8920" w:type="dxa"/>
            <w:tcBorders>
              <w:top w:val="single" w:sz="8" w:space="0" w:color="0098CB"/>
              <w:left w:val="nil"/>
              <w:bottom w:val="single" w:sz="8" w:space="0" w:color="0098CB"/>
              <w:right w:val="single" w:sz="8" w:space="0" w:color="0098CB"/>
            </w:tcBorders>
            <w:shd w:val="clear" w:color="auto" w:fill="DEEAF6" w:themeFill="accent5" w:themeFillTint="33"/>
            <w:vAlign w:val="bottom"/>
          </w:tcPr>
          <w:p w14:paraId="7B941834" w14:textId="6D861B7A" w:rsidR="008E75CC" w:rsidRPr="0043612A" w:rsidRDefault="008E75CC" w:rsidP="006C04E1">
            <w:pPr>
              <w:pStyle w:val="Tableheading"/>
              <w:rPr>
                <w:rFonts w:cs="Arial"/>
                <w:b/>
                <w:bCs w:val="0"/>
                <w:i/>
                <w:iCs/>
                <w:sz w:val="22"/>
                <w:szCs w:val="22"/>
              </w:rPr>
            </w:pPr>
            <w:r w:rsidRPr="0043612A">
              <w:rPr>
                <w:rFonts w:cs="Arial"/>
                <w:b/>
                <w:bCs w:val="0"/>
                <w:i/>
                <w:iCs/>
                <w:sz w:val="22"/>
                <w:szCs w:val="22"/>
              </w:rPr>
              <w:t>Social security</w:t>
            </w:r>
          </w:p>
        </w:tc>
      </w:tr>
      <w:tr w:rsidR="00222D0C" w:rsidRPr="0043612A" w14:paraId="22D69F9A" w14:textId="77777777" w:rsidTr="00641935">
        <w:trPr>
          <w:trHeight w:val="836"/>
        </w:trPr>
        <w:tc>
          <w:tcPr>
            <w:tcW w:w="645" w:type="dxa"/>
            <w:tcBorders>
              <w:top w:val="single" w:sz="8" w:space="0" w:color="0098CB"/>
              <w:left w:val="single" w:sz="8" w:space="0" w:color="0098CB"/>
              <w:bottom w:val="single" w:sz="8" w:space="0" w:color="0098CB"/>
              <w:right w:val="single" w:sz="8" w:space="0" w:color="0098CB"/>
            </w:tcBorders>
          </w:tcPr>
          <w:p w14:paraId="46694A9F" w14:textId="40A88E67" w:rsidR="00222D0C" w:rsidRPr="0043612A" w:rsidRDefault="7594B9D7" w:rsidP="008E75CC">
            <w:pPr>
              <w:pStyle w:val="Tablecopy"/>
              <w:spacing w:before="40" w:after="40" w:line="240" w:lineRule="auto"/>
              <w:rPr>
                <w:rFonts w:cs="Arial"/>
                <w:sz w:val="22"/>
                <w:szCs w:val="22"/>
              </w:rPr>
            </w:pPr>
            <w:r w:rsidRPr="0043612A">
              <w:rPr>
                <w:rFonts w:cs="Arial"/>
                <w:sz w:val="22"/>
                <w:szCs w:val="22"/>
              </w:rPr>
              <w:t>2</w:t>
            </w:r>
            <w:r w:rsidR="00222D0C" w:rsidRPr="0043612A">
              <w:rPr>
                <w:rFonts w:cs="Arial"/>
                <w:sz w:val="22"/>
                <w:szCs w:val="22"/>
              </w:rPr>
              <w:t xml:space="preserve">. </w:t>
            </w:r>
          </w:p>
        </w:tc>
        <w:tc>
          <w:tcPr>
            <w:tcW w:w="8920" w:type="dxa"/>
            <w:tcBorders>
              <w:top w:val="single" w:sz="8" w:space="0" w:color="0098CB"/>
              <w:left w:val="single" w:sz="8" w:space="0" w:color="0098CB"/>
              <w:bottom w:val="single" w:sz="8" w:space="0" w:color="0098CB"/>
              <w:right w:val="single" w:sz="8" w:space="0" w:color="0098CB"/>
            </w:tcBorders>
          </w:tcPr>
          <w:p w14:paraId="50608B8E" w14:textId="3BF55747" w:rsidR="00222D0C" w:rsidRPr="0043612A" w:rsidRDefault="00AC59C2" w:rsidP="008E75CC">
            <w:pPr>
              <w:pStyle w:val="Tablecopy"/>
              <w:spacing w:before="40" w:after="40" w:line="240" w:lineRule="auto"/>
              <w:rPr>
                <w:rFonts w:cs="Arial"/>
                <w:sz w:val="22"/>
                <w:szCs w:val="22"/>
              </w:rPr>
            </w:pPr>
            <w:r w:rsidRPr="0043612A">
              <w:rPr>
                <w:rFonts w:cs="Arial"/>
                <w:sz w:val="22"/>
                <w:szCs w:val="22"/>
              </w:rPr>
              <w:t>The Australian Government should broaden access to social security supports during COVID-19 to people receiving Disability Support Pension and Carer’s payments, migrant workers, and people seeking asylum living in our communities.</w:t>
            </w:r>
          </w:p>
        </w:tc>
      </w:tr>
      <w:tr w:rsidR="008E75CC" w:rsidRPr="0043612A" w14:paraId="50E0BC72" w14:textId="77777777" w:rsidTr="00641935">
        <w:trPr>
          <w:trHeight w:val="56"/>
        </w:trPr>
        <w:tc>
          <w:tcPr>
            <w:tcW w:w="645" w:type="dxa"/>
            <w:tcBorders>
              <w:top w:val="single" w:sz="8" w:space="0" w:color="0098CB"/>
              <w:left w:val="single" w:sz="8" w:space="0" w:color="0098CB"/>
              <w:bottom w:val="single" w:sz="8" w:space="0" w:color="0098CB"/>
              <w:right w:val="nil"/>
            </w:tcBorders>
            <w:shd w:val="clear" w:color="auto" w:fill="DEEAF6" w:themeFill="accent5" w:themeFillTint="33"/>
            <w:vAlign w:val="bottom"/>
          </w:tcPr>
          <w:p w14:paraId="149B1828" w14:textId="77777777" w:rsidR="008E75CC" w:rsidRPr="0043612A" w:rsidRDefault="008E75CC" w:rsidP="006C04E1">
            <w:pPr>
              <w:pStyle w:val="Tableheading"/>
              <w:rPr>
                <w:rFonts w:cs="Arial"/>
                <w:sz w:val="22"/>
                <w:szCs w:val="22"/>
              </w:rPr>
            </w:pPr>
          </w:p>
        </w:tc>
        <w:tc>
          <w:tcPr>
            <w:tcW w:w="8920" w:type="dxa"/>
            <w:tcBorders>
              <w:top w:val="single" w:sz="8" w:space="0" w:color="0098CB"/>
              <w:left w:val="nil"/>
              <w:bottom w:val="single" w:sz="8" w:space="0" w:color="0098CB"/>
              <w:right w:val="single" w:sz="8" w:space="0" w:color="0098CB"/>
            </w:tcBorders>
            <w:shd w:val="clear" w:color="auto" w:fill="DEEAF6" w:themeFill="accent5" w:themeFillTint="33"/>
            <w:vAlign w:val="bottom"/>
          </w:tcPr>
          <w:p w14:paraId="1CFA7ED7" w14:textId="5BAD7256" w:rsidR="008E75CC" w:rsidRPr="0043612A" w:rsidRDefault="008E75CC" w:rsidP="006C04E1">
            <w:pPr>
              <w:pStyle w:val="Tableheading"/>
              <w:rPr>
                <w:rFonts w:cs="Arial"/>
                <w:b/>
                <w:bCs w:val="0"/>
                <w:i/>
                <w:iCs/>
                <w:sz w:val="22"/>
                <w:szCs w:val="22"/>
              </w:rPr>
            </w:pPr>
            <w:r w:rsidRPr="0043612A">
              <w:rPr>
                <w:rFonts w:cs="Arial"/>
                <w:b/>
                <w:bCs w:val="0"/>
                <w:i/>
                <w:iCs/>
                <w:sz w:val="22"/>
                <w:szCs w:val="22"/>
              </w:rPr>
              <w:t>National Disability Insurance Scheme</w:t>
            </w:r>
          </w:p>
        </w:tc>
      </w:tr>
      <w:tr w:rsidR="00222D0C" w:rsidRPr="0043612A" w14:paraId="4E97091D" w14:textId="77777777" w:rsidTr="00641935">
        <w:trPr>
          <w:trHeight w:val="898"/>
        </w:trPr>
        <w:tc>
          <w:tcPr>
            <w:tcW w:w="645" w:type="dxa"/>
            <w:tcBorders>
              <w:top w:val="single" w:sz="8" w:space="0" w:color="0098CB"/>
              <w:left w:val="single" w:sz="8" w:space="0" w:color="0098CB"/>
              <w:bottom w:val="single" w:sz="8" w:space="0" w:color="0098CB"/>
              <w:right w:val="single" w:sz="8" w:space="0" w:color="0098CB"/>
            </w:tcBorders>
          </w:tcPr>
          <w:p w14:paraId="6FB5B23A" w14:textId="53E2C289" w:rsidR="00222D0C" w:rsidRPr="0043612A" w:rsidRDefault="3BD44328" w:rsidP="008E75CC">
            <w:pPr>
              <w:pStyle w:val="Tablecopy"/>
              <w:spacing w:before="40" w:after="40" w:line="240" w:lineRule="auto"/>
              <w:rPr>
                <w:rFonts w:cs="Arial"/>
                <w:sz w:val="22"/>
                <w:szCs w:val="22"/>
              </w:rPr>
            </w:pPr>
            <w:r w:rsidRPr="0043612A">
              <w:rPr>
                <w:rFonts w:cs="Arial"/>
                <w:sz w:val="22"/>
                <w:szCs w:val="22"/>
              </w:rPr>
              <w:t>3</w:t>
            </w:r>
            <w:r w:rsidR="00222D0C" w:rsidRPr="0043612A">
              <w:rPr>
                <w:rFonts w:cs="Arial"/>
                <w:sz w:val="22"/>
                <w:szCs w:val="22"/>
              </w:rPr>
              <w:t>.</w:t>
            </w:r>
          </w:p>
        </w:tc>
        <w:tc>
          <w:tcPr>
            <w:tcW w:w="8920" w:type="dxa"/>
            <w:tcBorders>
              <w:top w:val="single" w:sz="8" w:space="0" w:color="0098CB"/>
              <w:left w:val="single" w:sz="8" w:space="0" w:color="0098CB"/>
              <w:bottom w:val="single" w:sz="8" w:space="0" w:color="0098CB"/>
              <w:right w:val="single" w:sz="8" w:space="0" w:color="0098CB"/>
            </w:tcBorders>
          </w:tcPr>
          <w:p w14:paraId="29EB1F56" w14:textId="77777777" w:rsidR="00AC59C2" w:rsidRPr="0043612A" w:rsidRDefault="00AC59C2" w:rsidP="00AC59C2">
            <w:pPr>
              <w:pStyle w:val="Tablecopy"/>
              <w:numPr>
                <w:ilvl w:val="0"/>
                <w:numId w:val="21"/>
              </w:numPr>
              <w:spacing w:before="40" w:after="40" w:line="240" w:lineRule="auto"/>
              <w:rPr>
                <w:rFonts w:cs="Arial"/>
                <w:sz w:val="22"/>
                <w:szCs w:val="22"/>
              </w:rPr>
            </w:pPr>
            <w:r w:rsidRPr="0043612A">
              <w:rPr>
                <w:rFonts w:cs="Arial"/>
                <w:sz w:val="22"/>
                <w:szCs w:val="22"/>
              </w:rPr>
              <w:t>Increase further flexibility in how NDIS funding can be used, including clear communication about how NDIS supports can be accessed for urgent support needs during COVID-19</w:t>
            </w:r>
          </w:p>
          <w:p w14:paraId="3C1DF54B" w14:textId="77777777" w:rsidR="00AC59C2" w:rsidRPr="0043612A" w:rsidRDefault="00AC59C2" w:rsidP="00AC59C2">
            <w:pPr>
              <w:pStyle w:val="Tablecopy"/>
              <w:numPr>
                <w:ilvl w:val="0"/>
                <w:numId w:val="21"/>
              </w:numPr>
              <w:spacing w:before="40" w:after="40" w:line="240" w:lineRule="auto"/>
              <w:rPr>
                <w:rFonts w:cs="Arial"/>
                <w:sz w:val="22"/>
                <w:szCs w:val="22"/>
              </w:rPr>
            </w:pPr>
            <w:r w:rsidRPr="0043612A">
              <w:rPr>
                <w:rFonts w:cs="Arial"/>
                <w:sz w:val="22"/>
                <w:szCs w:val="22"/>
              </w:rPr>
              <w:t>Improve responsiveness and timeliness of NDIA processes by introducing temporary fast track mechanisms and bringing forward the implementation of the Tune Review recommendations, and</w:t>
            </w:r>
          </w:p>
          <w:p w14:paraId="28834266" w14:textId="3D5003C5" w:rsidR="00222D0C" w:rsidRPr="0043612A" w:rsidRDefault="00AC59C2" w:rsidP="00AC59C2">
            <w:pPr>
              <w:pStyle w:val="Tablecopy"/>
              <w:numPr>
                <w:ilvl w:val="0"/>
                <w:numId w:val="21"/>
              </w:numPr>
              <w:spacing w:before="40" w:after="40" w:line="240" w:lineRule="auto"/>
              <w:rPr>
                <w:rFonts w:cs="Arial"/>
                <w:sz w:val="22"/>
                <w:szCs w:val="22"/>
              </w:rPr>
            </w:pPr>
            <w:r w:rsidRPr="0043612A">
              <w:rPr>
                <w:rFonts w:cs="Arial"/>
                <w:sz w:val="22"/>
                <w:szCs w:val="22"/>
              </w:rPr>
              <w:t>Work with state and territory governments to ensure there is a service safety net where the NDIS market fails and market intervention is required,</w:t>
            </w:r>
          </w:p>
        </w:tc>
      </w:tr>
      <w:tr w:rsidR="008E75CC" w:rsidRPr="0043612A" w14:paraId="2A6A5AAE" w14:textId="77777777" w:rsidTr="00641935">
        <w:trPr>
          <w:trHeight w:val="56"/>
        </w:trPr>
        <w:tc>
          <w:tcPr>
            <w:tcW w:w="645" w:type="dxa"/>
            <w:tcBorders>
              <w:top w:val="single" w:sz="8" w:space="0" w:color="0098CB"/>
              <w:left w:val="single" w:sz="8" w:space="0" w:color="0098CB"/>
              <w:bottom w:val="single" w:sz="8" w:space="0" w:color="0098CB"/>
              <w:right w:val="nil"/>
            </w:tcBorders>
            <w:shd w:val="clear" w:color="auto" w:fill="DEEAF6" w:themeFill="accent5" w:themeFillTint="33"/>
            <w:vAlign w:val="bottom"/>
          </w:tcPr>
          <w:p w14:paraId="4D110E65" w14:textId="74787F7B" w:rsidR="008E75CC" w:rsidRPr="0043612A" w:rsidRDefault="008E75CC" w:rsidP="006C04E1">
            <w:pPr>
              <w:pStyle w:val="Tableheading"/>
              <w:rPr>
                <w:rFonts w:cs="Arial"/>
                <w:sz w:val="22"/>
                <w:szCs w:val="22"/>
              </w:rPr>
            </w:pPr>
          </w:p>
        </w:tc>
        <w:tc>
          <w:tcPr>
            <w:tcW w:w="8920" w:type="dxa"/>
            <w:tcBorders>
              <w:top w:val="single" w:sz="8" w:space="0" w:color="0098CB"/>
              <w:left w:val="nil"/>
              <w:bottom w:val="single" w:sz="8" w:space="0" w:color="0098CB"/>
              <w:right w:val="single" w:sz="8" w:space="0" w:color="0098CB"/>
            </w:tcBorders>
            <w:shd w:val="clear" w:color="auto" w:fill="DEEAF6" w:themeFill="accent5" w:themeFillTint="33"/>
            <w:vAlign w:val="bottom"/>
          </w:tcPr>
          <w:p w14:paraId="22622677" w14:textId="3A37125C" w:rsidR="008E75CC" w:rsidRPr="0043612A" w:rsidRDefault="008E75CC" w:rsidP="006C04E1">
            <w:pPr>
              <w:pStyle w:val="Tableheading"/>
              <w:rPr>
                <w:rFonts w:cs="Arial"/>
                <w:b/>
                <w:bCs w:val="0"/>
                <w:i/>
                <w:iCs/>
                <w:sz w:val="22"/>
                <w:szCs w:val="22"/>
              </w:rPr>
            </w:pPr>
            <w:r w:rsidRPr="0043612A">
              <w:rPr>
                <w:rFonts w:cs="Arial"/>
                <w:b/>
                <w:bCs w:val="0"/>
                <w:i/>
                <w:iCs/>
                <w:sz w:val="22"/>
                <w:szCs w:val="22"/>
              </w:rPr>
              <w:t>Migration</w:t>
            </w:r>
          </w:p>
        </w:tc>
      </w:tr>
      <w:tr w:rsidR="00222D0C" w:rsidRPr="0043612A" w14:paraId="281D28E0" w14:textId="77777777" w:rsidTr="00641935">
        <w:trPr>
          <w:trHeight w:val="898"/>
        </w:trPr>
        <w:tc>
          <w:tcPr>
            <w:tcW w:w="645" w:type="dxa"/>
            <w:tcBorders>
              <w:top w:val="single" w:sz="8" w:space="0" w:color="0098CB"/>
              <w:left w:val="single" w:sz="8" w:space="0" w:color="0098CB"/>
              <w:bottom w:val="single" w:sz="8" w:space="0" w:color="0098CB"/>
              <w:right w:val="single" w:sz="8" w:space="0" w:color="0098CB"/>
            </w:tcBorders>
          </w:tcPr>
          <w:p w14:paraId="1922006F" w14:textId="7090FE90" w:rsidR="00222D0C" w:rsidRPr="0043612A" w:rsidRDefault="3BB4F5DC" w:rsidP="008E75CC">
            <w:pPr>
              <w:pStyle w:val="Tablecopy"/>
              <w:spacing w:before="40" w:after="40" w:line="240" w:lineRule="auto"/>
              <w:rPr>
                <w:rFonts w:cs="Arial"/>
                <w:sz w:val="22"/>
                <w:szCs w:val="22"/>
              </w:rPr>
            </w:pPr>
            <w:r w:rsidRPr="0043612A">
              <w:rPr>
                <w:rFonts w:cs="Arial"/>
                <w:sz w:val="22"/>
                <w:szCs w:val="22"/>
              </w:rPr>
              <w:t>4</w:t>
            </w:r>
            <w:r w:rsidR="00222D0C" w:rsidRPr="0043612A">
              <w:rPr>
                <w:rFonts w:cs="Arial"/>
                <w:sz w:val="22"/>
                <w:szCs w:val="22"/>
              </w:rPr>
              <w:t>.</w:t>
            </w:r>
          </w:p>
        </w:tc>
        <w:tc>
          <w:tcPr>
            <w:tcW w:w="8920" w:type="dxa"/>
            <w:tcBorders>
              <w:top w:val="single" w:sz="8" w:space="0" w:color="0098CB"/>
              <w:left w:val="single" w:sz="8" w:space="0" w:color="0098CB"/>
              <w:bottom w:val="single" w:sz="8" w:space="0" w:color="0098CB"/>
              <w:right w:val="single" w:sz="8" w:space="0" w:color="0098CB"/>
            </w:tcBorders>
          </w:tcPr>
          <w:p w14:paraId="17578C05" w14:textId="47E8198A" w:rsidR="00222D0C" w:rsidRPr="0043612A" w:rsidRDefault="00222D0C" w:rsidP="008E75CC">
            <w:pPr>
              <w:pStyle w:val="Tablecopy"/>
              <w:numPr>
                <w:ilvl w:val="0"/>
                <w:numId w:val="23"/>
              </w:numPr>
              <w:spacing w:before="40" w:after="40" w:line="240" w:lineRule="auto"/>
              <w:ind w:left="467" w:hanging="425"/>
              <w:rPr>
                <w:rFonts w:cs="Arial"/>
                <w:sz w:val="22"/>
                <w:szCs w:val="22"/>
              </w:rPr>
            </w:pPr>
            <w:r w:rsidRPr="0043612A">
              <w:rPr>
                <w:rFonts w:cs="Arial"/>
                <w:sz w:val="22"/>
                <w:szCs w:val="22"/>
              </w:rPr>
              <w:t>Fast track the release of vulnerable people from closed immigration detention by granting bridging visas or making appropriate residence determinations</w:t>
            </w:r>
          </w:p>
          <w:p w14:paraId="14A3519E" w14:textId="2E28A9A3" w:rsidR="00222D0C" w:rsidRPr="0043612A" w:rsidRDefault="00222D0C" w:rsidP="008E75CC">
            <w:pPr>
              <w:pStyle w:val="Tablecopy"/>
              <w:numPr>
                <w:ilvl w:val="0"/>
                <w:numId w:val="23"/>
              </w:numPr>
              <w:spacing w:before="40" w:after="40" w:line="240" w:lineRule="auto"/>
              <w:ind w:left="467" w:hanging="425"/>
              <w:rPr>
                <w:rFonts w:cs="Arial"/>
                <w:sz w:val="22"/>
                <w:szCs w:val="22"/>
              </w:rPr>
            </w:pPr>
            <w:r w:rsidRPr="0043612A">
              <w:rPr>
                <w:rFonts w:cs="Arial"/>
                <w:sz w:val="22"/>
                <w:szCs w:val="22"/>
              </w:rPr>
              <w:t>Ensure people in immigration detention are able to physically distance in all areas (including sleeping quarters)</w:t>
            </w:r>
          </w:p>
          <w:p w14:paraId="7784D644" w14:textId="69009845" w:rsidR="00222D0C" w:rsidRPr="0043612A" w:rsidRDefault="00222D0C" w:rsidP="008E75CC">
            <w:pPr>
              <w:pStyle w:val="Tablecopy"/>
              <w:numPr>
                <w:ilvl w:val="0"/>
                <w:numId w:val="23"/>
              </w:numPr>
              <w:spacing w:before="40" w:after="40" w:line="240" w:lineRule="auto"/>
              <w:ind w:left="467" w:hanging="425"/>
              <w:rPr>
                <w:rFonts w:cs="Arial"/>
                <w:sz w:val="22"/>
                <w:szCs w:val="22"/>
              </w:rPr>
            </w:pPr>
            <w:r w:rsidRPr="0043612A">
              <w:rPr>
                <w:rFonts w:cs="Arial"/>
                <w:sz w:val="22"/>
                <w:szCs w:val="22"/>
              </w:rPr>
              <w:t>Ensure people who remain in detention have access to high quality health care (including psychological services)</w:t>
            </w:r>
            <w:r w:rsidR="006871C8" w:rsidRPr="0043612A">
              <w:rPr>
                <w:rFonts w:cs="Arial"/>
                <w:sz w:val="22"/>
                <w:szCs w:val="22"/>
              </w:rPr>
              <w:t>, and</w:t>
            </w:r>
          </w:p>
          <w:p w14:paraId="487769A8" w14:textId="40938C94" w:rsidR="00222D0C" w:rsidRPr="0043612A" w:rsidRDefault="00222D0C" w:rsidP="008E75CC">
            <w:pPr>
              <w:pStyle w:val="Tablecopy"/>
              <w:numPr>
                <w:ilvl w:val="0"/>
                <w:numId w:val="23"/>
              </w:numPr>
              <w:spacing w:before="40" w:after="40" w:line="240" w:lineRule="auto"/>
              <w:ind w:left="467" w:hanging="425"/>
              <w:rPr>
                <w:rFonts w:cs="Arial"/>
                <w:sz w:val="22"/>
                <w:szCs w:val="22"/>
              </w:rPr>
            </w:pPr>
            <w:r w:rsidRPr="0043612A">
              <w:rPr>
                <w:rFonts w:cs="Arial"/>
                <w:sz w:val="22"/>
                <w:szCs w:val="22"/>
              </w:rPr>
              <w:t>Ensure people in detention have access to adequate technology and phones to maintain connection with any community supports during COVID-19.</w:t>
            </w:r>
          </w:p>
        </w:tc>
      </w:tr>
      <w:tr w:rsidR="00222D0C" w:rsidRPr="0043612A" w14:paraId="6AEAD8D7" w14:textId="77777777" w:rsidTr="00641935">
        <w:trPr>
          <w:trHeight w:val="898"/>
        </w:trPr>
        <w:tc>
          <w:tcPr>
            <w:tcW w:w="645" w:type="dxa"/>
            <w:tcBorders>
              <w:top w:val="single" w:sz="8" w:space="0" w:color="0098CB"/>
              <w:left w:val="single" w:sz="8" w:space="0" w:color="0098CB"/>
              <w:bottom w:val="single" w:sz="8" w:space="0" w:color="0098CB"/>
              <w:right w:val="single" w:sz="8" w:space="0" w:color="0098CB"/>
            </w:tcBorders>
          </w:tcPr>
          <w:p w14:paraId="29C25F29" w14:textId="04DB302C" w:rsidR="00222D0C" w:rsidRPr="0043612A" w:rsidRDefault="01989485" w:rsidP="008E75CC">
            <w:pPr>
              <w:pStyle w:val="Tablecopy"/>
              <w:spacing w:before="40" w:after="40" w:line="240" w:lineRule="auto"/>
              <w:rPr>
                <w:rFonts w:cs="Arial"/>
                <w:sz w:val="22"/>
                <w:szCs w:val="22"/>
              </w:rPr>
            </w:pPr>
            <w:r w:rsidRPr="0043612A">
              <w:rPr>
                <w:rFonts w:cs="Arial"/>
                <w:sz w:val="22"/>
                <w:szCs w:val="22"/>
              </w:rPr>
              <w:t>5</w:t>
            </w:r>
            <w:r w:rsidR="00222D0C" w:rsidRPr="0043612A">
              <w:rPr>
                <w:rFonts w:cs="Arial"/>
                <w:sz w:val="22"/>
                <w:szCs w:val="22"/>
              </w:rPr>
              <w:t>.</w:t>
            </w:r>
          </w:p>
        </w:tc>
        <w:tc>
          <w:tcPr>
            <w:tcW w:w="8920" w:type="dxa"/>
            <w:tcBorders>
              <w:top w:val="single" w:sz="8" w:space="0" w:color="0098CB"/>
              <w:left w:val="single" w:sz="8" w:space="0" w:color="0098CB"/>
              <w:bottom w:val="single" w:sz="8" w:space="0" w:color="0098CB"/>
              <w:right w:val="single" w:sz="8" w:space="0" w:color="0098CB"/>
            </w:tcBorders>
          </w:tcPr>
          <w:p w14:paraId="06974CE0" w14:textId="21FC4EB7" w:rsidR="00222D0C" w:rsidRPr="0043612A" w:rsidRDefault="00222D0C" w:rsidP="008E75CC">
            <w:pPr>
              <w:pStyle w:val="Tablecopy"/>
              <w:numPr>
                <w:ilvl w:val="0"/>
                <w:numId w:val="25"/>
              </w:numPr>
              <w:spacing w:before="40" w:after="40" w:line="240" w:lineRule="auto"/>
              <w:ind w:left="467" w:hanging="467"/>
              <w:rPr>
                <w:rFonts w:cs="Arial"/>
                <w:sz w:val="22"/>
                <w:szCs w:val="22"/>
              </w:rPr>
            </w:pPr>
            <w:r w:rsidRPr="0043612A">
              <w:rPr>
                <w:rFonts w:cs="Arial"/>
                <w:sz w:val="22"/>
                <w:szCs w:val="22"/>
              </w:rPr>
              <w:t>Ensure asylum seekers living in the community have valid bridging visas and access to Medicare</w:t>
            </w:r>
          </w:p>
          <w:p w14:paraId="756CF441" w14:textId="676486BD" w:rsidR="00222D0C" w:rsidRPr="0043612A" w:rsidRDefault="00222D0C" w:rsidP="008E75CC">
            <w:pPr>
              <w:pStyle w:val="Tablecopy"/>
              <w:numPr>
                <w:ilvl w:val="0"/>
                <w:numId w:val="25"/>
              </w:numPr>
              <w:spacing w:before="40" w:after="40" w:line="240" w:lineRule="auto"/>
              <w:ind w:left="467" w:hanging="467"/>
              <w:rPr>
                <w:rFonts w:cs="Arial"/>
                <w:sz w:val="22"/>
                <w:szCs w:val="22"/>
              </w:rPr>
            </w:pPr>
            <w:r w:rsidRPr="0043612A">
              <w:rPr>
                <w:rFonts w:cs="Arial"/>
                <w:sz w:val="22"/>
                <w:szCs w:val="22"/>
              </w:rPr>
              <w:t>Allow asylum seekers and refugees to access superannuation</w:t>
            </w:r>
            <w:r w:rsidR="006871C8" w:rsidRPr="0043612A">
              <w:rPr>
                <w:rFonts w:cs="Arial"/>
                <w:sz w:val="22"/>
                <w:szCs w:val="22"/>
              </w:rPr>
              <w:t>, and</w:t>
            </w:r>
          </w:p>
          <w:p w14:paraId="20C9706D" w14:textId="07B85025" w:rsidR="00222D0C" w:rsidRPr="0043612A" w:rsidRDefault="00222D0C" w:rsidP="008E75CC">
            <w:pPr>
              <w:pStyle w:val="Tablecopy"/>
              <w:numPr>
                <w:ilvl w:val="0"/>
                <w:numId w:val="25"/>
              </w:numPr>
              <w:spacing w:before="40" w:after="40" w:line="240" w:lineRule="auto"/>
              <w:ind w:left="467" w:hanging="467"/>
              <w:rPr>
                <w:rFonts w:cs="Arial"/>
                <w:sz w:val="22"/>
                <w:szCs w:val="22"/>
              </w:rPr>
            </w:pPr>
            <w:r w:rsidRPr="0043612A">
              <w:rPr>
                <w:rFonts w:cs="Arial"/>
                <w:sz w:val="22"/>
                <w:szCs w:val="22"/>
              </w:rPr>
              <w:t>Increase funding for support services for people seeking asylum and refugees.</w:t>
            </w:r>
          </w:p>
        </w:tc>
      </w:tr>
    </w:tbl>
    <w:p w14:paraId="43FE8D0D" w14:textId="77777777" w:rsidR="00C85A7A" w:rsidRPr="0043612A" w:rsidRDefault="00C85A7A" w:rsidP="006C04E1">
      <w:pPr>
        <w:pStyle w:val="Tableheading"/>
        <w:rPr>
          <w:rFonts w:cs="Arial"/>
          <w:sz w:val="22"/>
          <w:szCs w:val="22"/>
        </w:rPr>
        <w:sectPr w:rsidR="00C85A7A" w:rsidRPr="0043612A" w:rsidSect="00AB001E">
          <w:pgSz w:w="11906" w:h="16838" w:code="9"/>
          <w:pgMar w:top="851" w:right="1021" w:bottom="851" w:left="1021" w:header="851" w:footer="284" w:gutter="0"/>
          <w:cols w:space="720"/>
          <w:titlePg/>
          <w:docGrid w:linePitch="299"/>
        </w:sectPr>
      </w:pPr>
    </w:p>
    <w:tbl>
      <w:tblPr>
        <w:tblStyle w:val="GridTable1Light-Accent5"/>
        <w:tblW w:w="0" w:type="auto"/>
        <w:tblInd w:w="279" w:type="dxa"/>
        <w:tblLook w:val="0420" w:firstRow="1" w:lastRow="0" w:firstColumn="0" w:lastColumn="0" w:noHBand="0" w:noVBand="1"/>
      </w:tblPr>
      <w:tblGrid>
        <w:gridCol w:w="522"/>
        <w:gridCol w:w="8930"/>
      </w:tblGrid>
      <w:tr w:rsidR="008E75CC" w:rsidRPr="0043612A" w14:paraId="7AB712CA" w14:textId="77777777" w:rsidTr="00C85A7A">
        <w:trPr>
          <w:cnfStyle w:val="100000000000" w:firstRow="1" w:lastRow="0" w:firstColumn="0" w:lastColumn="0" w:oddVBand="0" w:evenVBand="0" w:oddHBand="0" w:evenHBand="0" w:firstRowFirstColumn="0" w:firstRowLastColumn="0" w:lastRowFirstColumn="0" w:lastRowLastColumn="0"/>
          <w:trHeight w:val="56"/>
        </w:trPr>
        <w:tc>
          <w:tcPr>
            <w:tcW w:w="522" w:type="dxa"/>
            <w:tcBorders>
              <w:top w:val="single" w:sz="8" w:space="0" w:color="0098CB"/>
              <w:left w:val="single" w:sz="8" w:space="0" w:color="0098CB"/>
              <w:bottom w:val="single" w:sz="8" w:space="0" w:color="0098CB"/>
              <w:right w:val="nil"/>
            </w:tcBorders>
            <w:shd w:val="clear" w:color="auto" w:fill="DEEAF6" w:themeFill="accent5" w:themeFillTint="33"/>
            <w:vAlign w:val="bottom"/>
          </w:tcPr>
          <w:p w14:paraId="5A1C4571" w14:textId="75E0969A" w:rsidR="008E75CC" w:rsidRPr="0043612A" w:rsidRDefault="008E75CC" w:rsidP="006C04E1">
            <w:pPr>
              <w:pStyle w:val="Tableheading"/>
              <w:rPr>
                <w:rFonts w:cs="Arial"/>
                <w:sz w:val="22"/>
                <w:szCs w:val="22"/>
              </w:rPr>
            </w:pPr>
          </w:p>
        </w:tc>
        <w:tc>
          <w:tcPr>
            <w:tcW w:w="8930" w:type="dxa"/>
            <w:tcBorders>
              <w:top w:val="single" w:sz="8" w:space="0" w:color="0098CB"/>
              <w:left w:val="nil"/>
              <w:bottom w:val="single" w:sz="8" w:space="0" w:color="0098CB"/>
              <w:right w:val="single" w:sz="8" w:space="0" w:color="0098CB"/>
            </w:tcBorders>
            <w:shd w:val="clear" w:color="auto" w:fill="DEEAF6" w:themeFill="accent5" w:themeFillTint="33"/>
            <w:vAlign w:val="bottom"/>
          </w:tcPr>
          <w:p w14:paraId="09A0D925" w14:textId="72BB88FF" w:rsidR="008E75CC" w:rsidRPr="0043612A" w:rsidRDefault="008E75CC" w:rsidP="006C04E1">
            <w:pPr>
              <w:pStyle w:val="Tableheading"/>
              <w:rPr>
                <w:rFonts w:cs="Arial"/>
                <w:b w:val="0"/>
                <w:bCs/>
                <w:i/>
                <w:iCs/>
                <w:sz w:val="22"/>
                <w:szCs w:val="22"/>
              </w:rPr>
            </w:pPr>
            <w:r w:rsidRPr="0043612A">
              <w:rPr>
                <w:rFonts w:cs="Arial"/>
                <w:i/>
                <w:iCs/>
                <w:sz w:val="22"/>
                <w:szCs w:val="22"/>
              </w:rPr>
              <w:t>Discrimination and sexual harassment</w:t>
            </w:r>
          </w:p>
        </w:tc>
      </w:tr>
      <w:tr w:rsidR="008E75CC" w:rsidRPr="0043612A" w14:paraId="700EDA7D" w14:textId="77777777" w:rsidTr="00C85A7A">
        <w:trPr>
          <w:trHeight w:val="794"/>
        </w:trPr>
        <w:tc>
          <w:tcPr>
            <w:tcW w:w="522" w:type="dxa"/>
            <w:tcBorders>
              <w:top w:val="single" w:sz="8" w:space="0" w:color="0098CB"/>
              <w:left w:val="single" w:sz="8" w:space="0" w:color="0098CB"/>
              <w:bottom w:val="single" w:sz="8" w:space="0" w:color="0098CB"/>
              <w:right w:val="single" w:sz="8" w:space="0" w:color="0098CB"/>
            </w:tcBorders>
          </w:tcPr>
          <w:p w14:paraId="0BC4184C" w14:textId="4374B0E4" w:rsidR="008E75CC" w:rsidRPr="0043612A" w:rsidRDefault="147B5BB9" w:rsidP="008E75CC">
            <w:pPr>
              <w:pStyle w:val="Tablecopy"/>
              <w:spacing w:before="40" w:after="40" w:line="240" w:lineRule="auto"/>
              <w:rPr>
                <w:rFonts w:cs="Arial"/>
                <w:sz w:val="22"/>
                <w:szCs w:val="22"/>
              </w:rPr>
            </w:pPr>
            <w:r w:rsidRPr="0043612A">
              <w:rPr>
                <w:rFonts w:cs="Arial"/>
                <w:sz w:val="22"/>
                <w:szCs w:val="22"/>
              </w:rPr>
              <w:t>6</w:t>
            </w:r>
            <w:r w:rsidR="008E75CC" w:rsidRPr="0043612A">
              <w:rPr>
                <w:rFonts w:cs="Arial"/>
                <w:sz w:val="22"/>
                <w:szCs w:val="22"/>
              </w:rPr>
              <w:t>.</w:t>
            </w:r>
          </w:p>
        </w:tc>
        <w:tc>
          <w:tcPr>
            <w:tcW w:w="8930" w:type="dxa"/>
            <w:tcBorders>
              <w:top w:val="single" w:sz="8" w:space="0" w:color="0098CB"/>
              <w:left w:val="single" w:sz="8" w:space="0" w:color="0098CB"/>
              <w:bottom w:val="single" w:sz="8" w:space="0" w:color="0098CB"/>
              <w:right w:val="single" w:sz="8" w:space="0" w:color="0098CB"/>
            </w:tcBorders>
          </w:tcPr>
          <w:p w14:paraId="7CE4C963" w14:textId="237730EC" w:rsidR="008E75CC" w:rsidRPr="0043612A" w:rsidRDefault="008E75CC" w:rsidP="008E75CC">
            <w:pPr>
              <w:pStyle w:val="Tablecopy"/>
              <w:spacing w:before="40" w:after="40" w:line="240" w:lineRule="auto"/>
              <w:rPr>
                <w:rFonts w:cs="Arial"/>
                <w:sz w:val="22"/>
                <w:szCs w:val="22"/>
              </w:rPr>
            </w:pPr>
            <w:r w:rsidRPr="0043612A">
              <w:rPr>
                <w:rFonts w:cs="Arial"/>
                <w:sz w:val="22"/>
                <w:szCs w:val="22"/>
              </w:rPr>
              <w:t xml:space="preserve">Implement an additional temporary amendment to the </w:t>
            </w:r>
            <w:r w:rsidRPr="0043612A">
              <w:rPr>
                <w:rFonts w:cs="Arial"/>
                <w:i/>
                <w:iCs/>
                <w:sz w:val="22"/>
                <w:szCs w:val="22"/>
              </w:rPr>
              <w:t>Fair Work Act 2009</w:t>
            </w:r>
            <w:r w:rsidRPr="0043612A">
              <w:rPr>
                <w:rFonts w:cs="Arial"/>
                <w:sz w:val="22"/>
                <w:szCs w:val="22"/>
              </w:rPr>
              <w:t xml:space="preserve"> (</w:t>
            </w:r>
            <w:proofErr w:type="spellStart"/>
            <w:r w:rsidRPr="0043612A">
              <w:rPr>
                <w:rFonts w:cs="Arial"/>
                <w:sz w:val="22"/>
                <w:szCs w:val="22"/>
              </w:rPr>
              <w:t>Cth</w:t>
            </w:r>
            <w:proofErr w:type="spellEnd"/>
            <w:r w:rsidRPr="0043612A">
              <w:rPr>
                <w:rFonts w:cs="Arial"/>
                <w:sz w:val="22"/>
                <w:szCs w:val="22"/>
              </w:rPr>
              <w:t>) to enable employees to challenge ‘reasonable business grounds’ in relation employer refusals of flexibility requests during COVID-19.</w:t>
            </w:r>
          </w:p>
        </w:tc>
      </w:tr>
      <w:tr w:rsidR="008E75CC" w:rsidRPr="0043612A" w14:paraId="49C33148" w14:textId="77777777" w:rsidTr="00C85A7A">
        <w:trPr>
          <w:trHeight w:val="1080"/>
        </w:trPr>
        <w:tc>
          <w:tcPr>
            <w:tcW w:w="522" w:type="dxa"/>
            <w:tcBorders>
              <w:top w:val="single" w:sz="8" w:space="0" w:color="0098CB"/>
              <w:left w:val="single" w:sz="8" w:space="0" w:color="0098CB"/>
              <w:bottom w:val="single" w:sz="8" w:space="0" w:color="0098CB"/>
              <w:right w:val="single" w:sz="8" w:space="0" w:color="0098CB"/>
            </w:tcBorders>
          </w:tcPr>
          <w:p w14:paraId="1B31DBF1" w14:textId="5FAC54F5" w:rsidR="008E75CC" w:rsidRPr="0043612A" w:rsidRDefault="7729988D" w:rsidP="008E75CC">
            <w:pPr>
              <w:pStyle w:val="Tablecopy"/>
              <w:spacing w:before="40" w:after="40" w:line="240" w:lineRule="auto"/>
              <w:rPr>
                <w:rFonts w:cs="Arial"/>
                <w:sz w:val="22"/>
                <w:szCs w:val="22"/>
              </w:rPr>
            </w:pPr>
            <w:r w:rsidRPr="0043612A">
              <w:rPr>
                <w:rFonts w:cs="Arial"/>
                <w:sz w:val="22"/>
                <w:szCs w:val="22"/>
              </w:rPr>
              <w:t>7</w:t>
            </w:r>
            <w:r w:rsidR="008E75CC" w:rsidRPr="0043612A">
              <w:rPr>
                <w:rFonts w:cs="Arial"/>
                <w:sz w:val="22"/>
                <w:szCs w:val="22"/>
              </w:rPr>
              <w:t>.</w:t>
            </w:r>
          </w:p>
        </w:tc>
        <w:tc>
          <w:tcPr>
            <w:tcW w:w="8930" w:type="dxa"/>
            <w:tcBorders>
              <w:top w:val="single" w:sz="8" w:space="0" w:color="0098CB"/>
              <w:left w:val="single" w:sz="8" w:space="0" w:color="0098CB"/>
              <w:bottom w:val="single" w:sz="8" w:space="0" w:color="0098CB"/>
              <w:right w:val="single" w:sz="8" w:space="0" w:color="0098CB"/>
            </w:tcBorders>
          </w:tcPr>
          <w:p w14:paraId="62CF6784" w14:textId="24391B74" w:rsidR="008E75CC" w:rsidRPr="0043612A" w:rsidRDefault="008E75CC" w:rsidP="008E75CC">
            <w:pPr>
              <w:pStyle w:val="Tablecopy"/>
              <w:spacing w:before="40" w:after="40" w:line="240" w:lineRule="auto"/>
              <w:rPr>
                <w:rFonts w:cs="Arial"/>
                <w:sz w:val="22"/>
                <w:szCs w:val="22"/>
              </w:rPr>
            </w:pPr>
            <w:r w:rsidRPr="0043612A">
              <w:rPr>
                <w:rFonts w:cs="Arial"/>
                <w:sz w:val="22"/>
                <w:szCs w:val="22"/>
              </w:rPr>
              <w:t xml:space="preserve">Confirm that the Fair Work Commission’s </w:t>
            </w:r>
            <w:proofErr w:type="spellStart"/>
            <w:r w:rsidRPr="0043612A">
              <w:rPr>
                <w:rFonts w:cs="Arial"/>
                <w:sz w:val="22"/>
                <w:szCs w:val="22"/>
              </w:rPr>
              <w:t>JobKeeper</w:t>
            </w:r>
            <w:proofErr w:type="spellEnd"/>
            <w:r w:rsidRPr="0043612A">
              <w:rPr>
                <w:rFonts w:cs="Arial"/>
                <w:sz w:val="22"/>
                <w:szCs w:val="22"/>
              </w:rPr>
              <w:t xml:space="preserve"> dispute resolution powers under section 789GV of the new Part 6-4C of the </w:t>
            </w:r>
            <w:r w:rsidRPr="0043612A">
              <w:rPr>
                <w:rFonts w:cs="Arial"/>
                <w:i/>
                <w:iCs/>
                <w:sz w:val="22"/>
                <w:szCs w:val="22"/>
              </w:rPr>
              <w:t>Fair Work Act 2009</w:t>
            </w:r>
            <w:r w:rsidRPr="0043612A">
              <w:rPr>
                <w:rFonts w:cs="Arial"/>
                <w:sz w:val="22"/>
                <w:szCs w:val="22"/>
              </w:rPr>
              <w:t xml:space="preserve"> (</w:t>
            </w:r>
            <w:proofErr w:type="spellStart"/>
            <w:r w:rsidRPr="0043612A">
              <w:rPr>
                <w:rFonts w:cs="Arial"/>
                <w:sz w:val="22"/>
                <w:szCs w:val="22"/>
              </w:rPr>
              <w:t>Cth</w:t>
            </w:r>
            <w:proofErr w:type="spellEnd"/>
            <w:r w:rsidRPr="0043612A">
              <w:rPr>
                <w:rFonts w:cs="Arial"/>
                <w:sz w:val="22"/>
                <w:szCs w:val="22"/>
              </w:rPr>
              <w:t>) include the power to resolve disputes where an applicant has been discriminated against or treated adversely because of the applicant’s family or caring responsibilities, sex and/or disability.</w:t>
            </w:r>
          </w:p>
        </w:tc>
      </w:tr>
      <w:tr w:rsidR="008E75CC" w:rsidRPr="0043612A" w14:paraId="62193E7A" w14:textId="77777777" w:rsidTr="00C85A7A">
        <w:trPr>
          <w:trHeight w:val="487"/>
        </w:trPr>
        <w:tc>
          <w:tcPr>
            <w:tcW w:w="522" w:type="dxa"/>
            <w:tcBorders>
              <w:top w:val="single" w:sz="8" w:space="0" w:color="0098CB"/>
              <w:left w:val="single" w:sz="8" w:space="0" w:color="0098CB"/>
              <w:bottom w:val="single" w:sz="8" w:space="0" w:color="0098CB"/>
              <w:right w:val="single" w:sz="8" w:space="0" w:color="0098CB"/>
            </w:tcBorders>
          </w:tcPr>
          <w:p w14:paraId="4A46A236" w14:textId="60EDF9F1" w:rsidR="008E75CC" w:rsidRPr="0043612A" w:rsidRDefault="2E1EE420" w:rsidP="008E75CC">
            <w:pPr>
              <w:pStyle w:val="Tablecopy"/>
              <w:spacing w:before="40" w:after="40" w:line="240" w:lineRule="auto"/>
              <w:rPr>
                <w:rFonts w:cs="Arial"/>
                <w:sz w:val="22"/>
                <w:szCs w:val="22"/>
              </w:rPr>
            </w:pPr>
            <w:r w:rsidRPr="0043612A">
              <w:rPr>
                <w:rFonts w:cs="Arial"/>
                <w:sz w:val="22"/>
                <w:szCs w:val="22"/>
              </w:rPr>
              <w:t>8</w:t>
            </w:r>
            <w:r w:rsidR="008E75CC" w:rsidRPr="0043612A">
              <w:rPr>
                <w:rFonts w:cs="Arial"/>
                <w:sz w:val="22"/>
                <w:szCs w:val="22"/>
              </w:rPr>
              <w:t>.</w:t>
            </w:r>
          </w:p>
        </w:tc>
        <w:tc>
          <w:tcPr>
            <w:tcW w:w="8930" w:type="dxa"/>
            <w:tcBorders>
              <w:top w:val="single" w:sz="8" w:space="0" w:color="0098CB"/>
              <w:left w:val="single" w:sz="8" w:space="0" w:color="0098CB"/>
              <w:bottom w:val="single" w:sz="8" w:space="0" w:color="0098CB"/>
              <w:right w:val="single" w:sz="8" w:space="0" w:color="0098CB"/>
            </w:tcBorders>
          </w:tcPr>
          <w:p w14:paraId="12C9C863" w14:textId="1A335F71" w:rsidR="008E75CC" w:rsidRPr="0043612A" w:rsidRDefault="008E75CC" w:rsidP="008E75CC">
            <w:pPr>
              <w:pStyle w:val="Tablecopy"/>
              <w:spacing w:before="40" w:after="40" w:line="240" w:lineRule="auto"/>
              <w:rPr>
                <w:rFonts w:cs="Arial"/>
                <w:sz w:val="22"/>
                <w:szCs w:val="22"/>
              </w:rPr>
            </w:pPr>
            <w:r w:rsidRPr="0043612A">
              <w:rPr>
                <w:rFonts w:cs="Arial"/>
                <w:sz w:val="22"/>
                <w:szCs w:val="22"/>
              </w:rPr>
              <w:t xml:space="preserve">Amend the </w:t>
            </w:r>
            <w:r w:rsidRPr="0043612A">
              <w:rPr>
                <w:rFonts w:cs="Arial"/>
                <w:i/>
                <w:iCs/>
                <w:sz w:val="22"/>
                <w:szCs w:val="22"/>
              </w:rPr>
              <w:t>Sex Discrimination Act 1984</w:t>
            </w:r>
            <w:r w:rsidRPr="0043612A">
              <w:rPr>
                <w:rFonts w:cs="Arial"/>
                <w:sz w:val="22"/>
                <w:szCs w:val="22"/>
              </w:rPr>
              <w:t xml:space="preserve"> (</w:t>
            </w:r>
            <w:proofErr w:type="spellStart"/>
            <w:r w:rsidRPr="0043612A">
              <w:rPr>
                <w:rFonts w:cs="Arial"/>
                <w:sz w:val="22"/>
                <w:szCs w:val="22"/>
              </w:rPr>
              <w:t>Cth</w:t>
            </w:r>
            <w:proofErr w:type="spellEnd"/>
            <w:r w:rsidRPr="0043612A">
              <w:rPr>
                <w:rFonts w:cs="Arial"/>
                <w:sz w:val="22"/>
                <w:szCs w:val="22"/>
              </w:rPr>
              <w:t xml:space="preserve">) to include a cause of action for indirect discrimination on the ground of family responsibilities. </w:t>
            </w:r>
          </w:p>
        </w:tc>
      </w:tr>
      <w:tr w:rsidR="00F37264" w:rsidRPr="0043612A" w14:paraId="7BA3DE20" w14:textId="77777777" w:rsidTr="00A137AA">
        <w:trPr>
          <w:trHeight w:val="56"/>
        </w:trPr>
        <w:tc>
          <w:tcPr>
            <w:tcW w:w="522" w:type="dxa"/>
            <w:tcBorders>
              <w:top w:val="single" w:sz="8" w:space="0" w:color="0098CB"/>
              <w:left w:val="single" w:sz="8" w:space="0" w:color="0098CB"/>
              <w:bottom w:val="single" w:sz="8" w:space="0" w:color="0098CB"/>
              <w:right w:val="nil"/>
            </w:tcBorders>
            <w:shd w:val="clear" w:color="auto" w:fill="DEEAF6" w:themeFill="accent5" w:themeFillTint="33"/>
            <w:vAlign w:val="bottom"/>
          </w:tcPr>
          <w:p w14:paraId="2D9B965C" w14:textId="77777777" w:rsidR="00F37264" w:rsidRPr="0043612A" w:rsidRDefault="00F37264" w:rsidP="00A137AA">
            <w:pPr>
              <w:pStyle w:val="Tableheading"/>
              <w:rPr>
                <w:rFonts w:cs="Arial"/>
                <w:sz w:val="22"/>
                <w:szCs w:val="22"/>
              </w:rPr>
            </w:pPr>
          </w:p>
        </w:tc>
        <w:tc>
          <w:tcPr>
            <w:tcW w:w="8930" w:type="dxa"/>
            <w:tcBorders>
              <w:top w:val="single" w:sz="8" w:space="0" w:color="0098CB"/>
              <w:left w:val="nil"/>
              <w:bottom w:val="single" w:sz="8" w:space="0" w:color="0098CB"/>
              <w:right w:val="single" w:sz="8" w:space="0" w:color="0098CB"/>
            </w:tcBorders>
            <w:shd w:val="clear" w:color="auto" w:fill="DEEAF6" w:themeFill="accent5" w:themeFillTint="33"/>
            <w:vAlign w:val="bottom"/>
          </w:tcPr>
          <w:p w14:paraId="44E40BC2" w14:textId="50C8BD19" w:rsidR="00F37264" w:rsidRPr="0043612A" w:rsidRDefault="00F37264" w:rsidP="00A137AA">
            <w:pPr>
              <w:pStyle w:val="Tableheading"/>
              <w:rPr>
                <w:rFonts w:cs="Arial"/>
                <w:b/>
                <w:bCs w:val="0"/>
                <w:i/>
                <w:iCs/>
                <w:sz w:val="22"/>
                <w:szCs w:val="22"/>
              </w:rPr>
            </w:pPr>
            <w:r w:rsidRPr="0043612A">
              <w:rPr>
                <w:rFonts w:cs="Arial"/>
                <w:b/>
                <w:bCs w:val="0"/>
                <w:i/>
                <w:iCs/>
                <w:sz w:val="22"/>
                <w:szCs w:val="22"/>
              </w:rPr>
              <w:t>Access to legal assistance</w:t>
            </w:r>
          </w:p>
        </w:tc>
      </w:tr>
      <w:tr w:rsidR="00F37264" w:rsidRPr="0043612A" w14:paraId="4B89B83C" w14:textId="77777777" w:rsidTr="00B620C0">
        <w:trPr>
          <w:trHeight w:val="566"/>
        </w:trPr>
        <w:tc>
          <w:tcPr>
            <w:tcW w:w="522" w:type="dxa"/>
            <w:tcBorders>
              <w:top w:val="single" w:sz="8" w:space="0" w:color="0098CB"/>
              <w:left w:val="single" w:sz="8" w:space="0" w:color="0098CB"/>
              <w:bottom w:val="single" w:sz="8" w:space="0" w:color="0098CB"/>
              <w:right w:val="single" w:sz="8" w:space="0" w:color="0098CB"/>
            </w:tcBorders>
          </w:tcPr>
          <w:p w14:paraId="588D6ADC" w14:textId="6B06CF16" w:rsidR="00F37264" w:rsidRPr="0043612A" w:rsidRDefault="33B020C5" w:rsidP="00A137AA">
            <w:pPr>
              <w:pStyle w:val="Tablecopy"/>
              <w:spacing w:before="40" w:after="40" w:line="240" w:lineRule="auto"/>
              <w:rPr>
                <w:rFonts w:cs="Arial"/>
                <w:sz w:val="22"/>
                <w:szCs w:val="22"/>
              </w:rPr>
            </w:pPr>
            <w:r w:rsidRPr="0043612A">
              <w:rPr>
                <w:rFonts w:cs="Arial"/>
                <w:sz w:val="22"/>
                <w:szCs w:val="22"/>
              </w:rPr>
              <w:t>9</w:t>
            </w:r>
            <w:r w:rsidR="00F37264" w:rsidRPr="0043612A">
              <w:rPr>
                <w:rFonts w:cs="Arial"/>
                <w:sz w:val="22"/>
                <w:szCs w:val="22"/>
              </w:rPr>
              <w:t>.</w:t>
            </w:r>
          </w:p>
        </w:tc>
        <w:tc>
          <w:tcPr>
            <w:tcW w:w="8930" w:type="dxa"/>
            <w:tcBorders>
              <w:top w:val="single" w:sz="8" w:space="0" w:color="0098CB"/>
              <w:left w:val="single" w:sz="8" w:space="0" w:color="0098CB"/>
              <w:bottom w:val="single" w:sz="8" w:space="0" w:color="0098CB"/>
              <w:right w:val="single" w:sz="8" w:space="0" w:color="0098CB"/>
            </w:tcBorders>
          </w:tcPr>
          <w:p w14:paraId="44494FDD" w14:textId="1C828299" w:rsidR="00F37264" w:rsidRPr="0043612A" w:rsidRDefault="0038275B" w:rsidP="00A137AA">
            <w:pPr>
              <w:pStyle w:val="Tablecopy"/>
              <w:spacing w:before="40" w:after="40" w:line="240" w:lineRule="auto"/>
              <w:rPr>
                <w:rFonts w:cs="Arial"/>
                <w:sz w:val="22"/>
                <w:szCs w:val="22"/>
              </w:rPr>
            </w:pPr>
            <w:r w:rsidRPr="0043612A">
              <w:rPr>
                <w:rFonts w:cs="Arial"/>
                <w:sz w:val="22"/>
                <w:szCs w:val="22"/>
              </w:rPr>
              <w:t>Provide further funding for legal assistance providers to meet increased legal need in the aftermath of COVID-19, when the full impacts of COVID-19 are known.</w:t>
            </w:r>
          </w:p>
        </w:tc>
      </w:tr>
    </w:tbl>
    <w:p w14:paraId="5E1B2FD9" w14:textId="77777777" w:rsidR="009656B5" w:rsidRPr="009656B5" w:rsidRDefault="009656B5" w:rsidP="009656B5">
      <w:pPr>
        <w:rPr>
          <w:lang w:eastAsia="en-AU"/>
        </w:rPr>
      </w:pPr>
    </w:p>
    <w:p w14:paraId="163C37B7" w14:textId="77777777" w:rsidR="00A832AC" w:rsidRPr="000D61AF" w:rsidRDefault="00A832AC" w:rsidP="00A832AC">
      <w:pPr>
        <w:pStyle w:val="Default"/>
        <w:rPr>
          <w:sz w:val="22"/>
          <w:szCs w:val="22"/>
        </w:rPr>
      </w:pPr>
    </w:p>
    <w:p w14:paraId="0ACF639A" w14:textId="77777777" w:rsidR="007E2B34" w:rsidRDefault="007E2B34" w:rsidP="00C33637">
      <w:pPr>
        <w:sectPr w:rsidR="007E2B34" w:rsidSect="00AB001E">
          <w:pgSz w:w="11906" w:h="16838" w:code="9"/>
          <w:pgMar w:top="851" w:right="1021" w:bottom="851" w:left="1021" w:header="851" w:footer="284" w:gutter="0"/>
          <w:cols w:space="720"/>
          <w:titlePg/>
          <w:docGrid w:linePitch="299"/>
        </w:sectPr>
      </w:pPr>
    </w:p>
    <w:p w14:paraId="512CBB46" w14:textId="7393F400" w:rsidR="007E2B34" w:rsidRDefault="007E2B34" w:rsidP="007E2B34">
      <w:pPr>
        <w:pStyle w:val="Heading1"/>
      </w:pPr>
      <w:bookmarkStart w:id="32" w:name="_Toc41659790"/>
      <w:r>
        <w:lastRenderedPageBreak/>
        <w:t>A</w:t>
      </w:r>
      <w:r w:rsidR="00F9644B">
        <w:t>ppendix</w:t>
      </w:r>
      <w:r>
        <w:t xml:space="preserve"> B: About Victoria Legal Aid</w:t>
      </w:r>
      <w:bookmarkEnd w:id="32"/>
    </w:p>
    <w:p w14:paraId="3C9EF689" w14:textId="77777777" w:rsidR="00C75BFB" w:rsidRPr="0064488C" w:rsidRDefault="00C75BFB" w:rsidP="006871C8">
      <w:r w:rsidRPr="0064488C">
        <w:t xml:space="preserve">VLA is an independent statutory agency responsible for providing information, advice and assistance in response to a broad range of legal problems. Working alongside our partners in the private profession, community legal centres and Aboriginal </w:t>
      </w:r>
      <w:r>
        <w:t xml:space="preserve">and Torres Strait Islander </w:t>
      </w:r>
      <w:r w:rsidRPr="0064488C">
        <w:t xml:space="preserve">legal services, we help people with legal problems such as criminal matters, family separation, child protection, family violence, fines, social security, mental health, immigration, discrimination, guardianship and administration and tenancy. </w:t>
      </w:r>
    </w:p>
    <w:p w14:paraId="3964B4AB" w14:textId="0F92BC87" w:rsidR="00C75BFB" w:rsidRPr="0064488C" w:rsidRDefault="00C75BFB" w:rsidP="006871C8">
      <w:r w:rsidRPr="0064488C">
        <w:t>Our Legal Help telephone line is a resource for all Victorians to seek information, advice and assistance with legal problems. We also deliver specialist non-legal services, including our Family Dispute Resolution Service, Independent Mental Health Advocacy and Independent Family Advocacy and Support, as well as providing community legal education, and contributing to law reform.</w:t>
      </w:r>
    </w:p>
    <w:p w14:paraId="64A0C652" w14:textId="2EAF14B0" w:rsidR="00C75BFB" w:rsidRPr="00C75BFB" w:rsidRDefault="00C75BFB" w:rsidP="00C75BFB">
      <w:pPr>
        <w:rPr>
          <w:bCs/>
        </w:rPr>
      </w:pPr>
      <w:r w:rsidRPr="005B27A0">
        <w:rPr>
          <w:lang w:eastAsia="en-AU"/>
        </w:rPr>
        <w:t>In 2018–19, VLA provided assistance to over 100,000 unique clients.</w:t>
      </w:r>
      <w:r w:rsidRPr="005B27A0">
        <w:rPr>
          <w:rStyle w:val="FootnoteReference"/>
          <w:rFonts w:cs="Arial"/>
          <w:szCs w:val="22"/>
          <w:lang w:eastAsia="en-AU"/>
        </w:rPr>
        <w:footnoteReference w:id="12"/>
      </w:r>
      <w:r w:rsidRPr="005B27A0">
        <w:rPr>
          <w:lang w:eastAsia="en-AU"/>
        </w:rPr>
        <w:t xml:space="preserve"> </w:t>
      </w:r>
      <w:r w:rsidR="00F53CDF">
        <w:t>O</w:t>
      </w:r>
      <w:r w:rsidRPr="005B27A0">
        <w:t xml:space="preserve">ur clients are diverse and </w:t>
      </w:r>
      <w:r w:rsidRPr="00B83BF6">
        <w:t xml:space="preserve">experience high levels of social and economic disadvantage. Almost half of our clients are currently receiving social security and one in three receive no income at all. </w:t>
      </w:r>
      <w:r w:rsidRPr="001E5270">
        <w:t>Over 25,000</w:t>
      </w:r>
      <w:r w:rsidRPr="005B27A0">
        <w:t xml:space="preserve"> people disclosed having a disability or experiencing mental health issues and approximately 25</w:t>
      </w:r>
      <w:r w:rsidRPr="00B83BF6">
        <w:t xml:space="preserve"> percent are from culturally and linguistically diverse backgrounds</w:t>
      </w:r>
      <w:r w:rsidRPr="005B27A0">
        <w:t>.</w:t>
      </w:r>
      <w:r w:rsidRPr="005B27A0">
        <w:rPr>
          <w:lang w:eastAsia="en-AU"/>
        </w:rPr>
        <w:t xml:space="preserve"> </w:t>
      </w:r>
      <w:r w:rsidRPr="00B83BF6">
        <w:rPr>
          <w:lang w:eastAsia="en-AU"/>
        </w:rPr>
        <w:t xml:space="preserve">Over </w:t>
      </w:r>
      <w:r w:rsidRPr="00B83BF6">
        <w:t>5</w:t>
      </w:r>
      <w:r>
        <w:t>,</w:t>
      </w:r>
      <w:r w:rsidRPr="00B83BF6">
        <w:t>000 of our clients identified as Aboriginal or Torres Strait Islander.</w:t>
      </w:r>
      <w:r w:rsidRPr="005B27A0">
        <w:rPr>
          <w:rStyle w:val="FootnoteReference"/>
        </w:rPr>
        <w:footnoteReference w:id="13"/>
      </w:r>
      <w:r>
        <w:t xml:space="preserve"> </w:t>
      </w:r>
      <w:r w:rsidRPr="006871C8">
        <w:rPr>
          <w:bCs/>
          <w:lang w:eastAsia="en-AU"/>
        </w:rPr>
        <w:t>Over 6,300 of our clients identified as being homeless or at risk of homelessness, which was an increase of 21 per cent since 2017–18</w:t>
      </w:r>
      <w:r w:rsidRPr="00C75BFB">
        <w:rPr>
          <w:bCs/>
          <w:lang w:eastAsia="en-AU"/>
        </w:rPr>
        <w:t>.</w:t>
      </w:r>
      <w:r w:rsidRPr="00C75BFB">
        <w:rPr>
          <w:rStyle w:val="FootnoteReference"/>
          <w:bCs/>
          <w:szCs w:val="22"/>
          <w:lang w:eastAsia="en-AU"/>
        </w:rPr>
        <w:footnoteReference w:id="14"/>
      </w:r>
      <w:r w:rsidRPr="00C75BFB">
        <w:rPr>
          <w:bCs/>
        </w:rPr>
        <w:t xml:space="preserve"> </w:t>
      </w:r>
    </w:p>
    <w:p w14:paraId="1E71AD30" w14:textId="5ED7B9BF" w:rsidR="00C75BFB" w:rsidRDefault="00C75BFB" w:rsidP="006871C8">
      <w:pPr>
        <w:rPr>
          <w:lang w:eastAsia="en-AU"/>
        </w:rPr>
      </w:pPr>
      <w:r w:rsidRPr="006C11F5">
        <w:t xml:space="preserve">Almost </w:t>
      </w:r>
      <w:r>
        <w:t>30</w:t>
      </w:r>
      <w:r w:rsidRPr="006C11F5">
        <w:t xml:space="preserve"> per cent of our clients – approximately </w:t>
      </w:r>
      <w:r w:rsidRPr="00F84F05">
        <w:t>29,</w:t>
      </w:r>
      <w:r>
        <w:t>300</w:t>
      </w:r>
      <w:r w:rsidRPr="00620D7B">
        <w:t xml:space="preserve"> </w:t>
      </w:r>
      <w:r w:rsidRPr="006C11F5">
        <w:t>people – live in regional Victoria.</w:t>
      </w:r>
      <w:r w:rsidRPr="00F84F05">
        <w:t xml:space="preserve"> </w:t>
      </w:r>
      <w:r>
        <w:rPr>
          <w:lang w:eastAsia="en-AU"/>
        </w:rPr>
        <w:t xml:space="preserve">In our Mildura, Shepparton and Morwell offices, our Aboriginal Community Engagement Officers work to </w:t>
      </w:r>
      <w:r w:rsidRPr="005609A5">
        <w:t>reduc</w:t>
      </w:r>
      <w:r>
        <w:t>e</w:t>
      </w:r>
      <w:r w:rsidRPr="005609A5">
        <w:t xml:space="preserve"> the barriers between Aboriginal and Torres Strait Islander communities and </w:t>
      </w:r>
      <w:r>
        <w:t xml:space="preserve">legal services. </w:t>
      </w:r>
    </w:p>
    <w:p w14:paraId="0B9264E8" w14:textId="77777777" w:rsidR="007E2B34" w:rsidRPr="006871C8" w:rsidRDefault="007E2B34" w:rsidP="00F9644B"/>
    <w:p w14:paraId="76E82777" w14:textId="706C6E46" w:rsidR="00C33637" w:rsidRDefault="00C33637" w:rsidP="00C33637"/>
    <w:sectPr w:rsidR="00C33637" w:rsidSect="00AB001E">
      <w:pgSz w:w="11906" w:h="16838" w:code="9"/>
      <w:pgMar w:top="851" w:right="1021" w:bottom="851" w:left="1021" w:header="851"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58B2C" w14:textId="77777777" w:rsidR="00A137AA" w:rsidRDefault="00A137AA">
      <w:r>
        <w:separator/>
      </w:r>
    </w:p>
    <w:p w14:paraId="6518D52D" w14:textId="77777777" w:rsidR="00A137AA" w:rsidRDefault="00A137AA"/>
    <w:p w14:paraId="04B6FB8D" w14:textId="77777777" w:rsidR="00A137AA" w:rsidRDefault="00A137AA"/>
  </w:endnote>
  <w:endnote w:type="continuationSeparator" w:id="0">
    <w:p w14:paraId="0BF21B0E" w14:textId="77777777" w:rsidR="00A137AA" w:rsidRDefault="00A137AA">
      <w:r>
        <w:continuationSeparator/>
      </w:r>
    </w:p>
    <w:p w14:paraId="6204ACF1" w14:textId="77777777" w:rsidR="00A137AA" w:rsidRDefault="00A137AA"/>
    <w:p w14:paraId="686B96FB" w14:textId="77777777" w:rsidR="00A137AA" w:rsidRDefault="00A137AA"/>
  </w:endnote>
  <w:endnote w:type="continuationNotice" w:id="1">
    <w:p w14:paraId="4EA57474" w14:textId="77777777" w:rsidR="00A137AA" w:rsidRDefault="00A137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96DB8" w14:textId="77777777" w:rsidR="00A137AA" w:rsidRDefault="00A137AA"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91FD1" w14:textId="77777777" w:rsidR="00A137AA" w:rsidRDefault="00A137AA" w:rsidP="00F21A5F">
    <w:pPr>
      <w:pStyle w:val="Filename"/>
      <w:tabs>
        <w:tab w:val="clear" w:pos="9240"/>
        <w:tab w:val="left" w:pos="1985"/>
      </w:tabs>
    </w:pPr>
    <w:r w:rsidRPr="00937DBF">
      <w:rPr>
        <w:b/>
        <w:bCs/>
        <w:color w:val="216E96"/>
      </w:rPr>
      <w:t>Victoria Legal Aid</w:t>
    </w:r>
    <w:r>
      <w:tab/>
    </w:r>
    <w:r w:rsidRPr="00F21A5F">
      <w:rPr>
        <w:i/>
        <w:iCs/>
      </w:rPr>
      <w:t>Preventing the escalation of legal problems during COVID-19</w:t>
    </w:r>
    <w:r>
      <w:t xml:space="preserve"> – May 2020</w:t>
    </w:r>
  </w:p>
  <w:p w14:paraId="64E50AA4" w14:textId="77777777" w:rsidR="00A137AA" w:rsidRPr="002B4970" w:rsidRDefault="00A137AA" w:rsidP="00161EEF">
    <w:pPr>
      <w:pStyle w:val="Filename"/>
      <w:pBdr>
        <w:top w:val="none" w:sz="0" w:space="0" w:color="auto"/>
      </w:pBdr>
      <w:tabs>
        <w:tab w:val="clear" w:pos="9240"/>
      </w:tabs>
      <w:jc w:val="center"/>
      <w:rP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B9B58" w14:textId="1DB64D19" w:rsidR="00A137AA" w:rsidRDefault="00A137AA" w:rsidP="009966C1">
    <w:pPr>
      <w:pStyle w:val="Filename"/>
      <w:tabs>
        <w:tab w:val="clear" w:pos="9240"/>
        <w:tab w:val="left" w:pos="1985"/>
      </w:tabs>
    </w:pPr>
    <w:r w:rsidRPr="00937DBF">
      <w:rPr>
        <w:b/>
        <w:bCs/>
        <w:color w:val="216E96"/>
      </w:rPr>
      <w:t>Victoria Legal Aid</w:t>
    </w:r>
    <w:r>
      <w:tab/>
    </w:r>
    <w:r w:rsidRPr="00F21A5F">
      <w:rPr>
        <w:i/>
        <w:iCs/>
      </w:rPr>
      <w:t>Preventing the escalation of legal problems during COVID-19</w:t>
    </w:r>
    <w:r>
      <w:t xml:space="preserve"> – May 2020</w:t>
    </w:r>
  </w:p>
  <w:p w14:paraId="08A74FB3" w14:textId="4C3B1A06" w:rsidR="00A137AA" w:rsidRDefault="00A137AA" w:rsidP="0040537D">
    <w:pPr>
      <w:pStyle w:val="Filename"/>
      <w:tabs>
        <w:tab w:val="clear" w:pos="9240"/>
        <w:tab w:val="left" w:pos="1985"/>
      </w:tabs>
    </w:pPr>
  </w:p>
  <w:p w14:paraId="15A9335D" w14:textId="77777777" w:rsidR="00A137AA" w:rsidRPr="0040537D" w:rsidRDefault="00A137AA" w:rsidP="0040537D">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A2BC2" w14:textId="7D92D877" w:rsidR="00A137AA" w:rsidRDefault="00A137AA" w:rsidP="00937DBF">
    <w:pPr>
      <w:pStyle w:val="Filename"/>
      <w:tabs>
        <w:tab w:val="clear" w:pos="9240"/>
        <w:tab w:val="left" w:pos="1985"/>
      </w:tabs>
    </w:pPr>
    <w:r w:rsidRPr="00937DBF">
      <w:rPr>
        <w:b/>
        <w:bCs/>
        <w:color w:val="216E96"/>
      </w:rPr>
      <w:t>Victoria Legal Aid</w:t>
    </w:r>
    <w:r>
      <w:tab/>
    </w:r>
    <w:r w:rsidRPr="00F21A5F">
      <w:rPr>
        <w:i/>
        <w:iCs/>
      </w:rPr>
      <w:t>Preventing the escalation of legal problems during COVID-19</w:t>
    </w:r>
    <w:r>
      <w:t xml:space="preserve"> – May 2020</w:t>
    </w:r>
  </w:p>
  <w:p w14:paraId="572D7F1A" w14:textId="77777777" w:rsidR="00A137AA" w:rsidRPr="002B4970" w:rsidRDefault="00A137AA" w:rsidP="00161EEF">
    <w:pPr>
      <w:pStyle w:val="Filename"/>
      <w:pBdr>
        <w:top w:val="none" w:sz="0" w:space="0" w:color="auto"/>
      </w:pBdr>
      <w:tabs>
        <w:tab w:val="clear" w:pos="9240"/>
      </w:tabs>
      <w:jc w:val="center"/>
      <w:rP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6110D" w14:textId="77777777" w:rsidR="00A137AA" w:rsidRPr="00E9228F" w:rsidRDefault="00A137AA" w:rsidP="00E9228F">
      <w:pPr>
        <w:rPr>
          <w:sz w:val="18"/>
          <w:szCs w:val="18"/>
        </w:rPr>
      </w:pPr>
      <w:r w:rsidRPr="006831FC">
        <w:rPr>
          <w:sz w:val="18"/>
        </w:rPr>
        <w:separator/>
      </w:r>
    </w:p>
  </w:footnote>
  <w:footnote w:type="continuationSeparator" w:id="0">
    <w:p w14:paraId="4C30ED7E" w14:textId="77777777" w:rsidR="00A137AA" w:rsidRDefault="00A137AA">
      <w:r>
        <w:continuationSeparator/>
      </w:r>
    </w:p>
    <w:p w14:paraId="0C13E8B2" w14:textId="77777777" w:rsidR="00A137AA" w:rsidRDefault="00A137AA"/>
    <w:p w14:paraId="72D2BA0B" w14:textId="77777777" w:rsidR="00A137AA" w:rsidRDefault="00A137AA"/>
  </w:footnote>
  <w:footnote w:type="continuationNotice" w:id="1">
    <w:p w14:paraId="1DF60116" w14:textId="77777777" w:rsidR="00A137AA" w:rsidRDefault="00A137AA">
      <w:pPr>
        <w:spacing w:after="0" w:line="240" w:lineRule="auto"/>
      </w:pPr>
    </w:p>
  </w:footnote>
  <w:footnote w:id="2">
    <w:p w14:paraId="3C81D4C6" w14:textId="490045B2" w:rsidR="00A137AA" w:rsidRPr="0059440C" w:rsidRDefault="00A137AA" w:rsidP="00F9644B">
      <w:pPr>
        <w:pStyle w:val="FootnoteText"/>
        <w:spacing w:after="0" w:line="240" w:lineRule="auto"/>
        <w:ind w:left="0" w:firstLine="0"/>
        <w:rPr>
          <w:szCs w:val="18"/>
        </w:rPr>
      </w:pPr>
      <w:r w:rsidRPr="0059440C">
        <w:rPr>
          <w:rStyle w:val="FootnoteReference"/>
          <w:szCs w:val="18"/>
        </w:rPr>
        <w:footnoteRef/>
      </w:r>
      <w:r w:rsidRPr="0059440C">
        <w:rPr>
          <w:szCs w:val="18"/>
        </w:rPr>
        <w:t xml:space="preserve"> Victoria Legal Aid, </w:t>
      </w:r>
      <w:r w:rsidRPr="0059440C">
        <w:rPr>
          <w:i/>
          <w:iCs/>
          <w:szCs w:val="18"/>
        </w:rPr>
        <w:t>Annual Report 2018-19 – Access to Justice for Victorians</w:t>
      </w:r>
      <w:r w:rsidRPr="0059440C">
        <w:rPr>
          <w:szCs w:val="18"/>
        </w:rPr>
        <w:t xml:space="preserve"> (Report, September 2019) 28 &lt;</w:t>
      </w:r>
      <w:hyperlink r:id="rId1" w:history="1">
        <w:r w:rsidRPr="0059440C">
          <w:rPr>
            <w:rStyle w:val="Hyperlink"/>
            <w:szCs w:val="18"/>
          </w:rPr>
          <w:t>https://www.legalaid.vic.gov.au/sites/www.legalaid.vic.gov.au/files/vla-2018-19-annual-report.pdf</w:t>
        </w:r>
      </w:hyperlink>
      <w:r w:rsidRPr="0059440C">
        <w:rPr>
          <w:szCs w:val="18"/>
        </w:rPr>
        <w:t xml:space="preserve">&gt;. </w:t>
      </w:r>
    </w:p>
  </w:footnote>
  <w:footnote w:id="3">
    <w:p w14:paraId="68864C3E" w14:textId="30B557D7" w:rsidR="00A137AA" w:rsidRDefault="00A137AA" w:rsidP="009B4D68">
      <w:pPr>
        <w:pStyle w:val="FootnoteText"/>
        <w:spacing w:after="0" w:line="240" w:lineRule="auto"/>
        <w:ind w:left="142" w:hanging="142"/>
      </w:pPr>
      <w:r>
        <w:rPr>
          <w:rStyle w:val="FootnoteReference"/>
        </w:rPr>
        <w:footnoteRef/>
      </w:r>
      <w:r>
        <w:t xml:space="preserve"> In early April 2020, this included an 11 per cent increase in calls to our Legal Help service from respondents and a 43 per cent decrease in calls to Legal Help from applicants while there was a 43 per cent increase in applicant inquiries to Legal Help via webchat and 23 per cent increase in respondent webchat inquiries. </w:t>
      </w:r>
    </w:p>
  </w:footnote>
  <w:footnote w:id="4">
    <w:p w14:paraId="282B8F53" w14:textId="03F68956" w:rsidR="00A137AA" w:rsidRPr="00153BB8" w:rsidRDefault="00A137AA" w:rsidP="00091AD6">
      <w:pPr>
        <w:pStyle w:val="FootnoteText"/>
        <w:spacing w:after="0" w:line="240" w:lineRule="auto"/>
        <w:ind w:left="142" w:hanging="142"/>
        <w:rPr>
          <w:rFonts w:cs="Arial"/>
          <w:szCs w:val="18"/>
        </w:rPr>
      </w:pPr>
      <w:r w:rsidRPr="00D92720">
        <w:rPr>
          <w:rStyle w:val="FootnoteReference"/>
          <w:rFonts w:cs="Arial"/>
          <w:szCs w:val="18"/>
        </w:rPr>
        <w:footnoteRef/>
      </w:r>
      <w:r w:rsidRPr="00D92720">
        <w:rPr>
          <w:rFonts w:cs="Arial"/>
          <w:szCs w:val="18"/>
        </w:rPr>
        <w:t xml:space="preserve"> Joint Standing Committee </w:t>
      </w:r>
      <w:r>
        <w:rPr>
          <w:rFonts w:cs="Arial"/>
          <w:szCs w:val="18"/>
        </w:rPr>
        <w:t xml:space="preserve">on the National Disability Scheme, Parliament of Australia, </w:t>
      </w:r>
      <w:r>
        <w:rPr>
          <w:rFonts w:cs="Arial"/>
          <w:i/>
          <w:iCs/>
          <w:szCs w:val="18"/>
        </w:rPr>
        <w:t xml:space="preserve">Market readiness for provision of services under the NDIS </w:t>
      </w:r>
      <w:r>
        <w:rPr>
          <w:rFonts w:cs="Arial"/>
          <w:szCs w:val="18"/>
        </w:rPr>
        <w:t>(2018)</w:t>
      </w:r>
      <w:r w:rsidRPr="00D92720">
        <w:rPr>
          <w:rFonts w:cs="Arial"/>
          <w:szCs w:val="18"/>
        </w:rPr>
        <w:t xml:space="preserve"> </w:t>
      </w:r>
      <w:r>
        <w:rPr>
          <w:rFonts w:cs="Arial"/>
          <w:szCs w:val="18"/>
        </w:rPr>
        <w:t>78. The Committee</w:t>
      </w:r>
      <w:r w:rsidRPr="00D92720">
        <w:rPr>
          <w:rFonts w:cs="Arial"/>
          <w:szCs w:val="18"/>
        </w:rPr>
        <w:t xml:space="preserve"> recommended that ‘the NDIA publicly release the outcomes of the Maintaining Critical Supports project and its policy on provider of last resort (PLR) arrangements as a matter of urgency’ (recommenda</w:t>
      </w:r>
      <w:r w:rsidRPr="00153BB8">
        <w:rPr>
          <w:rFonts w:cs="Arial"/>
          <w:szCs w:val="18"/>
        </w:rPr>
        <w:t>tion 2</w:t>
      </w:r>
      <w:r>
        <w:rPr>
          <w:rFonts w:cs="Arial"/>
          <w:szCs w:val="18"/>
        </w:rPr>
        <w:t>4</w:t>
      </w:r>
      <w:r w:rsidRPr="00153BB8">
        <w:rPr>
          <w:rFonts w:cs="Arial"/>
          <w:szCs w:val="18"/>
        </w:rPr>
        <w:t xml:space="preserve">) in September 2018. </w:t>
      </w:r>
      <w:r>
        <w:rPr>
          <w:rFonts w:cs="Arial"/>
          <w:szCs w:val="18"/>
        </w:rPr>
        <w:t>See also,</w:t>
      </w:r>
      <w:r w:rsidRPr="00153BB8">
        <w:rPr>
          <w:rFonts w:cs="Arial"/>
          <w:szCs w:val="18"/>
        </w:rPr>
        <w:t xml:space="preserve"> Joint Standing Committee on the N</w:t>
      </w:r>
      <w:r>
        <w:rPr>
          <w:rFonts w:cs="Arial"/>
          <w:szCs w:val="18"/>
        </w:rPr>
        <w:t xml:space="preserve">ational </w:t>
      </w:r>
      <w:r w:rsidRPr="00153BB8">
        <w:rPr>
          <w:rFonts w:cs="Arial"/>
          <w:szCs w:val="18"/>
        </w:rPr>
        <w:t>D</w:t>
      </w:r>
      <w:r>
        <w:rPr>
          <w:rFonts w:cs="Arial"/>
          <w:szCs w:val="18"/>
        </w:rPr>
        <w:t xml:space="preserve">isability </w:t>
      </w:r>
      <w:r w:rsidRPr="00153BB8">
        <w:rPr>
          <w:rFonts w:cs="Arial"/>
          <w:szCs w:val="18"/>
        </w:rPr>
        <w:t>I</w:t>
      </w:r>
      <w:r>
        <w:rPr>
          <w:rFonts w:cs="Arial"/>
          <w:szCs w:val="18"/>
        </w:rPr>
        <w:t xml:space="preserve">nsurance </w:t>
      </w:r>
      <w:r w:rsidRPr="00153BB8">
        <w:rPr>
          <w:rFonts w:cs="Arial"/>
          <w:szCs w:val="18"/>
        </w:rPr>
        <w:t>S</w:t>
      </w:r>
      <w:r>
        <w:rPr>
          <w:rFonts w:cs="Arial"/>
          <w:szCs w:val="18"/>
        </w:rPr>
        <w:t>cheme</w:t>
      </w:r>
      <w:r w:rsidRPr="00153BB8">
        <w:rPr>
          <w:rFonts w:cs="Arial"/>
          <w:szCs w:val="18"/>
        </w:rPr>
        <w:t xml:space="preserve">, </w:t>
      </w:r>
      <w:r>
        <w:rPr>
          <w:rFonts w:cs="Arial"/>
          <w:szCs w:val="18"/>
        </w:rPr>
        <w:t>Parliament of Australia</w:t>
      </w:r>
      <w:r w:rsidRPr="00153BB8">
        <w:rPr>
          <w:rFonts w:cs="Arial"/>
          <w:szCs w:val="18"/>
        </w:rPr>
        <w:t xml:space="preserve">, </w:t>
      </w:r>
      <w:r w:rsidRPr="00153BB8">
        <w:rPr>
          <w:rFonts w:cs="Arial"/>
          <w:i/>
          <w:szCs w:val="18"/>
        </w:rPr>
        <w:t>Transition</w:t>
      </w:r>
      <w:r>
        <w:rPr>
          <w:rFonts w:cs="Arial"/>
          <w:i/>
          <w:szCs w:val="18"/>
        </w:rPr>
        <w:t>al</w:t>
      </w:r>
      <w:r w:rsidRPr="00153BB8">
        <w:rPr>
          <w:rFonts w:cs="Arial"/>
          <w:i/>
          <w:szCs w:val="18"/>
        </w:rPr>
        <w:t xml:space="preserve"> Arrangements for the NDIS</w:t>
      </w:r>
      <w:r w:rsidRPr="00153BB8">
        <w:rPr>
          <w:rFonts w:cs="Arial"/>
          <w:szCs w:val="18"/>
        </w:rPr>
        <w:t xml:space="preserve"> (2018) and Joint Standing Committee on the N</w:t>
      </w:r>
      <w:r>
        <w:rPr>
          <w:rFonts w:cs="Arial"/>
          <w:szCs w:val="18"/>
        </w:rPr>
        <w:t xml:space="preserve">ational </w:t>
      </w:r>
      <w:r w:rsidRPr="00153BB8">
        <w:rPr>
          <w:rFonts w:cs="Arial"/>
          <w:szCs w:val="18"/>
        </w:rPr>
        <w:t>D</w:t>
      </w:r>
      <w:r>
        <w:rPr>
          <w:rFonts w:cs="Arial"/>
          <w:szCs w:val="18"/>
        </w:rPr>
        <w:t xml:space="preserve">isability </w:t>
      </w:r>
      <w:r w:rsidRPr="00153BB8">
        <w:rPr>
          <w:rFonts w:cs="Arial"/>
          <w:szCs w:val="18"/>
        </w:rPr>
        <w:t>I</w:t>
      </w:r>
      <w:r>
        <w:rPr>
          <w:rFonts w:cs="Arial"/>
          <w:szCs w:val="18"/>
        </w:rPr>
        <w:t xml:space="preserve">nsurance </w:t>
      </w:r>
      <w:r w:rsidRPr="00153BB8">
        <w:rPr>
          <w:rFonts w:cs="Arial"/>
          <w:szCs w:val="18"/>
        </w:rPr>
        <w:t>S</w:t>
      </w:r>
      <w:r>
        <w:rPr>
          <w:rFonts w:cs="Arial"/>
          <w:szCs w:val="18"/>
        </w:rPr>
        <w:t>cheme</w:t>
      </w:r>
      <w:r w:rsidRPr="00153BB8">
        <w:rPr>
          <w:rFonts w:cs="Arial"/>
          <w:szCs w:val="18"/>
        </w:rPr>
        <w:t xml:space="preserve">, </w:t>
      </w:r>
      <w:r>
        <w:rPr>
          <w:rFonts w:cs="Arial"/>
          <w:szCs w:val="18"/>
        </w:rPr>
        <w:t xml:space="preserve">Parliament of Australia, </w:t>
      </w:r>
      <w:r w:rsidRPr="00153BB8">
        <w:rPr>
          <w:rFonts w:cs="Arial"/>
          <w:i/>
          <w:szCs w:val="18"/>
        </w:rPr>
        <w:t>Provision of services under the NDIS for people with psychosocial disabilities related to a mental health condition</w:t>
      </w:r>
      <w:r w:rsidRPr="00153BB8">
        <w:rPr>
          <w:rFonts w:cs="Arial"/>
          <w:szCs w:val="18"/>
        </w:rPr>
        <w:t xml:space="preserve"> (2017); Productivity Commission, </w:t>
      </w:r>
      <w:r>
        <w:rPr>
          <w:rFonts w:cs="Arial"/>
          <w:szCs w:val="18"/>
        </w:rPr>
        <w:t xml:space="preserve">Parliament of Australia, </w:t>
      </w:r>
      <w:r w:rsidRPr="00153BB8">
        <w:rPr>
          <w:rFonts w:cs="Arial"/>
          <w:i/>
          <w:szCs w:val="18"/>
        </w:rPr>
        <w:t>National Disability Insurance Scheme – Costs</w:t>
      </w:r>
      <w:r w:rsidRPr="00153BB8">
        <w:rPr>
          <w:rFonts w:cs="Arial"/>
          <w:szCs w:val="18"/>
        </w:rPr>
        <w:t xml:space="preserve"> (2017) 36; Australian National Audit Office, </w:t>
      </w:r>
      <w:r w:rsidRPr="00153BB8">
        <w:rPr>
          <w:rFonts w:cs="Arial"/>
          <w:i/>
          <w:szCs w:val="18"/>
        </w:rPr>
        <w:t>National Disability Insurance Scheme—Management of the Transition of the Disability Services Market</w:t>
      </w:r>
      <w:r>
        <w:rPr>
          <w:rFonts w:cs="Arial"/>
          <w:i/>
          <w:szCs w:val="18"/>
        </w:rPr>
        <w:t>,</w:t>
      </w:r>
      <w:r w:rsidRPr="00153BB8">
        <w:rPr>
          <w:rFonts w:cs="Arial"/>
          <w:szCs w:val="18"/>
        </w:rPr>
        <w:t xml:space="preserve"> </w:t>
      </w:r>
      <w:r>
        <w:rPr>
          <w:rFonts w:cs="Arial"/>
          <w:szCs w:val="18"/>
        </w:rPr>
        <w:t xml:space="preserve">Report No 24 </w:t>
      </w:r>
      <w:r w:rsidRPr="00153BB8">
        <w:rPr>
          <w:rFonts w:cs="Arial"/>
          <w:szCs w:val="18"/>
        </w:rPr>
        <w:t>(2016</w:t>
      </w:r>
      <w:r w:rsidRPr="00153BB8">
        <w:rPr>
          <w:rFonts w:cs="Arial"/>
          <w:i/>
          <w:szCs w:val="18"/>
        </w:rPr>
        <w:t>–</w:t>
      </w:r>
      <w:r w:rsidRPr="00153BB8">
        <w:rPr>
          <w:rFonts w:cs="Arial"/>
          <w:szCs w:val="18"/>
        </w:rPr>
        <w:t xml:space="preserve">2017) 27; McKinsey &amp; Company, </w:t>
      </w:r>
      <w:r w:rsidRPr="00153BB8">
        <w:rPr>
          <w:rFonts w:cs="Arial"/>
          <w:i/>
          <w:szCs w:val="18"/>
        </w:rPr>
        <w:t>Independent Pricing Review</w:t>
      </w:r>
      <w:r w:rsidRPr="00153BB8">
        <w:rPr>
          <w:rFonts w:cs="Arial"/>
          <w:szCs w:val="18"/>
        </w:rPr>
        <w:t xml:space="preserve">, </w:t>
      </w:r>
      <w:r>
        <w:rPr>
          <w:rFonts w:cs="Arial"/>
          <w:szCs w:val="18"/>
        </w:rPr>
        <w:t>(</w:t>
      </w:r>
      <w:r w:rsidRPr="00153BB8">
        <w:rPr>
          <w:rFonts w:cs="Arial"/>
          <w:szCs w:val="18"/>
        </w:rPr>
        <w:t>Final Report</w:t>
      </w:r>
      <w:r>
        <w:rPr>
          <w:rFonts w:cs="Arial"/>
          <w:szCs w:val="18"/>
        </w:rPr>
        <w:t xml:space="preserve">, February </w:t>
      </w:r>
      <w:r w:rsidRPr="00153BB8">
        <w:rPr>
          <w:rFonts w:cs="Arial"/>
          <w:szCs w:val="18"/>
        </w:rPr>
        <w:t xml:space="preserve">2018). </w:t>
      </w:r>
    </w:p>
    <w:p w14:paraId="2A2635CD" w14:textId="77777777" w:rsidR="00A137AA" w:rsidRPr="00153BB8" w:rsidRDefault="00A137AA" w:rsidP="00F9644B">
      <w:pPr>
        <w:pStyle w:val="FootnoteText"/>
        <w:spacing w:after="0" w:line="240" w:lineRule="auto"/>
        <w:ind w:left="0" w:firstLine="0"/>
        <w:rPr>
          <w:rFonts w:cs="Arial"/>
          <w:szCs w:val="18"/>
        </w:rPr>
      </w:pPr>
    </w:p>
  </w:footnote>
  <w:footnote w:id="5">
    <w:p w14:paraId="7EDB5316" w14:textId="16BE8DC1" w:rsidR="00A137AA" w:rsidRDefault="00A137AA">
      <w:pPr>
        <w:pStyle w:val="FootnoteText"/>
      </w:pPr>
      <w:r>
        <w:rPr>
          <w:rStyle w:val="FootnoteReference"/>
        </w:rPr>
        <w:footnoteRef/>
      </w:r>
      <w:r>
        <w:t xml:space="preserve"> </w:t>
      </w:r>
      <w:r w:rsidRPr="00D67F7F">
        <w:rPr>
          <w:rFonts w:cs="Arial"/>
          <w:szCs w:val="18"/>
        </w:rPr>
        <w:t>COAG Disability Reform Council</w:t>
      </w:r>
      <w:r>
        <w:rPr>
          <w:rFonts w:cs="Arial"/>
          <w:szCs w:val="18"/>
        </w:rPr>
        <w:t xml:space="preserve">, </w:t>
      </w:r>
      <w:r w:rsidRPr="008032D2">
        <w:rPr>
          <w:rFonts w:cs="Arial"/>
          <w:i/>
          <w:iCs/>
          <w:szCs w:val="18"/>
        </w:rPr>
        <w:t>Communiqu</w:t>
      </w:r>
      <w:r w:rsidRPr="008032D2">
        <w:rPr>
          <w:rFonts w:cs="Arial"/>
          <w:color w:val="2C2A29"/>
          <w:szCs w:val="18"/>
          <w:shd w:val="clear" w:color="auto" w:fill="FFFFFF"/>
        </w:rPr>
        <w:t>é</w:t>
      </w:r>
      <w:r w:rsidRPr="008032D2">
        <w:rPr>
          <w:rFonts w:cs="Arial"/>
          <w:i/>
          <w:iCs/>
          <w:szCs w:val="18"/>
        </w:rPr>
        <w:t xml:space="preserve"> 9 October 2019</w:t>
      </w:r>
      <w:r w:rsidRPr="008032D2">
        <w:rPr>
          <w:rFonts w:cs="Arial"/>
          <w:szCs w:val="18"/>
        </w:rPr>
        <w:t xml:space="preserve"> (Communiqu</w:t>
      </w:r>
      <w:r w:rsidRPr="008032D2">
        <w:rPr>
          <w:rFonts w:cs="Arial"/>
          <w:color w:val="2C2A29"/>
          <w:szCs w:val="18"/>
          <w:shd w:val="clear" w:color="auto" w:fill="FFFFFF"/>
        </w:rPr>
        <w:t>é</w:t>
      </w:r>
      <w:r>
        <w:rPr>
          <w:rFonts w:cs="Arial"/>
          <w:szCs w:val="18"/>
        </w:rPr>
        <w:t>, 9 October 2019) 1.</w:t>
      </w:r>
    </w:p>
  </w:footnote>
  <w:footnote w:id="6">
    <w:p w14:paraId="5FC4FDFD" w14:textId="309A5BFD" w:rsidR="00A137AA" w:rsidRPr="00D92720" w:rsidRDefault="00A137AA" w:rsidP="00F9644B">
      <w:pPr>
        <w:pStyle w:val="FootnoteText"/>
        <w:spacing w:after="0" w:line="240" w:lineRule="auto"/>
        <w:ind w:left="0" w:firstLine="0"/>
        <w:rPr>
          <w:rFonts w:cs="Arial"/>
          <w:szCs w:val="18"/>
        </w:rPr>
      </w:pPr>
      <w:r w:rsidRPr="00D67F7F">
        <w:rPr>
          <w:rStyle w:val="FootnoteReference"/>
          <w:rFonts w:cs="Arial"/>
          <w:szCs w:val="18"/>
        </w:rPr>
        <w:footnoteRef/>
      </w:r>
      <w:r w:rsidRPr="00D67F7F">
        <w:rPr>
          <w:rFonts w:cs="Arial"/>
          <w:szCs w:val="18"/>
        </w:rPr>
        <w:t xml:space="preserve"> COAG Disability Reform Council</w:t>
      </w:r>
      <w:r>
        <w:rPr>
          <w:rFonts w:cs="Arial"/>
          <w:szCs w:val="18"/>
        </w:rPr>
        <w:t xml:space="preserve">, </w:t>
      </w:r>
      <w:r w:rsidRPr="008032D2">
        <w:rPr>
          <w:rFonts w:cs="Arial"/>
          <w:i/>
          <w:iCs/>
          <w:szCs w:val="18"/>
        </w:rPr>
        <w:t>Communiqu</w:t>
      </w:r>
      <w:r w:rsidRPr="008032D2">
        <w:rPr>
          <w:rFonts w:cs="Arial"/>
          <w:color w:val="2C2A29"/>
          <w:szCs w:val="18"/>
          <w:shd w:val="clear" w:color="auto" w:fill="FFFFFF"/>
        </w:rPr>
        <w:t>é</w:t>
      </w:r>
      <w:r>
        <w:rPr>
          <w:rFonts w:cs="Arial"/>
          <w:i/>
          <w:iCs/>
          <w:szCs w:val="18"/>
        </w:rPr>
        <w:t xml:space="preserve"> 13 December 2019</w:t>
      </w:r>
      <w:r w:rsidRPr="00761B90">
        <w:rPr>
          <w:rFonts w:cs="Arial"/>
          <w:szCs w:val="18"/>
        </w:rPr>
        <w:t xml:space="preserve"> (</w:t>
      </w:r>
      <w:r w:rsidRPr="008032D2">
        <w:rPr>
          <w:rFonts w:cs="Arial"/>
          <w:szCs w:val="18"/>
        </w:rPr>
        <w:t>Communiqu</w:t>
      </w:r>
      <w:r w:rsidRPr="008032D2">
        <w:rPr>
          <w:rFonts w:cs="Arial"/>
          <w:color w:val="2C2A29"/>
          <w:szCs w:val="18"/>
          <w:shd w:val="clear" w:color="auto" w:fill="FFFFFF"/>
        </w:rPr>
        <w:t>é</w:t>
      </w:r>
      <w:r>
        <w:rPr>
          <w:rFonts w:cs="Arial"/>
          <w:szCs w:val="18"/>
        </w:rPr>
        <w:t>, 13 December 2019)</w:t>
      </w:r>
      <w:r w:rsidRPr="00761B90">
        <w:rPr>
          <w:rFonts w:cs="Arial"/>
          <w:szCs w:val="18"/>
        </w:rPr>
        <w:t xml:space="preserve"> 2. </w:t>
      </w:r>
    </w:p>
  </w:footnote>
  <w:footnote w:id="7">
    <w:p w14:paraId="76AF396E" w14:textId="1DA8D509" w:rsidR="00A137AA" w:rsidRPr="00EF1B8E" w:rsidRDefault="00A137AA" w:rsidP="00F9644B">
      <w:pPr>
        <w:pStyle w:val="FootnoteText"/>
        <w:spacing w:after="0" w:line="240" w:lineRule="auto"/>
        <w:ind w:left="142" w:hanging="142"/>
        <w:rPr>
          <w:szCs w:val="18"/>
        </w:rPr>
      </w:pPr>
      <w:r w:rsidRPr="0059440C">
        <w:rPr>
          <w:rStyle w:val="FootnoteReference"/>
          <w:szCs w:val="18"/>
        </w:rPr>
        <w:footnoteRef/>
      </w:r>
      <w:r w:rsidRPr="0059440C">
        <w:rPr>
          <w:szCs w:val="18"/>
        </w:rPr>
        <w:t xml:space="preserve"> David Tune AO PSM, </w:t>
      </w:r>
      <w:r w:rsidRPr="0059440C">
        <w:rPr>
          <w:i/>
          <w:iCs/>
          <w:szCs w:val="18"/>
        </w:rPr>
        <w:t xml:space="preserve">Review of the National Disability Insurance Scheme Act 2013: Removing red tape and implementing the NDIS Participant Service Guarantee </w:t>
      </w:r>
      <w:r w:rsidRPr="0059440C">
        <w:rPr>
          <w:szCs w:val="18"/>
        </w:rPr>
        <w:t>(</w:t>
      </w:r>
      <w:r>
        <w:rPr>
          <w:szCs w:val="18"/>
        </w:rPr>
        <w:t xml:space="preserve">Report, 2 </w:t>
      </w:r>
      <w:r w:rsidRPr="0059440C">
        <w:rPr>
          <w:szCs w:val="18"/>
        </w:rPr>
        <w:t xml:space="preserve">December 2019) </w:t>
      </w:r>
      <w:r>
        <w:rPr>
          <w:szCs w:val="18"/>
        </w:rPr>
        <w:t>&lt;</w:t>
      </w:r>
      <w:hyperlink r:id="rId2" w:history="1">
        <w:r w:rsidRPr="009D2C83">
          <w:rPr>
            <w:rStyle w:val="Hyperlink"/>
            <w:szCs w:val="18"/>
          </w:rPr>
          <w:t>https://www.dss.gov.au/disability-and-carers-programs-services-for-people-with-disability-national-disability-insurance-scheme/review-of-the-ndis-act-report</w:t>
        </w:r>
      </w:hyperlink>
      <w:r w:rsidRPr="00D244A3">
        <w:rPr>
          <w:rStyle w:val="Hyperlink"/>
          <w:color w:val="auto"/>
          <w:szCs w:val="18"/>
          <w:u w:val="none"/>
        </w:rPr>
        <w:t>&gt;</w:t>
      </w:r>
      <w:r w:rsidRPr="00D244A3">
        <w:rPr>
          <w:szCs w:val="18"/>
        </w:rPr>
        <w:t>.</w:t>
      </w:r>
      <w:r w:rsidRPr="0059440C">
        <w:rPr>
          <w:szCs w:val="18"/>
        </w:rPr>
        <w:t xml:space="preserve"> See also, National Legal Aid,</w:t>
      </w:r>
      <w:r>
        <w:rPr>
          <w:szCs w:val="18"/>
        </w:rPr>
        <w:t xml:space="preserve"> </w:t>
      </w:r>
      <w:r w:rsidRPr="00064F7F">
        <w:rPr>
          <w:szCs w:val="18"/>
        </w:rPr>
        <w:t>Submission to the Review of the NDIS Act and the new NDIS Participant Service Guarantee</w:t>
      </w:r>
      <w:r>
        <w:rPr>
          <w:szCs w:val="18"/>
        </w:rPr>
        <w:t>,</w:t>
      </w:r>
      <w:r w:rsidRPr="0059440C">
        <w:rPr>
          <w:szCs w:val="18"/>
        </w:rPr>
        <w:t xml:space="preserve"> </w:t>
      </w:r>
      <w:r w:rsidRPr="0059440C">
        <w:rPr>
          <w:i/>
          <w:iCs/>
          <w:szCs w:val="18"/>
        </w:rPr>
        <w:t xml:space="preserve">Putting people first: Removing barriers for people with disability to access NDIS supports </w:t>
      </w:r>
      <w:r w:rsidRPr="0059440C">
        <w:rPr>
          <w:szCs w:val="18"/>
        </w:rPr>
        <w:t xml:space="preserve">(4 November 2019) </w:t>
      </w:r>
      <w:r>
        <w:rPr>
          <w:szCs w:val="18"/>
        </w:rPr>
        <w:t>&lt;</w:t>
      </w:r>
      <w:hyperlink r:id="rId3" w:history="1">
        <w:r w:rsidRPr="009D2C83">
          <w:rPr>
            <w:rStyle w:val="Hyperlink"/>
            <w:szCs w:val="18"/>
          </w:rPr>
          <w:t>https://www.legalaid.vic.gov.au/sites/www.legalaid.vic.gov.au/files/vla-submission-putting-people-first-removing-barriers-for-people-with-disability-to-access-ndis-supports-11-2019.pdf</w:t>
        </w:r>
      </w:hyperlink>
      <w:r>
        <w:rPr>
          <w:szCs w:val="18"/>
        </w:rPr>
        <w:t>&gt;</w:t>
      </w:r>
      <w:r w:rsidRPr="00EF1B8E">
        <w:rPr>
          <w:szCs w:val="18"/>
        </w:rPr>
        <w:t>.</w:t>
      </w:r>
    </w:p>
  </w:footnote>
  <w:footnote w:id="8">
    <w:p w14:paraId="1F2EBCC0" w14:textId="0553890D" w:rsidR="00A137AA" w:rsidRPr="00EE732E" w:rsidRDefault="00A137AA" w:rsidP="00F9644B">
      <w:pPr>
        <w:pStyle w:val="FootnoteText"/>
        <w:spacing w:after="0" w:line="240" w:lineRule="auto"/>
        <w:ind w:left="142" w:hanging="142"/>
      </w:pPr>
      <w:r>
        <w:rPr>
          <w:rStyle w:val="FootnoteReference"/>
        </w:rPr>
        <w:footnoteRef/>
      </w:r>
      <w:r>
        <w:t xml:space="preserve"> Victoria Legal Aid, </w:t>
      </w:r>
      <w:r>
        <w:rPr>
          <w:i/>
          <w:iCs/>
        </w:rPr>
        <w:t xml:space="preserve">COVID-19 and protection visa reviews </w:t>
      </w:r>
      <w:r>
        <w:t>(Web Page, 7 May 2020) &lt;</w:t>
      </w:r>
      <w:hyperlink r:id="rId4" w:history="1">
        <w:r>
          <w:rPr>
            <w:rStyle w:val="Hyperlink"/>
          </w:rPr>
          <w:t>https://www.legalaid.vic.gov.au/find-legal-answers/covid-19-coronavirus/protection-visa-reviews</w:t>
        </w:r>
      </w:hyperlink>
      <w:r w:rsidRPr="00FF743F">
        <w:rPr>
          <w:rStyle w:val="Hyperlink"/>
          <w:color w:val="auto"/>
          <w:u w:val="none"/>
        </w:rPr>
        <w:t>&gt;</w:t>
      </w:r>
      <w:r w:rsidRPr="00FF743F">
        <w:t>.</w:t>
      </w:r>
    </w:p>
  </w:footnote>
  <w:footnote w:id="9">
    <w:p w14:paraId="71857201" w14:textId="666DAAFD" w:rsidR="00A137AA" w:rsidRPr="0059440C" w:rsidRDefault="00A137AA" w:rsidP="00914045">
      <w:pPr>
        <w:pStyle w:val="FootnoteText"/>
        <w:spacing w:after="0" w:line="240" w:lineRule="auto"/>
        <w:ind w:left="142" w:hanging="142"/>
        <w:rPr>
          <w:szCs w:val="18"/>
        </w:rPr>
      </w:pPr>
      <w:r w:rsidRPr="0059440C">
        <w:rPr>
          <w:rStyle w:val="FootnoteReference"/>
          <w:szCs w:val="18"/>
        </w:rPr>
        <w:footnoteRef/>
      </w:r>
      <w:r w:rsidRPr="0059440C">
        <w:rPr>
          <w:szCs w:val="18"/>
        </w:rPr>
        <w:t xml:space="preserve"> Australian Government Department of Health, </w:t>
      </w:r>
      <w:r w:rsidRPr="0059440C">
        <w:rPr>
          <w:i/>
          <w:iCs/>
          <w:szCs w:val="18"/>
        </w:rPr>
        <w:t>What you need to know about coronavirus (COVID-19)</w:t>
      </w:r>
      <w:r w:rsidRPr="0059440C">
        <w:rPr>
          <w:szCs w:val="18"/>
        </w:rPr>
        <w:t xml:space="preserve"> (</w:t>
      </w:r>
      <w:r>
        <w:rPr>
          <w:szCs w:val="18"/>
        </w:rPr>
        <w:t xml:space="preserve">Web Page, </w:t>
      </w:r>
      <w:r w:rsidRPr="0059440C">
        <w:rPr>
          <w:szCs w:val="18"/>
        </w:rPr>
        <w:t>22 May 2020) &lt;</w:t>
      </w:r>
      <w:hyperlink r:id="rId5" w:history="1">
        <w:r w:rsidRPr="0059440C">
          <w:rPr>
            <w:rStyle w:val="Hyperlink"/>
            <w:szCs w:val="18"/>
          </w:rPr>
          <w:t>https://www.health.gov.au/news/health-alerts/novel-coronavirus-2019-ncov-health-alert/what-you-need-to-know-about-coronavirus-covid-19</w:t>
        </w:r>
      </w:hyperlink>
      <w:r w:rsidRPr="0059440C">
        <w:rPr>
          <w:szCs w:val="18"/>
        </w:rPr>
        <w:t>&gt;. The website relevantly states that: “In Australia, the people most at risk of getting the virus are: travellers who have recently been overseas; those who have been in close contact with someone who has been diagnosed with COVID-19; people in correctional and detention facilities; and people in group residential settings.”</w:t>
      </w:r>
    </w:p>
  </w:footnote>
  <w:footnote w:id="10">
    <w:p w14:paraId="2839D077" w14:textId="077FDD9E" w:rsidR="00A137AA" w:rsidRPr="0059440C" w:rsidRDefault="00A137AA" w:rsidP="00914045">
      <w:pPr>
        <w:pStyle w:val="FootnoteText"/>
        <w:spacing w:after="0" w:line="240" w:lineRule="auto"/>
        <w:ind w:left="142" w:hanging="142"/>
        <w:rPr>
          <w:szCs w:val="18"/>
        </w:rPr>
      </w:pPr>
      <w:r w:rsidRPr="0059440C">
        <w:rPr>
          <w:rStyle w:val="FootnoteReference"/>
          <w:szCs w:val="18"/>
        </w:rPr>
        <w:footnoteRef/>
      </w:r>
      <w:r w:rsidRPr="0059440C">
        <w:rPr>
          <w:szCs w:val="18"/>
        </w:rPr>
        <w:t xml:space="preserve"> VLA clients have consented to us sharing their stories in this submission but have asked that we deidentify their names and identifying details to protect their rights to privacy. </w:t>
      </w:r>
    </w:p>
  </w:footnote>
  <w:footnote w:id="11">
    <w:p w14:paraId="7A3090DD" w14:textId="0F48DC48" w:rsidR="00A137AA" w:rsidRPr="008573BA" w:rsidRDefault="00A137AA" w:rsidP="00F9644B">
      <w:pPr>
        <w:pStyle w:val="FootnoteText"/>
        <w:spacing w:after="0" w:line="240" w:lineRule="auto"/>
        <w:ind w:left="142" w:hanging="142"/>
      </w:pPr>
      <w:r>
        <w:rPr>
          <w:rStyle w:val="FootnoteReference"/>
        </w:rPr>
        <w:footnoteRef/>
      </w:r>
      <w:r>
        <w:t xml:space="preserve"> See Victoria Legal Aid, </w:t>
      </w:r>
      <w:r>
        <w:rPr>
          <w:i/>
          <w:iCs/>
        </w:rPr>
        <w:t xml:space="preserve">COVID-19 and discrimination at work </w:t>
      </w:r>
      <w:r>
        <w:t>(Web Page, 20 April 2020) &lt;</w:t>
      </w:r>
      <w:hyperlink r:id="rId6" w:history="1">
        <w:r>
          <w:rPr>
            <w:rStyle w:val="Hyperlink"/>
          </w:rPr>
          <w:t>http://www.legalaid.vic.gov.au/find-legal-answers/covid-19-coronavirus/discrimination-work</w:t>
        </w:r>
      </w:hyperlink>
      <w:r w:rsidRPr="00FB1EF7">
        <w:rPr>
          <w:rStyle w:val="Hyperlink"/>
          <w:color w:val="auto"/>
          <w:u w:val="none"/>
        </w:rPr>
        <w:t>&gt;</w:t>
      </w:r>
      <w:r>
        <w:t>.</w:t>
      </w:r>
    </w:p>
  </w:footnote>
  <w:footnote w:id="12">
    <w:p w14:paraId="0A0DC017" w14:textId="1895BA2E" w:rsidR="00A137AA" w:rsidRPr="008C787B" w:rsidRDefault="00A137AA" w:rsidP="00914045">
      <w:pPr>
        <w:pStyle w:val="FootnoteText"/>
        <w:spacing w:after="0" w:line="240" w:lineRule="auto"/>
        <w:ind w:left="142" w:hanging="142"/>
        <w:rPr>
          <w:rFonts w:cs="Arial"/>
          <w:szCs w:val="16"/>
        </w:rPr>
      </w:pPr>
      <w:r w:rsidRPr="008C787B">
        <w:rPr>
          <w:rStyle w:val="FootnoteReference"/>
          <w:rFonts w:cs="Arial"/>
          <w:sz w:val="16"/>
          <w:szCs w:val="16"/>
        </w:rPr>
        <w:footnoteRef/>
      </w:r>
      <w:r w:rsidRPr="008C787B">
        <w:rPr>
          <w:rFonts w:cs="Arial"/>
          <w:szCs w:val="16"/>
        </w:rPr>
        <w:t xml:space="preserve"> Victoria Legal Aid, </w:t>
      </w:r>
      <w:r>
        <w:rPr>
          <w:rFonts w:cs="Arial"/>
          <w:szCs w:val="16"/>
        </w:rPr>
        <w:t xml:space="preserve">above </w:t>
      </w:r>
      <w:r w:rsidRPr="008C787B">
        <w:rPr>
          <w:rFonts w:cs="Arial"/>
          <w:szCs w:val="16"/>
        </w:rPr>
        <w:t>n 1</w:t>
      </w:r>
      <w:r>
        <w:rPr>
          <w:rFonts w:cs="Arial"/>
          <w:szCs w:val="16"/>
        </w:rPr>
        <w:t>,</w:t>
      </w:r>
      <w:r w:rsidRPr="008C787B">
        <w:rPr>
          <w:rFonts w:cs="Arial"/>
          <w:szCs w:val="16"/>
        </w:rPr>
        <w:t xml:space="preserve"> 11. Unique clients are individual clients who accessed one or more of Victoria Legal Aid’s legal services. This does not include people for whom a client-lawyer relationship was not formed, who received telephone, website or in-person information at court or at public counters or participated in community legal education.</w:t>
      </w:r>
    </w:p>
  </w:footnote>
  <w:footnote w:id="13">
    <w:p w14:paraId="4C8EE7EE" w14:textId="6D5ECAEC" w:rsidR="00A137AA" w:rsidRPr="008C787B" w:rsidRDefault="00A137AA" w:rsidP="00F9644B">
      <w:pPr>
        <w:pStyle w:val="FootnoteText"/>
        <w:spacing w:after="0"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w:t>
      </w:r>
      <w:r>
        <w:rPr>
          <w:rFonts w:cs="Arial"/>
          <w:szCs w:val="16"/>
        </w:rPr>
        <w:t>Ibid</w:t>
      </w:r>
      <w:r w:rsidRPr="008C787B">
        <w:rPr>
          <w:rFonts w:cs="Arial"/>
          <w:szCs w:val="16"/>
        </w:rPr>
        <w:t xml:space="preserve"> 10–11. </w:t>
      </w:r>
    </w:p>
  </w:footnote>
  <w:footnote w:id="14">
    <w:p w14:paraId="21646A6F" w14:textId="60942F74" w:rsidR="00A137AA" w:rsidRPr="008C787B" w:rsidRDefault="00A137AA" w:rsidP="00F9644B">
      <w:pPr>
        <w:pStyle w:val="FootnoteText"/>
        <w:spacing w:after="0"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w:t>
      </w:r>
      <w:r>
        <w:rPr>
          <w:rFonts w:cs="Arial"/>
          <w:szCs w:val="16"/>
        </w:rPr>
        <w:t>Ibid</w:t>
      </w:r>
      <w:r w:rsidRPr="008C787B">
        <w:rPr>
          <w:rFonts w:cs="Arial"/>
          <w:szCs w:val="16"/>
        </w:rPr>
        <w:t xml:space="preserve">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7BB7B" w14:textId="77777777" w:rsidR="00A137AA" w:rsidRDefault="00A137AA">
    <w:pPr>
      <w:pStyle w:val="Header"/>
    </w:pPr>
    <w:r>
      <w:rPr>
        <w:noProof/>
        <w:color w:val="2B579A"/>
        <w:shd w:val="clear" w:color="auto" w:fill="E6E6E6"/>
      </w:rPr>
      <mc:AlternateContent>
        <mc:Choice Requires="wps">
          <w:drawing>
            <wp:anchor distT="0" distB="0" distL="114300" distR="114300" simplePos="0" relativeHeight="251658240" behindDoc="1" locked="0" layoutInCell="0" allowOverlap="1" wp14:anchorId="25142B22" wp14:editId="11C781AF">
              <wp:simplePos x="0" y="0"/>
              <wp:positionH relativeFrom="margin">
                <wp:align>center</wp:align>
              </wp:positionH>
              <wp:positionV relativeFrom="margin">
                <wp:align>center</wp:align>
              </wp:positionV>
              <wp:extent cx="1085850" cy="71437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F0627F" w14:textId="77777777" w:rsidR="00A137AA" w:rsidRDefault="00A137AA" w:rsidP="009F4DEF">
                          <w:pPr>
                            <w:jc w:val="center"/>
                            <w:rPr>
                              <w:sz w:val="24"/>
                            </w:rPr>
                          </w:pPr>
                          <w:r>
                            <w:rPr>
                              <w:rFonts w:ascii="Arial Narrow" w:hAnsi="Arial Narrow" w:cs="Arial Narrow"/>
                              <w:color w:val="C0C0C0"/>
                              <w:sz w:val="64"/>
                              <w:szCs w:val="64"/>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5142B22" id="_x0000_t202" coordsize="21600,21600" o:spt="202" path="m,l,21600r21600,l21600,xe">
              <v:stroke joinstyle="miter"/>
              <v:path gradientshapeok="t" o:connecttype="rect"/>
            </v:shapetype>
            <v:shape id="WordArt 3" o:spid="_x0000_s1026" type="#_x0000_t202" style="position:absolute;margin-left:0;margin-top:0;width:85.5pt;height:56.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" o:allowincell="f" filled="f" stroked="f">
              <v:stroke joinstyle="round"/>
              <v:path arrowok="t"/>
              <v:textbox>
                <w:txbxContent>
                  <w:p w14:paraId="24F0627F" w14:textId="77777777" w:rsidR="00A137AA" w:rsidRDefault="00A137AA" w:rsidP="009F4DEF">
                    <w:pPr>
                      <w:jc w:val="center"/>
                      <w:rPr>
                        <w:sz w:val="24"/>
                      </w:rPr>
                    </w:pPr>
                    <w:r>
                      <w:rPr>
                        <w:rFonts w:ascii="Arial Narrow" w:hAnsi="Arial Narrow" w:cs="Arial Narrow"/>
                        <w:color w:val="C0C0C0"/>
                        <w:sz w:val="64"/>
                        <w:szCs w:val="64"/>
                        <w:lang w:val="en-GB"/>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4C233" w14:textId="77777777" w:rsidR="00A137AA" w:rsidRPr="009F7B2D" w:rsidRDefault="00A137AA" w:rsidP="004E06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61D2" w14:textId="77777777" w:rsidR="00A137AA" w:rsidRDefault="00A137AA" w:rsidP="006E2882">
    <w:pPr>
      <w:spacing w:before="400"/>
      <w:jc w:val="right"/>
    </w:pPr>
    <w:r w:rsidRPr="00C73D71">
      <w:rPr>
        <w:noProof/>
        <w:color w:val="2B579A"/>
        <w:sz w:val="44"/>
        <w:szCs w:val="44"/>
        <w:shd w:val="clear" w:color="auto" w:fill="E6E6E6"/>
      </w:rPr>
      <w:drawing>
        <wp:anchor distT="0" distB="0" distL="114300" distR="114300" simplePos="0" relativeHeight="251658243" behindDoc="1" locked="0" layoutInCell="1" allowOverlap="1" wp14:anchorId="2DC6D13F" wp14:editId="3F5619FB">
          <wp:simplePos x="0" y="0"/>
          <wp:positionH relativeFrom="page">
            <wp:posOffset>186431</wp:posOffset>
          </wp:positionH>
          <wp:positionV relativeFrom="page">
            <wp:posOffset>186431</wp:posOffset>
          </wp:positionV>
          <wp:extent cx="7156799" cy="102799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bmission_cover.jpg"/>
                  <pic:cNvPicPr/>
                </pic:nvPicPr>
                <pic:blipFill>
                  <a:blip r:embed="rId1">
                    <a:extLst>
                      <a:ext uri="{28A0092B-C50C-407E-A947-70E740481C1C}">
                        <a14:useLocalDpi xmlns:a14="http://schemas.microsoft.com/office/drawing/2010/main" val="0"/>
                      </a:ext>
                    </a:extLst>
                  </a:blip>
                  <a:stretch>
                    <a:fillRect/>
                  </a:stretch>
                </pic:blipFill>
                <pic:spPr>
                  <a:xfrm>
                    <a:off x="0" y="0"/>
                    <a:ext cx="7156799" cy="10279997"/>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08C6" w14:textId="77777777" w:rsidR="00A137AA" w:rsidRDefault="00A137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41AB8" w14:textId="77777777" w:rsidR="00A137AA" w:rsidRPr="009F7B2D" w:rsidRDefault="00A137AA" w:rsidP="002664A2">
    <w:pPr>
      <w:pStyle w:val="Header"/>
      <w:pBdr>
        <w:bottom w:val="none" w:sz="0" w:space="0" w:color="auto"/>
      </w:pBdr>
      <w:tabs>
        <w:tab w:val="clear" w:pos="4604"/>
        <w:tab w:val="clear" w:pos="9214"/>
      </w:tabs>
    </w:pPr>
    <w:r>
      <w:rPr>
        <w:noProof/>
        <w:color w:val="2B579A"/>
        <w:shd w:val="clear" w:color="auto" w:fill="E6E6E6"/>
      </w:rPr>
      <w:drawing>
        <wp:anchor distT="0" distB="0" distL="114300" distR="114300" simplePos="0" relativeHeight="251658241" behindDoc="0" locked="0" layoutInCell="1" allowOverlap="1" wp14:anchorId="652F7F95" wp14:editId="6A3E6951">
          <wp:simplePos x="0" y="0"/>
          <wp:positionH relativeFrom="column">
            <wp:posOffset>-647065</wp:posOffset>
          </wp:positionH>
          <wp:positionV relativeFrom="paragraph">
            <wp:posOffset>-540385</wp:posOffset>
          </wp:positionV>
          <wp:extent cx="7549515" cy="7105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ide_header.jpg"/>
                  <pic:cNvPicPr/>
                </pic:nvPicPr>
                <pic:blipFill>
                  <a:blip r:embed="rId1">
                    <a:extLst>
                      <a:ext uri="{28A0092B-C50C-407E-A947-70E740481C1C}">
                        <a14:useLocalDpi xmlns:a14="http://schemas.microsoft.com/office/drawing/2010/main" val="0"/>
                      </a:ext>
                    </a:extLst>
                  </a:blip>
                  <a:stretch>
                    <a:fillRect/>
                  </a:stretch>
                </pic:blipFill>
                <pic:spPr>
                  <a:xfrm>
                    <a:off x="0" y="0"/>
                    <a:ext cx="7549515"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F03F9" w14:textId="77777777" w:rsidR="00A137AA" w:rsidRPr="009F7B2D" w:rsidRDefault="00A137AA" w:rsidP="007538CC">
    <w:r>
      <w:rPr>
        <w:noProof/>
        <w:color w:val="2B579A"/>
        <w:shd w:val="clear" w:color="auto" w:fill="E6E6E6"/>
      </w:rPr>
      <w:drawing>
        <wp:anchor distT="0" distB="0" distL="114300" distR="114300" simplePos="0" relativeHeight="251658242" behindDoc="0" locked="0" layoutInCell="1" allowOverlap="1" wp14:anchorId="775B41BB" wp14:editId="02F5A610">
          <wp:simplePos x="0" y="0"/>
          <wp:positionH relativeFrom="column">
            <wp:posOffset>-647065</wp:posOffset>
          </wp:positionH>
          <wp:positionV relativeFrom="paragraph">
            <wp:posOffset>-540385</wp:posOffset>
          </wp:positionV>
          <wp:extent cx="7549515" cy="71056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ide_header.jpg"/>
                  <pic:cNvPicPr/>
                </pic:nvPicPr>
                <pic:blipFill>
                  <a:blip r:embed="rId1">
                    <a:extLst>
                      <a:ext uri="{28A0092B-C50C-407E-A947-70E740481C1C}">
                        <a14:useLocalDpi xmlns:a14="http://schemas.microsoft.com/office/drawing/2010/main" val="0"/>
                      </a:ext>
                    </a:extLst>
                  </a:blip>
                  <a:stretch>
                    <a:fillRect/>
                  </a:stretch>
                </pic:blipFill>
                <pic:spPr>
                  <a:xfrm>
                    <a:off x="0" y="0"/>
                    <a:ext cx="7549515"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8051F" w14:textId="77777777" w:rsidR="00A137AA" w:rsidRDefault="00A137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046A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7460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4ED8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36122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D954F19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DD267AC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A92DE8"/>
    <w:multiLevelType w:val="hybridMultilevel"/>
    <w:tmpl w:val="870AFB16"/>
    <w:lvl w:ilvl="0" w:tplc="B12A251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8" w15:restartNumberingAfterBreak="0">
    <w:nsid w:val="14967FE7"/>
    <w:multiLevelType w:val="hybridMultilevel"/>
    <w:tmpl w:val="A380D6D4"/>
    <w:lvl w:ilvl="0" w:tplc="92BE071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3F2081"/>
    <w:multiLevelType w:val="hybridMultilevel"/>
    <w:tmpl w:val="754E8AA0"/>
    <w:lvl w:ilvl="0" w:tplc="29982800">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0" w15:restartNumberingAfterBreak="0">
    <w:nsid w:val="1B233DAC"/>
    <w:multiLevelType w:val="hybridMultilevel"/>
    <w:tmpl w:val="606699F2"/>
    <w:lvl w:ilvl="0" w:tplc="144ACA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2E71B0"/>
    <w:multiLevelType w:val="hybridMultilevel"/>
    <w:tmpl w:val="221E2934"/>
    <w:lvl w:ilvl="0" w:tplc="07BE497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3" w15:restartNumberingAfterBreak="0">
    <w:nsid w:val="2625028C"/>
    <w:multiLevelType w:val="hybridMultilevel"/>
    <w:tmpl w:val="C18CB3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7F0B26"/>
    <w:multiLevelType w:val="hybridMultilevel"/>
    <w:tmpl w:val="E6CA99C8"/>
    <w:lvl w:ilvl="0" w:tplc="6F5A599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0795AF5"/>
    <w:multiLevelType w:val="hybridMultilevel"/>
    <w:tmpl w:val="2350110C"/>
    <w:lvl w:ilvl="0" w:tplc="23942E14">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6" w15:restartNumberingAfterBreak="0">
    <w:nsid w:val="30BE342A"/>
    <w:multiLevelType w:val="multilevel"/>
    <w:tmpl w:val="1ED8B4EC"/>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8A227FD"/>
    <w:multiLevelType w:val="hybridMultilevel"/>
    <w:tmpl w:val="99F48B18"/>
    <w:lvl w:ilvl="0" w:tplc="1220943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2B3EA7"/>
    <w:multiLevelType w:val="hybridMultilevel"/>
    <w:tmpl w:val="56BCDE74"/>
    <w:lvl w:ilvl="0" w:tplc="EB32744E">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21" w15:restartNumberingAfterBreak="0">
    <w:nsid w:val="49D418D9"/>
    <w:multiLevelType w:val="hybridMultilevel"/>
    <w:tmpl w:val="80C47586"/>
    <w:lvl w:ilvl="0" w:tplc="8862B98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3" w15:restartNumberingAfterBreak="0">
    <w:nsid w:val="50714347"/>
    <w:multiLevelType w:val="multilevel"/>
    <w:tmpl w:val="7C88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5" w15:restartNumberingAfterBreak="0">
    <w:nsid w:val="581C6550"/>
    <w:multiLevelType w:val="hybridMultilevel"/>
    <w:tmpl w:val="34CCE9A2"/>
    <w:lvl w:ilvl="0" w:tplc="3BF6AE88">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9D2EF7"/>
    <w:multiLevelType w:val="hybridMultilevel"/>
    <w:tmpl w:val="A282E752"/>
    <w:lvl w:ilvl="0" w:tplc="144ACA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8"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9" w15:restartNumberingAfterBreak="0">
    <w:nsid w:val="648749B3"/>
    <w:multiLevelType w:val="hybridMultilevel"/>
    <w:tmpl w:val="E1B6A558"/>
    <w:lvl w:ilvl="0" w:tplc="29982800">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30" w15:restartNumberingAfterBreak="0">
    <w:nsid w:val="65635412"/>
    <w:multiLevelType w:val="hybridMultilevel"/>
    <w:tmpl w:val="140EA1BE"/>
    <w:lvl w:ilvl="0" w:tplc="6B306A3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77B357A"/>
    <w:multiLevelType w:val="hybridMultilevel"/>
    <w:tmpl w:val="8AC428F0"/>
    <w:lvl w:ilvl="0" w:tplc="1220943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9F73C5"/>
    <w:multiLevelType w:val="hybridMultilevel"/>
    <w:tmpl w:val="6EDC8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7E33D1"/>
    <w:multiLevelType w:val="hybridMultilevel"/>
    <w:tmpl w:val="391074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93A09"/>
    <w:multiLevelType w:val="hybridMultilevel"/>
    <w:tmpl w:val="2D9867FA"/>
    <w:lvl w:ilvl="0" w:tplc="7A80F06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6" w15:restartNumberingAfterBreak="0">
    <w:nsid w:val="7B327C64"/>
    <w:multiLevelType w:val="multilevel"/>
    <w:tmpl w:val="B78CF440"/>
    <w:lvl w:ilvl="0">
      <w:start w:val="1"/>
      <w:numFmt w:val="bullet"/>
      <w:pStyle w:val="Listbulletcoloured"/>
      <w:lvlText w:val=""/>
      <w:lvlJc w:val="left"/>
      <w:pPr>
        <w:ind w:left="510" w:hanging="170"/>
      </w:pPr>
      <w:rPr>
        <w:rFonts w:ascii="Symbol" w:hAnsi="Symbol" w:hint="default"/>
        <w:color w:val="009DBD"/>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7" w15:restartNumberingAfterBreak="0">
    <w:nsid w:val="7D3F26A8"/>
    <w:multiLevelType w:val="hybridMultilevel"/>
    <w:tmpl w:val="5CB29F8A"/>
    <w:lvl w:ilvl="0" w:tplc="29982800">
      <w:start w:val="1"/>
      <w:numFmt w:val="lowerLetter"/>
      <w:lvlText w:val="(%1)"/>
      <w:lvlJc w:val="left"/>
      <w:pPr>
        <w:ind w:left="8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C925B4"/>
    <w:multiLevelType w:val="hybridMultilevel"/>
    <w:tmpl w:val="A79A57A8"/>
    <w:lvl w:ilvl="0" w:tplc="12209438">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24"/>
  </w:num>
  <w:num w:numId="3">
    <w:abstractNumId w:val="22"/>
  </w:num>
  <w:num w:numId="4">
    <w:abstractNumId w:val="4"/>
  </w:num>
  <w:num w:numId="5">
    <w:abstractNumId w:val="3"/>
  </w:num>
  <w:num w:numId="6">
    <w:abstractNumId w:val="2"/>
  </w:num>
  <w:num w:numId="7">
    <w:abstractNumId w:val="1"/>
  </w:num>
  <w:num w:numId="8">
    <w:abstractNumId w:val="0"/>
  </w:num>
  <w:num w:numId="9">
    <w:abstractNumId w:val="36"/>
  </w:num>
  <w:num w:numId="10">
    <w:abstractNumId w:val="13"/>
  </w:num>
  <w:num w:numId="11">
    <w:abstractNumId w:val="33"/>
  </w:num>
  <w:num w:numId="12">
    <w:abstractNumId w:val="15"/>
  </w:num>
  <w:num w:numId="13">
    <w:abstractNumId w:val="20"/>
  </w:num>
  <w:num w:numId="14">
    <w:abstractNumId w:val="29"/>
  </w:num>
  <w:num w:numId="15">
    <w:abstractNumId w:val="9"/>
  </w:num>
  <w:num w:numId="16">
    <w:abstractNumId w:val="18"/>
  </w:num>
  <w:num w:numId="17">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7"/>
  </w:num>
  <w:num w:numId="20">
    <w:abstractNumId w:val="8"/>
  </w:num>
  <w:num w:numId="21">
    <w:abstractNumId w:val="26"/>
  </w:num>
  <w:num w:numId="22">
    <w:abstractNumId w:val="10"/>
  </w:num>
  <w:num w:numId="23">
    <w:abstractNumId w:val="19"/>
  </w:num>
  <w:num w:numId="24">
    <w:abstractNumId w:val="31"/>
  </w:num>
  <w:num w:numId="25">
    <w:abstractNumId w:val="38"/>
  </w:num>
  <w:num w:numId="26">
    <w:abstractNumId w:val="34"/>
  </w:num>
  <w:num w:numId="27">
    <w:abstractNumId w:val="14"/>
  </w:num>
  <w:num w:numId="28">
    <w:abstractNumId w:val="11"/>
  </w:num>
  <w:num w:numId="29">
    <w:abstractNumId w:val="21"/>
  </w:num>
  <w:num w:numId="30">
    <w:abstractNumId w:val="6"/>
  </w:num>
  <w:num w:numId="31">
    <w:abstractNumId w:val="5"/>
  </w:num>
  <w:num w:numId="32">
    <w:abstractNumId w:val="23"/>
  </w:num>
  <w:num w:numId="33">
    <w:abstractNumId w:val="25"/>
  </w:num>
  <w:num w:numId="34">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mirrorMargin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43"/>
    <w:rsid w:val="00000028"/>
    <w:rsid w:val="0000099B"/>
    <w:rsid w:val="0000231D"/>
    <w:rsid w:val="0000389D"/>
    <w:rsid w:val="00003CB4"/>
    <w:rsid w:val="00003ED3"/>
    <w:rsid w:val="00004C06"/>
    <w:rsid w:val="0000618C"/>
    <w:rsid w:val="000075C9"/>
    <w:rsid w:val="00007914"/>
    <w:rsid w:val="00007AAC"/>
    <w:rsid w:val="00010189"/>
    <w:rsid w:val="00011CBB"/>
    <w:rsid w:val="00012C5E"/>
    <w:rsid w:val="00014D40"/>
    <w:rsid w:val="000155A6"/>
    <w:rsid w:val="00021816"/>
    <w:rsid w:val="00022C70"/>
    <w:rsid w:val="00022C83"/>
    <w:rsid w:val="00022E66"/>
    <w:rsid w:val="00022F0E"/>
    <w:rsid w:val="00022F62"/>
    <w:rsid w:val="00023F4D"/>
    <w:rsid w:val="000240FD"/>
    <w:rsid w:val="00024609"/>
    <w:rsid w:val="0002497E"/>
    <w:rsid w:val="00026EE7"/>
    <w:rsid w:val="00032AF3"/>
    <w:rsid w:val="00037F84"/>
    <w:rsid w:val="00040DAC"/>
    <w:rsid w:val="000419DD"/>
    <w:rsid w:val="00042993"/>
    <w:rsid w:val="0004377A"/>
    <w:rsid w:val="000446F9"/>
    <w:rsid w:val="00047097"/>
    <w:rsid w:val="00047804"/>
    <w:rsid w:val="000536AE"/>
    <w:rsid w:val="0005492F"/>
    <w:rsid w:val="00055B69"/>
    <w:rsid w:val="000560D9"/>
    <w:rsid w:val="00056D16"/>
    <w:rsid w:val="00057129"/>
    <w:rsid w:val="000579AC"/>
    <w:rsid w:val="00060875"/>
    <w:rsid w:val="000610FC"/>
    <w:rsid w:val="00061235"/>
    <w:rsid w:val="0006187A"/>
    <w:rsid w:val="00062699"/>
    <w:rsid w:val="00063376"/>
    <w:rsid w:val="0006345F"/>
    <w:rsid w:val="00064862"/>
    <w:rsid w:val="00064B2A"/>
    <w:rsid w:val="00064F7F"/>
    <w:rsid w:val="000657B6"/>
    <w:rsid w:val="00067D51"/>
    <w:rsid w:val="00071CF6"/>
    <w:rsid w:val="000721B4"/>
    <w:rsid w:val="00074805"/>
    <w:rsid w:val="0007556E"/>
    <w:rsid w:val="00075CBF"/>
    <w:rsid w:val="00076DB8"/>
    <w:rsid w:val="00080689"/>
    <w:rsid w:val="00080692"/>
    <w:rsid w:val="0008086B"/>
    <w:rsid w:val="0008454F"/>
    <w:rsid w:val="00084C6C"/>
    <w:rsid w:val="0008595F"/>
    <w:rsid w:val="0008630F"/>
    <w:rsid w:val="0009035F"/>
    <w:rsid w:val="000909A2"/>
    <w:rsid w:val="00091371"/>
    <w:rsid w:val="00091AD6"/>
    <w:rsid w:val="00091DF2"/>
    <w:rsid w:val="00091F03"/>
    <w:rsid w:val="000922BC"/>
    <w:rsid w:val="00092E11"/>
    <w:rsid w:val="00094C1E"/>
    <w:rsid w:val="00094D07"/>
    <w:rsid w:val="00097D49"/>
    <w:rsid w:val="000A38E3"/>
    <w:rsid w:val="000A3B4A"/>
    <w:rsid w:val="000A4634"/>
    <w:rsid w:val="000A4A48"/>
    <w:rsid w:val="000A65B7"/>
    <w:rsid w:val="000A711A"/>
    <w:rsid w:val="000B0099"/>
    <w:rsid w:val="000B02D8"/>
    <w:rsid w:val="000B0AB6"/>
    <w:rsid w:val="000B278C"/>
    <w:rsid w:val="000B3615"/>
    <w:rsid w:val="000B3D08"/>
    <w:rsid w:val="000B545D"/>
    <w:rsid w:val="000B5A86"/>
    <w:rsid w:val="000C04E1"/>
    <w:rsid w:val="000C0B84"/>
    <w:rsid w:val="000C3316"/>
    <w:rsid w:val="000C411F"/>
    <w:rsid w:val="000C421C"/>
    <w:rsid w:val="000C64C8"/>
    <w:rsid w:val="000C7BDF"/>
    <w:rsid w:val="000C7D0E"/>
    <w:rsid w:val="000D06EC"/>
    <w:rsid w:val="000D081F"/>
    <w:rsid w:val="000D1A8E"/>
    <w:rsid w:val="000D2605"/>
    <w:rsid w:val="000D3601"/>
    <w:rsid w:val="000D41D7"/>
    <w:rsid w:val="000D4F97"/>
    <w:rsid w:val="000D6299"/>
    <w:rsid w:val="000E0896"/>
    <w:rsid w:val="000E4B9B"/>
    <w:rsid w:val="000E667E"/>
    <w:rsid w:val="000E7142"/>
    <w:rsid w:val="000F2AAF"/>
    <w:rsid w:val="000F361C"/>
    <w:rsid w:val="000F5B6B"/>
    <w:rsid w:val="000F5BF4"/>
    <w:rsid w:val="00101CBD"/>
    <w:rsid w:val="00107209"/>
    <w:rsid w:val="00111DD4"/>
    <w:rsid w:val="001121D1"/>
    <w:rsid w:val="0011449D"/>
    <w:rsid w:val="00114C38"/>
    <w:rsid w:val="00114EE2"/>
    <w:rsid w:val="0011572E"/>
    <w:rsid w:val="00121D9B"/>
    <w:rsid w:val="00124D25"/>
    <w:rsid w:val="00130286"/>
    <w:rsid w:val="0013117E"/>
    <w:rsid w:val="0013681E"/>
    <w:rsid w:val="001373E5"/>
    <w:rsid w:val="001411F9"/>
    <w:rsid w:val="00141754"/>
    <w:rsid w:val="0014267B"/>
    <w:rsid w:val="0014270F"/>
    <w:rsid w:val="00143156"/>
    <w:rsid w:val="0014438C"/>
    <w:rsid w:val="0014682E"/>
    <w:rsid w:val="001479F2"/>
    <w:rsid w:val="00147A15"/>
    <w:rsid w:val="00151E94"/>
    <w:rsid w:val="00153494"/>
    <w:rsid w:val="0015499C"/>
    <w:rsid w:val="001559F6"/>
    <w:rsid w:val="001576DF"/>
    <w:rsid w:val="001607BE"/>
    <w:rsid w:val="00160EFC"/>
    <w:rsid w:val="001612A1"/>
    <w:rsid w:val="00161EEF"/>
    <w:rsid w:val="00162939"/>
    <w:rsid w:val="0016367F"/>
    <w:rsid w:val="001657AB"/>
    <w:rsid w:val="001702CE"/>
    <w:rsid w:val="0017245A"/>
    <w:rsid w:val="00172A00"/>
    <w:rsid w:val="00172E2E"/>
    <w:rsid w:val="00173C70"/>
    <w:rsid w:val="00174008"/>
    <w:rsid w:val="00175D56"/>
    <w:rsid w:val="001766A5"/>
    <w:rsid w:val="00177FA2"/>
    <w:rsid w:val="00180872"/>
    <w:rsid w:val="0018474D"/>
    <w:rsid w:val="00192F06"/>
    <w:rsid w:val="001931C4"/>
    <w:rsid w:val="001935B5"/>
    <w:rsid w:val="001936AB"/>
    <w:rsid w:val="00194BDD"/>
    <w:rsid w:val="0019509B"/>
    <w:rsid w:val="001A17AA"/>
    <w:rsid w:val="001A2B72"/>
    <w:rsid w:val="001A51C1"/>
    <w:rsid w:val="001A522E"/>
    <w:rsid w:val="001A554B"/>
    <w:rsid w:val="001A560E"/>
    <w:rsid w:val="001A6504"/>
    <w:rsid w:val="001A79FC"/>
    <w:rsid w:val="001B0720"/>
    <w:rsid w:val="001B270D"/>
    <w:rsid w:val="001B3206"/>
    <w:rsid w:val="001B44C3"/>
    <w:rsid w:val="001B6F59"/>
    <w:rsid w:val="001C2CB0"/>
    <w:rsid w:val="001C2D1B"/>
    <w:rsid w:val="001C34D1"/>
    <w:rsid w:val="001C4BC6"/>
    <w:rsid w:val="001C63E7"/>
    <w:rsid w:val="001C7135"/>
    <w:rsid w:val="001D1938"/>
    <w:rsid w:val="001D370E"/>
    <w:rsid w:val="001E0A52"/>
    <w:rsid w:val="001E19A5"/>
    <w:rsid w:val="001E3187"/>
    <w:rsid w:val="001E5143"/>
    <w:rsid w:val="001E569F"/>
    <w:rsid w:val="001E615E"/>
    <w:rsid w:val="001E6239"/>
    <w:rsid w:val="001E730B"/>
    <w:rsid w:val="001E7841"/>
    <w:rsid w:val="001F0CC7"/>
    <w:rsid w:val="001F369F"/>
    <w:rsid w:val="001F5717"/>
    <w:rsid w:val="001F6FFA"/>
    <w:rsid w:val="001F720E"/>
    <w:rsid w:val="001F7353"/>
    <w:rsid w:val="00200325"/>
    <w:rsid w:val="00200FC6"/>
    <w:rsid w:val="002015E3"/>
    <w:rsid w:val="0020337C"/>
    <w:rsid w:val="00204EFB"/>
    <w:rsid w:val="002063C3"/>
    <w:rsid w:val="00206D65"/>
    <w:rsid w:val="00207ED7"/>
    <w:rsid w:val="00210093"/>
    <w:rsid w:val="00212169"/>
    <w:rsid w:val="00215855"/>
    <w:rsid w:val="0021585A"/>
    <w:rsid w:val="00215CAC"/>
    <w:rsid w:val="00215D69"/>
    <w:rsid w:val="00215E3B"/>
    <w:rsid w:val="002164E5"/>
    <w:rsid w:val="002164FB"/>
    <w:rsid w:val="00221408"/>
    <w:rsid w:val="002228E1"/>
    <w:rsid w:val="00222D0C"/>
    <w:rsid w:val="002232E8"/>
    <w:rsid w:val="00223DB4"/>
    <w:rsid w:val="002245C0"/>
    <w:rsid w:val="002275AE"/>
    <w:rsid w:val="00230CC6"/>
    <w:rsid w:val="00231221"/>
    <w:rsid w:val="0023125D"/>
    <w:rsid w:val="002316E9"/>
    <w:rsid w:val="00233C0A"/>
    <w:rsid w:val="00234312"/>
    <w:rsid w:val="00236C70"/>
    <w:rsid w:val="0024011A"/>
    <w:rsid w:val="002405AA"/>
    <w:rsid w:val="00240F41"/>
    <w:rsid w:val="00241904"/>
    <w:rsid w:val="002435C9"/>
    <w:rsid w:val="00244533"/>
    <w:rsid w:val="0024466C"/>
    <w:rsid w:val="00246599"/>
    <w:rsid w:val="0024772E"/>
    <w:rsid w:val="00247826"/>
    <w:rsid w:val="002533E0"/>
    <w:rsid w:val="00253517"/>
    <w:rsid w:val="002538B1"/>
    <w:rsid w:val="00254B3C"/>
    <w:rsid w:val="00255CBD"/>
    <w:rsid w:val="002574E0"/>
    <w:rsid w:val="00257C96"/>
    <w:rsid w:val="002604CD"/>
    <w:rsid w:val="002612E5"/>
    <w:rsid w:val="002616B8"/>
    <w:rsid w:val="00261C65"/>
    <w:rsid w:val="00262D02"/>
    <w:rsid w:val="00263598"/>
    <w:rsid w:val="00263885"/>
    <w:rsid w:val="00263D8F"/>
    <w:rsid w:val="00265CC2"/>
    <w:rsid w:val="00265CC9"/>
    <w:rsid w:val="00265CF2"/>
    <w:rsid w:val="00265D3E"/>
    <w:rsid w:val="0026649B"/>
    <w:rsid w:val="002664A2"/>
    <w:rsid w:val="00266783"/>
    <w:rsid w:val="00270617"/>
    <w:rsid w:val="00270DD4"/>
    <w:rsid w:val="00271FA4"/>
    <w:rsid w:val="0027311F"/>
    <w:rsid w:val="002732D0"/>
    <w:rsid w:val="002745DF"/>
    <w:rsid w:val="002769FB"/>
    <w:rsid w:val="002815DC"/>
    <w:rsid w:val="00283352"/>
    <w:rsid w:val="00284000"/>
    <w:rsid w:val="00285AD4"/>
    <w:rsid w:val="00286836"/>
    <w:rsid w:val="00286BAC"/>
    <w:rsid w:val="00291113"/>
    <w:rsid w:val="0029348C"/>
    <w:rsid w:val="00293F03"/>
    <w:rsid w:val="00294136"/>
    <w:rsid w:val="00295031"/>
    <w:rsid w:val="0029670D"/>
    <w:rsid w:val="0029727E"/>
    <w:rsid w:val="002A0189"/>
    <w:rsid w:val="002A21FA"/>
    <w:rsid w:val="002A2300"/>
    <w:rsid w:val="002A2B9A"/>
    <w:rsid w:val="002A3D1D"/>
    <w:rsid w:val="002A4136"/>
    <w:rsid w:val="002A5881"/>
    <w:rsid w:val="002A7402"/>
    <w:rsid w:val="002B0B76"/>
    <w:rsid w:val="002B2BB2"/>
    <w:rsid w:val="002B3E46"/>
    <w:rsid w:val="002B4970"/>
    <w:rsid w:val="002B6497"/>
    <w:rsid w:val="002B6FF2"/>
    <w:rsid w:val="002C04AE"/>
    <w:rsid w:val="002C332B"/>
    <w:rsid w:val="002C6483"/>
    <w:rsid w:val="002C6A6F"/>
    <w:rsid w:val="002C7046"/>
    <w:rsid w:val="002D026E"/>
    <w:rsid w:val="002D05E5"/>
    <w:rsid w:val="002D2292"/>
    <w:rsid w:val="002D33A3"/>
    <w:rsid w:val="002D5F5B"/>
    <w:rsid w:val="002E2E22"/>
    <w:rsid w:val="002E4E88"/>
    <w:rsid w:val="002E53F4"/>
    <w:rsid w:val="002E5A61"/>
    <w:rsid w:val="002E5CD2"/>
    <w:rsid w:val="002E64B6"/>
    <w:rsid w:val="002E7D6F"/>
    <w:rsid w:val="002F0704"/>
    <w:rsid w:val="002F2125"/>
    <w:rsid w:val="002F2B93"/>
    <w:rsid w:val="002F2E49"/>
    <w:rsid w:val="002F45F0"/>
    <w:rsid w:val="002F4C7F"/>
    <w:rsid w:val="002F5A0E"/>
    <w:rsid w:val="002F6518"/>
    <w:rsid w:val="00300196"/>
    <w:rsid w:val="003045AB"/>
    <w:rsid w:val="003057C7"/>
    <w:rsid w:val="0030591D"/>
    <w:rsid w:val="00305D85"/>
    <w:rsid w:val="00306697"/>
    <w:rsid w:val="00307BEA"/>
    <w:rsid w:val="00307C02"/>
    <w:rsid w:val="00307C3C"/>
    <w:rsid w:val="0031011A"/>
    <w:rsid w:val="00310377"/>
    <w:rsid w:val="00310AB6"/>
    <w:rsid w:val="00313893"/>
    <w:rsid w:val="00313F58"/>
    <w:rsid w:val="0031436C"/>
    <w:rsid w:val="00315991"/>
    <w:rsid w:val="0031718C"/>
    <w:rsid w:val="00317A10"/>
    <w:rsid w:val="00317A14"/>
    <w:rsid w:val="003203C1"/>
    <w:rsid w:val="00321979"/>
    <w:rsid w:val="00324739"/>
    <w:rsid w:val="00325C73"/>
    <w:rsid w:val="0032709B"/>
    <w:rsid w:val="0033310D"/>
    <w:rsid w:val="00333A7C"/>
    <w:rsid w:val="003342BF"/>
    <w:rsid w:val="00337AAA"/>
    <w:rsid w:val="003410D0"/>
    <w:rsid w:val="0034340F"/>
    <w:rsid w:val="00343DAA"/>
    <w:rsid w:val="00343F56"/>
    <w:rsid w:val="003444D6"/>
    <w:rsid w:val="00346926"/>
    <w:rsid w:val="00350973"/>
    <w:rsid w:val="00351155"/>
    <w:rsid w:val="0035237E"/>
    <w:rsid w:val="003537E7"/>
    <w:rsid w:val="00354FB3"/>
    <w:rsid w:val="003566AE"/>
    <w:rsid w:val="00356C62"/>
    <w:rsid w:val="0036129E"/>
    <w:rsid w:val="00361EE2"/>
    <w:rsid w:val="00362AED"/>
    <w:rsid w:val="00363627"/>
    <w:rsid w:val="00364536"/>
    <w:rsid w:val="0036511B"/>
    <w:rsid w:val="0036656F"/>
    <w:rsid w:val="00371282"/>
    <w:rsid w:val="00372327"/>
    <w:rsid w:val="003726CD"/>
    <w:rsid w:val="003738BF"/>
    <w:rsid w:val="00373AEA"/>
    <w:rsid w:val="003742DB"/>
    <w:rsid w:val="00374BAA"/>
    <w:rsid w:val="00375D05"/>
    <w:rsid w:val="00376112"/>
    <w:rsid w:val="0037625C"/>
    <w:rsid w:val="003769A3"/>
    <w:rsid w:val="00376B2E"/>
    <w:rsid w:val="003775EB"/>
    <w:rsid w:val="0038275B"/>
    <w:rsid w:val="00382796"/>
    <w:rsid w:val="00382EBA"/>
    <w:rsid w:val="00383710"/>
    <w:rsid w:val="00384380"/>
    <w:rsid w:val="00384660"/>
    <w:rsid w:val="003853B1"/>
    <w:rsid w:val="00385CD7"/>
    <w:rsid w:val="003862F1"/>
    <w:rsid w:val="003863FE"/>
    <w:rsid w:val="00390D86"/>
    <w:rsid w:val="00391083"/>
    <w:rsid w:val="00391F22"/>
    <w:rsid w:val="00392910"/>
    <w:rsid w:val="003945F6"/>
    <w:rsid w:val="00395FC7"/>
    <w:rsid w:val="003A00D6"/>
    <w:rsid w:val="003A016B"/>
    <w:rsid w:val="003A13F2"/>
    <w:rsid w:val="003A1766"/>
    <w:rsid w:val="003A1DED"/>
    <w:rsid w:val="003A22F6"/>
    <w:rsid w:val="003A2302"/>
    <w:rsid w:val="003A247E"/>
    <w:rsid w:val="003A2773"/>
    <w:rsid w:val="003A3355"/>
    <w:rsid w:val="003A38AC"/>
    <w:rsid w:val="003A3D89"/>
    <w:rsid w:val="003A495B"/>
    <w:rsid w:val="003A5726"/>
    <w:rsid w:val="003A663D"/>
    <w:rsid w:val="003A6D3B"/>
    <w:rsid w:val="003A6F51"/>
    <w:rsid w:val="003A7518"/>
    <w:rsid w:val="003B2688"/>
    <w:rsid w:val="003B46FE"/>
    <w:rsid w:val="003B5755"/>
    <w:rsid w:val="003B6366"/>
    <w:rsid w:val="003B6480"/>
    <w:rsid w:val="003B6F47"/>
    <w:rsid w:val="003B7C49"/>
    <w:rsid w:val="003C0033"/>
    <w:rsid w:val="003C2836"/>
    <w:rsid w:val="003C2F49"/>
    <w:rsid w:val="003C31D7"/>
    <w:rsid w:val="003C425B"/>
    <w:rsid w:val="003C4851"/>
    <w:rsid w:val="003C4A7F"/>
    <w:rsid w:val="003C7A7F"/>
    <w:rsid w:val="003C7AF3"/>
    <w:rsid w:val="003D02DA"/>
    <w:rsid w:val="003D29C2"/>
    <w:rsid w:val="003D5C33"/>
    <w:rsid w:val="003D694D"/>
    <w:rsid w:val="003D6C49"/>
    <w:rsid w:val="003D7B0D"/>
    <w:rsid w:val="003E0981"/>
    <w:rsid w:val="003E0995"/>
    <w:rsid w:val="003E10D0"/>
    <w:rsid w:val="003E1240"/>
    <w:rsid w:val="003E17D1"/>
    <w:rsid w:val="003E231C"/>
    <w:rsid w:val="003E409C"/>
    <w:rsid w:val="003E4984"/>
    <w:rsid w:val="003E5D82"/>
    <w:rsid w:val="003E6241"/>
    <w:rsid w:val="003E6371"/>
    <w:rsid w:val="003F04B0"/>
    <w:rsid w:val="003F0F46"/>
    <w:rsid w:val="003F1C00"/>
    <w:rsid w:val="003F1C1E"/>
    <w:rsid w:val="003F1D1F"/>
    <w:rsid w:val="003F42CE"/>
    <w:rsid w:val="003F4805"/>
    <w:rsid w:val="003F48A9"/>
    <w:rsid w:val="003F512B"/>
    <w:rsid w:val="003F55A5"/>
    <w:rsid w:val="003F57B4"/>
    <w:rsid w:val="003F6005"/>
    <w:rsid w:val="003F6A9A"/>
    <w:rsid w:val="003F6FCD"/>
    <w:rsid w:val="003F7D84"/>
    <w:rsid w:val="003F7E12"/>
    <w:rsid w:val="00401465"/>
    <w:rsid w:val="00404296"/>
    <w:rsid w:val="004049D7"/>
    <w:rsid w:val="0040537D"/>
    <w:rsid w:val="00405F02"/>
    <w:rsid w:val="00406301"/>
    <w:rsid w:val="0041181E"/>
    <w:rsid w:val="0041289E"/>
    <w:rsid w:val="0041346A"/>
    <w:rsid w:val="00414872"/>
    <w:rsid w:val="00415527"/>
    <w:rsid w:val="0042009A"/>
    <w:rsid w:val="00423CC7"/>
    <w:rsid w:val="00423DE6"/>
    <w:rsid w:val="00427235"/>
    <w:rsid w:val="0043612A"/>
    <w:rsid w:val="004365C6"/>
    <w:rsid w:val="0043733A"/>
    <w:rsid w:val="00440BC9"/>
    <w:rsid w:val="00442077"/>
    <w:rsid w:val="00442DBC"/>
    <w:rsid w:val="0044397E"/>
    <w:rsid w:val="0044409F"/>
    <w:rsid w:val="00446477"/>
    <w:rsid w:val="00446C05"/>
    <w:rsid w:val="00450E2F"/>
    <w:rsid w:val="004523BA"/>
    <w:rsid w:val="004523C2"/>
    <w:rsid w:val="00452D52"/>
    <w:rsid w:val="0045435F"/>
    <w:rsid w:val="0046039F"/>
    <w:rsid w:val="00460D8C"/>
    <w:rsid w:val="00460F06"/>
    <w:rsid w:val="00461AE2"/>
    <w:rsid w:val="00461C5F"/>
    <w:rsid w:val="00461D43"/>
    <w:rsid w:val="00462452"/>
    <w:rsid w:val="00462A6E"/>
    <w:rsid w:val="00462BA5"/>
    <w:rsid w:val="00462C13"/>
    <w:rsid w:val="004637BC"/>
    <w:rsid w:val="00463DEF"/>
    <w:rsid w:val="00464064"/>
    <w:rsid w:val="0046548B"/>
    <w:rsid w:val="004661E8"/>
    <w:rsid w:val="00470076"/>
    <w:rsid w:val="004706DF"/>
    <w:rsid w:val="00472891"/>
    <w:rsid w:val="00473CAF"/>
    <w:rsid w:val="00473DF8"/>
    <w:rsid w:val="00474C72"/>
    <w:rsid w:val="0047704B"/>
    <w:rsid w:val="0048037C"/>
    <w:rsid w:val="0048120A"/>
    <w:rsid w:val="00481371"/>
    <w:rsid w:val="0048346C"/>
    <w:rsid w:val="004862CB"/>
    <w:rsid w:val="004921EC"/>
    <w:rsid w:val="00493B23"/>
    <w:rsid w:val="00494793"/>
    <w:rsid w:val="00494CC9"/>
    <w:rsid w:val="00495490"/>
    <w:rsid w:val="00495704"/>
    <w:rsid w:val="00496242"/>
    <w:rsid w:val="0049733D"/>
    <w:rsid w:val="004A055A"/>
    <w:rsid w:val="004A0ED4"/>
    <w:rsid w:val="004A11AD"/>
    <w:rsid w:val="004A21B9"/>
    <w:rsid w:val="004A2632"/>
    <w:rsid w:val="004A3573"/>
    <w:rsid w:val="004A43F2"/>
    <w:rsid w:val="004A6ECC"/>
    <w:rsid w:val="004A76B4"/>
    <w:rsid w:val="004A7B63"/>
    <w:rsid w:val="004B08DF"/>
    <w:rsid w:val="004B12B4"/>
    <w:rsid w:val="004B620C"/>
    <w:rsid w:val="004B65A2"/>
    <w:rsid w:val="004B7053"/>
    <w:rsid w:val="004B7D72"/>
    <w:rsid w:val="004C1A0A"/>
    <w:rsid w:val="004C6DD0"/>
    <w:rsid w:val="004D0765"/>
    <w:rsid w:val="004D25F2"/>
    <w:rsid w:val="004D3B12"/>
    <w:rsid w:val="004D5802"/>
    <w:rsid w:val="004D7307"/>
    <w:rsid w:val="004D7DD8"/>
    <w:rsid w:val="004E0688"/>
    <w:rsid w:val="004E13C3"/>
    <w:rsid w:val="004E16A4"/>
    <w:rsid w:val="004E2C5B"/>
    <w:rsid w:val="004E31A7"/>
    <w:rsid w:val="004E511B"/>
    <w:rsid w:val="004E63C7"/>
    <w:rsid w:val="004E69B3"/>
    <w:rsid w:val="004F1880"/>
    <w:rsid w:val="004F2CD9"/>
    <w:rsid w:val="004F3B10"/>
    <w:rsid w:val="004F3D70"/>
    <w:rsid w:val="004F4479"/>
    <w:rsid w:val="004F4F93"/>
    <w:rsid w:val="004F5B6E"/>
    <w:rsid w:val="004F60E1"/>
    <w:rsid w:val="004F63CB"/>
    <w:rsid w:val="004F63F2"/>
    <w:rsid w:val="004F6B65"/>
    <w:rsid w:val="004F6F27"/>
    <w:rsid w:val="004F7F32"/>
    <w:rsid w:val="005012C0"/>
    <w:rsid w:val="00501553"/>
    <w:rsid w:val="00505F2F"/>
    <w:rsid w:val="00506012"/>
    <w:rsid w:val="0050627C"/>
    <w:rsid w:val="0050688C"/>
    <w:rsid w:val="0050752F"/>
    <w:rsid w:val="00510ADF"/>
    <w:rsid w:val="00511307"/>
    <w:rsid w:val="0051310D"/>
    <w:rsid w:val="00514481"/>
    <w:rsid w:val="005144FB"/>
    <w:rsid w:val="00516735"/>
    <w:rsid w:val="0051771B"/>
    <w:rsid w:val="00520FB3"/>
    <w:rsid w:val="00521801"/>
    <w:rsid w:val="005272D5"/>
    <w:rsid w:val="005314CA"/>
    <w:rsid w:val="00531795"/>
    <w:rsid w:val="00531BE9"/>
    <w:rsid w:val="0053757E"/>
    <w:rsid w:val="005375A4"/>
    <w:rsid w:val="005409AD"/>
    <w:rsid w:val="005416EB"/>
    <w:rsid w:val="00541C24"/>
    <w:rsid w:val="005425DF"/>
    <w:rsid w:val="0054400A"/>
    <w:rsid w:val="005448D7"/>
    <w:rsid w:val="00544D26"/>
    <w:rsid w:val="00546BF6"/>
    <w:rsid w:val="0054738D"/>
    <w:rsid w:val="005506DC"/>
    <w:rsid w:val="00550E7B"/>
    <w:rsid w:val="00552932"/>
    <w:rsid w:val="00552BAE"/>
    <w:rsid w:val="00553614"/>
    <w:rsid w:val="00553996"/>
    <w:rsid w:val="005551D4"/>
    <w:rsid w:val="00557F5D"/>
    <w:rsid w:val="00560624"/>
    <w:rsid w:val="005607E9"/>
    <w:rsid w:val="00560B51"/>
    <w:rsid w:val="0056148F"/>
    <w:rsid w:val="005614DF"/>
    <w:rsid w:val="005629A5"/>
    <w:rsid w:val="005634BB"/>
    <w:rsid w:val="0056464E"/>
    <w:rsid w:val="005651B3"/>
    <w:rsid w:val="00566203"/>
    <w:rsid w:val="00566E8E"/>
    <w:rsid w:val="005675B0"/>
    <w:rsid w:val="00567614"/>
    <w:rsid w:val="005700A2"/>
    <w:rsid w:val="00570866"/>
    <w:rsid w:val="005731B6"/>
    <w:rsid w:val="0057398A"/>
    <w:rsid w:val="00581599"/>
    <w:rsid w:val="005859DB"/>
    <w:rsid w:val="00585D4D"/>
    <w:rsid w:val="005860AD"/>
    <w:rsid w:val="00586CA3"/>
    <w:rsid w:val="00587231"/>
    <w:rsid w:val="005878FA"/>
    <w:rsid w:val="0059312F"/>
    <w:rsid w:val="00594387"/>
    <w:rsid w:val="0059440C"/>
    <w:rsid w:val="00594983"/>
    <w:rsid w:val="00594AF9"/>
    <w:rsid w:val="00595787"/>
    <w:rsid w:val="0059757F"/>
    <w:rsid w:val="005A01BE"/>
    <w:rsid w:val="005A0CE0"/>
    <w:rsid w:val="005A38B1"/>
    <w:rsid w:val="005A4A22"/>
    <w:rsid w:val="005A67BF"/>
    <w:rsid w:val="005A7E62"/>
    <w:rsid w:val="005A7F72"/>
    <w:rsid w:val="005B1065"/>
    <w:rsid w:val="005B2676"/>
    <w:rsid w:val="005B3D4F"/>
    <w:rsid w:val="005B4BAD"/>
    <w:rsid w:val="005B6EFD"/>
    <w:rsid w:val="005C0283"/>
    <w:rsid w:val="005C2677"/>
    <w:rsid w:val="005C351B"/>
    <w:rsid w:val="005C400A"/>
    <w:rsid w:val="005C4334"/>
    <w:rsid w:val="005C48BF"/>
    <w:rsid w:val="005C50E4"/>
    <w:rsid w:val="005C66EE"/>
    <w:rsid w:val="005C7E8A"/>
    <w:rsid w:val="005D0202"/>
    <w:rsid w:val="005D0CAF"/>
    <w:rsid w:val="005D103A"/>
    <w:rsid w:val="005D1354"/>
    <w:rsid w:val="005D4EC6"/>
    <w:rsid w:val="005D4F15"/>
    <w:rsid w:val="005D5637"/>
    <w:rsid w:val="005D5FBC"/>
    <w:rsid w:val="005D65BA"/>
    <w:rsid w:val="005D6B9F"/>
    <w:rsid w:val="005D73B6"/>
    <w:rsid w:val="005E248A"/>
    <w:rsid w:val="005E25F9"/>
    <w:rsid w:val="005E3CA0"/>
    <w:rsid w:val="005F0C23"/>
    <w:rsid w:val="005F10AE"/>
    <w:rsid w:val="005F1461"/>
    <w:rsid w:val="005F193F"/>
    <w:rsid w:val="005F1D89"/>
    <w:rsid w:val="005F66F4"/>
    <w:rsid w:val="005F7D8E"/>
    <w:rsid w:val="00601424"/>
    <w:rsid w:val="006031ED"/>
    <w:rsid w:val="00603BFC"/>
    <w:rsid w:val="00604457"/>
    <w:rsid w:val="0060449D"/>
    <w:rsid w:val="00604558"/>
    <w:rsid w:val="00605250"/>
    <w:rsid w:val="006052F4"/>
    <w:rsid w:val="006056D5"/>
    <w:rsid w:val="00605C95"/>
    <w:rsid w:val="00605FC9"/>
    <w:rsid w:val="006062EC"/>
    <w:rsid w:val="00606B36"/>
    <w:rsid w:val="00606BB1"/>
    <w:rsid w:val="00607686"/>
    <w:rsid w:val="00607D4E"/>
    <w:rsid w:val="00610CD9"/>
    <w:rsid w:val="00612A05"/>
    <w:rsid w:val="00612D86"/>
    <w:rsid w:val="00613C51"/>
    <w:rsid w:val="006151E7"/>
    <w:rsid w:val="00615291"/>
    <w:rsid w:val="0061790D"/>
    <w:rsid w:val="00617C9D"/>
    <w:rsid w:val="00617D73"/>
    <w:rsid w:val="00621F83"/>
    <w:rsid w:val="0062261A"/>
    <w:rsid w:val="00622BCF"/>
    <w:rsid w:val="00625629"/>
    <w:rsid w:val="006260BB"/>
    <w:rsid w:val="006275E4"/>
    <w:rsid w:val="00632714"/>
    <w:rsid w:val="006355E0"/>
    <w:rsid w:val="00635DBB"/>
    <w:rsid w:val="00635F76"/>
    <w:rsid w:val="00637577"/>
    <w:rsid w:val="0064034B"/>
    <w:rsid w:val="00640994"/>
    <w:rsid w:val="00641935"/>
    <w:rsid w:val="00641CCE"/>
    <w:rsid w:val="00642328"/>
    <w:rsid w:val="00644432"/>
    <w:rsid w:val="00644C96"/>
    <w:rsid w:val="00644F49"/>
    <w:rsid w:val="00647280"/>
    <w:rsid w:val="006478BF"/>
    <w:rsid w:val="00647F15"/>
    <w:rsid w:val="00650574"/>
    <w:rsid w:val="00651B43"/>
    <w:rsid w:val="0065257A"/>
    <w:rsid w:val="006527AF"/>
    <w:rsid w:val="00653753"/>
    <w:rsid w:val="00653D29"/>
    <w:rsid w:val="00653DD4"/>
    <w:rsid w:val="00654EE9"/>
    <w:rsid w:val="006569E9"/>
    <w:rsid w:val="00656C00"/>
    <w:rsid w:val="006571CA"/>
    <w:rsid w:val="00657BC3"/>
    <w:rsid w:val="0066180F"/>
    <w:rsid w:val="00662347"/>
    <w:rsid w:val="00662D6C"/>
    <w:rsid w:val="00663482"/>
    <w:rsid w:val="0066474E"/>
    <w:rsid w:val="00665568"/>
    <w:rsid w:val="00671CCE"/>
    <w:rsid w:val="006722A4"/>
    <w:rsid w:val="006754C7"/>
    <w:rsid w:val="006755F5"/>
    <w:rsid w:val="00675BF8"/>
    <w:rsid w:val="00680861"/>
    <w:rsid w:val="00680C98"/>
    <w:rsid w:val="006819A3"/>
    <w:rsid w:val="006831FC"/>
    <w:rsid w:val="00683F81"/>
    <w:rsid w:val="0068448A"/>
    <w:rsid w:val="0068672E"/>
    <w:rsid w:val="006871C8"/>
    <w:rsid w:val="00687605"/>
    <w:rsid w:val="00690CCF"/>
    <w:rsid w:val="00691D00"/>
    <w:rsid w:val="0069254E"/>
    <w:rsid w:val="00692BD4"/>
    <w:rsid w:val="00693856"/>
    <w:rsid w:val="00693D2B"/>
    <w:rsid w:val="00696BAC"/>
    <w:rsid w:val="006A012C"/>
    <w:rsid w:val="006A18FA"/>
    <w:rsid w:val="006A396B"/>
    <w:rsid w:val="006A4BC7"/>
    <w:rsid w:val="006A5958"/>
    <w:rsid w:val="006A5F7D"/>
    <w:rsid w:val="006A69F1"/>
    <w:rsid w:val="006A6A7D"/>
    <w:rsid w:val="006B04B0"/>
    <w:rsid w:val="006B0CB5"/>
    <w:rsid w:val="006B12BB"/>
    <w:rsid w:val="006B2384"/>
    <w:rsid w:val="006B25C3"/>
    <w:rsid w:val="006B28BB"/>
    <w:rsid w:val="006B382A"/>
    <w:rsid w:val="006B4441"/>
    <w:rsid w:val="006B47DC"/>
    <w:rsid w:val="006B615B"/>
    <w:rsid w:val="006B7B21"/>
    <w:rsid w:val="006B7DD2"/>
    <w:rsid w:val="006C04E1"/>
    <w:rsid w:val="006C2D53"/>
    <w:rsid w:val="006C3CB0"/>
    <w:rsid w:val="006C3D4C"/>
    <w:rsid w:val="006C4CA7"/>
    <w:rsid w:val="006C5EE7"/>
    <w:rsid w:val="006C68AA"/>
    <w:rsid w:val="006C6A06"/>
    <w:rsid w:val="006C7439"/>
    <w:rsid w:val="006C7553"/>
    <w:rsid w:val="006D026C"/>
    <w:rsid w:val="006D2987"/>
    <w:rsid w:val="006D34FB"/>
    <w:rsid w:val="006D4328"/>
    <w:rsid w:val="006D5507"/>
    <w:rsid w:val="006D5E61"/>
    <w:rsid w:val="006D6915"/>
    <w:rsid w:val="006D6924"/>
    <w:rsid w:val="006D6E67"/>
    <w:rsid w:val="006D722A"/>
    <w:rsid w:val="006D7E54"/>
    <w:rsid w:val="006D7F63"/>
    <w:rsid w:val="006E1F5C"/>
    <w:rsid w:val="006E2882"/>
    <w:rsid w:val="006E2AD6"/>
    <w:rsid w:val="006E2FA2"/>
    <w:rsid w:val="006E3195"/>
    <w:rsid w:val="006E3A96"/>
    <w:rsid w:val="006E3CB9"/>
    <w:rsid w:val="006E46E1"/>
    <w:rsid w:val="006E7ED5"/>
    <w:rsid w:val="006E7F7D"/>
    <w:rsid w:val="006F047C"/>
    <w:rsid w:val="006F1772"/>
    <w:rsid w:val="006F1EF0"/>
    <w:rsid w:val="006F303F"/>
    <w:rsid w:val="006F32A0"/>
    <w:rsid w:val="006F3BD4"/>
    <w:rsid w:val="006F4D1C"/>
    <w:rsid w:val="006F57F6"/>
    <w:rsid w:val="006F759F"/>
    <w:rsid w:val="00700C9C"/>
    <w:rsid w:val="00700E8A"/>
    <w:rsid w:val="00700F2E"/>
    <w:rsid w:val="00701989"/>
    <w:rsid w:val="00702036"/>
    <w:rsid w:val="00703224"/>
    <w:rsid w:val="00703C7D"/>
    <w:rsid w:val="00703E50"/>
    <w:rsid w:val="007070E3"/>
    <w:rsid w:val="00707B1D"/>
    <w:rsid w:val="0071016A"/>
    <w:rsid w:val="00711CE3"/>
    <w:rsid w:val="0071324F"/>
    <w:rsid w:val="00713766"/>
    <w:rsid w:val="00714771"/>
    <w:rsid w:val="00716188"/>
    <w:rsid w:val="00716531"/>
    <w:rsid w:val="007167E1"/>
    <w:rsid w:val="00717ADD"/>
    <w:rsid w:val="007214D5"/>
    <w:rsid w:val="00721A59"/>
    <w:rsid w:val="00721E01"/>
    <w:rsid w:val="0072328E"/>
    <w:rsid w:val="0072341E"/>
    <w:rsid w:val="00723923"/>
    <w:rsid w:val="00724667"/>
    <w:rsid w:val="00724F7A"/>
    <w:rsid w:val="00725111"/>
    <w:rsid w:val="00725851"/>
    <w:rsid w:val="0072691A"/>
    <w:rsid w:val="00726948"/>
    <w:rsid w:val="00726C53"/>
    <w:rsid w:val="00730F75"/>
    <w:rsid w:val="00733542"/>
    <w:rsid w:val="00733602"/>
    <w:rsid w:val="00735511"/>
    <w:rsid w:val="00736267"/>
    <w:rsid w:val="00736CBF"/>
    <w:rsid w:val="00740241"/>
    <w:rsid w:val="007413EB"/>
    <w:rsid w:val="00741C1A"/>
    <w:rsid w:val="00742019"/>
    <w:rsid w:val="0074262A"/>
    <w:rsid w:val="007433A5"/>
    <w:rsid w:val="00745470"/>
    <w:rsid w:val="007466D1"/>
    <w:rsid w:val="00746BE4"/>
    <w:rsid w:val="0074798E"/>
    <w:rsid w:val="00747F3F"/>
    <w:rsid w:val="007508D6"/>
    <w:rsid w:val="007527ED"/>
    <w:rsid w:val="0075285A"/>
    <w:rsid w:val="007538CC"/>
    <w:rsid w:val="007550FB"/>
    <w:rsid w:val="00756788"/>
    <w:rsid w:val="00756AF8"/>
    <w:rsid w:val="007600C3"/>
    <w:rsid w:val="00770837"/>
    <w:rsid w:val="00770F82"/>
    <w:rsid w:val="007731A9"/>
    <w:rsid w:val="00774F94"/>
    <w:rsid w:val="00775643"/>
    <w:rsid w:val="00775B8F"/>
    <w:rsid w:val="00775CB9"/>
    <w:rsid w:val="007767BD"/>
    <w:rsid w:val="0078022B"/>
    <w:rsid w:val="007825F3"/>
    <w:rsid w:val="00783185"/>
    <w:rsid w:val="00785058"/>
    <w:rsid w:val="0078598B"/>
    <w:rsid w:val="007871BF"/>
    <w:rsid w:val="0078742F"/>
    <w:rsid w:val="0079041F"/>
    <w:rsid w:val="00790784"/>
    <w:rsid w:val="0079326E"/>
    <w:rsid w:val="007933F4"/>
    <w:rsid w:val="00793606"/>
    <w:rsid w:val="007961E7"/>
    <w:rsid w:val="007966A5"/>
    <w:rsid w:val="00796CB9"/>
    <w:rsid w:val="007974EB"/>
    <w:rsid w:val="007A0194"/>
    <w:rsid w:val="007A096E"/>
    <w:rsid w:val="007A2BA2"/>
    <w:rsid w:val="007A3B5F"/>
    <w:rsid w:val="007A5E26"/>
    <w:rsid w:val="007A62DE"/>
    <w:rsid w:val="007B0C82"/>
    <w:rsid w:val="007B13EC"/>
    <w:rsid w:val="007B67D7"/>
    <w:rsid w:val="007B6A8D"/>
    <w:rsid w:val="007B6C75"/>
    <w:rsid w:val="007B6D12"/>
    <w:rsid w:val="007B723B"/>
    <w:rsid w:val="007C0424"/>
    <w:rsid w:val="007C2DA9"/>
    <w:rsid w:val="007C2EE9"/>
    <w:rsid w:val="007C6E28"/>
    <w:rsid w:val="007C6FDF"/>
    <w:rsid w:val="007D08B2"/>
    <w:rsid w:val="007D1D71"/>
    <w:rsid w:val="007D32DE"/>
    <w:rsid w:val="007D4C10"/>
    <w:rsid w:val="007D54EC"/>
    <w:rsid w:val="007D5F68"/>
    <w:rsid w:val="007D7535"/>
    <w:rsid w:val="007E0B69"/>
    <w:rsid w:val="007E0C2E"/>
    <w:rsid w:val="007E1904"/>
    <w:rsid w:val="007E23E8"/>
    <w:rsid w:val="007E25B2"/>
    <w:rsid w:val="007E2B34"/>
    <w:rsid w:val="007E4CB8"/>
    <w:rsid w:val="007E4D13"/>
    <w:rsid w:val="007E54F6"/>
    <w:rsid w:val="007E73A8"/>
    <w:rsid w:val="007E7442"/>
    <w:rsid w:val="007E76DB"/>
    <w:rsid w:val="007F038C"/>
    <w:rsid w:val="007F0568"/>
    <w:rsid w:val="007F409E"/>
    <w:rsid w:val="007F43C9"/>
    <w:rsid w:val="007F52A9"/>
    <w:rsid w:val="007F55A6"/>
    <w:rsid w:val="007F5659"/>
    <w:rsid w:val="007F5844"/>
    <w:rsid w:val="00800301"/>
    <w:rsid w:val="00802D71"/>
    <w:rsid w:val="008031B3"/>
    <w:rsid w:val="008032D2"/>
    <w:rsid w:val="00804389"/>
    <w:rsid w:val="0080767E"/>
    <w:rsid w:val="00807CDD"/>
    <w:rsid w:val="0081041B"/>
    <w:rsid w:val="008104B7"/>
    <w:rsid w:val="008110F8"/>
    <w:rsid w:val="0081172A"/>
    <w:rsid w:val="00811FE7"/>
    <w:rsid w:val="00813BB0"/>
    <w:rsid w:val="00814776"/>
    <w:rsid w:val="008164E4"/>
    <w:rsid w:val="0082224A"/>
    <w:rsid w:val="00822D24"/>
    <w:rsid w:val="00823346"/>
    <w:rsid w:val="008254CB"/>
    <w:rsid w:val="00826384"/>
    <w:rsid w:val="00826543"/>
    <w:rsid w:val="0083009F"/>
    <w:rsid w:val="00831265"/>
    <w:rsid w:val="00832403"/>
    <w:rsid w:val="00833A4B"/>
    <w:rsid w:val="00835928"/>
    <w:rsid w:val="00835DCC"/>
    <w:rsid w:val="00837373"/>
    <w:rsid w:val="008377A1"/>
    <w:rsid w:val="008425B2"/>
    <w:rsid w:val="008431EA"/>
    <w:rsid w:val="008450E7"/>
    <w:rsid w:val="00846D02"/>
    <w:rsid w:val="00846ED4"/>
    <w:rsid w:val="008472DA"/>
    <w:rsid w:val="00847966"/>
    <w:rsid w:val="00850054"/>
    <w:rsid w:val="00850401"/>
    <w:rsid w:val="00851666"/>
    <w:rsid w:val="008520D3"/>
    <w:rsid w:val="00852B3A"/>
    <w:rsid w:val="00853BDA"/>
    <w:rsid w:val="00853CA9"/>
    <w:rsid w:val="0085414A"/>
    <w:rsid w:val="008547B5"/>
    <w:rsid w:val="00855D9B"/>
    <w:rsid w:val="00855ECD"/>
    <w:rsid w:val="0085657F"/>
    <w:rsid w:val="0085710F"/>
    <w:rsid w:val="008573BA"/>
    <w:rsid w:val="008610A6"/>
    <w:rsid w:val="0086264D"/>
    <w:rsid w:val="008636CA"/>
    <w:rsid w:val="0087004C"/>
    <w:rsid w:val="008719C4"/>
    <w:rsid w:val="00873A81"/>
    <w:rsid w:val="00873F69"/>
    <w:rsid w:val="00877798"/>
    <w:rsid w:val="008821C5"/>
    <w:rsid w:val="0088340F"/>
    <w:rsid w:val="00884073"/>
    <w:rsid w:val="008849EB"/>
    <w:rsid w:val="00884DA5"/>
    <w:rsid w:val="008850D7"/>
    <w:rsid w:val="00885238"/>
    <w:rsid w:val="00885325"/>
    <w:rsid w:val="008863FB"/>
    <w:rsid w:val="008865F7"/>
    <w:rsid w:val="008927F7"/>
    <w:rsid w:val="00892E2E"/>
    <w:rsid w:val="00895448"/>
    <w:rsid w:val="00896EA6"/>
    <w:rsid w:val="00897A42"/>
    <w:rsid w:val="008A067C"/>
    <w:rsid w:val="008A0D6C"/>
    <w:rsid w:val="008A125E"/>
    <w:rsid w:val="008A3BEF"/>
    <w:rsid w:val="008A5211"/>
    <w:rsid w:val="008A57FE"/>
    <w:rsid w:val="008B0235"/>
    <w:rsid w:val="008B06C4"/>
    <w:rsid w:val="008B09F2"/>
    <w:rsid w:val="008B19D6"/>
    <w:rsid w:val="008B41D1"/>
    <w:rsid w:val="008B546A"/>
    <w:rsid w:val="008B569F"/>
    <w:rsid w:val="008B6507"/>
    <w:rsid w:val="008B6EEB"/>
    <w:rsid w:val="008B76A1"/>
    <w:rsid w:val="008C0053"/>
    <w:rsid w:val="008C072E"/>
    <w:rsid w:val="008C0EA2"/>
    <w:rsid w:val="008C30CC"/>
    <w:rsid w:val="008C30E3"/>
    <w:rsid w:val="008C37D0"/>
    <w:rsid w:val="008C46A2"/>
    <w:rsid w:val="008C4E01"/>
    <w:rsid w:val="008C554E"/>
    <w:rsid w:val="008C6480"/>
    <w:rsid w:val="008C6728"/>
    <w:rsid w:val="008D5C9B"/>
    <w:rsid w:val="008D622F"/>
    <w:rsid w:val="008D77DC"/>
    <w:rsid w:val="008D7BA8"/>
    <w:rsid w:val="008E13C8"/>
    <w:rsid w:val="008E201A"/>
    <w:rsid w:val="008E2AB5"/>
    <w:rsid w:val="008E2D6E"/>
    <w:rsid w:val="008E52F1"/>
    <w:rsid w:val="008E75CC"/>
    <w:rsid w:val="008F000E"/>
    <w:rsid w:val="008F0579"/>
    <w:rsid w:val="008F057C"/>
    <w:rsid w:val="008F1A70"/>
    <w:rsid w:val="008F1F0B"/>
    <w:rsid w:val="008F2404"/>
    <w:rsid w:val="008F2917"/>
    <w:rsid w:val="008F31BA"/>
    <w:rsid w:val="008F36EC"/>
    <w:rsid w:val="008F44D3"/>
    <w:rsid w:val="008F49D8"/>
    <w:rsid w:val="008F6C6E"/>
    <w:rsid w:val="008F726E"/>
    <w:rsid w:val="00902528"/>
    <w:rsid w:val="00910E6F"/>
    <w:rsid w:val="00911151"/>
    <w:rsid w:val="00912769"/>
    <w:rsid w:val="0091337E"/>
    <w:rsid w:val="00914045"/>
    <w:rsid w:val="0091503D"/>
    <w:rsid w:val="009155F9"/>
    <w:rsid w:val="00917A28"/>
    <w:rsid w:val="00917DE9"/>
    <w:rsid w:val="009209EB"/>
    <w:rsid w:val="009214D8"/>
    <w:rsid w:val="00921F1A"/>
    <w:rsid w:val="00922986"/>
    <w:rsid w:val="00924935"/>
    <w:rsid w:val="00925672"/>
    <w:rsid w:val="00925FB1"/>
    <w:rsid w:val="00926101"/>
    <w:rsid w:val="0092619F"/>
    <w:rsid w:val="00932B59"/>
    <w:rsid w:val="0093361D"/>
    <w:rsid w:val="00934368"/>
    <w:rsid w:val="00935A5F"/>
    <w:rsid w:val="00936937"/>
    <w:rsid w:val="00936C24"/>
    <w:rsid w:val="00937DBF"/>
    <w:rsid w:val="00940C87"/>
    <w:rsid w:val="009419BB"/>
    <w:rsid w:val="0094252E"/>
    <w:rsid w:val="00942A42"/>
    <w:rsid w:val="009430A6"/>
    <w:rsid w:val="009442C6"/>
    <w:rsid w:val="00944A3A"/>
    <w:rsid w:val="00945E43"/>
    <w:rsid w:val="00946034"/>
    <w:rsid w:val="00946548"/>
    <w:rsid w:val="00946BEF"/>
    <w:rsid w:val="00947768"/>
    <w:rsid w:val="0094791B"/>
    <w:rsid w:val="00947E8C"/>
    <w:rsid w:val="0095003F"/>
    <w:rsid w:val="00953ADC"/>
    <w:rsid w:val="0095636C"/>
    <w:rsid w:val="00956EE3"/>
    <w:rsid w:val="00957221"/>
    <w:rsid w:val="009609A9"/>
    <w:rsid w:val="0096105F"/>
    <w:rsid w:val="009623C3"/>
    <w:rsid w:val="00963111"/>
    <w:rsid w:val="009642AF"/>
    <w:rsid w:val="009656B5"/>
    <w:rsid w:val="00967D7D"/>
    <w:rsid w:val="00971366"/>
    <w:rsid w:val="00971B38"/>
    <w:rsid w:val="00972F18"/>
    <w:rsid w:val="0097329A"/>
    <w:rsid w:val="00973AE6"/>
    <w:rsid w:val="009765E1"/>
    <w:rsid w:val="0098330B"/>
    <w:rsid w:val="009851D6"/>
    <w:rsid w:val="00990AD1"/>
    <w:rsid w:val="00990F7A"/>
    <w:rsid w:val="009922E5"/>
    <w:rsid w:val="009933B7"/>
    <w:rsid w:val="009958C0"/>
    <w:rsid w:val="009966C1"/>
    <w:rsid w:val="009A0892"/>
    <w:rsid w:val="009A12CB"/>
    <w:rsid w:val="009A227B"/>
    <w:rsid w:val="009A23DB"/>
    <w:rsid w:val="009A2930"/>
    <w:rsid w:val="009A46C7"/>
    <w:rsid w:val="009A58D3"/>
    <w:rsid w:val="009A64D8"/>
    <w:rsid w:val="009A7CBB"/>
    <w:rsid w:val="009A7F4E"/>
    <w:rsid w:val="009B0A28"/>
    <w:rsid w:val="009B0D62"/>
    <w:rsid w:val="009B275B"/>
    <w:rsid w:val="009B4190"/>
    <w:rsid w:val="009B4A7F"/>
    <w:rsid w:val="009B4D68"/>
    <w:rsid w:val="009B66CB"/>
    <w:rsid w:val="009B798D"/>
    <w:rsid w:val="009C0612"/>
    <w:rsid w:val="009C0FAF"/>
    <w:rsid w:val="009C1230"/>
    <w:rsid w:val="009C12DD"/>
    <w:rsid w:val="009C3F54"/>
    <w:rsid w:val="009C50DC"/>
    <w:rsid w:val="009C5AEF"/>
    <w:rsid w:val="009C5C52"/>
    <w:rsid w:val="009C7013"/>
    <w:rsid w:val="009C7F1B"/>
    <w:rsid w:val="009D0123"/>
    <w:rsid w:val="009D04A0"/>
    <w:rsid w:val="009D0C7C"/>
    <w:rsid w:val="009D0F76"/>
    <w:rsid w:val="009D3968"/>
    <w:rsid w:val="009E0D03"/>
    <w:rsid w:val="009E3543"/>
    <w:rsid w:val="009E3C26"/>
    <w:rsid w:val="009E4120"/>
    <w:rsid w:val="009E531D"/>
    <w:rsid w:val="009E5700"/>
    <w:rsid w:val="009E743F"/>
    <w:rsid w:val="009E79D0"/>
    <w:rsid w:val="009F2795"/>
    <w:rsid w:val="009F2F9E"/>
    <w:rsid w:val="009F476A"/>
    <w:rsid w:val="009F4DEF"/>
    <w:rsid w:val="009F527D"/>
    <w:rsid w:val="009F53EE"/>
    <w:rsid w:val="009F56B2"/>
    <w:rsid w:val="009F584C"/>
    <w:rsid w:val="009F68A4"/>
    <w:rsid w:val="009F7A4E"/>
    <w:rsid w:val="009F7A60"/>
    <w:rsid w:val="00A01024"/>
    <w:rsid w:val="00A01479"/>
    <w:rsid w:val="00A01823"/>
    <w:rsid w:val="00A046B9"/>
    <w:rsid w:val="00A0596C"/>
    <w:rsid w:val="00A05B09"/>
    <w:rsid w:val="00A05BFB"/>
    <w:rsid w:val="00A06964"/>
    <w:rsid w:val="00A122D8"/>
    <w:rsid w:val="00A134FD"/>
    <w:rsid w:val="00A137AA"/>
    <w:rsid w:val="00A14455"/>
    <w:rsid w:val="00A14704"/>
    <w:rsid w:val="00A15456"/>
    <w:rsid w:val="00A16921"/>
    <w:rsid w:val="00A16953"/>
    <w:rsid w:val="00A16A4C"/>
    <w:rsid w:val="00A171DA"/>
    <w:rsid w:val="00A1758B"/>
    <w:rsid w:val="00A21478"/>
    <w:rsid w:val="00A25235"/>
    <w:rsid w:val="00A260E6"/>
    <w:rsid w:val="00A265DD"/>
    <w:rsid w:val="00A26B7A"/>
    <w:rsid w:val="00A27621"/>
    <w:rsid w:val="00A27775"/>
    <w:rsid w:val="00A27C52"/>
    <w:rsid w:val="00A30C8A"/>
    <w:rsid w:val="00A3595E"/>
    <w:rsid w:val="00A35B47"/>
    <w:rsid w:val="00A35CE0"/>
    <w:rsid w:val="00A37D68"/>
    <w:rsid w:val="00A4095C"/>
    <w:rsid w:val="00A4262D"/>
    <w:rsid w:val="00A4269B"/>
    <w:rsid w:val="00A43553"/>
    <w:rsid w:val="00A447BD"/>
    <w:rsid w:val="00A448DA"/>
    <w:rsid w:val="00A45758"/>
    <w:rsid w:val="00A47401"/>
    <w:rsid w:val="00A47BB9"/>
    <w:rsid w:val="00A47CBE"/>
    <w:rsid w:val="00A500C8"/>
    <w:rsid w:val="00A52AF3"/>
    <w:rsid w:val="00A52E52"/>
    <w:rsid w:val="00A531CA"/>
    <w:rsid w:val="00A53282"/>
    <w:rsid w:val="00A54089"/>
    <w:rsid w:val="00A551BE"/>
    <w:rsid w:val="00A5608A"/>
    <w:rsid w:val="00A56362"/>
    <w:rsid w:val="00A578E9"/>
    <w:rsid w:val="00A60C34"/>
    <w:rsid w:val="00A60C5E"/>
    <w:rsid w:val="00A60FDA"/>
    <w:rsid w:val="00A63371"/>
    <w:rsid w:val="00A65038"/>
    <w:rsid w:val="00A65A73"/>
    <w:rsid w:val="00A6646B"/>
    <w:rsid w:val="00A669A5"/>
    <w:rsid w:val="00A674DC"/>
    <w:rsid w:val="00A700C0"/>
    <w:rsid w:val="00A712DE"/>
    <w:rsid w:val="00A71A87"/>
    <w:rsid w:val="00A748E4"/>
    <w:rsid w:val="00A74B5F"/>
    <w:rsid w:val="00A75C00"/>
    <w:rsid w:val="00A7655D"/>
    <w:rsid w:val="00A8001D"/>
    <w:rsid w:val="00A80FFC"/>
    <w:rsid w:val="00A82131"/>
    <w:rsid w:val="00A821F5"/>
    <w:rsid w:val="00A82893"/>
    <w:rsid w:val="00A832AC"/>
    <w:rsid w:val="00A8330D"/>
    <w:rsid w:val="00A8336F"/>
    <w:rsid w:val="00A83884"/>
    <w:rsid w:val="00A90259"/>
    <w:rsid w:val="00A926A3"/>
    <w:rsid w:val="00A93F25"/>
    <w:rsid w:val="00A940C0"/>
    <w:rsid w:val="00A94752"/>
    <w:rsid w:val="00A94EAF"/>
    <w:rsid w:val="00A95B38"/>
    <w:rsid w:val="00AA2CCE"/>
    <w:rsid w:val="00AA5335"/>
    <w:rsid w:val="00AA7C87"/>
    <w:rsid w:val="00AB001E"/>
    <w:rsid w:val="00AB47B5"/>
    <w:rsid w:val="00AB4D15"/>
    <w:rsid w:val="00AB6BFF"/>
    <w:rsid w:val="00AC0E5D"/>
    <w:rsid w:val="00AC134B"/>
    <w:rsid w:val="00AC1479"/>
    <w:rsid w:val="00AC1D04"/>
    <w:rsid w:val="00AC25EF"/>
    <w:rsid w:val="00AC2B72"/>
    <w:rsid w:val="00AC3EEA"/>
    <w:rsid w:val="00AC464A"/>
    <w:rsid w:val="00AC58A5"/>
    <w:rsid w:val="00AC59C2"/>
    <w:rsid w:val="00AC5A2A"/>
    <w:rsid w:val="00AC5D22"/>
    <w:rsid w:val="00AD2961"/>
    <w:rsid w:val="00AD2D19"/>
    <w:rsid w:val="00AE0035"/>
    <w:rsid w:val="00AE02D3"/>
    <w:rsid w:val="00AE146B"/>
    <w:rsid w:val="00AE1D8D"/>
    <w:rsid w:val="00AE2B0F"/>
    <w:rsid w:val="00AE3AAE"/>
    <w:rsid w:val="00AE46D9"/>
    <w:rsid w:val="00AE6C7D"/>
    <w:rsid w:val="00AF0505"/>
    <w:rsid w:val="00AF076B"/>
    <w:rsid w:val="00AF0B4B"/>
    <w:rsid w:val="00AF368D"/>
    <w:rsid w:val="00AF44AD"/>
    <w:rsid w:val="00AF56AB"/>
    <w:rsid w:val="00AF5D4C"/>
    <w:rsid w:val="00B0000B"/>
    <w:rsid w:val="00B00183"/>
    <w:rsid w:val="00B01519"/>
    <w:rsid w:val="00B04612"/>
    <w:rsid w:val="00B04858"/>
    <w:rsid w:val="00B07747"/>
    <w:rsid w:val="00B109FC"/>
    <w:rsid w:val="00B10A7F"/>
    <w:rsid w:val="00B11372"/>
    <w:rsid w:val="00B13184"/>
    <w:rsid w:val="00B13842"/>
    <w:rsid w:val="00B1619F"/>
    <w:rsid w:val="00B17B1D"/>
    <w:rsid w:val="00B17EDE"/>
    <w:rsid w:val="00B20B6B"/>
    <w:rsid w:val="00B22672"/>
    <w:rsid w:val="00B22A54"/>
    <w:rsid w:val="00B233DE"/>
    <w:rsid w:val="00B23511"/>
    <w:rsid w:val="00B23CBF"/>
    <w:rsid w:val="00B23F19"/>
    <w:rsid w:val="00B24B4E"/>
    <w:rsid w:val="00B3125C"/>
    <w:rsid w:val="00B35D48"/>
    <w:rsid w:val="00B366D8"/>
    <w:rsid w:val="00B36E38"/>
    <w:rsid w:val="00B37955"/>
    <w:rsid w:val="00B400C7"/>
    <w:rsid w:val="00B406CB"/>
    <w:rsid w:val="00B40881"/>
    <w:rsid w:val="00B40A01"/>
    <w:rsid w:val="00B41378"/>
    <w:rsid w:val="00B425B2"/>
    <w:rsid w:val="00B4309C"/>
    <w:rsid w:val="00B432C6"/>
    <w:rsid w:val="00B4338A"/>
    <w:rsid w:val="00B433DC"/>
    <w:rsid w:val="00B43925"/>
    <w:rsid w:val="00B457F5"/>
    <w:rsid w:val="00B47F5E"/>
    <w:rsid w:val="00B5111B"/>
    <w:rsid w:val="00B52345"/>
    <w:rsid w:val="00B535AA"/>
    <w:rsid w:val="00B54325"/>
    <w:rsid w:val="00B54612"/>
    <w:rsid w:val="00B556D7"/>
    <w:rsid w:val="00B56F07"/>
    <w:rsid w:val="00B57376"/>
    <w:rsid w:val="00B5745E"/>
    <w:rsid w:val="00B57AE2"/>
    <w:rsid w:val="00B60042"/>
    <w:rsid w:val="00B60424"/>
    <w:rsid w:val="00B60A4B"/>
    <w:rsid w:val="00B60EE9"/>
    <w:rsid w:val="00B61220"/>
    <w:rsid w:val="00B620C0"/>
    <w:rsid w:val="00B62FC6"/>
    <w:rsid w:val="00B647BB"/>
    <w:rsid w:val="00B64BAD"/>
    <w:rsid w:val="00B66A01"/>
    <w:rsid w:val="00B66CEF"/>
    <w:rsid w:val="00B7033F"/>
    <w:rsid w:val="00B70752"/>
    <w:rsid w:val="00B70E99"/>
    <w:rsid w:val="00B728AE"/>
    <w:rsid w:val="00B72F15"/>
    <w:rsid w:val="00B73A7A"/>
    <w:rsid w:val="00B7702D"/>
    <w:rsid w:val="00B777AA"/>
    <w:rsid w:val="00B77D0A"/>
    <w:rsid w:val="00B801D5"/>
    <w:rsid w:val="00B8316F"/>
    <w:rsid w:val="00B83836"/>
    <w:rsid w:val="00B84A61"/>
    <w:rsid w:val="00B8725B"/>
    <w:rsid w:val="00B87AE4"/>
    <w:rsid w:val="00B91617"/>
    <w:rsid w:val="00B921BF"/>
    <w:rsid w:val="00B9248C"/>
    <w:rsid w:val="00B939ED"/>
    <w:rsid w:val="00B93DDD"/>
    <w:rsid w:val="00B946A6"/>
    <w:rsid w:val="00B95960"/>
    <w:rsid w:val="00B965EA"/>
    <w:rsid w:val="00B97CFA"/>
    <w:rsid w:val="00B97EFB"/>
    <w:rsid w:val="00B97EFF"/>
    <w:rsid w:val="00BA049A"/>
    <w:rsid w:val="00BA0AE5"/>
    <w:rsid w:val="00BA0DAE"/>
    <w:rsid w:val="00BA1C6B"/>
    <w:rsid w:val="00BA222F"/>
    <w:rsid w:val="00BA3771"/>
    <w:rsid w:val="00BA380C"/>
    <w:rsid w:val="00BA3E8A"/>
    <w:rsid w:val="00BA517E"/>
    <w:rsid w:val="00BA5B43"/>
    <w:rsid w:val="00BA6D49"/>
    <w:rsid w:val="00BA7491"/>
    <w:rsid w:val="00BB1DF4"/>
    <w:rsid w:val="00BB1F72"/>
    <w:rsid w:val="00BB255D"/>
    <w:rsid w:val="00BB2E00"/>
    <w:rsid w:val="00BB352E"/>
    <w:rsid w:val="00BB4105"/>
    <w:rsid w:val="00BB535D"/>
    <w:rsid w:val="00BB5409"/>
    <w:rsid w:val="00BB6A9A"/>
    <w:rsid w:val="00BC1D4B"/>
    <w:rsid w:val="00BC28EC"/>
    <w:rsid w:val="00BC4472"/>
    <w:rsid w:val="00BC4D4B"/>
    <w:rsid w:val="00BC61AC"/>
    <w:rsid w:val="00BC7F1E"/>
    <w:rsid w:val="00BD1123"/>
    <w:rsid w:val="00BD1377"/>
    <w:rsid w:val="00BD3C65"/>
    <w:rsid w:val="00BD3DE2"/>
    <w:rsid w:val="00BD3FF6"/>
    <w:rsid w:val="00BD4C84"/>
    <w:rsid w:val="00BD525B"/>
    <w:rsid w:val="00BD7190"/>
    <w:rsid w:val="00BD768E"/>
    <w:rsid w:val="00BD7CF8"/>
    <w:rsid w:val="00BE0E09"/>
    <w:rsid w:val="00BE0E40"/>
    <w:rsid w:val="00BE16A9"/>
    <w:rsid w:val="00BE218F"/>
    <w:rsid w:val="00BE4478"/>
    <w:rsid w:val="00BE63A6"/>
    <w:rsid w:val="00BE6A0C"/>
    <w:rsid w:val="00BE6F1D"/>
    <w:rsid w:val="00BE7FD7"/>
    <w:rsid w:val="00BF04EB"/>
    <w:rsid w:val="00BF06CE"/>
    <w:rsid w:val="00BF073A"/>
    <w:rsid w:val="00BF1BDA"/>
    <w:rsid w:val="00BF1C41"/>
    <w:rsid w:val="00BF1F69"/>
    <w:rsid w:val="00BF2351"/>
    <w:rsid w:val="00BF3CA3"/>
    <w:rsid w:val="00BF4686"/>
    <w:rsid w:val="00BF732F"/>
    <w:rsid w:val="00BF7683"/>
    <w:rsid w:val="00C01D35"/>
    <w:rsid w:val="00C02656"/>
    <w:rsid w:val="00C02980"/>
    <w:rsid w:val="00C030E4"/>
    <w:rsid w:val="00C05021"/>
    <w:rsid w:val="00C06133"/>
    <w:rsid w:val="00C06D1B"/>
    <w:rsid w:val="00C10441"/>
    <w:rsid w:val="00C135C0"/>
    <w:rsid w:val="00C148F9"/>
    <w:rsid w:val="00C14CB8"/>
    <w:rsid w:val="00C158BF"/>
    <w:rsid w:val="00C16A13"/>
    <w:rsid w:val="00C16A43"/>
    <w:rsid w:val="00C16C27"/>
    <w:rsid w:val="00C171FB"/>
    <w:rsid w:val="00C20338"/>
    <w:rsid w:val="00C21125"/>
    <w:rsid w:val="00C21616"/>
    <w:rsid w:val="00C21B41"/>
    <w:rsid w:val="00C22FC4"/>
    <w:rsid w:val="00C23233"/>
    <w:rsid w:val="00C2582A"/>
    <w:rsid w:val="00C27D47"/>
    <w:rsid w:val="00C30314"/>
    <w:rsid w:val="00C316C7"/>
    <w:rsid w:val="00C3330F"/>
    <w:rsid w:val="00C33637"/>
    <w:rsid w:val="00C343B3"/>
    <w:rsid w:val="00C349DD"/>
    <w:rsid w:val="00C3509B"/>
    <w:rsid w:val="00C35556"/>
    <w:rsid w:val="00C363B3"/>
    <w:rsid w:val="00C40365"/>
    <w:rsid w:val="00C4093D"/>
    <w:rsid w:val="00C41008"/>
    <w:rsid w:val="00C414B3"/>
    <w:rsid w:val="00C41D24"/>
    <w:rsid w:val="00C42821"/>
    <w:rsid w:val="00C42AB0"/>
    <w:rsid w:val="00C4477F"/>
    <w:rsid w:val="00C449CE"/>
    <w:rsid w:val="00C45149"/>
    <w:rsid w:val="00C4579A"/>
    <w:rsid w:val="00C45992"/>
    <w:rsid w:val="00C45DB0"/>
    <w:rsid w:val="00C4614D"/>
    <w:rsid w:val="00C46153"/>
    <w:rsid w:val="00C5196A"/>
    <w:rsid w:val="00C52668"/>
    <w:rsid w:val="00C52D7E"/>
    <w:rsid w:val="00C53488"/>
    <w:rsid w:val="00C5371F"/>
    <w:rsid w:val="00C53AB4"/>
    <w:rsid w:val="00C5490E"/>
    <w:rsid w:val="00C55027"/>
    <w:rsid w:val="00C56250"/>
    <w:rsid w:val="00C564C2"/>
    <w:rsid w:val="00C568E5"/>
    <w:rsid w:val="00C578A3"/>
    <w:rsid w:val="00C6113D"/>
    <w:rsid w:val="00C627F5"/>
    <w:rsid w:val="00C62833"/>
    <w:rsid w:val="00C62E6B"/>
    <w:rsid w:val="00C6635C"/>
    <w:rsid w:val="00C668A0"/>
    <w:rsid w:val="00C67ED9"/>
    <w:rsid w:val="00C70818"/>
    <w:rsid w:val="00C71B0D"/>
    <w:rsid w:val="00C71BA3"/>
    <w:rsid w:val="00C7363C"/>
    <w:rsid w:val="00C73D71"/>
    <w:rsid w:val="00C73D78"/>
    <w:rsid w:val="00C74371"/>
    <w:rsid w:val="00C74608"/>
    <w:rsid w:val="00C74806"/>
    <w:rsid w:val="00C754AF"/>
    <w:rsid w:val="00C75BFB"/>
    <w:rsid w:val="00C76761"/>
    <w:rsid w:val="00C76860"/>
    <w:rsid w:val="00C76ACB"/>
    <w:rsid w:val="00C77C16"/>
    <w:rsid w:val="00C84A9A"/>
    <w:rsid w:val="00C85211"/>
    <w:rsid w:val="00C858D7"/>
    <w:rsid w:val="00C85A7A"/>
    <w:rsid w:val="00C86E78"/>
    <w:rsid w:val="00C8783C"/>
    <w:rsid w:val="00C909D8"/>
    <w:rsid w:val="00C915FE"/>
    <w:rsid w:val="00C9188C"/>
    <w:rsid w:val="00C9384F"/>
    <w:rsid w:val="00C93C2A"/>
    <w:rsid w:val="00C93FD0"/>
    <w:rsid w:val="00C95CC7"/>
    <w:rsid w:val="00C96789"/>
    <w:rsid w:val="00CA228A"/>
    <w:rsid w:val="00CA23C2"/>
    <w:rsid w:val="00CA34A2"/>
    <w:rsid w:val="00CA4594"/>
    <w:rsid w:val="00CA4F9B"/>
    <w:rsid w:val="00CA5BC6"/>
    <w:rsid w:val="00CA5F01"/>
    <w:rsid w:val="00CA7422"/>
    <w:rsid w:val="00CB0900"/>
    <w:rsid w:val="00CB0B0D"/>
    <w:rsid w:val="00CB0FD5"/>
    <w:rsid w:val="00CB45C0"/>
    <w:rsid w:val="00CB5042"/>
    <w:rsid w:val="00CB5290"/>
    <w:rsid w:val="00CB6506"/>
    <w:rsid w:val="00CB6A90"/>
    <w:rsid w:val="00CB6D23"/>
    <w:rsid w:val="00CB6E1C"/>
    <w:rsid w:val="00CB77AF"/>
    <w:rsid w:val="00CC04BF"/>
    <w:rsid w:val="00CC0C03"/>
    <w:rsid w:val="00CC2DE8"/>
    <w:rsid w:val="00CC31C3"/>
    <w:rsid w:val="00CC3457"/>
    <w:rsid w:val="00CC50A5"/>
    <w:rsid w:val="00CC6170"/>
    <w:rsid w:val="00CC6326"/>
    <w:rsid w:val="00CC77B0"/>
    <w:rsid w:val="00CC7F33"/>
    <w:rsid w:val="00CD0D29"/>
    <w:rsid w:val="00CD11E0"/>
    <w:rsid w:val="00CD1FDE"/>
    <w:rsid w:val="00CD2681"/>
    <w:rsid w:val="00CD5322"/>
    <w:rsid w:val="00CD5525"/>
    <w:rsid w:val="00CD6259"/>
    <w:rsid w:val="00CD6BA2"/>
    <w:rsid w:val="00CD6CBA"/>
    <w:rsid w:val="00CD7854"/>
    <w:rsid w:val="00CE1A1C"/>
    <w:rsid w:val="00CE2336"/>
    <w:rsid w:val="00CE29C1"/>
    <w:rsid w:val="00CE4C2F"/>
    <w:rsid w:val="00CE52ED"/>
    <w:rsid w:val="00CE5C0C"/>
    <w:rsid w:val="00CE6B10"/>
    <w:rsid w:val="00CE7545"/>
    <w:rsid w:val="00CF04D6"/>
    <w:rsid w:val="00CF1809"/>
    <w:rsid w:val="00CF1AFF"/>
    <w:rsid w:val="00CF1BF0"/>
    <w:rsid w:val="00CF5B6F"/>
    <w:rsid w:val="00CF7865"/>
    <w:rsid w:val="00D00C42"/>
    <w:rsid w:val="00D00D80"/>
    <w:rsid w:val="00D0249E"/>
    <w:rsid w:val="00D05C1E"/>
    <w:rsid w:val="00D10E28"/>
    <w:rsid w:val="00D11952"/>
    <w:rsid w:val="00D11D37"/>
    <w:rsid w:val="00D120EC"/>
    <w:rsid w:val="00D12F7A"/>
    <w:rsid w:val="00D13B69"/>
    <w:rsid w:val="00D1493C"/>
    <w:rsid w:val="00D16D28"/>
    <w:rsid w:val="00D2112B"/>
    <w:rsid w:val="00D21C8E"/>
    <w:rsid w:val="00D235FC"/>
    <w:rsid w:val="00D244A3"/>
    <w:rsid w:val="00D262FA"/>
    <w:rsid w:val="00D268E4"/>
    <w:rsid w:val="00D3082B"/>
    <w:rsid w:val="00D33E7B"/>
    <w:rsid w:val="00D34061"/>
    <w:rsid w:val="00D36B44"/>
    <w:rsid w:val="00D371C7"/>
    <w:rsid w:val="00D37F25"/>
    <w:rsid w:val="00D401B1"/>
    <w:rsid w:val="00D42901"/>
    <w:rsid w:val="00D435C6"/>
    <w:rsid w:val="00D43920"/>
    <w:rsid w:val="00D43FF8"/>
    <w:rsid w:val="00D45349"/>
    <w:rsid w:val="00D45B11"/>
    <w:rsid w:val="00D45CA5"/>
    <w:rsid w:val="00D464BC"/>
    <w:rsid w:val="00D47B4C"/>
    <w:rsid w:val="00D50114"/>
    <w:rsid w:val="00D502C3"/>
    <w:rsid w:val="00D50782"/>
    <w:rsid w:val="00D50C57"/>
    <w:rsid w:val="00D50CED"/>
    <w:rsid w:val="00D5156A"/>
    <w:rsid w:val="00D51B10"/>
    <w:rsid w:val="00D53162"/>
    <w:rsid w:val="00D540C1"/>
    <w:rsid w:val="00D570BF"/>
    <w:rsid w:val="00D60A46"/>
    <w:rsid w:val="00D622EF"/>
    <w:rsid w:val="00D62F11"/>
    <w:rsid w:val="00D64351"/>
    <w:rsid w:val="00D654CE"/>
    <w:rsid w:val="00D65725"/>
    <w:rsid w:val="00D66B43"/>
    <w:rsid w:val="00D67BAD"/>
    <w:rsid w:val="00D7143E"/>
    <w:rsid w:val="00D736C1"/>
    <w:rsid w:val="00D7370D"/>
    <w:rsid w:val="00D74D07"/>
    <w:rsid w:val="00D76298"/>
    <w:rsid w:val="00D77021"/>
    <w:rsid w:val="00D77F1D"/>
    <w:rsid w:val="00D77FC5"/>
    <w:rsid w:val="00D80F2A"/>
    <w:rsid w:val="00D8532D"/>
    <w:rsid w:val="00D86BA1"/>
    <w:rsid w:val="00D86C2C"/>
    <w:rsid w:val="00D86DA5"/>
    <w:rsid w:val="00D87556"/>
    <w:rsid w:val="00D90785"/>
    <w:rsid w:val="00D91401"/>
    <w:rsid w:val="00D91663"/>
    <w:rsid w:val="00D917C3"/>
    <w:rsid w:val="00D93200"/>
    <w:rsid w:val="00D956BF"/>
    <w:rsid w:val="00D97EA3"/>
    <w:rsid w:val="00DA09A6"/>
    <w:rsid w:val="00DA0BB8"/>
    <w:rsid w:val="00DA0C0C"/>
    <w:rsid w:val="00DA255D"/>
    <w:rsid w:val="00DA29C4"/>
    <w:rsid w:val="00DA4DAA"/>
    <w:rsid w:val="00DA70EA"/>
    <w:rsid w:val="00DA74BE"/>
    <w:rsid w:val="00DA7AB8"/>
    <w:rsid w:val="00DB3599"/>
    <w:rsid w:val="00DB51EF"/>
    <w:rsid w:val="00DB5716"/>
    <w:rsid w:val="00DB59CC"/>
    <w:rsid w:val="00DB6901"/>
    <w:rsid w:val="00DB6AE3"/>
    <w:rsid w:val="00DB7701"/>
    <w:rsid w:val="00DC023F"/>
    <w:rsid w:val="00DC1EF0"/>
    <w:rsid w:val="00DC2052"/>
    <w:rsid w:val="00DC3023"/>
    <w:rsid w:val="00DC3691"/>
    <w:rsid w:val="00DC3C22"/>
    <w:rsid w:val="00DC3FDD"/>
    <w:rsid w:val="00DC5D7F"/>
    <w:rsid w:val="00DC7A20"/>
    <w:rsid w:val="00DD1790"/>
    <w:rsid w:val="00DD1BE2"/>
    <w:rsid w:val="00DD252A"/>
    <w:rsid w:val="00DD381F"/>
    <w:rsid w:val="00DD3CCE"/>
    <w:rsid w:val="00DD65FD"/>
    <w:rsid w:val="00DD6C7D"/>
    <w:rsid w:val="00DD721D"/>
    <w:rsid w:val="00DD7BC8"/>
    <w:rsid w:val="00DE51B6"/>
    <w:rsid w:val="00DE5EAF"/>
    <w:rsid w:val="00DE7DBD"/>
    <w:rsid w:val="00DF05BC"/>
    <w:rsid w:val="00DF1F3B"/>
    <w:rsid w:val="00DF3AC1"/>
    <w:rsid w:val="00DF4036"/>
    <w:rsid w:val="00DF41AD"/>
    <w:rsid w:val="00DF4F08"/>
    <w:rsid w:val="00DF5571"/>
    <w:rsid w:val="00E004C5"/>
    <w:rsid w:val="00E00721"/>
    <w:rsid w:val="00E00F9A"/>
    <w:rsid w:val="00E0134A"/>
    <w:rsid w:val="00E02738"/>
    <w:rsid w:val="00E032B5"/>
    <w:rsid w:val="00E04922"/>
    <w:rsid w:val="00E05EBD"/>
    <w:rsid w:val="00E05F03"/>
    <w:rsid w:val="00E11086"/>
    <w:rsid w:val="00E11204"/>
    <w:rsid w:val="00E120A1"/>
    <w:rsid w:val="00E14108"/>
    <w:rsid w:val="00E1488D"/>
    <w:rsid w:val="00E15C73"/>
    <w:rsid w:val="00E15F96"/>
    <w:rsid w:val="00E170D6"/>
    <w:rsid w:val="00E170FC"/>
    <w:rsid w:val="00E20E74"/>
    <w:rsid w:val="00E218F7"/>
    <w:rsid w:val="00E21BA2"/>
    <w:rsid w:val="00E22965"/>
    <w:rsid w:val="00E22F0E"/>
    <w:rsid w:val="00E233F1"/>
    <w:rsid w:val="00E24723"/>
    <w:rsid w:val="00E24A08"/>
    <w:rsid w:val="00E24CFC"/>
    <w:rsid w:val="00E25BC2"/>
    <w:rsid w:val="00E26B77"/>
    <w:rsid w:val="00E335AE"/>
    <w:rsid w:val="00E33C88"/>
    <w:rsid w:val="00E34288"/>
    <w:rsid w:val="00E346AE"/>
    <w:rsid w:val="00E34B48"/>
    <w:rsid w:val="00E350EA"/>
    <w:rsid w:val="00E35375"/>
    <w:rsid w:val="00E36631"/>
    <w:rsid w:val="00E3691A"/>
    <w:rsid w:val="00E36CAF"/>
    <w:rsid w:val="00E37166"/>
    <w:rsid w:val="00E373D4"/>
    <w:rsid w:val="00E40845"/>
    <w:rsid w:val="00E40AD4"/>
    <w:rsid w:val="00E42BB4"/>
    <w:rsid w:val="00E45051"/>
    <w:rsid w:val="00E45D77"/>
    <w:rsid w:val="00E466D3"/>
    <w:rsid w:val="00E474FA"/>
    <w:rsid w:val="00E4754F"/>
    <w:rsid w:val="00E4775B"/>
    <w:rsid w:val="00E47E64"/>
    <w:rsid w:val="00E52B47"/>
    <w:rsid w:val="00E52D83"/>
    <w:rsid w:val="00E52D8A"/>
    <w:rsid w:val="00E53C27"/>
    <w:rsid w:val="00E53F23"/>
    <w:rsid w:val="00E546FA"/>
    <w:rsid w:val="00E5481D"/>
    <w:rsid w:val="00E54A9E"/>
    <w:rsid w:val="00E6079A"/>
    <w:rsid w:val="00E60CE4"/>
    <w:rsid w:val="00E618B3"/>
    <w:rsid w:val="00E61A54"/>
    <w:rsid w:val="00E628A6"/>
    <w:rsid w:val="00E62AEA"/>
    <w:rsid w:val="00E62D8F"/>
    <w:rsid w:val="00E639E2"/>
    <w:rsid w:val="00E6428C"/>
    <w:rsid w:val="00E655AC"/>
    <w:rsid w:val="00E65876"/>
    <w:rsid w:val="00E6688C"/>
    <w:rsid w:val="00E711EB"/>
    <w:rsid w:val="00E7265B"/>
    <w:rsid w:val="00E72E37"/>
    <w:rsid w:val="00E74A58"/>
    <w:rsid w:val="00E74CDC"/>
    <w:rsid w:val="00E75546"/>
    <w:rsid w:val="00E7607A"/>
    <w:rsid w:val="00E8063C"/>
    <w:rsid w:val="00E80900"/>
    <w:rsid w:val="00E83002"/>
    <w:rsid w:val="00E83FF4"/>
    <w:rsid w:val="00E847D8"/>
    <w:rsid w:val="00E8483F"/>
    <w:rsid w:val="00E8533E"/>
    <w:rsid w:val="00E87415"/>
    <w:rsid w:val="00E9214F"/>
    <w:rsid w:val="00E9228F"/>
    <w:rsid w:val="00E93254"/>
    <w:rsid w:val="00E93EC5"/>
    <w:rsid w:val="00E94015"/>
    <w:rsid w:val="00E94CF3"/>
    <w:rsid w:val="00E96372"/>
    <w:rsid w:val="00E965CF"/>
    <w:rsid w:val="00E966C1"/>
    <w:rsid w:val="00E96F91"/>
    <w:rsid w:val="00EA1560"/>
    <w:rsid w:val="00EA381A"/>
    <w:rsid w:val="00EA5049"/>
    <w:rsid w:val="00EA7178"/>
    <w:rsid w:val="00EA7A4B"/>
    <w:rsid w:val="00EB1B22"/>
    <w:rsid w:val="00EB253A"/>
    <w:rsid w:val="00EB2D55"/>
    <w:rsid w:val="00EB6543"/>
    <w:rsid w:val="00EB6A46"/>
    <w:rsid w:val="00EB6BEB"/>
    <w:rsid w:val="00EB6EEC"/>
    <w:rsid w:val="00EC1FF1"/>
    <w:rsid w:val="00EC2FF7"/>
    <w:rsid w:val="00EC3306"/>
    <w:rsid w:val="00EC69C9"/>
    <w:rsid w:val="00EC6B29"/>
    <w:rsid w:val="00EC7D79"/>
    <w:rsid w:val="00ED016A"/>
    <w:rsid w:val="00ED339A"/>
    <w:rsid w:val="00ED5FF7"/>
    <w:rsid w:val="00EE1259"/>
    <w:rsid w:val="00EE12BF"/>
    <w:rsid w:val="00EE12F6"/>
    <w:rsid w:val="00EE1416"/>
    <w:rsid w:val="00EE2460"/>
    <w:rsid w:val="00EE3071"/>
    <w:rsid w:val="00EE4884"/>
    <w:rsid w:val="00EE4E8E"/>
    <w:rsid w:val="00EE51C8"/>
    <w:rsid w:val="00EE5DC2"/>
    <w:rsid w:val="00EE622E"/>
    <w:rsid w:val="00EE685D"/>
    <w:rsid w:val="00EE732E"/>
    <w:rsid w:val="00EF00B7"/>
    <w:rsid w:val="00EF0EE1"/>
    <w:rsid w:val="00EF1B8E"/>
    <w:rsid w:val="00EF477A"/>
    <w:rsid w:val="00EF520A"/>
    <w:rsid w:val="00EF5337"/>
    <w:rsid w:val="00EF6CE5"/>
    <w:rsid w:val="00EF7DDD"/>
    <w:rsid w:val="00F03063"/>
    <w:rsid w:val="00F04497"/>
    <w:rsid w:val="00F0482B"/>
    <w:rsid w:val="00F116E5"/>
    <w:rsid w:val="00F11A6E"/>
    <w:rsid w:val="00F11D28"/>
    <w:rsid w:val="00F125E0"/>
    <w:rsid w:val="00F16F9B"/>
    <w:rsid w:val="00F17562"/>
    <w:rsid w:val="00F20F30"/>
    <w:rsid w:val="00F2174E"/>
    <w:rsid w:val="00F21A5F"/>
    <w:rsid w:val="00F23699"/>
    <w:rsid w:val="00F23B81"/>
    <w:rsid w:val="00F244BF"/>
    <w:rsid w:val="00F2554F"/>
    <w:rsid w:val="00F25B20"/>
    <w:rsid w:val="00F25B9E"/>
    <w:rsid w:val="00F2668E"/>
    <w:rsid w:val="00F27157"/>
    <w:rsid w:val="00F31F4C"/>
    <w:rsid w:val="00F320FD"/>
    <w:rsid w:val="00F3419E"/>
    <w:rsid w:val="00F3505A"/>
    <w:rsid w:val="00F35EBD"/>
    <w:rsid w:val="00F3603F"/>
    <w:rsid w:val="00F37264"/>
    <w:rsid w:val="00F403DC"/>
    <w:rsid w:val="00F407E5"/>
    <w:rsid w:val="00F410AB"/>
    <w:rsid w:val="00F41346"/>
    <w:rsid w:val="00F41F34"/>
    <w:rsid w:val="00F42D88"/>
    <w:rsid w:val="00F441B8"/>
    <w:rsid w:val="00F4424A"/>
    <w:rsid w:val="00F44A0E"/>
    <w:rsid w:val="00F45BEC"/>
    <w:rsid w:val="00F45E85"/>
    <w:rsid w:val="00F470AF"/>
    <w:rsid w:val="00F47181"/>
    <w:rsid w:val="00F51163"/>
    <w:rsid w:val="00F51635"/>
    <w:rsid w:val="00F526FE"/>
    <w:rsid w:val="00F533E9"/>
    <w:rsid w:val="00F53CDF"/>
    <w:rsid w:val="00F54918"/>
    <w:rsid w:val="00F55F4A"/>
    <w:rsid w:val="00F5648C"/>
    <w:rsid w:val="00F57A8E"/>
    <w:rsid w:val="00F62298"/>
    <w:rsid w:val="00F6284E"/>
    <w:rsid w:val="00F6400F"/>
    <w:rsid w:val="00F643FC"/>
    <w:rsid w:val="00F667C0"/>
    <w:rsid w:val="00F711F9"/>
    <w:rsid w:val="00F72D4B"/>
    <w:rsid w:val="00F73B02"/>
    <w:rsid w:val="00F744B7"/>
    <w:rsid w:val="00F75B95"/>
    <w:rsid w:val="00F773E8"/>
    <w:rsid w:val="00F77494"/>
    <w:rsid w:val="00F77568"/>
    <w:rsid w:val="00F77649"/>
    <w:rsid w:val="00F77A7D"/>
    <w:rsid w:val="00F82AB6"/>
    <w:rsid w:val="00F8381F"/>
    <w:rsid w:val="00F83A62"/>
    <w:rsid w:val="00F83EC1"/>
    <w:rsid w:val="00F84688"/>
    <w:rsid w:val="00F84EBE"/>
    <w:rsid w:val="00F86AC0"/>
    <w:rsid w:val="00F8724B"/>
    <w:rsid w:val="00F92E52"/>
    <w:rsid w:val="00F92EA5"/>
    <w:rsid w:val="00F953BD"/>
    <w:rsid w:val="00F9644B"/>
    <w:rsid w:val="00F96967"/>
    <w:rsid w:val="00F96C67"/>
    <w:rsid w:val="00F96E59"/>
    <w:rsid w:val="00FA13C5"/>
    <w:rsid w:val="00FA143A"/>
    <w:rsid w:val="00FA3B79"/>
    <w:rsid w:val="00FA648B"/>
    <w:rsid w:val="00FB0374"/>
    <w:rsid w:val="00FB1EF7"/>
    <w:rsid w:val="00FB3B7F"/>
    <w:rsid w:val="00FB4172"/>
    <w:rsid w:val="00FB4EB9"/>
    <w:rsid w:val="00FB7C15"/>
    <w:rsid w:val="00FC1732"/>
    <w:rsid w:val="00FC1C73"/>
    <w:rsid w:val="00FC2237"/>
    <w:rsid w:val="00FC2BA4"/>
    <w:rsid w:val="00FC3009"/>
    <w:rsid w:val="00FC3D20"/>
    <w:rsid w:val="00FC5B97"/>
    <w:rsid w:val="00FC7073"/>
    <w:rsid w:val="00FC7CAD"/>
    <w:rsid w:val="00FD246D"/>
    <w:rsid w:val="00FD2C89"/>
    <w:rsid w:val="00FD4171"/>
    <w:rsid w:val="00FD484C"/>
    <w:rsid w:val="00FD49CE"/>
    <w:rsid w:val="00FD55C0"/>
    <w:rsid w:val="00FD5A23"/>
    <w:rsid w:val="00FD6E50"/>
    <w:rsid w:val="00FD7371"/>
    <w:rsid w:val="00FE011E"/>
    <w:rsid w:val="00FE24F9"/>
    <w:rsid w:val="00FE33EC"/>
    <w:rsid w:val="00FE4098"/>
    <w:rsid w:val="00FE5B88"/>
    <w:rsid w:val="00FF2585"/>
    <w:rsid w:val="00FF2BDB"/>
    <w:rsid w:val="00FF51CC"/>
    <w:rsid w:val="00FF5393"/>
    <w:rsid w:val="00FF5CF8"/>
    <w:rsid w:val="00FF7221"/>
    <w:rsid w:val="00FF743F"/>
    <w:rsid w:val="01989485"/>
    <w:rsid w:val="01B6675B"/>
    <w:rsid w:val="02E6F756"/>
    <w:rsid w:val="03C17846"/>
    <w:rsid w:val="03EF47A9"/>
    <w:rsid w:val="06196345"/>
    <w:rsid w:val="079D9E22"/>
    <w:rsid w:val="07F28181"/>
    <w:rsid w:val="08100E6E"/>
    <w:rsid w:val="089D8F3B"/>
    <w:rsid w:val="08EB2B37"/>
    <w:rsid w:val="092BAAE5"/>
    <w:rsid w:val="0959C70A"/>
    <w:rsid w:val="0A20A057"/>
    <w:rsid w:val="0A247551"/>
    <w:rsid w:val="0A38D642"/>
    <w:rsid w:val="0A6AECF5"/>
    <w:rsid w:val="0B85E763"/>
    <w:rsid w:val="0C106078"/>
    <w:rsid w:val="0D010CB9"/>
    <w:rsid w:val="0D798C91"/>
    <w:rsid w:val="0E413DC8"/>
    <w:rsid w:val="0EC0136F"/>
    <w:rsid w:val="0EC93CF4"/>
    <w:rsid w:val="0F119D04"/>
    <w:rsid w:val="0F987AEC"/>
    <w:rsid w:val="10B959D5"/>
    <w:rsid w:val="10BB70E0"/>
    <w:rsid w:val="129BBA5E"/>
    <w:rsid w:val="12BA59C5"/>
    <w:rsid w:val="139F9488"/>
    <w:rsid w:val="13CD9FDB"/>
    <w:rsid w:val="13DBE814"/>
    <w:rsid w:val="14154FAF"/>
    <w:rsid w:val="147B5BB9"/>
    <w:rsid w:val="148049E7"/>
    <w:rsid w:val="149A5526"/>
    <w:rsid w:val="157624DE"/>
    <w:rsid w:val="169312F2"/>
    <w:rsid w:val="169E86DD"/>
    <w:rsid w:val="16EB29BC"/>
    <w:rsid w:val="17859924"/>
    <w:rsid w:val="17959972"/>
    <w:rsid w:val="1799F72C"/>
    <w:rsid w:val="18A76A91"/>
    <w:rsid w:val="1948C136"/>
    <w:rsid w:val="1982A956"/>
    <w:rsid w:val="199135B8"/>
    <w:rsid w:val="19B3885B"/>
    <w:rsid w:val="1A12F834"/>
    <w:rsid w:val="1A1A9B85"/>
    <w:rsid w:val="1CB54451"/>
    <w:rsid w:val="1D2192E0"/>
    <w:rsid w:val="1D604E2A"/>
    <w:rsid w:val="1D621A19"/>
    <w:rsid w:val="1E2DA0A0"/>
    <w:rsid w:val="1E4ACBF0"/>
    <w:rsid w:val="1EB9A406"/>
    <w:rsid w:val="1ED00194"/>
    <w:rsid w:val="1F7A6CCB"/>
    <w:rsid w:val="1FB1FA1A"/>
    <w:rsid w:val="2004A1F9"/>
    <w:rsid w:val="2018A74E"/>
    <w:rsid w:val="2033B67A"/>
    <w:rsid w:val="2056CCC3"/>
    <w:rsid w:val="20BBBBC5"/>
    <w:rsid w:val="210D5259"/>
    <w:rsid w:val="210F12DB"/>
    <w:rsid w:val="212CA633"/>
    <w:rsid w:val="2247AC63"/>
    <w:rsid w:val="2332D20E"/>
    <w:rsid w:val="233C42BB"/>
    <w:rsid w:val="23E0C494"/>
    <w:rsid w:val="240B7BC4"/>
    <w:rsid w:val="241F630B"/>
    <w:rsid w:val="2460B689"/>
    <w:rsid w:val="24723994"/>
    <w:rsid w:val="24FB954C"/>
    <w:rsid w:val="2511BA52"/>
    <w:rsid w:val="26411D09"/>
    <w:rsid w:val="2650F558"/>
    <w:rsid w:val="27395092"/>
    <w:rsid w:val="2798B537"/>
    <w:rsid w:val="28710ABF"/>
    <w:rsid w:val="295091FD"/>
    <w:rsid w:val="2A5E835A"/>
    <w:rsid w:val="2A99D5AE"/>
    <w:rsid w:val="2AAD22A9"/>
    <w:rsid w:val="2BAE061E"/>
    <w:rsid w:val="2BCE613D"/>
    <w:rsid w:val="2C580214"/>
    <w:rsid w:val="2CC37563"/>
    <w:rsid w:val="2CF12C24"/>
    <w:rsid w:val="2D0353BC"/>
    <w:rsid w:val="2D17FCF8"/>
    <w:rsid w:val="2D97F66B"/>
    <w:rsid w:val="2E1EE420"/>
    <w:rsid w:val="2E3C9CE4"/>
    <w:rsid w:val="2E606C67"/>
    <w:rsid w:val="2E7BBA66"/>
    <w:rsid w:val="2F0DB96D"/>
    <w:rsid w:val="30A031DA"/>
    <w:rsid w:val="314212E8"/>
    <w:rsid w:val="31C560B3"/>
    <w:rsid w:val="323EB93F"/>
    <w:rsid w:val="32560D81"/>
    <w:rsid w:val="32B0C9E2"/>
    <w:rsid w:val="332D2FCC"/>
    <w:rsid w:val="33B020C5"/>
    <w:rsid w:val="33E9BA06"/>
    <w:rsid w:val="35471BA0"/>
    <w:rsid w:val="36634877"/>
    <w:rsid w:val="382F6DC6"/>
    <w:rsid w:val="387CE26C"/>
    <w:rsid w:val="39F7B3BF"/>
    <w:rsid w:val="3A18504A"/>
    <w:rsid w:val="3AF17459"/>
    <w:rsid w:val="3B01FC01"/>
    <w:rsid w:val="3B619C6A"/>
    <w:rsid w:val="3B935C38"/>
    <w:rsid w:val="3BA905B6"/>
    <w:rsid w:val="3BB4F5DC"/>
    <w:rsid w:val="3BD44328"/>
    <w:rsid w:val="3BE77B66"/>
    <w:rsid w:val="3BEECC6E"/>
    <w:rsid w:val="3C2E4109"/>
    <w:rsid w:val="3C9324BF"/>
    <w:rsid w:val="3D698F74"/>
    <w:rsid w:val="3E0EBEAA"/>
    <w:rsid w:val="3EFE21A0"/>
    <w:rsid w:val="3FEE8C7E"/>
    <w:rsid w:val="3FF59F16"/>
    <w:rsid w:val="40381B7F"/>
    <w:rsid w:val="40B07717"/>
    <w:rsid w:val="40B6D3A2"/>
    <w:rsid w:val="40D982B8"/>
    <w:rsid w:val="41B70212"/>
    <w:rsid w:val="426A92B2"/>
    <w:rsid w:val="42DE23D8"/>
    <w:rsid w:val="444D5AE4"/>
    <w:rsid w:val="447850CF"/>
    <w:rsid w:val="44A2981A"/>
    <w:rsid w:val="44A84352"/>
    <w:rsid w:val="44E6C408"/>
    <w:rsid w:val="45194F5E"/>
    <w:rsid w:val="456F982C"/>
    <w:rsid w:val="459D9DE6"/>
    <w:rsid w:val="460B1594"/>
    <w:rsid w:val="464948D0"/>
    <w:rsid w:val="464EDAAF"/>
    <w:rsid w:val="47B4169B"/>
    <w:rsid w:val="47B97257"/>
    <w:rsid w:val="47EB6807"/>
    <w:rsid w:val="4894C53E"/>
    <w:rsid w:val="494D604C"/>
    <w:rsid w:val="49C3BCC3"/>
    <w:rsid w:val="4A0B6FF8"/>
    <w:rsid w:val="4A9D8222"/>
    <w:rsid w:val="4B5BADBB"/>
    <w:rsid w:val="4B8AB184"/>
    <w:rsid w:val="4CFA70FD"/>
    <w:rsid w:val="4D36481C"/>
    <w:rsid w:val="4D51FA77"/>
    <w:rsid w:val="4D82158B"/>
    <w:rsid w:val="4DCEEB09"/>
    <w:rsid w:val="4E2944D8"/>
    <w:rsid w:val="4E7D9588"/>
    <w:rsid w:val="4EC0A5B2"/>
    <w:rsid w:val="4EED4B16"/>
    <w:rsid w:val="4EF3E24D"/>
    <w:rsid w:val="4F3B6B88"/>
    <w:rsid w:val="4F7AEE73"/>
    <w:rsid w:val="4F869F77"/>
    <w:rsid w:val="504DA156"/>
    <w:rsid w:val="5053B796"/>
    <w:rsid w:val="513745C0"/>
    <w:rsid w:val="51508202"/>
    <w:rsid w:val="5164511C"/>
    <w:rsid w:val="5167D524"/>
    <w:rsid w:val="51DF5997"/>
    <w:rsid w:val="52B29B0A"/>
    <w:rsid w:val="5301731B"/>
    <w:rsid w:val="53A4AAE0"/>
    <w:rsid w:val="53CE1F90"/>
    <w:rsid w:val="541220A6"/>
    <w:rsid w:val="547DC380"/>
    <w:rsid w:val="54941B07"/>
    <w:rsid w:val="560AE245"/>
    <w:rsid w:val="564A5F01"/>
    <w:rsid w:val="56A69B15"/>
    <w:rsid w:val="571D3936"/>
    <w:rsid w:val="576E21F4"/>
    <w:rsid w:val="576ED1EC"/>
    <w:rsid w:val="588638E1"/>
    <w:rsid w:val="5A001322"/>
    <w:rsid w:val="5A64C9A8"/>
    <w:rsid w:val="5AD776DA"/>
    <w:rsid w:val="5B08BCF1"/>
    <w:rsid w:val="5B8B874B"/>
    <w:rsid w:val="5C00DF44"/>
    <w:rsid w:val="5C059EEA"/>
    <w:rsid w:val="5D7177C0"/>
    <w:rsid w:val="5DB85FCD"/>
    <w:rsid w:val="5DCA317B"/>
    <w:rsid w:val="5DE40DE0"/>
    <w:rsid w:val="5E1A2065"/>
    <w:rsid w:val="5E29F45A"/>
    <w:rsid w:val="5EA39D06"/>
    <w:rsid w:val="5F833BD6"/>
    <w:rsid w:val="6030B69F"/>
    <w:rsid w:val="606ECF0D"/>
    <w:rsid w:val="6162D1DD"/>
    <w:rsid w:val="62023F12"/>
    <w:rsid w:val="62993DB0"/>
    <w:rsid w:val="62D0AC48"/>
    <w:rsid w:val="63DBF603"/>
    <w:rsid w:val="63FE87F4"/>
    <w:rsid w:val="645E1F9A"/>
    <w:rsid w:val="64B3158D"/>
    <w:rsid w:val="65A70B2A"/>
    <w:rsid w:val="66F88206"/>
    <w:rsid w:val="66F8D6C1"/>
    <w:rsid w:val="679731BD"/>
    <w:rsid w:val="69172655"/>
    <w:rsid w:val="69628846"/>
    <w:rsid w:val="699F4009"/>
    <w:rsid w:val="6A22425A"/>
    <w:rsid w:val="6A99FD69"/>
    <w:rsid w:val="6BF51CF0"/>
    <w:rsid w:val="6C0AB175"/>
    <w:rsid w:val="6C480817"/>
    <w:rsid w:val="6E2F1E79"/>
    <w:rsid w:val="6E6B1C46"/>
    <w:rsid w:val="6F357642"/>
    <w:rsid w:val="6F60B950"/>
    <w:rsid w:val="6F795BCF"/>
    <w:rsid w:val="71122051"/>
    <w:rsid w:val="714B7EFB"/>
    <w:rsid w:val="724ECE8B"/>
    <w:rsid w:val="72A2AFAF"/>
    <w:rsid w:val="72A8BE87"/>
    <w:rsid w:val="7303F32C"/>
    <w:rsid w:val="745CC727"/>
    <w:rsid w:val="7518DF45"/>
    <w:rsid w:val="752BB366"/>
    <w:rsid w:val="7582697B"/>
    <w:rsid w:val="7594B9D7"/>
    <w:rsid w:val="75CFAA37"/>
    <w:rsid w:val="76025B36"/>
    <w:rsid w:val="7631878B"/>
    <w:rsid w:val="7635B92D"/>
    <w:rsid w:val="76834A67"/>
    <w:rsid w:val="768AB1CB"/>
    <w:rsid w:val="76AF24BC"/>
    <w:rsid w:val="7729988D"/>
    <w:rsid w:val="7795FF62"/>
    <w:rsid w:val="78460FC3"/>
    <w:rsid w:val="79E133D0"/>
    <w:rsid w:val="7A4B1637"/>
    <w:rsid w:val="7A8ED342"/>
    <w:rsid w:val="7A92B2AB"/>
    <w:rsid w:val="7AD880D9"/>
    <w:rsid w:val="7B0FF004"/>
    <w:rsid w:val="7B88A8A2"/>
    <w:rsid w:val="7B934D0B"/>
    <w:rsid w:val="7BCC2FBD"/>
    <w:rsid w:val="7E04FCDC"/>
    <w:rsid w:val="7E2A9B46"/>
    <w:rsid w:val="7E7AEDB7"/>
    <w:rsid w:val="7EA5103A"/>
    <w:rsid w:val="7EAA0B8B"/>
    <w:rsid w:val="7F5761AE"/>
    <w:rsid w:val="7F74DA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A28CEF"/>
  <w15:chartTrackingRefBased/>
  <w15:docId w15:val="{5EF49623-DFE2-4787-8D9A-B5D98562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qFormat/>
    <w:rsid w:val="0040537D"/>
    <w:pPr>
      <w:keepNext/>
      <w:spacing w:before="240" w:after="440" w:line="300" w:lineRule="atLeast"/>
      <w:outlineLvl w:val="0"/>
    </w:pPr>
    <w:rPr>
      <w:rFonts w:ascii="Arial" w:hAnsi="Arial" w:cs="Arial"/>
      <w:b/>
      <w:bCs/>
      <w:color w:val="216E96"/>
      <w:kern w:val="32"/>
      <w:sz w:val="32"/>
      <w:szCs w:val="32"/>
      <w:lang w:eastAsia="en-AU"/>
    </w:rPr>
  </w:style>
  <w:style w:type="paragraph" w:styleId="Heading2">
    <w:name w:val="heading 2"/>
    <w:next w:val="Normal"/>
    <w:qFormat/>
    <w:rsid w:val="00DA0C0C"/>
    <w:pPr>
      <w:keepNext/>
      <w:spacing w:before="240" w:after="240" w:line="300" w:lineRule="atLeast"/>
      <w:outlineLvl w:val="1"/>
    </w:pPr>
    <w:rPr>
      <w:rFonts w:ascii="Arial" w:hAnsi="Arial" w:cs="Arial"/>
      <w:b/>
      <w:bCs/>
      <w:iCs/>
      <w:color w:val="0098CB"/>
      <w:sz w:val="28"/>
      <w:szCs w:val="28"/>
      <w:lang w:eastAsia="en-AU"/>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lang w:eastAsia="en-AU"/>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1"/>
      </w:numPr>
      <w:spacing w:after="120" w:line="300" w:lineRule="atLeast"/>
    </w:pPr>
    <w:rPr>
      <w:rFonts w:ascii="Arial" w:hAnsi="Arial"/>
      <w:sz w:val="22"/>
      <w:szCs w:val="24"/>
      <w:lang w:eastAsia="en-US"/>
    </w:rPr>
  </w:style>
  <w:style w:type="paragraph" w:styleId="ListBullet2">
    <w:name w:val="List Bullet 2"/>
    <w:rsid w:val="007E76DB"/>
    <w:pPr>
      <w:numPr>
        <w:ilvl w:val="1"/>
        <w:numId w:val="2"/>
      </w:numPr>
      <w:spacing w:after="120" w:line="300" w:lineRule="atLeast"/>
    </w:pPr>
    <w:rPr>
      <w:rFonts w:ascii="Arial" w:hAnsi="Arial"/>
      <w:sz w:val="22"/>
      <w:szCs w:val="24"/>
      <w:lang w:eastAsia="en-US"/>
    </w:rPr>
  </w:style>
  <w:style w:type="paragraph" w:styleId="ListBullet3">
    <w:name w:val="List Bullet 3"/>
    <w:rsid w:val="007E76DB"/>
    <w:pPr>
      <w:numPr>
        <w:ilvl w:val="2"/>
        <w:numId w:val="2"/>
      </w:numPr>
      <w:spacing w:after="120" w:line="300" w:lineRule="atLeast"/>
    </w:pPr>
    <w:rPr>
      <w:rFonts w:ascii="Arial" w:hAnsi="Arial"/>
      <w:sz w:val="22"/>
      <w:szCs w:val="24"/>
      <w:lang w:eastAsia="en-US"/>
    </w:rPr>
  </w:style>
  <w:style w:type="paragraph" w:customStyle="1" w:styleId="VLA1">
    <w:name w:val="VLA 1."/>
    <w:aliases w:val="2.,3."/>
    <w:rsid w:val="007E76DB"/>
    <w:pPr>
      <w:numPr>
        <w:numId w:val="3"/>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3"/>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3"/>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Footnote Text Char1,C"/>
    <w:basedOn w:val="Normal"/>
    <w:link w:val="FootnoteTextChar"/>
    <w:uiPriority w:val="99"/>
    <w:qFormat/>
    <w:rsid w:val="007E76DB"/>
    <w:pPr>
      <w:ind w:left="284" w:hanging="284"/>
    </w:pPr>
    <w:rPr>
      <w:sz w:val="18"/>
      <w:szCs w:val="20"/>
    </w:rPr>
  </w:style>
  <w:style w:type="paragraph" w:styleId="Header">
    <w:name w:val="header"/>
    <w:rsid w:val="00E47E64"/>
    <w:pPr>
      <w:pBdr>
        <w:bottom w:val="single" w:sz="4" w:space="1" w:color="216E96"/>
      </w:pBdr>
      <w:tabs>
        <w:tab w:val="center" w:pos="4604"/>
        <w:tab w:val="right" w:pos="9214"/>
      </w:tabs>
      <w:spacing w:line="240" w:lineRule="atLeast"/>
    </w:pPr>
    <w:rPr>
      <w:rFonts w:ascii="Arial" w:hAnsi="Arial"/>
      <w:sz w:val="22"/>
      <w:szCs w:val="24"/>
      <w:lang w:eastAsia="en-US"/>
    </w:rPr>
  </w:style>
  <w:style w:type="paragraph" w:styleId="TOC4">
    <w:name w:val="toc 4"/>
    <w:basedOn w:val="Normal"/>
    <w:next w:val="Normal"/>
    <w:autoRedefine/>
    <w:rsid w:val="00BF732F"/>
    <w:pPr>
      <w:spacing w:after="100"/>
      <w:ind w:left="660"/>
    </w:pPr>
  </w:style>
  <w:style w:type="character" w:styleId="Hyperlink">
    <w:name w:val="Hyperlink"/>
    <w:uiPriority w:val="99"/>
    <w:rsid w:val="007E76DB"/>
    <w:rPr>
      <w:rFonts w:ascii="Arial" w:hAnsi="Arial"/>
      <w:color w:val="0000FF"/>
      <w:u w:val="single"/>
      <w:lang w:val="en-AU"/>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375D05"/>
    <w:pPr>
      <w:tabs>
        <w:tab w:val="right" w:pos="9790"/>
      </w:tabs>
      <w:spacing w:before="240" w:after="120"/>
      <w:ind w:left="567" w:right="760" w:hanging="567"/>
    </w:pPr>
    <w:rPr>
      <w:rFonts w:ascii="Arial" w:hAnsi="Arial"/>
      <w:sz w:val="22"/>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character" w:styleId="FollowedHyperlink">
    <w:name w:val="FollowedHyperlink"/>
    <w:basedOn w:val="DefaultParagraphFont"/>
    <w:rsid w:val="00E47E64"/>
    <w:rPr>
      <w:color w:val="954F72" w:themeColor="followedHyperlink"/>
      <w:u w:val="single"/>
    </w:rPr>
  </w:style>
  <w:style w:type="paragraph" w:customStyle="1" w:styleId="VLAsubtitle">
    <w:name w:val="VLA subtitle"/>
    <w:basedOn w:val="Normal"/>
    <w:rsid w:val="007E76DB"/>
    <w:pPr>
      <w:spacing w:before="240" w:after="240" w:line="240" w:lineRule="atLeast"/>
    </w:pPr>
    <w:rPr>
      <w:b/>
      <w:bCs/>
      <w:sz w:val="28"/>
      <w:szCs w:val="28"/>
    </w:rPr>
  </w:style>
  <w:style w:type="character" w:customStyle="1" w:styleId="apple-converted-space">
    <w:name w:val="apple-converted-space"/>
    <w:basedOn w:val="DefaultParagraphFont"/>
    <w:rsid w:val="002E7D6F"/>
  </w:style>
  <w:style w:type="paragraph" w:styleId="NormalWeb">
    <w:name w:val="Normal (Web)"/>
    <w:basedOn w:val="Normal"/>
    <w:uiPriority w:val="99"/>
    <w:rsid w:val="002E7D6F"/>
    <w:rPr>
      <w:rFonts w:ascii="Times New Roman" w:hAnsi="Times New Roman"/>
      <w:sz w:val="24"/>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Ref"/>
    <w:link w:val="ftref"/>
    <w:uiPriority w:val="99"/>
    <w:qFormat/>
    <w:rsid w:val="007E76DB"/>
    <w:rPr>
      <w:rFonts w:ascii="Arial" w:hAnsi="Arial"/>
      <w:sz w:val="18"/>
      <w:vertAlign w:val="superscript"/>
    </w:rPr>
  </w:style>
  <w:style w:type="paragraph" w:customStyle="1" w:styleId="Filename">
    <w:name w:val="Filename"/>
    <w:basedOn w:val="Normal"/>
    <w:rsid w:val="00DC023F"/>
    <w:pPr>
      <w:pBdr>
        <w:top w:val="single" w:sz="4" w:space="4" w:color="216E96"/>
      </w:pBdr>
      <w:tabs>
        <w:tab w:val="right" w:pos="9240"/>
      </w:tabs>
      <w:spacing w:before="80"/>
    </w:pPr>
    <w:rPr>
      <w:sz w:val="18"/>
    </w:rPr>
  </w:style>
  <w:style w:type="paragraph" w:styleId="TOC2">
    <w:name w:val="toc 2"/>
    <w:basedOn w:val="Normal"/>
    <w:next w:val="Normal"/>
    <w:uiPriority w:val="39"/>
    <w:rsid w:val="00BF732F"/>
    <w:pPr>
      <w:tabs>
        <w:tab w:val="right" w:pos="9790"/>
      </w:tabs>
      <w:spacing w:before="60" w:after="60"/>
      <w:ind w:left="329" w:right="652"/>
    </w:pPr>
    <w:rPr>
      <w:noProof/>
    </w:rPr>
  </w:style>
  <w:style w:type="paragraph" w:styleId="TOC3">
    <w:name w:val="toc 3"/>
    <w:basedOn w:val="Normal"/>
    <w:next w:val="Normal"/>
    <w:uiPriority w:val="39"/>
    <w:rsid w:val="00BF732F"/>
    <w:pPr>
      <w:tabs>
        <w:tab w:val="right" w:pos="9790"/>
      </w:tabs>
      <w:spacing w:before="60" w:after="60"/>
      <w:ind w:left="550" w:right="760"/>
    </w:pPr>
    <w:rPr>
      <w:noProof/>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outlinebox">
    <w:name w:val="Normal outline box"/>
    <w:basedOn w:val="Normal"/>
    <w:qFormat/>
    <w:rsid w:val="00E346AE"/>
    <w:pPr>
      <w:pBdr>
        <w:top w:val="single" w:sz="8" w:space="7" w:color="0098CB"/>
        <w:left w:val="single" w:sz="8" w:space="7" w:color="0098CB"/>
        <w:bottom w:val="single" w:sz="8" w:space="7" w:color="0098CB"/>
        <w:right w:val="single" w:sz="8" w:space="7" w:color="0098CB"/>
      </w:pBdr>
      <w:spacing w:before="160"/>
      <w:ind w:left="454" w:right="454"/>
    </w:pPr>
  </w:style>
  <w:style w:type="paragraph" w:styleId="NoteHeading">
    <w:name w:val="Note Heading"/>
    <w:basedOn w:val="Normal"/>
    <w:next w:val="Normal"/>
    <w:link w:val="NoteHeadingChar"/>
    <w:rsid w:val="00E346AE"/>
    <w:pPr>
      <w:pBdr>
        <w:top w:val="single" w:sz="8" w:space="1" w:color="0098CB"/>
        <w:left w:val="single" w:sz="8" w:space="4" w:color="0098CB"/>
        <w:bottom w:val="single" w:sz="8" w:space="1" w:color="0098CB"/>
        <w:right w:val="single" w:sz="8" w:space="4" w:color="0098CB"/>
      </w:pBdr>
      <w:spacing w:after="0" w:line="240" w:lineRule="auto"/>
    </w:pPr>
  </w:style>
  <w:style w:type="paragraph" w:customStyle="1" w:styleId="Recommendationheading">
    <w:name w:val="Recommendation heading"/>
    <w:basedOn w:val="Heading1"/>
    <w:next w:val="Recommendationtext"/>
    <w:qFormat/>
    <w:rsid w:val="006B4441"/>
    <w:pPr>
      <w:pBdr>
        <w:bottom w:val="single" w:sz="12" w:space="4" w:color="009DBD"/>
      </w:pBdr>
      <w:spacing w:after="120"/>
    </w:pPr>
    <w:rPr>
      <w:color w:val="009DBD"/>
      <w:sz w:val="28"/>
      <w:szCs w:val="28"/>
    </w:rPr>
  </w:style>
  <w:style w:type="paragraph" w:customStyle="1" w:styleId="Recommendationtext">
    <w:name w:val="Recommendation text"/>
    <w:basedOn w:val="Normal"/>
    <w:qFormat/>
    <w:rsid w:val="00C73D78"/>
    <w:pPr>
      <w:spacing w:after="240"/>
    </w:pPr>
    <w:rPr>
      <w:b/>
      <w:bCs/>
      <w:color w:val="216E96"/>
      <w:lang w:eastAsia="en-AU"/>
    </w:rPr>
  </w:style>
  <w:style w:type="paragraph" w:customStyle="1" w:styleId="Listbulletcoloured">
    <w:name w:val="List bullet coloured"/>
    <w:basedOn w:val="ListBullet"/>
    <w:qFormat/>
    <w:rsid w:val="003E231C"/>
    <w:pPr>
      <w:numPr>
        <w:numId w:val="9"/>
      </w:numPr>
    </w:pPr>
  </w:style>
  <w:style w:type="character" w:customStyle="1" w:styleId="NoteHeadingChar">
    <w:name w:val="Note Heading Char"/>
    <w:basedOn w:val="DefaultParagraphFont"/>
    <w:link w:val="NoteHeading"/>
    <w:rsid w:val="00E346AE"/>
    <w:rPr>
      <w:rFonts w:ascii="Arial" w:hAnsi="Arial"/>
      <w:sz w:val="22"/>
      <w:szCs w:val="24"/>
      <w:lang w:eastAsia="en-US"/>
    </w:rPr>
  </w:style>
  <w:style w:type="paragraph" w:customStyle="1" w:styleId="Normalshadedbox">
    <w:name w:val="Normal shaded box"/>
    <w:basedOn w:val="Normaloutlinebox"/>
    <w:qFormat/>
    <w:rsid w:val="00AE0035"/>
    <w:pPr>
      <w:pBdr>
        <w:top w:val="single" w:sz="24" w:space="5" w:color="D7EFF5"/>
        <w:left w:val="single" w:sz="24" w:space="5" w:color="D7EFF5"/>
        <w:bottom w:val="single" w:sz="24" w:space="5" w:color="D7EFF5"/>
        <w:right w:val="single" w:sz="24" w:space="5" w:color="D7EFF5"/>
      </w:pBdr>
      <w:shd w:val="clear" w:color="auto" w:fill="D7EFF5"/>
    </w:pPr>
  </w:style>
  <w:style w:type="table" w:styleId="GridTable1Light-Accent1">
    <w:name w:val="Grid Table 1 Light Accent 1"/>
    <w:basedOn w:val="TableNormal"/>
    <w:uiPriority w:val="46"/>
    <w:rsid w:val="009155F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155F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155F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155F9"/>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Tablecopy">
    <w:name w:val="Table copy"/>
    <w:basedOn w:val="Normal"/>
    <w:qFormat/>
    <w:rsid w:val="0036656F"/>
    <w:pPr>
      <w:spacing w:line="280" w:lineRule="atLeast"/>
    </w:pPr>
    <w:rPr>
      <w:sz w:val="20"/>
      <w:szCs w:val="20"/>
    </w:rPr>
  </w:style>
  <w:style w:type="paragraph" w:customStyle="1" w:styleId="Tableheading">
    <w:name w:val="Table heading"/>
    <w:basedOn w:val="Normal"/>
    <w:qFormat/>
    <w:rsid w:val="00C95CC7"/>
    <w:pPr>
      <w:spacing w:before="40"/>
    </w:pPr>
    <w:rPr>
      <w:bCs/>
      <w:sz w:val="20"/>
      <w:szCs w:val="20"/>
    </w:rPr>
  </w:style>
  <w:style w:type="paragraph" w:styleId="TableofAuthorities">
    <w:name w:val="table of authorities"/>
    <w:basedOn w:val="Normal"/>
    <w:next w:val="Normal"/>
    <w:rsid w:val="00286BAC"/>
    <w:pPr>
      <w:spacing w:after="0"/>
      <w:ind w:left="220" w:hanging="220"/>
    </w:pPr>
  </w:style>
  <w:style w:type="paragraph" w:styleId="TableofFigures">
    <w:name w:val="table of figures"/>
    <w:basedOn w:val="Normal"/>
    <w:next w:val="Normal"/>
    <w:rsid w:val="00286BAC"/>
    <w:pPr>
      <w:spacing w:after="0"/>
    </w:pPr>
  </w:style>
  <w:style w:type="paragraph" w:styleId="ListNumber">
    <w:name w:val="List Number"/>
    <w:basedOn w:val="Normal"/>
    <w:rsid w:val="00DA0C0C"/>
    <w:pPr>
      <w:numPr>
        <w:numId w:val="4"/>
      </w:numPr>
      <w:contextualSpacing/>
    </w:pPr>
    <w:rPr>
      <w:b/>
    </w:rPr>
  </w:style>
  <w:style w:type="paragraph" w:styleId="ListNumber2">
    <w:name w:val="List Number 2"/>
    <w:basedOn w:val="Normal"/>
    <w:rsid w:val="00DA0C0C"/>
    <w:pPr>
      <w:numPr>
        <w:numId w:val="5"/>
      </w:numPr>
      <w:contextualSpacing/>
    </w:pPr>
  </w:style>
  <w:style w:type="paragraph" w:styleId="ListNumber3">
    <w:name w:val="List Number 3"/>
    <w:basedOn w:val="Normal"/>
    <w:rsid w:val="00DA0C0C"/>
    <w:pPr>
      <w:numPr>
        <w:numId w:val="6"/>
      </w:numPr>
      <w:contextualSpacing/>
    </w:pPr>
  </w:style>
  <w:style w:type="paragraph" w:styleId="ListNumber4">
    <w:name w:val="List Number 4"/>
    <w:basedOn w:val="Normal"/>
    <w:rsid w:val="00DA0C0C"/>
    <w:pPr>
      <w:numPr>
        <w:numId w:val="7"/>
      </w:numPr>
      <w:contextualSpacing/>
    </w:pPr>
  </w:style>
  <w:style w:type="paragraph" w:styleId="ListNumber5">
    <w:name w:val="List Number 5"/>
    <w:basedOn w:val="Normal"/>
    <w:rsid w:val="00DA0C0C"/>
    <w:pPr>
      <w:numPr>
        <w:numId w:val="8"/>
      </w:numPr>
      <w:contextualSpacing/>
    </w:pPr>
  </w:style>
  <w:style w:type="paragraph" w:customStyle="1" w:styleId="Coverpageheading">
    <w:name w:val="Cover page heading"/>
    <w:basedOn w:val="Heading1"/>
    <w:qFormat/>
    <w:rsid w:val="00C73D71"/>
    <w:pPr>
      <w:spacing w:before="10000"/>
      <w:ind w:left="567"/>
    </w:pPr>
    <w:rPr>
      <w:sz w:val="44"/>
      <w:szCs w:val="44"/>
    </w:rPr>
  </w:style>
  <w:style w:type="paragraph" w:customStyle="1" w:styleId="Coverpagesubheading">
    <w:name w:val="Cover page subheading"/>
    <w:basedOn w:val="Normal"/>
    <w:qFormat/>
    <w:rsid w:val="00C73D71"/>
    <w:pPr>
      <w:ind w:left="567"/>
    </w:pPr>
    <w:rPr>
      <w:color w:val="009DBD"/>
      <w:sz w:val="32"/>
      <w:szCs w:val="32"/>
      <w:lang w:eastAsia="en-AU"/>
    </w:rPr>
  </w:style>
  <w:style w:type="character" w:styleId="UnresolvedMention">
    <w:name w:val="Unresolved Mention"/>
    <w:basedOn w:val="DefaultParagraphFont"/>
    <w:uiPriority w:val="99"/>
    <w:unhideWhenUsed/>
    <w:rsid w:val="00E47E64"/>
    <w:rPr>
      <w:color w:val="605E5C"/>
      <w:shd w:val="clear" w:color="auto" w:fill="E1DFDD"/>
    </w:rPr>
  </w:style>
  <w:style w:type="paragraph" w:styleId="PlainText">
    <w:name w:val="Plain Text"/>
    <w:basedOn w:val="Normal"/>
    <w:link w:val="PlainTextChar"/>
    <w:uiPriority w:val="99"/>
    <w:unhideWhenUsed/>
    <w:rsid w:val="008C554E"/>
    <w:pPr>
      <w:spacing w:after="0" w:line="240" w:lineRule="auto"/>
    </w:pPr>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8C554E"/>
    <w:rPr>
      <w:rFonts w:ascii="Consolas" w:eastAsiaTheme="minorHAnsi" w:hAnsi="Consolas" w:cs="Consolas"/>
      <w:sz w:val="21"/>
      <w:szCs w:val="21"/>
      <w:lang w:val="en-GB" w:eastAsia="en-US"/>
    </w:rPr>
  </w:style>
  <w:style w:type="paragraph" w:styleId="ListParagraph">
    <w:name w:val="List Paragraph"/>
    <w:basedOn w:val="Normal"/>
    <w:uiPriority w:val="34"/>
    <w:qFormat/>
    <w:rsid w:val="00F3419E"/>
    <w:pPr>
      <w:ind w:left="720"/>
      <w:contextualSpacing/>
    </w:pPr>
  </w:style>
  <w:style w:type="paragraph" w:styleId="BalloonText">
    <w:name w:val="Balloon Text"/>
    <w:basedOn w:val="Normal"/>
    <w:link w:val="BalloonTextChar"/>
    <w:rsid w:val="00672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722A4"/>
    <w:rPr>
      <w:rFonts w:ascii="Segoe UI" w:hAnsi="Segoe UI" w:cs="Segoe UI"/>
      <w:sz w:val="18"/>
      <w:szCs w:val="18"/>
      <w:lang w:eastAsia="en-US"/>
    </w:rPr>
  </w:style>
  <w:style w:type="paragraph" w:customStyle="1" w:styleId="Default">
    <w:name w:val="Default"/>
    <w:rsid w:val="00C67ED9"/>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rsid w:val="00C67ED9"/>
    <w:pPr>
      <w:spacing w:line="240" w:lineRule="auto"/>
    </w:pPr>
    <w:rPr>
      <w:sz w:val="20"/>
      <w:szCs w:val="20"/>
    </w:rPr>
  </w:style>
  <w:style w:type="character" w:customStyle="1" w:styleId="CommentTextChar">
    <w:name w:val="Comment Text Char"/>
    <w:basedOn w:val="DefaultParagraphFont"/>
    <w:link w:val="CommentText"/>
    <w:uiPriority w:val="99"/>
    <w:rsid w:val="00C67ED9"/>
    <w:rPr>
      <w:rFonts w:ascii="Arial" w:hAnsi="Arial"/>
      <w:lang w:eastAsia="en-US"/>
    </w:rPr>
  </w:style>
  <w:style w:type="paragraph" w:styleId="NoSpacing">
    <w:name w:val="No Spacing"/>
    <w:basedOn w:val="Normal"/>
    <w:uiPriority w:val="1"/>
    <w:qFormat/>
    <w:rsid w:val="008B06C4"/>
    <w:pPr>
      <w:spacing w:after="0" w:line="240" w:lineRule="auto"/>
    </w:pPr>
    <w:rPr>
      <w:rFonts w:ascii="Calibri" w:eastAsiaTheme="minorHAnsi" w:hAnsi="Calibri" w:cs="Calibri"/>
      <w:szCs w:val="22"/>
    </w:rPr>
  </w:style>
  <w:style w:type="paragraph" w:customStyle="1" w:styleId="paragraph">
    <w:name w:val="paragraph"/>
    <w:basedOn w:val="Normal"/>
    <w:rsid w:val="003E10D0"/>
    <w:pPr>
      <w:spacing w:after="0" w:line="240" w:lineRule="auto"/>
    </w:pPr>
    <w:rPr>
      <w:rFonts w:ascii="Times New Roman" w:hAnsi="Times New Roman"/>
      <w:sz w:val="24"/>
      <w:lang w:eastAsia="en-AU"/>
    </w:rPr>
  </w:style>
  <w:style w:type="character" w:customStyle="1" w:styleId="normaltextrun1">
    <w:name w:val="normaltextrun1"/>
    <w:basedOn w:val="DefaultParagraphFont"/>
    <w:rsid w:val="003E10D0"/>
  </w:style>
  <w:style w:type="character" w:customStyle="1" w:styleId="eop">
    <w:name w:val="eop"/>
    <w:basedOn w:val="DefaultParagraphFont"/>
    <w:rsid w:val="003E10D0"/>
  </w:style>
  <w:style w:type="character" w:customStyle="1" w:styleId="contextualspellingandgrammarerror">
    <w:name w:val="contextualspellingandgrammarerror"/>
    <w:basedOn w:val="DefaultParagraphFont"/>
    <w:rsid w:val="00506012"/>
  </w:style>
  <w:style w:type="character" w:customStyle="1" w:styleId="textrun">
    <w:name w:val="textrun"/>
    <w:basedOn w:val="DefaultParagraphFont"/>
    <w:rsid w:val="00506012"/>
  </w:style>
  <w:style w:type="character" w:customStyle="1" w:styleId="spellingerror">
    <w:name w:val="spellingerror"/>
    <w:basedOn w:val="DefaultParagraphFont"/>
    <w:rsid w:val="005A7E62"/>
  </w:style>
  <w:style w:type="paragraph" w:customStyle="1" w:styleId="VLALetterText">
    <w:name w:val="VLA Letter Text"/>
    <w:uiPriority w:val="1"/>
    <w:qFormat/>
    <w:rsid w:val="0013681E"/>
    <w:pPr>
      <w:spacing w:after="120" w:line="300" w:lineRule="atLeast"/>
    </w:pPr>
    <w:rPr>
      <w:rFonts w:ascii="Arial" w:hAnsi="Arial"/>
      <w:sz w:val="22"/>
      <w:szCs w:val="24"/>
      <w:lang w:eastAsia="en-US"/>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uiPriority w:val="99"/>
    <w:locked/>
    <w:rsid w:val="0011449D"/>
    <w:rPr>
      <w:rFonts w:ascii="Arial" w:hAnsi="Arial"/>
      <w:sz w:val="18"/>
      <w:lang w:eastAsia="en-US"/>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11449D"/>
    <w:pPr>
      <w:spacing w:after="160" w:line="240" w:lineRule="exact"/>
      <w:ind w:firstLine="360"/>
      <w:jc w:val="both"/>
    </w:pPr>
    <w:rPr>
      <w:sz w:val="18"/>
      <w:szCs w:val="20"/>
      <w:vertAlign w:val="superscript"/>
      <w:lang w:eastAsia="en-GB"/>
    </w:rPr>
  </w:style>
  <w:style w:type="paragraph" w:customStyle="1" w:styleId="Appendix">
    <w:name w:val="Appendix"/>
    <w:next w:val="Normal"/>
    <w:rsid w:val="009656B5"/>
    <w:pPr>
      <w:numPr>
        <w:numId w:val="16"/>
      </w:numPr>
      <w:spacing w:before="240" w:after="240" w:line="280" w:lineRule="exact"/>
    </w:pPr>
    <w:rPr>
      <w:rFonts w:ascii="Arial" w:hAnsi="Arial" w:cs="Arial"/>
      <w:b/>
      <w:bCs/>
      <w:color w:val="971A4B"/>
      <w:kern w:val="32"/>
      <w:sz w:val="28"/>
      <w:szCs w:val="32"/>
      <w:lang w:eastAsia="en-AU"/>
    </w:rPr>
  </w:style>
  <w:style w:type="character" w:styleId="CommentReference">
    <w:name w:val="annotation reference"/>
    <w:basedOn w:val="DefaultParagraphFont"/>
    <w:uiPriority w:val="99"/>
    <w:rsid w:val="00494CC9"/>
    <w:rPr>
      <w:sz w:val="16"/>
      <w:szCs w:val="16"/>
    </w:rPr>
  </w:style>
  <w:style w:type="paragraph" w:styleId="CommentSubject">
    <w:name w:val="annotation subject"/>
    <w:basedOn w:val="CommentText"/>
    <w:next w:val="CommentText"/>
    <w:link w:val="CommentSubjectChar"/>
    <w:rsid w:val="00494CC9"/>
    <w:rPr>
      <w:b/>
      <w:bCs/>
    </w:rPr>
  </w:style>
  <w:style w:type="character" w:customStyle="1" w:styleId="CommentSubjectChar">
    <w:name w:val="Comment Subject Char"/>
    <w:basedOn w:val="CommentTextChar"/>
    <w:link w:val="CommentSubject"/>
    <w:rsid w:val="00494CC9"/>
    <w:rPr>
      <w:rFonts w:ascii="Arial" w:hAnsi="Arial"/>
      <w:b/>
      <w:bCs/>
      <w:lang w:eastAsia="en-US"/>
    </w:rPr>
  </w:style>
  <w:style w:type="paragraph" w:styleId="Revision">
    <w:name w:val="Revision"/>
    <w:hidden/>
    <w:uiPriority w:val="99"/>
    <w:semiHidden/>
    <w:rsid w:val="007508D6"/>
    <w:rPr>
      <w:rFonts w:ascii="Arial" w:hAnsi="Arial"/>
      <w:sz w:val="22"/>
      <w:szCs w:val="24"/>
      <w:lang w:eastAsia="en-US"/>
    </w:rPr>
  </w:style>
  <w:style w:type="character" w:styleId="Mention">
    <w:name w:val="Mention"/>
    <w:basedOn w:val="DefaultParagraphFont"/>
    <w:uiPriority w:val="99"/>
    <w:unhideWhenUsed/>
    <w:rsid w:val="00E83F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846330">
      <w:bodyDiv w:val="1"/>
      <w:marLeft w:val="0"/>
      <w:marRight w:val="0"/>
      <w:marTop w:val="0"/>
      <w:marBottom w:val="0"/>
      <w:divBdr>
        <w:top w:val="none" w:sz="0" w:space="0" w:color="auto"/>
        <w:left w:val="none" w:sz="0" w:space="0" w:color="auto"/>
        <w:bottom w:val="none" w:sz="0" w:space="0" w:color="auto"/>
        <w:right w:val="none" w:sz="0" w:space="0" w:color="auto"/>
      </w:divBdr>
    </w:div>
    <w:div w:id="861944158">
      <w:bodyDiv w:val="1"/>
      <w:marLeft w:val="0"/>
      <w:marRight w:val="0"/>
      <w:marTop w:val="0"/>
      <w:marBottom w:val="0"/>
      <w:divBdr>
        <w:top w:val="none" w:sz="0" w:space="0" w:color="auto"/>
        <w:left w:val="none" w:sz="0" w:space="0" w:color="auto"/>
        <w:bottom w:val="none" w:sz="0" w:space="0" w:color="auto"/>
        <w:right w:val="none" w:sz="0" w:space="0" w:color="auto"/>
      </w:divBdr>
      <w:divsChild>
        <w:div w:id="1202549499">
          <w:marLeft w:val="0"/>
          <w:marRight w:val="0"/>
          <w:marTop w:val="0"/>
          <w:marBottom w:val="0"/>
          <w:divBdr>
            <w:top w:val="none" w:sz="0" w:space="0" w:color="auto"/>
            <w:left w:val="none" w:sz="0" w:space="0" w:color="auto"/>
            <w:bottom w:val="none" w:sz="0" w:space="0" w:color="auto"/>
            <w:right w:val="none" w:sz="0" w:space="0" w:color="auto"/>
          </w:divBdr>
          <w:divsChild>
            <w:div w:id="419179989">
              <w:marLeft w:val="0"/>
              <w:marRight w:val="0"/>
              <w:marTop w:val="0"/>
              <w:marBottom w:val="0"/>
              <w:divBdr>
                <w:top w:val="none" w:sz="0" w:space="0" w:color="auto"/>
                <w:left w:val="none" w:sz="0" w:space="0" w:color="auto"/>
                <w:bottom w:val="none" w:sz="0" w:space="0" w:color="auto"/>
                <w:right w:val="none" w:sz="0" w:space="0" w:color="auto"/>
              </w:divBdr>
              <w:divsChild>
                <w:div w:id="1296251845">
                  <w:marLeft w:val="0"/>
                  <w:marRight w:val="0"/>
                  <w:marTop w:val="0"/>
                  <w:marBottom w:val="0"/>
                  <w:divBdr>
                    <w:top w:val="none" w:sz="0" w:space="0" w:color="auto"/>
                    <w:left w:val="none" w:sz="0" w:space="0" w:color="auto"/>
                    <w:bottom w:val="none" w:sz="0" w:space="0" w:color="auto"/>
                    <w:right w:val="none" w:sz="0" w:space="0" w:color="auto"/>
                  </w:divBdr>
                  <w:divsChild>
                    <w:div w:id="501244813">
                      <w:marLeft w:val="0"/>
                      <w:marRight w:val="0"/>
                      <w:marTop w:val="0"/>
                      <w:marBottom w:val="0"/>
                      <w:divBdr>
                        <w:top w:val="none" w:sz="0" w:space="0" w:color="auto"/>
                        <w:left w:val="none" w:sz="0" w:space="0" w:color="auto"/>
                        <w:bottom w:val="none" w:sz="0" w:space="0" w:color="auto"/>
                        <w:right w:val="none" w:sz="0" w:space="0" w:color="auto"/>
                      </w:divBdr>
                      <w:divsChild>
                        <w:div w:id="67461594">
                          <w:marLeft w:val="0"/>
                          <w:marRight w:val="0"/>
                          <w:marTop w:val="0"/>
                          <w:marBottom w:val="0"/>
                          <w:divBdr>
                            <w:top w:val="none" w:sz="0" w:space="0" w:color="auto"/>
                            <w:left w:val="none" w:sz="0" w:space="0" w:color="auto"/>
                            <w:bottom w:val="none" w:sz="0" w:space="0" w:color="auto"/>
                            <w:right w:val="none" w:sz="0" w:space="0" w:color="auto"/>
                          </w:divBdr>
                          <w:divsChild>
                            <w:div w:id="1958022388">
                              <w:marLeft w:val="0"/>
                              <w:marRight w:val="0"/>
                              <w:marTop w:val="0"/>
                              <w:marBottom w:val="0"/>
                              <w:divBdr>
                                <w:top w:val="none" w:sz="0" w:space="0" w:color="auto"/>
                                <w:left w:val="none" w:sz="0" w:space="0" w:color="auto"/>
                                <w:bottom w:val="none" w:sz="0" w:space="0" w:color="auto"/>
                                <w:right w:val="none" w:sz="0" w:space="0" w:color="auto"/>
                              </w:divBdr>
                              <w:divsChild>
                                <w:div w:id="1961840749">
                                  <w:marLeft w:val="-225"/>
                                  <w:marRight w:val="-225"/>
                                  <w:marTop w:val="0"/>
                                  <w:marBottom w:val="0"/>
                                  <w:divBdr>
                                    <w:top w:val="none" w:sz="0" w:space="0" w:color="auto"/>
                                    <w:left w:val="none" w:sz="0" w:space="0" w:color="auto"/>
                                    <w:bottom w:val="none" w:sz="0" w:space="0" w:color="auto"/>
                                    <w:right w:val="none" w:sz="0" w:space="0" w:color="auto"/>
                                  </w:divBdr>
                                  <w:divsChild>
                                    <w:div w:id="524752400">
                                      <w:marLeft w:val="0"/>
                                      <w:marRight w:val="0"/>
                                      <w:marTop w:val="0"/>
                                      <w:marBottom w:val="0"/>
                                      <w:divBdr>
                                        <w:top w:val="none" w:sz="0" w:space="0" w:color="auto"/>
                                        <w:left w:val="none" w:sz="0" w:space="0" w:color="auto"/>
                                        <w:bottom w:val="none" w:sz="0" w:space="0" w:color="auto"/>
                                        <w:right w:val="none" w:sz="0" w:space="0" w:color="auto"/>
                                      </w:divBdr>
                                      <w:divsChild>
                                        <w:div w:id="484125413">
                                          <w:marLeft w:val="0"/>
                                          <w:marRight w:val="0"/>
                                          <w:marTop w:val="0"/>
                                          <w:marBottom w:val="0"/>
                                          <w:divBdr>
                                            <w:top w:val="none" w:sz="0" w:space="0" w:color="auto"/>
                                            <w:left w:val="none" w:sz="0" w:space="0" w:color="auto"/>
                                            <w:bottom w:val="none" w:sz="0" w:space="0" w:color="auto"/>
                                            <w:right w:val="none" w:sz="0" w:space="0" w:color="auto"/>
                                          </w:divBdr>
                                          <w:divsChild>
                                            <w:div w:id="2102528381">
                                              <w:marLeft w:val="-225"/>
                                              <w:marRight w:val="-225"/>
                                              <w:marTop w:val="0"/>
                                              <w:marBottom w:val="0"/>
                                              <w:divBdr>
                                                <w:top w:val="none" w:sz="0" w:space="0" w:color="auto"/>
                                                <w:left w:val="none" w:sz="0" w:space="0" w:color="auto"/>
                                                <w:bottom w:val="none" w:sz="0" w:space="0" w:color="auto"/>
                                                <w:right w:val="none" w:sz="0" w:space="0" w:color="auto"/>
                                              </w:divBdr>
                                              <w:divsChild>
                                                <w:div w:id="651058543">
                                                  <w:marLeft w:val="0"/>
                                                  <w:marRight w:val="0"/>
                                                  <w:marTop w:val="0"/>
                                                  <w:marBottom w:val="0"/>
                                                  <w:divBdr>
                                                    <w:top w:val="none" w:sz="0" w:space="0" w:color="auto"/>
                                                    <w:left w:val="none" w:sz="0" w:space="0" w:color="auto"/>
                                                    <w:bottom w:val="none" w:sz="0" w:space="0" w:color="auto"/>
                                                    <w:right w:val="none" w:sz="0" w:space="0" w:color="auto"/>
                                                  </w:divBdr>
                                                  <w:divsChild>
                                                    <w:div w:id="1190531081">
                                                      <w:marLeft w:val="0"/>
                                                      <w:marRight w:val="0"/>
                                                      <w:marTop w:val="0"/>
                                                      <w:marBottom w:val="0"/>
                                                      <w:divBdr>
                                                        <w:top w:val="none" w:sz="0" w:space="0" w:color="auto"/>
                                                        <w:left w:val="none" w:sz="0" w:space="0" w:color="auto"/>
                                                        <w:bottom w:val="none" w:sz="0" w:space="0" w:color="auto"/>
                                                        <w:right w:val="none" w:sz="0" w:space="0" w:color="auto"/>
                                                      </w:divBdr>
                                                      <w:divsChild>
                                                        <w:div w:id="1902324721">
                                                          <w:marLeft w:val="0"/>
                                                          <w:marRight w:val="0"/>
                                                          <w:marTop w:val="0"/>
                                                          <w:marBottom w:val="0"/>
                                                          <w:divBdr>
                                                            <w:top w:val="none" w:sz="0" w:space="0" w:color="auto"/>
                                                            <w:left w:val="none" w:sz="0" w:space="0" w:color="auto"/>
                                                            <w:bottom w:val="none" w:sz="0" w:space="0" w:color="auto"/>
                                                            <w:right w:val="none" w:sz="0" w:space="0" w:color="auto"/>
                                                          </w:divBdr>
                                                          <w:divsChild>
                                                            <w:div w:id="1141842682">
                                                              <w:marLeft w:val="0"/>
                                                              <w:marRight w:val="0"/>
                                                              <w:marTop w:val="0"/>
                                                              <w:marBottom w:val="0"/>
                                                              <w:divBdr>
                                                                <w:top w:val="none" w:sz="0" w:space="0" w:color="auto"/>
                                                                <w:left w:val="none" w:sz="0" w:space="0" w:color="auto"/>
                                                                <w:bottom w:val="none" w:sz="0" w:space="0" w:color="auto"/>
                                                                <w:right w:val="none" w:sz="0" w:space="0" w:color="auto"/>
                                                              </w:divBdr>
                                                              <w:divsChild>
                                                                <w:div w:id="677198890">
                                                                  <w:marLeft w:val="0"/>
                                                                  <w:marRight w:val="0"/>
                                                                  <w:marTop w:val="0"/>
                                                                  <w:marBottom w:val="0"/>
                                                                  <w:divBdr>
                                                                    <w:top w:val="none" w:sz="0" w:space="0" w:color="auto"/>
                                                                    <w:left w:val="none" w:sz="0" w:space="0" w:color="auto"/>
                                                                    <w:bottom w:val="none" w:sz="0" w:space="0" w:color="auto"/>
                                                                    <w:right w:val="none" w:sz="0" w:space="0" w:color="auto"/>
                                                                  </w:divBdr>
                                                                  <w:divsChild>
                                                                    <w:div w:id="16098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9537990">
      <w:bodyDiv w:val="1"/>
      <w:marLeft w:val="0"/>
      <w:marRight w:val="0"/>
      <w:marTop w:val="0"/>
      <w:marBottom w:val="0"/>
      <w:divBdr>
        <w:top w:val="none" w:sz="0" w:space="0" w:color="auto"/>
        <w:left w:val="none" w:sz="0" w:space="0" w:color="auto"/>
        <w:bottom w:val="none" w:sz="0" w:space="0" w:color="auto"/>
        <w:right w:val="none" w:sz="0" w:space="0" w:color="auto"/>
      </w:divBdr>
    </w:div>
    <w:div w:id="1369993425">
      <w:bodyDiv w:val="1"/>
      <w:marLeft w:val="0"/>
      <w:marRight w:val="0"/>
      <w:marTop w:val="0"/>
      <w:marBottom w:val="0"/>
      <w:divBdr>
        <w:top w:val="none" w:sz="0" w:space="0" w:color="auto"/>
        <w:left w:val="none" w:sz="0" w:space="0" w:color="auto"/>
        <w:bottom w:val="none" w:sz="0" w:space="0" w:color="auto"/>
        <w:right w:val="none" w:sz="0" w:space="0" w:color="auto"/>
      </w:divBdr>
    </w:div>
    <w:div w:id="1876772997">
      <w:bodyDiv w:val="1"/>
      <w:marLeft w:val="0"/>
      <w:marRight w:val="0"/>
      <w:marTop w:val="0"/>
      <w:marBottom w:val="0"/>
      <w:divBdr>
        <w:top w:val="none" w:sz="0" w:space="0" w:color="auto"/>
        <w:left w:val="none" w:sz="0" w:space="0" w:color="auto"/>
        <w:bottom w:val="none" w:sz="0" w:space="0" w:color="auto"/>
        <w:right w:val="none" w:sz="0" w:space="0" w:color="auto"/>
      </w:divBdr>
      <w:divsChild>
        <w:div w:id="1852915155">
          <w:marLeft w:val="0"/>
          <w:marRight w:val="0"/>
          <w:marTop w:val="0"/>
          <w:marBottom w:val="0"/>
          <w:divBdr>
            <w:top w:val="none" w:sz="0" w:space="0" w:color="auto"/>
            <w:left w:val="none" w:sz="0" w:space="0" w:color="auto"/>
            <w:bottom w:val="none" w:sz="0" w:space="0" w:color="auto"/>
            <w:right w:val="none" w:sz="0" w:space="0" w:color="auto"/>
          </w:divBdr>
          <w:divsChild>
            <w:div w:id="352458590">
              <w:marLeft w:val="0"/>
              <w:marRight w:val="0"/>
              <w:marTop w:val="0"/>
              <w:marBottom w:val="0"/>
              <w:divBdr>
                <w:top w:val="none" w:sz="0" w:space="0" w:color="auto"/>
                <w:left w:val="none" w:sz="0" w:space="0" w:color="auto"/>
                <w:bottom w:val="none" w:sz="0" w:space="0" w:color="auto"/>
                <w:right w:val="none" w:sz="0" w:space="0" w:color="auto"/>
              </w:divBdr>
              <w:divsChild>
                <w:div w:id="794983390">
                  <w:marLeft w:val="0"/>
                  <w:marRight w:val="0"/>
                  <w:marTop w:val="0"/>
                  <w:marBottom w:val="0"/>
                  <w:divBdr>
                    <w:top w:val="none" w:sz="0" w:space="0" w:color="auto"/>
                    <w:left w:val="none" w:sz="0" w:space="0" w:color="auto"/>
                    <w:bottom w:val="none" w:sz="0" w:space="0" w:color="auto"/>
                    <w:right w:val="none" w:sz="0" w:space="0" w:color="auto"/>
                  </w:divBdr>
                  <w:divsChild>
                    <w:div w:id="1361660978">
                      <w:marLeft w:val="0"/>
                      <w:marRight w:val="0"/>
                      <w:marTop w:val="0"/>
                      <w:marBottom w:val="0"/>
                      <w:divBdr>
                        <w:top w:val="none" w:sz="0" w:space="0" w:color="auto"/>
                        <w:left w:val="none" w:sz="0" w:space="0" w:color="auto"/>
                        <w:bottom w:val="none" w:sz="0" w:space="0" w:color="auto"/>
                        <w:right w:val="none" w:sz="0" w:space="0" w:color="auto"/>
                      </w:divBdr>
                      <w:divsChild>
                        <w:div w:id="1089692010">
                          <w:marLeft w:val="0"/>
                          <w:marRight w:val="0"/>
                          <w:marTop w:val="0"/>
                          <w:marBottom w:val="0"/>
                          <w:divBdr>
                            <w:top w:val="none" w:sz="0" w:space="0" w:color="auto"/>
                            <w:left w:val="none" w:sz="0" w:space="0" w:color="auto"/>
                            <w:bottom w:val="none" w:sz="0" w:space="0" w:color="auto"/>
                            <w:right w:val="none" w:sz="0" w:space="0" w:color="auto"/>
                          </w:divBdr>
                          <w:divsChild>
                            <w:div w:id="1879126701">
                              <w:marLeft w:val="0"/>
                              <w:marRight w:val="0"/>
                              <w:marTop w:val="0"/>
                              <w:marBottom w:val="0"/>
                              <w:divBdr>
                                <w:top w:val="none" w:sz="0" w:space="0" w:color="auto"/>
                                <w:left w:val="none" w:sz="0" w:space="0" w:color="auto"/>
                                <w:bottom w:val="none" w:sz="0" w:space="0" w:color="auto"/>
                                <w:right w:val="none" w:sz="0" w:space="0" w:color="auto"/>
                              </w:divBdr>
                              <w:divsChild>
                                <w:div w:id="901064626">
                                  <w:marLeft w:val="-225"/>
                                  <w:marRight w:val="-225"/>
                                  <w:marTop w:val="0"/>
                                  <w:marBottom w:val="0"/>
                                  <w:divBdr>
                                    <w:top w:val="none" w:sz="0" w:space="0" w:color="auto"/>
                                    <w:left w:val="none" w:sz="0" w:space="0" w:color="auto"/>
                                    <w:bottom w:val="none" w:sz="0" w:space="0" w:color="auto"/>
                                    <w:right w:val="none" w:sz="0" w:space="0" w:color="auto"/>
                                  </w:divBdr>
                                  <w:divsChild>
                                    <w:div w:id="1288242358">
                                      <w:marLeft w:val="0"/>
                                      <w:marRight w:val="0"/>
                                      <w:marTop w:val="0"/>
                                      <w:marBottom w:val="0"/>
                                      <w:divBdr>
                                        <w:top w:val="none" w:sz="0" w:space="0" w:color="auto"/>
                                        <w:left w:val="none" w:sz="0" w:space="0" w:color="auto"/>
                                        <w:bottom w:val="none" w:sz="0" w:space="0" w:color="auto"/>
                                        <w:right w:val="none" w:sz="0" w:space="0" w:color="auto"/>
                                      </w:divBdr>
                                      <w:divsChild>
                                        <w:div w:id="3155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alaid.vic.gov.au"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s://www.legalaid.vic.gov.au/sites/www.legalaid.vic.gov.au/files/vla-submission-putting-people-first-removing-barriers-for-people-with-disability-to-access-ndis-supports-11-2019.pdf" TargetMode="External"/><Relationship Id="rId2" Type="http://schemas.openxmlformats.org/officeDocument/2006/relationships/hyperlink" Target="https://www.dss.gov.au/disability-and-carers-programs-services-for-people-with-disability-national-disability-insurance-scheme/review-of-the-ndis-act-report" TargetMode="External"/><Relationship Id="rId1" Type="http://schemas.openxmlformats.org/officeDocument/2006/relationships/hyperlink" Target="https://www.legalaid.vic.gov.au/sites/www.legalaid.vic.gov.au/files/vla-2018-19-annual-report.pdf" TargetMode="External"/><Relationship Id="rId6" Type="http://schemas.openxmlformats.org/officeDocument/2006/relationships/hyperlink" Target="http://www.legalaid.vic.gov.au/find-legal-answers/covid-19-coronavirus/discrimination-work" TargetMode="External"/><Relationship Id="rId5" Type="http://schemas.openxmlformats.org/officeDocument/2006/relationships/hyperlink" Target="https://www.health.gov.au/news/health-alerts/novel-coronavirus-2019-ncov-health-alert/what-you-need-to-know-about-coronavirus-covid-19" TargetMode="External"/><Relationship Id="rId4" Type="http://schemas.openxmlformats.org/officeDocument/2006/relationships/hyperlink" Target="https://www.legalaid.vic.gov.au/find-legal-answers/covid-19-coronavirus/protection-visa-review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A3C85376985748803E5803ACA5961C" ma:contentTypeVersion="10" ma:contentTypeDescription="Create a new document." ma:contentTypeScope="" ma:versionID="fa6fdbfba9a6c43b65ed8eafbc9f0664">
  <xsd:schema xmlns:xsd="http://www.w3.org/2001/XMLSchema" xmlns:xs="http://www.w3.org/2001/XMLSchema" xmlns:p="http://schemas.microsoft.com/office/2006/metadata/properties" xmlns:ns2="cb9bdf24-0222-4dc7-8a2e-aaec915cb1ce" xmlns:ns3="c20befe9-362d-4238-a70d-97dbdfeef0e6" targetNamespace="http://schemas.microsoft.com/office/2006/metadata/properties" ma:root="true" ma:fieldsID="7cbf390d1ee7f3a7524331036b01a378" ns2:_="" ns3:_="">
    <xsd:import namespace="cb9bdf24-0222-4dc7-8a2e-aaec915cb1ce"/>
    <xsd:import namespace="c20befe9-362d-4238-a70d-97dbdfeef0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bdf24-0222-4dc7-8a2e-aaec915cb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befe9-362d-4238-a70d-97dbdfeef0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9DC4-DB6F-4359-949F-20E967095E2F}">
  <ds:schemaRefs>
    <ds:schemaRef ds:uri="http://schemas.microsoft.com/sharepoint/v3/contenttype/forms"/>
  </ds:schemaRefs>
</ds:datastoreItem>
</file>

<file path=customXml/itemProps2.xml><?xml version="1.0" encoding="utf-8"?>
<ds:datastoreItem xmlns:ds="http://schemas.openxmlformats.org/officeDocument/2006/customXml" ds:itemID="{7FA27814-367F-46CB-90EB-83B1939B5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bdf24-0222-4dc7-8a2e-aaec915cb1ce"/>
    <ds:schemaRef ds:uri="c20befe9-362d-4238-a70d-97dbdfeef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AA838-97C3-4D26-B99A-0636E3D378B6}">
  <ds:schemaRefs>
    <ds:schemaRef ds:uri="http://purl.org/dc/dcmitype/"/>
    <ds:schemaRef ds:uri="http://schemas.microsoft.com/office/infopath/2007/PartnerControls"/>
    <ds:schemaRef ds:uri="cb9bdf24-0222-4dc7-8a2e-aaec915cb1ce"/>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c20befe9-362d-4238-a70d-97dbdfeef0e6"/>
    <ds:schemaRef ds:uri="http://purl.org/dc/elements/1.1/"/>
  </ds:schemaRefs>
</ds:datastoreItem>
</file>

<file path=customXml/itemProps4.xml><?xml version="1.0" encoding="utf-8"?>
<ds:datastoreItem xmlns:ds="http://schemas.openxmlformats.org/officeDocument/2006/customXml" ds:itemID="{77EB8718-2D59-413E-88B7-65B84753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7760</Words>
  <Characters>43325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(Title)</vt:lpstr>
    </vt:vector>
  </TitlesOfParts>
  <Company>Victoria Legal Aid</Company>
  <LinksUpToDate>false</LinksUpToDate>
  <CharactersWithSpaces>50984</CharactersWithSpaces>
  <SharedDoc>false</SharedDoc>
  <HLinks>
    <vt:vector size="162" baseType="variant">
      <vt:variant>
        <vt:i4>7864372</vt:i4>
      </vt:variant>
      <vt:variant>
        <vt:i4>123</vt:i4>
      </vt:variant>
      <vt:variant>
        <vt:i4>0</vt:i4>
      </vt:variant>
      <vt:variant>
        <vt:i4>5</vt:i4>
      </vt:variant>
      <vt:variant>
        <vt:lpwstr>http://www.legalaid.vic.gov.au/</vt:lpwstr>
      </vt:variant>
      <vt:variant>
        <vt:lpwstr/>
      </vt:variant>
      <vt:variant>
        <vt:i4>1310770</vt:i4>
      </vt:variant>
      <vt:variant>
        <vt:i4>116</vt:i4>
      </vt:variant>
      <vt:variant>
        <vt:i4>0</vt:i4>
      </vt:variant>
      <vt:variant>
        <vt:i4>5</vt:i4>
      </vt:variant>
      <vt:variant>
        <vt:lpwstr/>
      </vt:variant>
      <vt:variant>
        <vt:lpwstr>_Toc41659790</vt:lpwstr>
      </vt:variant>
      <vt:variant>
        <vt:i4>1900595</vt:i4>
      </vt:variant>
      <vt:variant>
        <vt:i4>110</vt:i4>
      </vt:variant>
      <vt:variant>
        <vt:i4>0</vt:i4>
      </vt:variant>
      <vt:variant>
        <vt:i4>5</vt:i4>
      </vt:variant>
      <vt:variant>
        <vt:lpwstr/>
      </vt:variant>
      <vt:variant>
        <vt:lpwstr>_Toc41659789</vt:lpwstr>
      </vt:variant>
      <vt:variant>
        <vt:i4>1835059</vt:i4>
      </vt:variant>
      <vt:variant>
        <vt:i4>104</vt:i4>
      </vt:variant>
      <vt:variant>
        <vt:i4>0</vt:i4>
      </vt:variant>
      <vt:variant>
        <vt:i4>5</vt:i4>
      </vt:variant>
      <vt:variant>
        <vt:lpwstr/>
      </vt:variant>
      <vt:variant>
        <vt:lpwstr>_Toc41659788</vt:lpwstr>
      </vt:variant>
      <vt:variant>
        <vt:i4>1245235</vt:i4>
      </vt:variant>
      <vt:variant>
        <vt:i4>98</vt:i4>
      </vt:variant>
      <vt:variant>
        <vt:i4>0</vt:i4>
      </vt:variant>
      <vt:variant>
        <vt:i4>5</vt:i4>
      </vt:variant>
      <vt:variant>
        <vt:lpwstr/>
      </vt:variant>
      <vt:variant>
        <vt:lpwstr>_Toc41659787</vt:lpwstr>
      </vt:variant>
      <vt:variant>
        <vt:i4>1179699</vt:i4>
      </vt:variant>
      <vt:variant>
        <vt:i4>92</vt:i4>
      </vt:variant>
      <vt:variant>
        <vt:i4>0</vt:i4>
      </vt:variant>
      <vt:variant>
        <vt:i4>5</vt:i4>
      </vt:variant>
      <vt:variant>
        <vt:lpwstr/>
      </vt:variant>
      <vt:variant>
        <vt:lpwstr>_Toc41659786</vt:lpwstr>
      </vt:variant>
      <vt:variant>
        <vt:i4>1114163</vt:i4>
      </vt:variant>
      <vt:variant>
        <vt:i4>86</vt:i4>
      </vt:variant>
      <vt:variant>
        <vt:i4>0</vt:i4>
      </vt:variant>
      <vt:variant>
        <vt:i4>5</vt:i4>
      </vt:variant>
      <vt:variant>
        <vt:lpwstr/>
      </vt:variant>
      <vt:variant>
        <vt:lpwstr>_Toc41659785</vt:lpwstr>
      </vt:variant>
      <vt:variant>
        <vt:i4>1048627</vt:i4>
      </vt:variant>
      <vt:variant>
        <vt:i4>80</vt:i4>
      </vt:variant>
      <vt:variant>
        <vt:i4>0</vt:i4>
      </vt:variant>
      <vt:variant>
        <vt:i4>5</vt:i4>
      </vt:variant>
      <vt:variant>
        <vt:lpwstr/>
      </vt:variant>
      <vt:variant>
        <vt:lpwstr>_Toc41659784</vt:lpwstr>
      </vt:variant>
      <vt:variant>
        <vt:i4>1507379</vt:i4>
      </vt:variant>
      <vt:variant>
        <vt:i4>74</vt:i4>
      </vt:variant>
      <vt:variant>
        <vt:i4>0</vt:i4>
      </vt:variant>
      <vt:variant>
        <vt:i4>5</vt:i4>
      </vt:variant>
      <vt:variant>
        <vt:lpwstr/>
      </vt:variant>
      <vt:variant>
        <vt:lpwstr>_Toc41659783</vt:lpwstr>
      </vt:variant>
      <vt:variant>
        <vt:i4>1441843</vt:i4>
      </vt:variant>
      <vt:variant>
        <vt:i4>68</vt:i4>
      </vt:variant>
      <vt:variant>
        <vt:i4>0</vt:i4>
      </vt:variant>
      <vt:variant>
        <vt:i4>5</vt:i4>
      </vt:variant>
      <vt:variant>
        <vt:lpwstr/>
      </vt:variant>
      <vt:variant>
        <vt:lpwstr>_Toc41659782</vt:lpwstr>
      </vt:variant>
      <vt:variant>
        <vt:i4>1376307</vt:i4>
      </vt:variant>
      <vt:variant>
        <vt:i4>62</vt:i4>
      </vt:variant>
      <vt:variant>
        <vt:i4>0</vt:i4>
      </vt:variant>
      <vt:variant>
        <vt:i4>5</vt:i4>
      </vt:variant>
      <vt:variant>
        <vt:lpwstr/>
      </vt:variant>
      <vt:variant>
        <vt:lpwstr>_Toc41659781</vt:lpwstr>
      </vt:variant>
      <vt:variant>
        <vt:i4>1310771</vt:i4>
      </vt:variant>
      <vt:variant>
        <vt:i4>56</vt:i4>
      </vt:variant>
      <vt:variant>
        <vt:i4>0</vt:i4>
      </vt:variant>
      <vt:variant>
        <vt:i4>5</vt:i4>
      </vt:variant>
      <vt:variant>
        <vt:lpwstr/>
      </vt:variant>
      <vt:variant>
        <vt:lpwstr>_Toc41659780</vt:lpwstr>
      </vt:variant>
      <vt:variant>
        <vt:i4>1900604</vt:i4>
      </vt:variant>
      <vt:variant>
        <vt:i4>50</vt:i4>
      </vt:variant>
      <vt:variant>
        <vt:i4>0</vt:i4>
      </vt:variant>
      <vt:variant>
        <vt:i4>5</vt:i4>
      </vt:variant>
      <vt:variant>
        <vt:lpwstr/>
      </vt:variant>
      <vt:variant>
        <vt:lpwstr>_Toc41659779</vt:lpwstr>
      </vt:variant>
      <vt:variant>
        <vt:i4>1835068</vt:i4>
      </vt:variant>
      <vt:variant>
        <vt:i4>44</vt:i4>
      </vt:variant>
      <vt:variant>
        <vt:i4>0</vt:i4>
      </vt:variant>
      <vt:variant>
        <vt:i4>5</vt:i4>
      </vt:variant>
      <vt:variant>
        <vt:lpwstr/>
      </vt:variant>
      <vt:variant>
        <vt:lpwstr>_Toc41659778</vt:lpwstr>
      </vt:variant>
      <vt:variant>
        <vt:i4>1114172</vt:i4>
      </vt:variant>
      <vt:variant>
        <vt:i4>38</vt:i4>
      </vt:variant>
      <vt:variant>
        <vt:i4>0</vt:i4>
      </vt:variant>
      <vt:variant>
        <vt:i4>5</vt:i4>
      </vt:variant>
      <vt:variant>
        <vt:lpwstr/>
      </vt:variant>
      <vt:variant>
        <vt:lpwstr>_Toc41659775</vt:lpwstr>
      </vt:variant>
      <vt:variant>
        <vt:i4>1048636</vt:i4>
      </vt:variant>
      <vt:variant>
        <vt:i4>32</vt:i4>
      </vt:variant>
      <vt:variant>
        <vt:i4>0</vt:i4>
      </vt:variant>
      <vt:variant>
        <vt:i4>5</vt:i4>
      </vt:variant>
      <vt:variant>
        <vt:lpwstr/>
      </vt:variant>
      <vt:variant>
        <vt:lpwstr>_Toc41659774</vt:lpwstr>
      </vt:variant>
      <vt:variant>
        <vt:i4>1507388</vt:i4>
      </vt:variant>
      <vt:variant>
        <vt:i4>26</vt:i4>
      </vt:variant>
      <vt:variant>
        <vt:i4>0</vt:i4>
      </vt:variant>
      <vt:variant>
        <vt:i4>5</vt:i4>
      </vt:variant>
      <vt:variant>
        <vt:lpwstr/>
      </vt:variant>
      <vt:variant>
        <vt:lpwstr>_Toc41659773</vt:lpwstr>
      </vt:variant>
      <vt:variant>
        <vt:i4>1441852</vt:i4>
      </vt:variant>
      <vt:variant>
        <vt:i4>20</vt:i4>
      </vt:variant>
      <vt:variant>
        <vt:i4>0</vt:i4>
      </vt:variant>
      <vt:variant>
        <vt:i4>5</vt:i4>
      </vt:variant>
      <vt:variant>
        <vt:lpwstr/>
      </vt:variant>
      <vt:variant>
        <vt:lpwstr>_Toc41659772</vt:lpwstr>
      </vt:variant>
      <vt:variant>
        <vt:i4>1376316</vt:i4>
      </vt:variant>
      <vt:variant>
        <vt:i4>14</vt:i4>
      </vt:variant>
      <vt:variant>
        <vt:i4>0</vt:i4>
      </vt:variant>
      <vt:variant>
        <vt:i4>5</vt:i4>
      </vt:variant>
      <vt:variant>
        <vt:lpwstr/>
      </vt:variant>
      <vt:variant>
        <vt:lpwstr>_Toc41659771</vt:lpwstr>
      </vt:variant>
      <vt:variant>
        <vt:i4>1310780</vt:i4>
      </vt:variant>
      <vt:variant>
        <vt:i4>8</vt:i4>
      </vt:variant>
      <vt:variant>
        <vt:i4>0</vt:i4>
      </vt:variant>
      <vt:variant>
        <vt:i4>5</vt:i4>
      </vt:variant>
      <vt:variant>
        <vt:lpwstr/>
      </vt:variant>
      <vt:variant>
        <vt:lpwstr>_Toc41659770</vt:lpwstr>
      </vt:variant>
      <vt:variant>
        <vt:i4>1900605</vt:i4>
      </vt:variant>
      <vt:variant>
        <vt:i4>2</vt:i4>
      </vt:variant>
      <vt:variant>
        <vt:i4>0</vt:i4>
      </vt:variant>
      <vt:variant>
        <vt:i4>5</vt:i4>
      </vt:variant>
      <vt:variant>
        <vt:lpwstr/>
      </vt:variant>
      <vt:variant>
        <vt:lpwstr>_Toc41659769</vt:lpwstr>
      </vt:variant>
      <vt:variant>
        <vt:i4>8257571</vt:i4>
      </vt:variant>
      <vt:variant>
        <vt:i4>15</vt:i4>
      </vt:variant>
      <vt:variant>
        <vt:i4>0</vt:i4>
      </vt:variant>
      <vt:variant>
        <vt:i4>5</vt:i4>
      </vt:variant>
      <vt:variant>
        <vt:lpwstr>http://www.legalaid.vic.gov.au/find-legal-answers/covid-19-coronavirus/discrimination-work</vt:lpwstr>
      </vt:variant>
      <vt:variant>
        <vt:lpwstr/>
      </vt:variant>
      <vt:variant>
        <vt:i4>7536742</vt:i4>
      </vt:variant>
      <vt:variant>
        <vt:i4>12</vt:i4>
      </vt:variant>
      <vt:variant>
        <vt:i4>0</vt:i4>
      </vt:variant>
      <vt:variant>
        <vt:i4>5</vt:i4>
      </vt:variant>
      <vt:variant>
        <vt:lpwstr>https://www.health.gov.au/news/health-alerts/novel-coronavirus-2019-ncov-health-alert/what-you-need-to-know-about-coronavirus-covid-19</vt:lpwstr>
      </vt:variant>
      <vt:variant>
        <vt:lpwstr/>
      </vt:variant>
      <vt:variant>
        <vt:i4>6488164</vt:i4>
      </vt:variant>
      <vt:variant>
        <vt:i4>9</vt:i4>
      </vt:variant>
      <vt:variant>
        <vt:i4>0</vt:i4>
      </vt:variant>
      <vt:variant>
        <vt:i4>5</vt:i4>
      </vt:variant>
      <vt:variant>
        <vt:lpwstr>https://www.legalaid.vic.gov.au/find-legal-answers/covid-19-coronavirus/protection-visa-reviews</vt:lpwstr>
      </vt:variant>
      <vt:variant>
        <vt:lpwstr/>
      </vt:variant>
      <vt:variant>
        <vt:i4>1114124</vt:i4>
      </vt:variant>
      <vt:variant>
        <vt:i4>6</vt:i4>
      </vt:variant>
      <vt:variant>
        <vt:i4>0</vt:i4>
      </vt:variant>
      <vt:variant>
        <vt:i4>5</vt:i4>
      </vt:variant>
      <vt:variant>
        <vt:lpwstr>https://www.legalaid.vic.gov.au/sites/www.legalaid.vic.gov.au/files/vla-submission-putting-people-first-removing-barriers-for-people-with-disability-to-access-ndis-supports-11-2019.pdf</vt:lpwstr>
      </vt:variant>
      <vt:variant>
        <vt:lpwstr/>
      </vt:variant>
      <vt:variant>
        <vt:i4>4980740</vt:i4>
      </vt:variant>
      <vt:variant>
        <vt:i4>3</vt:i4>
      </vt:variant>
      <vt:variant>
        <vt:i4>0</vt:i4>
      </vt:variant>
      <vt:variant>
        <vt:i4>5</vt:i4>
      </vt:variant>
      <vt:variant>
        <vt:lpwstr>https://www.dss.gov.au/disability-and-carers-programs-services-for-people-with-disability-national-disability-insurance-scheme/review-of-the-ndis-act-report</vt:lpwstr>
      </vt:variant>
      <vt:variant>
        <vt:lpwstr/>
      </vt:variant>
      <vt:variant>
        <vt:i4>589824</vt:i4>
      </vt:variant>
      <vt:variant>
        <vt:i4>0</vt:i4>
      </vt:variant>
      <vt:variant>
        <vt:i4>0</vt:i4>
      </vt:variant>
      <vt:variant>
        <vt:i4>5</vt:i4>
      </vt:variant>
      <vt:variant>
        <vt:lpwstr>https://www.legalaid.vic.gov.au/sites/www.legalaid.vic.gov.au/files/vla-2018-19-annual-report.pdf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Lee Carnie</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ContentTypeId">
    <vt:lpwstr>0x01010053A3C85376985748803E5803ACA5961C</vt:lpwstr>
  </op:property>
  <op:property fmtid="{D5CDD505-2E9C-101B-9397-08002B2CF9AE}" pid="4" name="_MarkAsFinal">
    <vt:bool>true</vt:bool>
  </op:property>
</op:Properties>
</file>