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6AF959" w14:textId="77777777" w:rsidR="00E6688C" w:rsidRDefault="009E3C5B" w:rsidP="00414F73">
      <w:pPr>
        <w:pStyle w:val="Title"/>
      </w:pPr>
      <w:bookmarkStart w:id="0" w:name="_GoBack"/>
      <w:bookmarkEnd w:id="0"/>
      <w:r w:rsidRPr="009E3C5B">
        <w:t>Design, scope, cost-benefit analysis, contracts awarded and implementation associated with the Better Management of the Social Welfare System initiative</w:t>
      </w:r>
    </w:p>
    <w:p w14:paraId="7FEC7104" w14:textId="77777777" w:rsidR="00E6688C" w:rsidRDefault="008763EE" w:rsidP="00E6688C">
      <w:pPr>
        <w:pStyle w:val="VLAsubtitle"/>
      </w:pPr>
      <w:r>
        <w:t>Senate Community Affairs References Committee</w:t>
      </w:r>
    </w:p>
    <w:p w14:paraId="2CB8B4AB" w14:textId="77777777" w:rsidR="00E6688C" w:rsidRDefault="00EE34C6" w:rsidP="00E6688C">
      <w:pPr>
        <w:pStyle w:val="VLAdate"/>
      </w:pPr>
      <w:r>
        <w:t>6</w:t>
      </w:r>
      <w:r w:rsidR="002D25F1">
        <w:t xml:space="preserve"> April</w:t>
      </w:r>
      <w:r w:rsidR="009E3C5B">
        <w:t xml:space="preserve"> 2017</w:t>
      </w:r>
    </w:p>
    <w:p w14:paraId="44F7E00F" w14:textId="77777777" w:rsidR="00CC0C03" w:rsidRDefault="00CC0C03" w:rsidP="00CC0C03"/>
    <w:p w14:paraId="745B746A" w14:textId="77777777" w:rsidR="00853BDA" w:rsidRDefault="00853BDA" w:rsidP="00946548">
      <w:pPr>
        <w:sectPr w:rsidR="00853BDA" w:rsidSect="00DA29C4">
          <w:headerReference w:type="even" r:id="rId8"/>
          <w:headerReference w:type="default" r:id="rId9"/>
          <w:footerReference w:type="default" r:id="rId10"/>
          <w:headerReference w:type="first" r:id="rId11"/>
          <w:footerReference w:type="first" r:id="rId12"/>
          <w:type w:val="oddPage"/>
          <w:pgSz w:w="11906" w:h="16838" w:code="9"/>
          <w:pgMar w:top="1418" w:right="992" w:bottom="3969" w:left="1134" w:header="851" w:footer="2835" w:gutter="0"/>
          <w:paperSrc w:first="7" w:other="7"/>
          <w:cols w:space="720"/>
          <w:titlePg/>
          <w:docGrid w:linePitch="299"/>
        </w:sectPr>
      </w:pPr>
    </w:p>
    <w:p w14:paraId="738E05F5" w14:textId="14365B5A" w:rsidR="00E52D83" w:rsidRDefault="002A7402" w:rsidP="008F0579">
      <w:pPr>
        <w:pStyle w:val="Confidentialityclause"/>
        <w:spacing w:before="12300"/>
        <w:rPr>
          <w:bCs w:val="0"/>
        </w:rPr>
      </w:pPr>
      <w:r w:rsidRPr="005D5637">
        <w:rPr>
          <w:rFonts w:cs="Arial"/>
          <w:color w:val="971A4B"/>
        </w:rPr>
        <w:lastRenderedPageBreak/>
        <w:t>©</w:t>
      </w:r>
      <w:r w:rsidRPr="005D5637">
        <w:rPr>
          <w:color w:val="971A4B"/>
        </w:rPr>
        <w:t xml:space="preserve"> </w:t>
      </w:r>
      <w:r w:rsidRPr="005D5637">
        <w:rPr>
          <w:color w:val="971A4B"/>
        </w:rPr>
        <w:fldChar w:fldCharType="begin"/>
      </w:r>
      <w:r w:rsidRPr="005D5637">
        <w:rPr>
          <w:color w:val="971A4B"/>
        </w:rPr>
        <w:instrText xml:space="preserve"> DATE  \@ "yyyy"  \* MERGEFORMAT </w:instrText>
      </w:r>
      <w:r w:rsidRPr="005D5637">
        <w:rPr>
          <w:color w:val="971A4B"/>
        </w:rPr>
        <w:fldChar w:fldCharType="separate"/>
      </w:r>
      <w:r w:rsidR="00177249">
        <w:rPr>
          <w:noProof/>
          <w:color w:val="971A4B"/>
        </w:rPr>
        <w:t>2017</w:t>
      </w:r>
      <w:r w:rsidRPr="005D5637">
        <w:rPr>
          <w:color w:val="971A4B"/>
        </w:rPr>
        <w:fldChar w:fldCharType="end"/>
      </w:r>
      <w:r w:rsidRPr="005D5637">
        <w:rPr>
          <w:color w:val="971A4B"/>
        </w:rPr>
        <w:t xml:space="preserve"> Victoria Legal Aid.</w:t>
      </w:r>
      <w:r>
        <w:t xml:space="preserve"> </w:t>
      </w:r>
      <w:r w:rsidR="006E2882" w:rsidRPr="006E2882">
        <w:rPr>
          <w:bCs w:val="0"/>
        </w:rPr>
        <w:t>Reproduction without express written permission is prohibited</w:t>
      </w:r>
      <w:r w:rsidR="00E52D83">
        <w:rPr>
          <w:bCs w:val="0"/>
        </w:rPr>
        <w:t>.</w:t>
      </w:r>
    </w:p>
    <w:p w14:paraId="2A878729" w14:textId="005B9C5E" w:rsidR="00022C83" w:rsidRPr="006E2882" w:rsidRDefault="006E2882" w:rsidP="00CE4C2F">
      <w:pPr>
        <w:pStyle w:val="Confidentialityclause"/>
        <w:rPr>
          <w:bCs w:val="0"/>
        </w:rPr>
      </w:pPr>
      <w:r w:rsidRPr="006E2882">
        <w:rPr>
          <w:bCs w:val="0"/>
        </w:rPr>
        <w:t xml:space="preserve">Written requests should be directed to Victoria Legal Aid, Research and Communications, </w:t>
      </w:r>
      <w:r w:rsidR="00C352AC">
        <w:rPr>
          <w:bCs w:val="0"/>
        </w:rPr>
        <w:t>570 Bourke Street</w:t>
      </w:r>
      <w:r w:rsidRPr="006E2882">
        <w:rPr>
          <w:bCs w:val="0"/>
        </w:rPr>
        <w:t>, Melbourne Vic</w:t>
      </w:r>
      <w:r w:rsidR="00C74608">
        <w:rPr>
          <w:bCs w:val="0"/>
        </w:rPr>
        <w:t xml:space="preserve"> </w:t>
      </w:r>
      <w:r w:rsidRPr="006E2882">
        <w:rPr>
          <w:bCs w:val="0"/>
        </w:rPr>
        <w:t>3000.</w:t>
      </w:r>
    </w:p>
    <w:p w14:paraId="2C58ECD0" w14:textId="77777777" w:rsidR="0056464E" w:rsidRDefault="0056464E" w:rsidP="002A7402">
      <w:pPr>
        <w:pStyle w:val="Confidentialityclause"/>
        <w:rPr>
          <w:bCs w:val="0"/>
        </w:rPr>
      </w:pPr>
    </w:p>
    <w:p w14:paraId="6A81B4E3" w14:textId="77777777" w:rsidR="00696BAC" w:rsidRPr="00E24A08" w:rsidRDefault="00696BAC" w:rsidP="002A7402">
      <w:pPr>
        <w:pStyle w:val="Confidentialityclause"/>
        <w:rPr>
          <w:bCs w:val="0"/>
        </w:rPr>
      </w:pPr>
    </w:p>
    <w:p w14:paraId="0D0553B1" w14:textId="77777777" w:rsidR="00CE4C2F" w:rsidRPr="00CC0C03" w:rsidRDefault="00CE4C2F" w:rsidP="00CC0C03">
      <w:pPr>
        <w:sectPr w:rsidR="00CE4C2F" w:rsidRPr="00CC0C03" w:rsidSect="007538CC">
          <w:headerReference w:type="default" r:id="rId13"/>
          <w:footerReference w:type="default" r:id="rId14"/>
          <w:headerReference w:type="first" r:id="rId15"/>
          <w:footerReference w:type="first" r:id="rId16"/>
          <w:type w:val="evenPage"/>
          <w:pgSz w:w="11906" w:h="16838" w:code="9"/>
          <w:pgMar w:top="950" w:right="992" w:bottom="1134" w:left="1134" w:header="984" w:footer="429" w:gutter="0"/>
          <w:paperSrc w:first="7" w:other="7"/>
          <w:pgNumType w:start="1"/>
          <w:cols w:space="720"/>
          <w:titlePg/>
          <w:docGrid w:linePitch="299"/>
        </w:sectPr>
      </w:pPr>
    </w:p>
    <w:p w14:paraId="20685E02" w14:textId="77777777" w:rsidR="002B4970" w:rsidRPr="0056464E" w:rsidRDefault="002B4970" w:rsidP="0056464E">
      <w:pPr>
        <w:pStyle w:val="Contents"/>
      </w:pPr>
      <w:r w:rsidRPr="0056464E">
        <w:lastRenderedPageBreak/>
        <w:t>Contents</w:t>
      </w:r>
    </w:p>
    <w:p w14:paraId="1ADD0B8A" w14:textId="274ADF14" w:rsidR="004D3C64" w:rsidRDefault="004E0688">
      <w:pPr>
        <w:pStyle w:val="TOC1"/>
        <w:rPr>
          <w:rFonts w:asciiTheme="minorHAnsi" w:eastAsiaTheme="minorEastAsia" w:hAnsiTheme="minorHAnsi" w:cstheme="minorBidi"/>
          <w:b w:val="0"/>
          <w:noProof/>
          <w:sz w:val="22"/>
          <w:szCs w:val="22"/>
          <w:lang w:eastAsia="en-AU"/>
        </w:rPr>
      </w:pPr>
      <w:r>
        <w:fldChar w:fldCharType="begin"/>
      </w:r>
      <w:r>
        <w:instrText xml:space="preserve"> TOC \h \z \t "Heading 1,1,Heading 2,2,Heading 3,3,Appendix,1" </w:instrText>
      </w:r>
      <w:r>
        <w:fldChar w:fldCharType="separate"/>
      </w:r>
      <w:hyperlink w:anchor="_Toc479316946" w:history="1">
        <w:r w:rsidR="004D3C64" w:rsidRPr="00511F75">
          <w:rPr>
            <w:rStyle w:val="Hyperlink"/>
            <w:noProof/>
          </w:rPr>
          <w:t>About Victoria Legal Aid</w:t>
        </w:r>
        <w:r w:rsidR="004D3C64">
          <w:rPr>
            <w:noProof/>
            <w:webHidden/>
          </w:rPr>
          <w:tab/>
        </w:r>
        <w:r w:rsidR="004D3C64">
          <w:rPr>
            <w:noProof/>
            <w:webHidden/>
          </w:rPr>
          <w:fldChar w:fldCharType="begin"/>
        </w:r>
        <w:r w:rsidR="004D3C64">
          <w:rPr>
            <w:noProof/>
            <w:webHidden/>
          </w:rPr>
          <w:instrText xml:space="preserve"> PAGEREF _Toc479316946 \h </w:instrText>
        </w:r>
        <w:r w:rsidR="004D3C64">
          <w:rPr>
            <w:noProof/>
            <w:webHidden/>
          </w:rPr>
        </w:r>
        <w:r w:rsidR="004D3C64">
          <w:rPr>
            <w:noProof/>
            <w:webHidden/>
          </w:rPr>
          <w:fldChar w:fldCharType="separate"/>
        </w:r>
        <w:r w:rsidR="002D74B3">
          <w:rPr>
            <w:noProof/>
            <w:webHidden/>
          </w:rPr>
          <w:t>1</w:t>
        </w:r>
        <w:r w:rsidR="004D3C64">
          <w:rPr>
            <w:noProof/>
            <w:webHidden/>
          </w:rPr>
          <w:fldChar w:fldCharType="end"/>
        </w:r>
      </w:hyperlink>
    </w:p>
    <w:p w14:paraId="2D107E6E" w14:textId="7AA342C5" w:rsidR="004D3C64" w:rsidRDefault="00177249">
      <w:pPr>
        <w:pStyle w:val="TOC1"/>
        <w:rPr>
          <w:rFonts w:asciiTheme="minorHAnsi" w:eastAsiaTheme="minorEastAsia" w:hAnsiTheme="minorHAnsi" w:cstheme="minorBidi"/>
          <w:b w:val="0"/>
          <w:noProof/>
          <w:sz w:val="22"/>
          <w:szCs w:val="22"/>
          <w:lang w:eastAsia="en-AU"/>
        </w:rPr>
      </w:pPr>
      <w:hyperlink w:anchor="_Toc479316947" w:history="1">
        <w:r w:rsidR="004D3C64" w:rsidRPr="00511F75">
          <w:rPr>
            <w:rStyle w:val="Hyperlink"/>
            <w:noProof/>
          </w:rPr>
          <w:t xml:space="preserve">Executive </w:t>
        </w:r>
        <w:r w:rsidR="002D74B3">
          <w:rPr>
            <w:rStyle w:val="Hyperlink"/>
            <w:noProof/>
          </w:rPr>
          <w:t>s</w:t>
        </w:r>
        <w:r w:rsidR="004D3C64" w:rsidRPr="00511F75">
          <w:rPr>
            <w:rStyle w:val="Hyperlink"/>
            <w:noProof/>
          </w:rPr>
          <w:t>ummary</w:t>
        </w:r>
        <w:r w:rsidR="004D3C64">
          <w:rPr>
            <w:noProof/>
            <w:webHidden/>
          </w:rPr>
          <w:tab/>
        </w:r>
        <w:r w:rsidR="004D3C64">
          <w:rPr>
            <w:noProof/>
            <w:webHidden/>
          </w:rPr>
          <w:fldChar w:fldCharType="begin"/>
        </w:r>
        <w:r w:rsidR="004D3C64">
          <w:rPr>
            <w:noProof/>
            <w:webHidden/>
          </w:rPr>
          <w:instrText xml:space="preserve"> PAGEREF _Toc479316947 \h </w:instrText>
        </w:r>
        <w:r w:rsidR="004D3C64">
          <w:rPr>
            <w:noProof/>
            <w:webHidden/>
          </w:rPr>
        </w:r>
        <w:r w:rsidR="004D3C64">
          <w:rPr>
            <w:noProof/>
            <w:webHidden/>
          </w:rPr>
          <w:fldChar w:fldCharType="separate"/>
        </w:r>
        <w:r w:rsidR="002D74B3">
          <w:rPr>
            <w:noProof/>
            <w:webHidden/>
          </w:rPr>
          <w:t>2</w:t>
        </w:r>
        <w:r w:rsidR="004D3C64">
          <w:rPr>
            <w:noProof/>
            <w:webHidden/>
          </w:rPr>
          <w:fldChar w:fldCharType="end"/>
        </w:r>
      </w:hyperlink>
    </w:p>
    <w:p w14:paraId="6CCF1EDF" w14:textId="2C415647" w:rsidR="004D3C64" w:rsidRDefault="00177249">
      <w:pPr>
        <w:pStyle w:val="TOC1"/>
        <w:rPr>
          <w:rFonts w:asciiTheme="minorHAnsi" w:eastAsiaTheme="minorEastAsia" w:hAnsiTheme="minorHAnsi" w:cstheme="minorBidi"/>
          <w:b w:val="0"/>
          <w:noProof/>
          <w:sz w:val="22"/>
          <w:szCs w:val="22"/>
          <w:lang w:eastAsia="en-AU"/>
        </w:rPr>
      </w:pPr>
      <w:hyperlink w:anchor="_Toc479316948" w:history="1">
        <w:r w:rsidR="004D3C64" w:rsidRPr="00511F75">
          <w:rPr>
            <w:rStyle w:val="Hyperlink"/>
            <w:noProof/>
          </w:rPr>
          <w:t>Summary of recommendations</w:t>
        </w:r>
        <w:r w:rsidR="004D3C64">
          <w:rPr>
            <w:noProof/>
            <w:webHidden/>
          </w:rPr>
          <w:tab/>
        </w:r>
        <w:r w:rsidR="004D3C64">
          <w:rPr>
            <w:noProof/>
            <w:webHidden/>
          </w:rPr>
          <w:fldChar w:fldCharType="begin"/>
        </w:r>
        <w:r w:rsidR="004D3C64">
          <w:rPr>
            <w:noProof/>
            <w:webHidden/>
          </w:rPr>
          <w:instrText xml:space="preserve"> PAGEREF _Toc479316948 \h </w:instrText>
        </w:r>
        <w:r w:rsidR="004D3C64">
          <w:rPr>
            <w:noProof/>
            <w:webHidden/>
          </w:rPr>
        </w:r>
        <w:r w:rsidR="004D3C64">
          <w:rPr>
            <w:noProof/>
            <w:webHidden/>
          </w:rPr>
          <w:fldChar w:fldCharType="separate"/>
        </w:r>
        <w:r w:rsidR="002D74B3">
          <w:rPr>
            <w:noProof/>
            <w:webHidden/>
          </w:rPr>
          <w:t>3</w:t>
        </w:r>
        <w:r w:rsidR="004D3C64">
          <w:rPr>
            <w:noProof/>
            <w:webHidden/>
          </w:rPr>
          <w:fldChar w:fldCharType="end"/>
        </w:r>
      </w:hyperlink>
    </w:p>
    <w:p w14:paraId="60E033D7" w14:textId="1A173EF7" w:rsidR="004D3C64" w:rsidRDefault="00177249">
      <w:pPr>
        <w:pStyle w:val="TOC1"/>
        <w:rPr>
          <w:rFonts w:asciiTheme="minorHAnsi" w:eastAsiaTheme="minorEastAsia" w:hAnsiTheme="minorHAnsi" w:cstheme="minorBidi"/>
          <w:b w:val="0"/>
          <w:noProof/>
          <w:sz w:val="22"/>
          <w:szCs w:val="22"/>
          <w:lang w:eastAsia="en-AU"/>
        </w:rPr>
      </w:pPr>
      <w:hyperlink w:anchor="_Toc479316949" w:history="1">
        <w:r w:rsidR="004D3C64" w:rsidRPr="00511F75">
          <w:rPr>
            <w:rStyle w:val="Hyperlink"/>
            <w:noProof/>
          </w:rPr>
          <w:t>Lawfulness and accuracy of debts raised through data matching alone (TOR (a), (e), (g), (h) and (k))</w:t>
        </w:r>
        <w:r w:rsidR="004D3C64">
          <w:rPr>
            <w:noProof/>
            <w:webHidden/>
          </w:rPr>
          <w:tab/>
        </w:r>
        <w:r w:rsidR="004D3C64">
          <w:rPr>
            <w:noProof/>
            <w:webHidden/>
          </w:rPr>
          <w:fldChar w:fldCharType="begin"/>
        </w:r>
        <w:r w:rsidR="004D3C64">
          <w:rPr>
            <w:noProof/>
            <w:webHidden/>
          </w:rPr>
          <w:instrText xml:space="preserve"> PAGEREF _Toc479316949 \h </w:instrText>
        </w:r>
        <w:r w:rsidR="004D3C64">
          <w:rPr>
            <w:noProof/>
            <w:webHidden/>
          </w:rPr>
        </w:r>
        <w:r w:rsidR="004D3C64">
          <w:rPr>
            <w:noProof/>
            <w:webHidden/>
          </w:rPr>
          <w:fldChar w:fldCharType="separate"/>
        </w:r>
        <w:r w:rsidR="002D74B3">
          <w:rPr>
            <w:noProof/>
            <w:webHidden/>
          </w:rPr>
          <w:t>5</w:t>
        </w:r>
        <w:r w:rsidR="004D3C64">
          <w:rPr>
            <w:noProof/>
            <w:webHidden/>
          </w:rPr>
          <w:fldChar w:fldCharType="end"/>
        </w:r>
      </w:hyperlink>
    </w:p>
    <w:p w14:paraId="1431AF6D" w14:textId="22E69CFD" w:rsidR="004D3C64" w:rsidRDefault="00177249">
      <w:pPr>
        <w:pStyle w:val="TOC3"/>
        <w:rPr>
          <w:rFonts w:asciiTheme="minorHAnsi" w:eastAsiaTheme="minorEastAsia" w:hAnsiTheme="minorHAnsi" w:cstheme="minorBidi"/>
          <w:sz w:val="22"/>
          <w:szCs w:val="22"/>
          <w:lang w:eastAsia="en-AU"/>
        </w:rPr>
      </w:pPr>
      <w:hyperlink w:anchor="_Toc479316950" w:history="1">
        <w:r w:rsidR="004D3C64" w:rsidRPr="00511F75">
          <w:rPr>
            <w:rStyle w:val="Hyperlink"/>
          </w:rPr>
          <w:t>Overview</w:t>
        </w:r>
        <w:r w:rsidR="004D3C64">
          <w:rPr>
            <w:webHidden/>
          </w:rPr>
          <w:tab/>
        </w:r>
        <w:r w:rsidR="004D3C64">
          <w:rPr>
            <w:webHidden/>
          </w:rPr>
          <w:fldChar w:fldCharType="begin"/>
        </w:r>
        <w:r w:rsidR="004D3C64">
          <w:rPr>
            <w:webHidden/>
          </w:rPr>
          <w:instrText xml:space="preserve"> PAGEREF _Toc479316950 \h </w:instrText>
        </w:r>
        <w:r w:rsidR="004D3C64">
          <w:rPr>
            <w:webHidden/>
          </w:rPr>
        </w:r>
        <w:r w:rsidR="004D3C64">
          <w:rPr>
            <w:webHidden/>
          </w:rPr>
          <w:fldChar w:fldCharType="separate"/>
        </w:r>
        <w:r w:rsidR="002D74B3">
          <w:rPr>
            <w:webHidden/>
          </w:rPr>
          <w:t>5</w:t>
        </w:r>
        <w:r w:rsidR="004D3C64">
          <w:rPr>
            <w:webHidden/>
          </w:rPr>
          <w:fldChar w:fldCharType="end"/>
        </w:r>
      </w:hyperlink>
    </w:p>
    <w:p w14:paraId="5123A6CA" w14:textId="2D9C2FFB" w:rsidR="004D3C64" w:rsidRDefault="00177249">
      <w:pPr>
        <w:pStyle w:val="TOC3"/>
        <w:rPr>
          <w:rFonts w:asciiTheme="minorHAnsi" w:eastAsiaTheme="minorEastAsia" w:hAnsiTheme="minorHAnsi" w:cstheme="minorBidi"/>
          <w:sz w:val="22"/>
          <w:szCs w:val="22"/>
          <w:lang w:eastAsia="en-AU"/>
        </w:rPr>
      </w:pPr>
      <w:hyperlink w:anchor="_Toc479316951" w:history="1">
        <w:r w:rsidR="004D3C64" w:rsidRPr="00511F75">
          <w:rPr>
            <w:rStyle w:val="Hyperlink"/>
          </w:rPr>
          <w:t>Asking questions about lawfulness</w:t>
        </w:r>
        <w:r w:rsidR="004D3C64">
          <w:rPr>
            <w:webHidden/>
          </w:rPr>
          <w:tab/>
        </w:r>
        <w:r w:rsidR="004D3C64">
          <w:rPr>
            <w:webHidden/>
          </w:rPr>
          <w:fldChar w:fldCharType="begin"/>
        </w:r>
        <w:r w:rsidR="004D3C64">
          <w:rPr>
            <w:webHidden/>
          </w:rPr>
          <w:instrText xml:space="preserve"> PAGEREF _Toc479316951 \h </w:instrText>
        </w:r>
        <w:r w:rsidR="004D3C64">
          <w:rPr>
            <w:webHidden/>
          </w:rPr>
        </w:r>
        <w:r w:rsidR="004D3C64">
          <w:rPr>
            <w:webHidden/>
          </w:rPr>
          <w:fldChar w:fldCharType="separate"/>
        </w:r>
        <w:r w:rsidR="002D74B3">
          <w:rPr>
            <w:webHidden/>
          </w:rPr>
          <w:t>5</w:t>
        </w:r>
        <w:r w:rsidR="004D3C64">
          <w:rPr>
            <w:webHidden/>
          </w:rPr>
          <w:fldChar w:fldCharType="end"/>
        </w:r>
      </w:hyperlink>
    </w:p>
    <w:p w14:paraId="5FC26414" w14:textId="6FF1DF69" w:rsidR="004D3C64" w:rsidRDefault="00177249">
      <w:pPr>
        <w:pStyle w:val="TOC3"/>
        <w:rPr>
          <w:rFonts w:asciiTheme="minorHAnsi" w:eastAsiaTheme="minorEastAsia" w:hAnsiTheme="minorHAnsi" w:cstheme="minorBidi"/>
          <w:sz w:val="22"/>
          <w:szCs w:val="22"/>
          <w:lang w:eastAsia="en-AU"/>
        </w:rPr>
      </w:pPr>
      <w:hyperlink w:anchor="_Toc479316952" w:history="1">
        <w:r w:rsidR="004D3C64" w:rsidRPr="00511F75">
          <w:rPr>
            <w:rStyle w:val="Hyperlink"/>
          </w:rPr>
          <w:t>Strong policy considerations against the Initiative</w:t>
        </w:r>
        <w:r w:rsidR="004D3C64">
          <w:rPr>
            <w:webHidden/>
          </w:rPr>
          <w:tab/>
        </w:r>
        <w:r w:rsidR="004D3C64">
          <w:rPr>
            <w:webHidden/>
          </w:rPr>
          <w:fldChar w:fldCharType="begin"/>
        </w:r>
        <w:r w:rsidR="004D3C64">
          <w:rPr>
            <w:webHidden/>
          </w:rPr>
          <w:instrText xml:space="preserve"> PAGEREF _Toc479316952 \h </w:instrText>
        </w:r>
        <w:r w:rsidR="004D3C64">
          <w:rPr>
            <w:webHidden/>
          </w:rPr>
        </w:r>
        <w:r w:rsidR="004D3C64">
          <w:rPr>
            <w:webHidden/>
          </w:rPr>
          <w:fldChar w:fldCharType="separate"/>
        </w:r>
        <w:r w:rsidR="002D74B3">
          <w:rPr>
            <w:webHidden/>
          </w:rPr>
          <w:t>7</w:t>
        </w:r>
        <w:r w:rsidR="004D3C64">
          <w:rPr>
            <w:webHidden/>
          </w:rPr>
          <w:fldChar w:fldCharType="end"/>
        </w:r>
      </w:hyperlink>
    </w:p>
    <w:p w14:paraId="3F864528" w14:textId="6608DEB4" w:rsidR="004D3C64" w:rsidRDefault="00177249">
      <w:pPr>
        <w:pStyle w:val="TOC1"/>
        <w:rPr>
          <w:rFonts w:asciiTheme="minorHAnsi" w:eastAsiaTheme="minorEastAsia" w:hAnsiTheme="minorHAnsi" w:cstheme="minorBidi"/>
          <w:b w:val="0"/>
          <w:noProof/>
          <w:sz w:val="22"/>
          <w:szCs w:val="22"/>
          <w:lang w:eastAsia="en-AU"/>
        </w:rPr>
      </w:pPr>
      <w:hyperlink w:anchor="_Toc479316953" w:history="1">
        <w:r w:rsidR="004D3C64" w:rsidRPr="00511F75">
          <w:rPr>
            <w:rStyle w:val="Hyperlink"/>
            <w:noProof/>
          </w:rPr>
          <w:t>Personal and financial consequences for individuals subject to automated debt notices (TOR (a), (b), (c), (d), (g), (h), (j))</w:t>
        </w:r>
        <w:r w:rsidR="004D3C64">
          <w:rPr>
            <w:noProof/>
            <w:webHidden/>
          </w:rPr>
          <w:tab/>
        </w:r>
        <w:r w:rsidR="004D3C64">
          <w:rPr>
            <w:noProof/>
            <w:webHidden/>
          </w:rPr>
          <w:fldChar w:fldCharType="begin"/>
        </w:r>
        <w:r w:rsidR="004D3C64">
          <w:rPr>
            <w:noProof/>
            <w:webHidden/>
          </w:rPr>
          <w:instrText xml:space="preserve"> PAGEREF _Toc479316953 \h </w:instrText>
        </w:r>
        <w:r w:rsidR="004D3C64">
          <w:rPr>
            <w:noProof/>
            <w:webHidden/>
          </w:rPr>
        </w:r>
        <w:r w:rsidR="004D3C64">
          <w:rPr>
            <w:noProof/>
            <w:webHidden/>
          </w:rPr>
          <w:fldChar w:fldCharType="separate"/>
        </w:r>
        <w:r w:rsidR="002D74B3">
          <w:rPr>
            <w:noProof/>
            <w:webHidden/>
          </w:rPr>
          <w:t>10</w:t>
        </w:r>
        <w:r w:rsidR="004D3C64">
          <w:rPr>
            <w:noProof/>
            <w:webHidden/>
          </w:rPr>
          <w:fldChar w:fldCharType="end"/>
        </w:r>
      </w:hyperlink>
    </w:p>
    <w:p w14:paraId="1D17ECF8" w14:textId="30630ECB" w:rsidR="004D3C64" w:rsidRDefault="00177249">
      <w:pPr>
        <w:pStyle w:val="TOC3"/>
        <w:rPr>
          <w:rFonts w:asciiTheme="minorHAnsi" w:eastAsiaTheme="minorEastAsia" w:hAnsiTheme="minorHAnsi" w:cstheme="minorBidi"/>
          <w:sz w:val="22"/>
          <w:szCs w:val="22"/>
          <w:lang w:eastAsia="en-AU"/>
        </w:rPr>
      </w:pPr>
      <w:hyperlink w:anchor="_Toc479316954" w:history="1">
        <w:r w:rsidR="004D3C64" w:rsidRPr="00511F75">
          <w:rPr>
            <w:rStyle w:val="Hyperlink"/>
          </w:rPr>
          <w:t>Overview</w:t>
        </w:r>
        <w:r w:rsidR="004D3C64">
          <w:rPr>
            <w:webHidden/>
          </w:rPr>
          <w:tab/>
        </w:r>
        <w:r w:rsidR="004D3C64">
          <w:rPr>
            <w:webHidden/>
          </w:rPr>
          <w:fldChar w:fldCharType="begin"/>
        </w:r>
        <w:r w:rsidR="004D3C64">
          <w:rPr>
            <w:webHidden/>
          </w:rPr>
          <w:instrText xml:space="preserve"> PAGEREF _Toc479316954 \h </w:instrText>
        </w:r>
        <w:r w:rsidR="004D3C64">
          <w:rPr>
            <w:webHidden/>
          </w:rPr>
        </w:r>
        <w:r w:rsidR="004D3C64">
          <w:rPr>
            <w:webHidden/>
          </w:rPr>
          <w:fldChar w:fldCharType="separate"/>
        </w:r>
        <w:r w:rsidR="002D74B3">
          <w:rPr>
            <w:webHidden/>
          </w:rPr>
          <w:t>10</w:t>
        </w:r>
        <w:r w:rsidR="004D3C64">
          <w:rPr>
            <w:webHidden/>
          </w:rPr>
          <w:fldChar w:fldCharType="end"/>
        </w:r>
      </w:hyperlink>
    </w:p>
    <w:p w14:paraId="39EAACFA" w14:textId="00634772" w:rsidR="004D3C64" w:rsidRDefault="00177249">
      <w:pPr>
        <w:pStyle w:val="TOC3"/>
        <w:rPr>
          <w:rFonts w:asciiTheme="minorHAnsi" w:eastAsiaTheme="minorEastAsia" w:hAnsiTheme="minorHAnsi" w:cstheme="minorBidi"/>
          <w:sz w:val="22"/>
          <w:szCs w:val="22"/>
          <w:lang w:eastAsia="en-AU"/>
        </w:rPr>
      </w:pPr>
      <w:hyperlink w:anchor="_Toc479316955" w:history="1">
        <w:r w:rsidR="004D3C64" w:rsidRPr="00511F75">
          <w:rPr>
            <w:rStyle w:val="Hyperlink"/>
          </w:rPr>
          <w:t>The cost of shifting the burden of responsible government to individuals</w:t>
        </w:r>
        <w:r w:rsidR="004D3C64">
          <w:rPr>
            <w:webHidden/>
          </w:rPr>
          <w:tab/>
        </w:r>
        <w:r w:rsidR="004D3C64">
          <w:rPr>
            <w:webHidden/>
          </w:rPr>
          <w:fldChar w:fldCharType="begin"/>
        </w:r>
        <w:r w:rsidR="004D3C64">
          <w:rPr>
            <w:webHidden/>
          </w:rPr>
          <w:instrText xml:space="preserve"> PAGEREF _Toc479316955 \h </w:instrText>
        </w:r>
        <w:r w:rsidR="004D3C64">
          <w:rPr>
            <w:webHidden/>
          </w:rPr>
        </w:r>
        <w:r w:rsidR="004D3C64">
          <w:rPr>
            <w:webHidden/>
          </w:rPr>
          <w:fldChar w:fldCharType="separate"/>
        </w:r>
        <w:r w:rsidR="002D74B3">
          <w:rPr>
            <w:webHidden/>
          </w:rPr>
          <w:t>11</w:t>
        </w:r>
        <w:r w:rsidR="004D3C64">
          <w:rPr>
            <w:webHidden/>
          </w:rPr>
          <w:fldChar w:fldCharType="end"/>
        </w:r>
      </w:hyperlink>
    </w:p>
    <w:p w14:paraId="7AFAC636" w14:textId="2B5A1B38" w:rsidR="004D3C64" w:rsidRDefault="00177249">
      <w:pPr>
        <w:pStyle w:val="TOC3"/>
        <w:rPr>
          <w:rFonts w:asciiTheme="minorHAnsi" w:eastAsiaTheme="minorEastAsia" w:hAnsiTheme="minorHAnsi" w:cstheme="minorBidi"/>
          <w:sz w:val="22"/>
          <w:szCs w:val="22"/>
          <w:lang w:eastAsia="en-AU"/>
        </w:rPr>
      </w:pPr>
      <w:hyperlink w:anchor="_Toc479316956" w:history="1">
        <w:r w:rsidR="004D3C64" w:rsidRPr="00511F75">
          <w:rPr>
            <w:rStyle w:val="Hyperlink"/>
          </w:rPr>
          <w:t>Centrelink’s engagement with clients seeking to discharge the onus of proof</w:t>
        </w:r>
        <w:r w:rsidR="004D3C64">
          <w:rPr>
            <w:webHidden/>
          </w:rPr>
          <w:tab/>
        </w:r>
        <w:r w:rsidR="004D3C64">
          <w:rPr>
            <w:webHidden/>
          </w:rPr>
          <w:fldChar w:fldCharType="begin"/>
        </w:r>
        <w:r w:rsidR="004D3C64">
          <w:rPr>
            <w:webHidden/>
          </w:rPr>
          <w:instrText xml:space="preserve"> PAGEREF _Toc479316956 \h </w:instrText>
        </w:r>
        <w:r w:rsidR="004D3C64">
          <w:rPr>
            <w:webHidden/>
          </w:rPr>
        </w:r>
        <w:r w:rsidR="004D3C64">
          <w:rPr>
            <w:webHidden/>
          </w:rPr>
          <w:fldChar w:fldCharType="separate"/>
        </w:r>
        <w:r w:rsidR="002D74B3">
          <w:rPr>
            <w:webHidden/>
          </w:rPr>
          <w:t>12</w:t>
        </w:r>
        <w:r w:rsidR="004D3C64">
          <w:rPr>
            <w:webHidden/>
          </w:rPr>
          <w:fldChar w:fldCharType="end"/>
        </w:r>
      </w:hyperlink>
    </w:p>
    <w:p w14:paraId="01930C31" w14:textId="4912EB4C" w:rsidR="004D3C64" w:rsidRDefault="00177249">
      <w:pPr>
        <w:pStyle w:val="TOC3"/>
        <w:rPr>
          <w:rFonts w:asciiTheme="minorHAnsi" w:eastAsiaTheme="minorEastAsia" w:hAnsiTheme="minorHAnsi" w:cstheme="minorBidi"/>
          <w:sz w:val="22"/>
          <w:szCs w:val="22"/>
          <w:lang w:eastAsia="en-AU"/>
        </w:rPr>
      </w:pPr>
      <w:hyperlink w:anchor="_Toc479316957" w:history="1">
        <w:r w:rsidR="004D3C64" w:rsidRPr="00511F75">
          <w:rPr>
            <w:rStyle w:val="Hyperlink"/>
          </w:rPr>
          <w:t>Burden on clients with mental health conditions</w:t>
        </w:r>
        <w:r w:rsidR="004D3C64">
          <w:rPr>
            <w:webHidden/>
          </w:rPr>
          <w:tab/>
        </w:r>
        <w:r w:rsidR="004D3C64">
          <w:rPr>
            <w:webHidden/>
          </w:rPr>
          <w:fldChar w:fldCharType="begin"/>
        </w:r>
        <w:r w:rsidR="004D3C64">
          <w:rPr>
            <w:webHidden/>
          </w:rPr>
          <w:instrText xml:space="preserve"> PAGEREF _Toc479316957 \h </w:instrText>
        </w:r>
        <w:r w:rsidR="004D3C64">
          <w:rPr>
            <w:webHidden/>
          </w:rPr>
        </w:r>
        <w:r w:rsidR="004D3C64">
          <w:rPr>
            <w:webHidden/>
          </w:rPr>
          <w:fldChar w:fldCharType="separate"/>
        </w:r>
        <w:r w:rsidR="002D74B3">
          <w:rPr>
            <w:webHidden/>
          </w:rPr>
          <w:t>13</w:t>
        </w:r>
        <w:r w:rsidR="004D3C64">
          <w:rPr>
            <w:webHidden/>
          </w:rPr>
          <w:fldChar w:fldCharType="end"/>
        </w:r>
      </w:hyperlink>
    </w:p>
    <w:p w14:paraId="01476FF9" w14:textId="59851CDA" w:rsidR="004D3C64" w:rsidRDefault="00177249">
      <w:pPr>
        <w:pStyle w:val="TOC1"/>
        <w:rPr>
          <w:rFonts w:asciiTheme="minorHAnsi" w:eastAsiaTheme="minorEastAsia" w:hAnsiTheme="minorHAnsi" w:cstheme="minorBidi"/>
          <w:b w:val="0"/>
          <w:noProof/>
          <w:sz w:val="22"/>
          <w:szCs w:val="22"/>
          <w:lang w:eastAsia="en-AU"/>
        </w:rPr>
      </w:pPr>
      <w:hyperlink w:anchor="_Toc479316958" w:history="1">
        <w:r w:rsidR="004D3C64" w:rsidRPr="00511F75">
          <w:rPr>
            <w:rStyle w:val="Hyperlink"/>
            <w:noProof/>
          </w:rPr>
          <w:t>Lack of transparency in data matching and the raising of specific debts in individual cases (TOR (a), (b), (g), (i))</w:t>
        </w:r>
        <w:r w:rsidR="004D3C64">
          <w:rPr>
            <w:noProof/>
            <w:webHidden/>
          </w:rPr>
          <w:tab/>
        </w:r>
        <w:r w:rsidR="004D3C64">
          <w:rPr>
            <w:noProof/>
            <w:webHidden/>
          </w:rPr>
          <w:fldChar w:fldCharType="begin"/>
        </w:r>
        <w:r w:rsidR="004D3C64">
          <w:rPr>
            <w:noProof/>
            <w:webHidden/>
          </w:rPr>
          <w:instrText xml:space="preserve"> PAGEREF _Toc479316958 \h </w:instrText>
        </w:r>
        <w:r w:rsidR="004D3C64">
          <w:rPr>
            <w:noProof/>
            <w:webHidden/>
          </w:rPr>
        </w:r>
        <w:r w:rsidR="004D3C64">
          <w:rPr>
            <w:noProof/>
            <w:webHidden/>
          </w:rPr>
          <w:fldChar w:fldCharType="separate"/>
        </w:r>
        <w:r w:rsidR="002D74B3">
          <w:rPr>
            <w:noProof/>
            <w:webHidden/>
          </w:rPr>
          <w:t>15</w:t>
        </w:r>
        <w:r w:rsidR="004D3C64">
          <w:rPr>
            <w:noProof/>
            <w:webHidden/>
          </w:rPr>
          <w:fldChar w:fldCharType="end"/>
        </w:r>
      </w:hyperlink>
    </w:p>
    <w:p w14:paraId="2C9F5177" w14:textId="178EA9C6" w:rsidR="004D3C64" w:rsidRDefault="00177249">
      <w:pPr>
        <w:pStyle w:val="TOC3"/>
        <w:rPr>
          <w:rFonts w:asciiTheme="minorHAnsi" w:eastAsiaTheme="minorEastAsia" w:hAnsiTheme="minorHAnsi" w:cstheme="minorBidi"/>
          <w:sz w:val="22"/>
          <w:szCs w:val="22"/>
          <w:lang w:eastAsia="en-AU"/>
        </w:rPr>
      </w:pPr>
      <w:hyperlink w:anchor="_Toc479316959" w:history="1">
        <w:r w:rsidR="004D3C64" w:rsidRPr="00511F75">
          <w:rPr>
            <w:rStyle w:val="Hyperlink"/>
          </w:rPr>
          <w:t>Overview</w:t>
        </w:r>
        <w:r w:rsidR="004D3C64">
          <w:rPr>
            <w:webHidden/>
          </w:rPr>
          <w:tab/>
        </w:r>
        <w:r w:rsidR="004D3C64">
          <w:rPr>
            <w:webHidden/>
          </w:rPr>
          <w:fldChar w:fldCharType="begin"/>
        </w:r>
        <w:r w:rsidR="004D3C64">
          <w:rPr>
            <w:webHidden/>
          </w:rPr>
          <w:instrText xml:space="preserve"> PAGEREF _Toc479316959 \h </w:instrText>
        </w:r>
        <w:r w:rsidR="004D3C64">
          <w:rPr>
            <w:webHidden/>
          </w:rPr>
        </w:r>
        <w:r w:rsidR="004D3C64">
          <w:rPr>
            <w:webHidden/>
          </w:rPr>
          <w:fldChar w:fldCharType="separate"/>
        </w:r>
        <w:r w:rsidR="002D74B3">
          <w:rPr>
            <w:webHidden/>
          </w:rPr>
          <w:t>15</w:t>
        </w:r>
        <w:r w:rsidR="004D3C64">
          <w:rPr>
            <w:webHidden/>
          </w:rPr>
          <w:fldChar w:fldCharType="end"/>
        </w:r>
      </w:hyperlink>
    </w:p>
    <w:p w14:paraId="7705156F" w14:textId="6736C4A2" w:rsidR="004D3C64" w:rsidRDefault="00177249">
      <w:pPr>
        <w:pStyle w:val="TOC3"/>
        <w:rPr>
          <w:rFonts w:asciiTheme="minorHAnsi" w:eastAsiaTheme="minorEastAsia" w:hAnsiTheme="minorHAnsi" w:cstheme="minorBidi"/>
          <w:sz w:val="22"/>
          <w:szCs w:val="22"/>
          <w:lang w:eastAsia="en-AU"/>
        </w:rPr>
      </w:pPr>
      <w:hyperlink w:anchor="_Toc479316960" w:history="1">
        <w:r w:rsidR="004D3C64" w:rsidRPr="00511F75">
          <w:rPr>
            <w:rStyle w:val="Hyperlink"/>
          </w:rPr>
          <w:t>Lack of access to policies and principles regarding the Initiative</w:t>
        </w:r>
        <w:r w:rsidR="004D3C64">
          <w:rPr>
            <w:webHidden/>
          </w:rPr>
          <w:tab/>
        </w:r>
        <w:r w:rsidR="004D3C64">
          <w:rPr>
            <w:webHidden/>
          </w:rPr>
          <w:fldChar w:fldCharType="begin"/>
        </w:r>
        <w:r w:rsidR="004D3C64">
          <w:rPr>
            <w:webHidden/>
          </w:rPr>
          <w:instrText xml:space="preserve"> PAGEREF _Toc479316960 \h </w:instrText>
        </w:r>
        <w:r w:rsidR="004D3C64">
          <w:rPr>
            <w:webHidden/>
          </w:rPr>
        </w:r>
        <w:r w:rsidR="004D3C64">
          <w:rPr>
            <w:webHidden/>
          </w:rPr>
          <w:fldChar w:fldCharType="separate"/>
        </w:r>
        <w:r w:rsidR="002D74B3">
          <w:rPr>
            <w:webHidden/>
          </w:rPr>
          <w:t>15</w:t>
        </w:r>
        <w:r w:rsidR="004D3C64">
          <w:rPr>
            <w:webHidden/>
          </w:rPr>
          <w:fldChar w:fldCharType="end"/>
        </w:r>
      </w:hyperlink>
    </w:p>
    <w:p w14:paraId="191434A8" w14:textId="116A2E49" w:rsidR="004D3C64" w:rsidRDefault="00177249">
      <w:pPr>
        <w:pStyle w:val="TOC3"/>
        <w:rPr>
          <w:rFonts w:asciiTheme="minorHAnsi" w:eastAsiaTheme="minorEastAsia" w:hAnsiTheme="minorHAnsi" w:cstheme="minorBidi"/>
          <w:sz w:val="22"/>
          <w:szCs w:val="22"/>
          <w:lang w:eastAsia="en-AU"/>
        </w:rPr>
      </w:pPr>
      <w:hyperlink w:anchor="_Toc479316961" w:history="1">
        <w:r w:rsidR="004D3C64" w:rsidRPr="00511F75">
          <w:rPr>
            <w:rStyle w:val="Hyperlink"/>
          </w:rPr>
          <w:t>Lack of specificity about the legal basis for data-matching</w:t>
        </w:r>
        <w:r w:rsidR="004D3C64">
          <w:rPr>
            <w:webHidden/>
          </w:rPr>
          <w:tab/>
        </w:r>
        <w:r w:rsidR="004D3C64">
          <w:rPr>
            <w:webHidden/>
          </w:rPr>
          <w:fldChar w:fldCharType="begin"/>
        </w:r>
        <w:r w:rsidR="004D3C64">
          <w:rPr>
            <w:webHidden/>
          </w:rPr>
          <w:instrText xml:space="preserve"> PAGEREF _Toc479316961 \h </w:instrText>
        </w:r>
        <w:r w:rsidR="004D3C64">
          <w:rPr>
            <w:webHidden/>
          </w:rPr>
        </w:r>
        <w:r w:rsidR="004D3C64">
          <w:rPr>
            <w:webHidden/>
          </w:rPr>
          <w:fldChar w:fldCharType="separate"/>
        </w:r>
        <w:r w:rsidR="002D74B3">
          <w:rPr>
            <w:webHidden/>
          </w:rPr>
          <w:t>17</w:t>
        </w:r>
        <w:r w:rsidR="004D3C64">
          <w:rPr>
            <w:webHidden/>
          </w:rPr>
          <w:fldChar w:fldCharType="end"/>
        </w:r>
      </w:hyperlink>
    </w:p>
    <w:p w14:paraId="3734CD80" w14:textId="3FD74F28" w:rsidR="004D3C64" w:rsidRDefault="00177249">
      <w:pPr>
        <w:pStyle w:val="TOC3"/>
        <w:rPr>
          <w:rFonts w:asciiTheme="minorHAnsi" w:eastAsiaTheme="minorEastAsia" w:hAnsiTheme="minorHAnsi" w:cstheme="minorBidi"/>
          <w:sz w:val="22"/>
          <w:szCs w:val="22"/>
          <w:lang w:eastAsia="en-AU"/>
        </w:rPr>
      </w:pPr>
      <w:hyperlink w:anchor="_Toc479316962" w:history="1">
        <w:r w:rsidR="004D3C64" w:rsidRPr="00511F75">
          <w:rPr>
            <w:rStyle w:val="Hyperlink"/>
          </w:rPr>
          <w:t>Lack of transparency, clarity and specificity about the way the debt is calculated</w:t>
        </w:r>
        <w:r w:rsidR="004D3C64">
          <w:rPr>
            <w:webHidden/>
          </w:rPr>
          <w:tab/>
        </w:r>
        <w:r w:rsidR="004D3C64">
          <w:rPr>
            <w:webHidden/>
          </w:rPr>
          <w:fldChar w:fldCharType="begin"/>
        </w:r>
        <w:r w:rsidR="004D3C64">
          <w:rPr>
            <w:webHidden/>
          </w:rPr>
          <w:instrText xml:space="preserve"> PAGEREF _Toc479316962 \h </w:instrText>
        </w:r>
        <w:r w:rsidR="004D3C64">
          <w:rPr>
            <w:webHidden/>
          </w:rPr>
        </w:r>
        <w:r w:rsidR="004D3C64">
          <w:rPr>
            <w:webHidden/>
          </w:rPr>
          <w:fldChar w:fldCharType="separate"/>
        </w:r>
        <w:r w:rsidR="002D74B3">
          <w:rPr>
            <w:webHidden/>
          </w:rPr>
          <w:t>18</w:t>
        </w:r>
        <w:r w:rsidR="004D3C64">
          <w:rPr>
            <w:webHidden/>
          </w:rPr>
          <w:fldChar w:fldCharType="end"/>
        </w:r>
      </w:hyperlink>
    </w:p>
    <w:p w14:paraId="7FBC7160" w14:textId="454166BC" w:rsidR="004D3C64" w:rsidRDefault="00177249">
      <w:pPr>
        <w:pStyle w:val="TOC1"/>
        <w:rPr>
          <w:rFonts w:asciiTheme="minorHAnsi" w:eastAsiaTheme="minorEastAsia" w:hAnsiTheme="minorHAnsi" w:cstheme="minorBidi"/>
          <w:b w:val="0"/>
          <w:noProof/>
          <w:sz w:val="22"/>
          <w:szCs w:val="22"/>
          <w:lang w:eastAsia="en-AU"/>
        </w:rPr>
      </w:pPr>
      <w:hyperlink w:anchor="_Toc479316963" w:history="1">
        <w:r w:rsidR="004D3C64" w:rsidRPr="00511F75">
          <w:rPr>
            <w:rStyle w:val="Hyperlink"/>
            <w:noProof/>
          </w:rPr>
          <w:t>The lawfulness and purported justification of the public disclosure of social security information in response to public criticism (TOR (h), (k))</w:t>
        </w:r>
        <w:r w:rsidR="004D3C64">
          <w:rPr>
            <w:noProof/>
            <w:webHidden/>
          </w:rPr>
          <w:tab/>
        </w:r>
        <w:r w:rsidR="004D3C64">
          <w:rPr>
            <w:noProof/>
            <w:webHidden/>
          </w:rPr>
          <w:fldChar w:fldCharType="begin"/>
        </w:r>
        <w:r w:rsidR="004D3C64">
          <w:rPr>
            <w:noProof/>
            <w:webHidden/>
          </w:rPr>
          <w:instrText xml:space="preserve"> PAGEREF _Toc479316963 \h </w:instrText>
        </w:r>
        <w:r w:rsidR="004D3C64">
          <w:rPr>
            <w:noProof/>
            <w:webHidden/>
          </w:rPr>
        </w:r>
        <w:r w:rsidR="004D3C64">
          <w:rPr>
            <w:noProof/>
            <w:webHidden/>
          </w:rPr>
          <w:fldChar w:fldCharType="separate"/>
        </w:r>
        <w:r w:rsidR="002D74B3">
          <w:rPr>
            <w:noProof/>
            <w:webHidden/>
          </w:rPr>
          <w:t>20</w:t>
        </w:r>
        <w:r w:rsidR="004D3C64">
          <w:rPr>
            <w:noProof/>
            <w:webHidden/>
          </w:rPr>
          <w:fldChar w:fldCharType="end"/>
        </w:r>
      </w:hyperlink>
    </w:p>
    <w:p w14:paraId="7B5673D2" w14:textId="709ABCA3" w:rsidR="004D3C64" w:rsidRDefault="00177249">
      <w:pPr>
        <w:pStyle w:val="TOC3"/>
        <w:rPr>
          <w:rFonts w:asciiTheme="minorHAnsi" w:eastAsiaTheme="minorEastAsia" w:hAnsiTheme="minorHAnsi" w:cstheme="minorBidi"/>
          <w:sz w:val="22"/>
          <w:szCs w:val="22"/>
          <w:lang w:eastAsia="en-AU"/>
        </w:rPr>
      </w:pPr>
      <w:hyperlink w:anchor="_Toc479316964" w:history="1">
        <w:r w:rsidR="004D3C64" w:rsidRPr="00511F75">
          <w:rPr>
            <w:rStyle w:val="Hyperlink"/>
          </w:rPr>
          <w:t>Lawfulness</w:t>
        </w:r>
        <w:r w:rsidR="004D3C64">
          <w:rPr>
            <w:webHidden/>
          </w:rPr>
          <w:tab/>
        </w:r>
        <w:r w:rsidR="004D3C64">
          <w:rPr>
            <w:webHidden/>
          </w:rPr>
          <w:fldChar w:fldCharType="begin"/>
        </w:r>
        <w:r w:rsidR="004D3C64">
          <w:rPr>
            <w:webHidden/>
          </w:rPr>
          <w:instrText xml:space="preserve"> PAGEREF _Toc479316964 \h </w:instrText>
        </w:r>
        <w:r w:rsidR="004D3C64">
          <w:rPr>
            <w:webHidden/>
          </w:rPr>
        </w:r>
        <w:r w:rsidR="004D3C64">
          <w:rPr>
            <w:webHidden/>
          </w:rPr>
          <w:fldChar w:fldCharType="separate"/>
        </w:r>
        <w:r w:rsidR="002D74B3">
          <w:rPr>
            <w:webHidden/>
          </w:rPr>
          <w:t>20</w:t>
        </w:r>
        <w:r w:rsidR="004D3C64">
          <w:rPr>
            <w:webHidden/>
          </w:rPr>
          <w:fldChar w:fldCharType="end"/>
        </w:r>
      </w:hyperlink>
    </w:p>
    <w:p w14:paraId="3EA63A8C" w14:textId="4D10AA0E" w:rsidR="004D3C64" w:rsidRDefault="00177249">
      <w:pPr>
        <w:pStyle w:val="TOC3"/>
        <w:rPr>
          <w:rFonts w:asciiTheme="minorHAnsi" w:eastAsiaTheme="minorEastAsia" w:hAnsiTheme="minorHAnsi" w:cstheme="minorBidi"/>
          <w:sz w:val="22"/>
          <w:szCs w:val="22"/>
          <w:lang w:eastAsia="en-AU"/>
        </w:rPr>
      </w:pPr>
      <w:hyperlink w:anchor="_Toc479316965" w:history="1">
        <w:r w:rsidR="004D3C64" w:rsidRPr="00511F75">
          <w:rPr>
            <w:rStyle w:val="Hyperlink"/>
          </w:rPr>
          <w:t>Appropriateness</w:t>
        </w:r>
        <w:r w:rsidR="004D3C64">
          <w:rPr>
            <w:webHidden/>
          </w:rPr>
          <w:tab/>
        </w:r>
        <w:r w:rsidR="004D3C64">
          <w:rPr>
            <w:webHidden/>
          </w:rPr>
          <w:fldChar w:fldCharType="begin"/>
        </w:r>
        <w:r w:rsidR="004D3C64">
          <w:rPr>
            <w:webHidden/>
          </w:rPr>
          <w:instrText xml:space="preserve"> PAGEREF _Toc479316965 \h </w:instrText>
        </w:r>
        <w:r w:rsidR="004D3C64">
          <w:rPr>
            <w:webHidden/>
          </w:rPr>
        </w:r>
        <w:r w:rsidR="004D3C64">
          <w:rPr>
            <w:webHidden/>
          </w:rPr>
          <w:fldChar w:fldCharType="separate"/>
        </w:r>
        <w:r w:rsidR="002D74B3">
          <w:rPr>
            <w:webHidden/>
          </w:rPr>
          <w:t>21</w:t>
        </w:r>
        <w:r w:rsidR="004D3C64">
          <w:rPr>
            <w:webHidden/>
          </w:rPr>
          <w:fldChar w:fldCharType="end"/>
        </w:r>
      </w:hyperlink>
    </w:p>
    <w:p w14:paraId="0A20DF0F" w14:textId="59135774" w:rsidR="004D3C64" w:rsidRDefault="00177249">
      <w:pPr>
        <w:pStyle w:val="TOC1"/>
        <w:rPr>
          <w:rFonts w:asciiTheme="minorHAnsi" w:eastAsiaTheme="minorEastAsia" w:hAnsiTheme="minorHAnsi" w:cstheme="minorBidi"/>
          <w:b w:val="0"/>
          <w:noProof/>
          <w:sz w:val="22"/>
          <w:szCs w:val="22"/>
          <w:lang w:eastAsia="en-AU"/>
        </w:rPr>
      </w:pPr>
      <w:hyperlink w:anchor="_Toc479316966" w:history="1">
        <w:r w:rsidR="004D3C64" w:rsidRPr="00511F75">
          <w:rPr>
            <w:rStyle w:val="Hyperlink"/>
            <w:noProof/>
          </w:rPr>
          <w:t>Appendix 1: NEIDM Project Gazette Notice</w:t>
        </w:r>
        <w:r w:rsidR="004D3C64">
          <w:rPr>
            <w:noProof/>
            <w:webHidden/>
          </w:rPr>
          <w:tab/>
        </w:r>
        <w:r w:rsidR="004D3C64">
          <w:rPr>
            <w:noProof/>
            <w:webHidden/>
          </w:rPr>
          <w:fldChar w:fldCharType="begin"/>
        </w:r>
        <w:r w:rsidR="004D3C64">
          <w:rPr>
            <w:noProof/>
            <w:webHidden/>
          </w:rPr>
          <w:instrText xml:space="preserve"> PAGEREF _Toc479316966 \h </w:instrText>
        </w:r>
        <w:r w:rsidR="004D3C64">
          <w:rPr>
            <w:noProof/>
            <w:webHidden/>
          </w:rPr>
        </w:r>
        <w:r w:rsidR="004D3C64">
          <w:rPr>
            <w:noProof/>
            <w:webHidden/>
          </w:rPr>
          <w:fldChar w:fldCharType="separate"/>
        </w:r>
        <w:r w:rsidR="002D74B3">
          <w:rPr>
            <w:noProof/>
            <w:webHidden/>
          </w:rPr>
          <w:t>23</w:t>
        </w:r>
        <w:r w:rsidR="004D3C64">
          <w:rPr>
            <w:noProof/>
            <w:webHidden/>
          </w:rPr>
          <w:fldChar w:fldCharType="end"/>
        </w:r>
      </w:hyperlink>
    </w:p>
    <w:p w14:paraId="5A7DF4C2" w14:textId="14A862A5" w:rsidR="00687605" w:rsidRDefault="004E0688" w:rsidP="00AA2CCE">
      <w:r>
        <w:fldChar w:fldCharType="end"/>
      </w:r>
    </w:p>
    <w:p w14:paraId="2D239A5C" w14:textId="77777777" w:rsidR="00F92EA5" w:rsidRDefault="00F92EA5" w:rsidP="00AA2CCE"/>
    <w:p w14:paraId="49E573C5" w14:textId="58E0566E" w:rsidR="00414F73" w:rsidRDefault="00414F73" w:rsidP="00AA2CCE">
      <w:pPr>
        <w:rPr>
          <w:lang w:eastAsia="en-AU"/>
        </w:rPr>
      </w:pPr>
    </w:p>
    <w:p w14:paraId="51D00F99" w14:textId="77777777" w:rsidR="00414F73" w:rsidRPr="00414F73" w:rsidRDefault="00414F73" w:rsidP="00414F73">
      <w:pPr>
        <w:rPr>
          <w:lang w:eastAsia="en-AU"/>
        </w:rPr>
      </w:pPr>
    </w:p>
    <w:p w14:paraId="52736C1C" w14:textId="77777777" w:rsidR="00414F73" w:rsidRPr="00414F73" w:rsidRDefault="00414F73" w:rsidP="00414F73">
      <w:pPr>
        <w:rPr>
          <w:lang w:eastAsia="en-AU"/>
        </w:rPr>
      </w:pPr>
    </w:p>
    <w:p w14:paraId="7E03BC89" w14:textId="77777777" w:rsidR="00414F73" w:rsidRPr="00414F73" w:rsidRDefault="00414F73" w:rsidP="00414F73">
      <w:pPr>
        <w:rPr>
          <w:lang w:eastAsia="en-AU"/>
        </w:rPr>
      </w:pPr>
    </w:p>
    <w:p w14:paraId="67AEC2FE" w14:textId="77777777" w:rsidR="00414F73" w:rsidRPr="00414F73" w:rsidRDefault="00414F73" w:rsidP="00414F73">
      <w:pPr>
        <w:rPr>
          <w:lang w:eastAsia="en-AU"/>
        </w:rPr>
      </w:pPr>
    </w:p>
    <w:p w14:paraId="3C933AF5" w14:textId="77777777" w:rsidR="00414F73" w:rsidRPr="00414F73" w:rsidRDefault="00414F73" w:rsidP="00414F73">
      <w:pPr>
        <w:rPr>
          <w:lang w:eastAsia="en-AU"/>
        </w:rPr>
      </w:pPr>
    </w:p>
    <w:p w14:paraId="5FB6C19A" w14:textId="77777777" w:rsidR="00414F73" w:rsidRPr="00414F73" w:rsidRDefault="00414F73" w:rsidP="00414F73">
      <w:pPr>
        <w:rPr>
          <w:lang w:eastAsia="en-AU"/>
        </w:rPr>
      </w:pPr>
    </w:p>
    <w:p w14:paraId="638AD733" w14:textId="77777777" w:rsidR="00414F73" w:rsidRPr="00414F73" w:rsidRDefault="00414F73" w:rsidP="00414F73">
      <w:pPr>
        <w:rPr>
          <w:lang w:eastAsia="en-AU"/>
        </w:rPr>
      </w:pPr>
    </w:p>
    <w:p w14:paraId="114BA244" w14:textId="77777777" w:rsidR="00414F73" w:rsidRPr="00414F73" w:rsidRDefault="00414F73" w:rsidP="00414F73">
      <w:pPr>
        <w:rPr>
          <w:lang w:eastAsia="en-AU"/>
        </w:rPr>
      </w:pPr>
    </w:p>
    <w:p w14:paraId="225B0F53" w14:textId="77777777" w:rsidR="00414F73" w:rsidRPr="00414F73" w:rsidRDefault="00414F73" w:rsidP="00414F73">
      <w:pPr>
        <w:rPr>
          <w:lang w:eastAsia="en-AU"/>
        </w:rPr>
      </w:pPr>
    </w:p>
    <w:p w14:paraId="13D686FB" w14:textId="111502A6" w:rsidR="00414F73" w:rsidRPr="00414F73" w:rsidRDefault="00414F73" w:rsidP="00414F73">
      <w:pPr>
        <w:tabs>
          <w:tab w:val="left" w:pos="1690"/>
        </w:tabs>
        <w:rPr>
          <w:lang w:eastAsia="en-AU"/>
        </w:rPr>
      </w:pPr>
      <w:r>
        <w:rPr>
          <w:lang w:eastAsia="en-AU"/>
        </w:rPr>
        <w:tab/>
      </w:r>
    </w:p>
    <w:p w14:paraId="3160AEC6" w14:textId="1AB9D903" w:rsidR="002B4970" w:rsidRPr="00414F73" w:rsidRDefault="00414F73" w:rsidP="00414F73">
      <w:pPr>
        <w:tabs>
          <w:tab w:val="left" w:pos="1690"/>
        </w:tabs>
        <w:rPr>
          <w:lang w:eastAsia="en-AU"/>
        </w:rPr>
        <w:sectPr w:rsidR="002B4970" w:rsidRPr="00414F73" w:rsidSect="00DA29C4">
          <w:headerReference w:type="default" r:id="rId17"/>
          <w:footerReference w:type="default" r:id="rId18"/>
          <w:pgSz w:w="11906" w:h="16838"/>
          <w:pgMar w:top="1418" w:right="992" w:bottom="1134" w:left="1134" w:header="851" w:footer="284" w:gutter="0"/>
          <w:paperSrc w:first="7" w:other="7"/>
          <w:pgNumType w:fmt="lowerRoman" w:start="1"/>
          <w:cols w:space="720"/>
          <w:docGrid w:linePitch="299"/>
        </w:sectPr>
      </w:pPr>
      <w:r>
        <w:rPr>
          <w:lang w:eastAsia="en-AU"/>
        </w:rPr>
        <w:lastRenderedPageBreak/>
        <w:tab/>
      </w:r>
    </w:p>
    <w:p w14:paraId="029716D3" w14:textId="77777777" w:rsidR="007550FB" w:rsidRPr="007550FB" w:rsidRDefault="007825F3" w:rsidP="00161EEF">
      <w:pPr>
        <w:pStyle w:val="Heading1"/>
      </w:pPr>
      <w:bookmarkStart w:id="1" w:name="_Toc479316946"/>
      <w:r w:rsidRPr="00161EEF">
        <w:lastRenderedPageBreak/>
        <w:t>About</w:t>
      </w:r>
      <w:r w:rsidR="0015447C">
        <w:t xml:space="preserve"> Victoria L</w:t>
      </w:r>
      <w:r>
        <w:t>egal Aid</w:t>
      </w:r>
      <w:bookmarkEnd w:id="1"/>
    </w:p>
    <w:p w14:paraId="7953505A" w14:textId="17690442" w:rsidR="007550FB" w:rsidRPr="00414F73" w:rsidRDefault="00704E50" w:rsidP="00414F73">
      <w:r w:rsidRPr="00414F73">
        <w:t xml:space="preserve">Victoria Legal Aid (VLA) </w:t>
      </w:r>
      <w:r w:rsidR="00536988" w:rsidRPr="00414F73">
        <w:t>is a major provider of legal advocacy, advice and assistance to social</w:t>
      </w:r>
      <w:r w:rsidR="007D2242" w:rsidRPr="00414F73">
        <w:t>ly</w:t>
      </w:r>
      <w:r w:rsidR="00536988" w:rsidRPr="00414F73">
        <w:t xml:space="preserve"> and economic</w:t>
      </w:r>
      <w:r w:rsidR="004A2CDA">
        <w:t xml:space="preserve">ally disadvantaged Victorians. </w:t>
      </w:r>
      <w:r w:rsidR="00536988" w:rsidRPr="00414F73">
        <w:t>Our organisation works to improve access to justice and pursues innovative ways of providing assistance to reduce the prevalence of le</w:t>
      </w:r>
      <w:r w:rsidR="004A2CDA">
        <w:t xml:space="preserve">gal problems in the community. </w:t>
      </w:r>
      <w:r w:rsidR="00536988" w:rsidRPr="00414F73">
        <w:t>We assist people with their legal problems at courts and tribunals, including the Administrative Appeals Tribunal, as well as in o</w:t>
      </w:r>
      <w:r w:rsidR="004A2CDA">
        <w:t xml:space="preserve">ur 14 offices across Victoria. </w:t>
      </w:r>
      <w:r w:rsidR="00536988" w:rsidRPr="00414F73">
        <w:t xml:space="preserve">We also deliver early intervention programs, including community legal education, and assist more than 100,000 people each year through Legal Help, our </w:t>
      </w:r>
      <w:r w:rsidR="004A2CDA">
        <w:t>free telephone advice service.</w:t>
      </w:r>
    </w:p>
    <w:p w14:paraId="0C3E7347" w14:textId="26827900" w:rsidR="0058545E" w:rsidRPr="00414F73" w:rsidRDefault="00536988" w:rsidP="00414F73">
      <w:r w:rsidRPr="00414F73">
        <w:t xml:space="preserve">VLA is the leading provider of legal advice and advocacy to people </w:t>
      </w:r>
      <w:r w:rsidR="00F93E0C" w:rsidRPr="00414F73">
        <w:t>seeking assistance with social security matters</w:t>
      </w:r>
      <w:r w:rsidR="0053740A" w:rsidRPr="00414F73">
        <w:t xml:space="preserve"> in Victoria</w:t>
      </w:r>
      <w:r w:rsidR="00F93E0C" w:rsidRPr="00414F73">
        <w:t>.</w:t>
      </w:r>
      <w:r w:rsidR="004A2CDA">
        <w:t xml:space="preserve"> </w:t>
      </w:r>
      <w:r w:rsidR="0058545E" w:rsidRPr="00414F73">
        <w:t xml:space="preserve">Through our Commonwealth Entitlements </w:t>
      </w:r>
      <w:r w:rsidR="00F035C1" w:rsidRPr="00414F73">
        <w:t>Program</w:t>
      </w:r>
      <w:r w:rsidR="0058545E" w:rsidRPr="00414F73">
        <w:t xml:space="preserve"> we have one of the </w:t>
      </w:r>
      <w:r w:rsidR="00B10F93" w:rsidRPr="00414F73">
        <w:t xml:space="preserve">two </w:t>
      </w:r>
      <w:r w:rsidR="0058545E" w:rsidRPr="00414F73">
        <w:t xml:space="preserve">largest </w:t>
      </w:r>
      <w:r w:rsidR="00FF311E" w:rsidRPr="00414F73">
        <w:t xml:space="preserve">advice and advocacy </w:t>
      </w:r>
      <w:r w:rsidR="0058545E" w:rsidRPr="00414F73">
        <w:t>social se</w:t>
      </w:r>
      <w:r w:rsidR="00414F73" w:rsidRPr="00414F73">
        <w:t xml:space="preserve">curity practices in Australia. </w:t>
      </w:r>
      <w:r w:rsidR="0058545E" w:rsidRPr="00414F73">
        <w:t xml:space="preserve">To date, in </w:t>
      </w:r>
      <w:r w:rsidR="00B10F93" w:rsidRPr="00414F73">
        <w:t xml:space="preserve">the </w:t>
      </w:r>
      <w:r w:rsidR="0058545E" w:rsidRPr="00414F73">
        <w:t>2016/2017 year, we have provided legal advice to 2257 clients on social security issues and appeared in more than 150 cases</w:t>
      </w:r>
      <w:r w:rsidR="00673EDA" w:rsidRPr="00414F73">
        <w:t xml:space="preserve"> in Australian courts and administrative tribunals</w:t>
      </w:r>
      <w:r w:rsidR="004A2CDA">
        <w:t>.</w:t>
      </w:r>
    </w:p>
    <w:p w14:paraId="52D92875" w14:textId="24596F9E" w:rsidR="0039357C" w:rsidRPr="00414F73" w:rsidRDefault="0058545E" w:rsidP="00414F73">
      <w:r w:rsidRPr="00414F73">
        <w:t xml:space="preserve">Since the commencement of the Better Management of the </w:t>
      </w:r>
      <w:r w:rsidR="00F035C1" w:rsidRPr="00414F73">
        <w:t>Social Welfare System I</w:t>
      </w:r>
      <w:r w:rsidRPr="00414F73">
        <w:t>nitiative</w:t>
      </w:r>
      <w:r w:rsidR="007E4154" w:rsidRPr="00414F73">
        <w:t xml:space="preserve"> (the Initiative)</w:t>
      </w:r>
      <w:r w:rsidRPr="00414F73">
        <w:t>, VLA has been a necessarily engaged, active and consistent part of the response by legal service and support providers to the needs of</w:t>
      </w:r>
      <w:r w:rsidR="003A4E0A" w:rsidRPr="00414F73">
        <w:t xml:space="preserve"> adversely affected </w:t>
      </w:r>
      <w:r w:rsidR="0053740A" w:rsidRPr="00414F73">
        <w:t>Victorian</w:t>
      </w:r>
      <w:r w:rsidR="008035E7" w:rsidRPr="00414F73">
        <w:t>s</w:t>
      </w:r>
      <w:r w:rsidR="004A2CDA">
        <w:t xml:space="preserve">. </w:t>
      </w:r>
      <w:r w:rsidR="00585ADB" w:rsidRPr="00414F73">
        <w:t xml:space="preserve">Our staff were engaged with clients attempting to respond to debt notices over the Christmas </w:t>
      </w:r>
      <w:r w:rsidR="0039357C" w:rsidRPr="00414F73">
        <w:t xml:space="preserve">and </w:t>
      </w:r>
      <w:r w:rsidR="00063D36" w:rsidRPr="00414F73">
        <w:t>N</w:t>
      </w:r>
      <w:r w:rsidR="0039357C" w:rsidRPr="00414F73">
        <w:t xml:space="preserve">ew </w:t>
      </w:r>
      <w:r w:rsidR="00063D36" w:rsidRPr="00414F73">
        <w:t>Y</w:t>
      </w:r>
      <w:r w:rsidR="0039357C" w:rsidRPr="00414F73">
        <w:t>ear per</w:t>
      </w:r>
      <w:r w:rsidR="004A2CDA">
        <w:t xml:space="preserve">iod. </w:t>
      </w:r>
      <w:r w:rsidR="0039357C" w:rsidRPr="00414F73">
        <w:t xml:space="preserve">In the first </w:t>
      </w:r>
      <w:r w:rsidR="007D2242" w:rsidRPr="00414F73">
        <w:t>seven</w:t>
      </w:r>
      <w:r w:rsidR="0039357C" w:rsidRPr="00414F73">
        <w:t xml:space="preserve"> working days of this year, we took the same number of calls</w:t>
      </w:r>
      <w:r w:rsidR="005A1447" w:rsidRPr="00414F73">
        <w:t xml:space="preserve"> from people seeking legal advice</w:t>
      </w:r>
      <w:r w:rsidR="0039357C" w:rsidRPr="00414F73">
        <w:t xml:space="preserve"> as we di</w:t>
      </w:r>
      <w:r w:rsidR="004A2CDA">
        <w:t>d in all of January last year.</w:t>
      </w:r>
    </w:p>
    <w:p w14:paraId="6FF1FD26" w14:textId="3B6F70DB" w:rsidR="008F12E0" w:rsidRPr="00414F73" w:rsidRDefault="008F12E0" w:rsidP="00414F73">
      <w:r w:rsidRPr="00414F73">
        <w:t>As the intensity and implications of the Initia</w:t>
      </w:r>
      <w:r w:rsidR="008035E7" w:rsidRPr="00414F73">
        <w:t>tive became apparent to VLA, we extended our in-person, telephone and online legal service to</w:t>
      </w:r>
      <w:r w:rsidR="004A2CDA">
        <w:t xml:space="preserve"> meet the increased legal need.</w:t>
      </w:r>
      <w:r w:rsidR="008035E7" w:rsidRPr="00414F73">
        <w:t xml:space="preserve"> </w:t>
      </w:r>
      <w:r w:rsidR="00585ADB" w:rsidRPr="00414F73">
        <w:t>For example:</w:t>
      </w:r>
    </w:p>
    <w:p w14:paraId="3189832E" w14:textId="44BD61D5" w:rsidR="008F12E0" w:rsidRPr="00414F73" w:rsidRDefault="00DF1BAE" w:rsidP="00414F73">
      <w:pPr>
        <w:pStyle w:val="ListBullet"/>
      </w:pPr>
      <w:r w:rsidRPr="00414F73">
        <w:t>Since 20 January 2017</w:t>
      </w:r>
      <w:r w:rsidR="007D2242" w:rsidRPr="00414F73">
        <w:t>,</w:t>
      </w:r>
      <w:r w:rsidRPr="00414F73">
        <w:t xml:space="preserve"> we have published online (and in paper form) a package</w:t>
      </w:r>
      <w:r w:rsidR="00B10F93" w:rsidRPr="00414F73">
        <w:t xml:space="preserve"> of easy to use advice sheets and instructions for members of the public to follow when attempting to </w:t>
      </w:r>
      <w:r w:rsidR="007E4154" w:rsidRPr="00414F73">
        <w:t>challenge the automated or ‘robo’ debts generated by Centrel</w:t>
      </w:r>
      <w:r w:rsidR="004A2CDA">
        <w:t>ink as part of the Initiative. O</w:t>
      </w:r>
      <w:r w:rsidR="00B10F93" w:rsidRPr="00414F73">
        <w:t>ver 2,000 people</w:t>
      </w:r>
      <w:r w:rsidR="007E4154" w:rsidRPr="00414F73">
        <w:t xml:space="preserve"> have </w:t>
      </w:r>
      <w:r w:rsidR="00B10F93" w:rsidRPr="00414F73">
        <w:t>access</w:t>
      </w:r>
      <w:r w:rsidR="007E4154" w:rsidRPr="00414F73">
        <w:t>ed</w:t>
      </w:r>
      <w:r w:rsidR="00B10F93" w:rsidRPr="00414F73">
        <w:t xml:space="preserve"> our online fact sheets and template letters since </w:t>
      </w:r>
      <w:r w:rsidR="008035E7" w:rsidRPr="00414F73">
        <w:t xml:space="preserve">20 </w:t>
      </w:r>
      <w:r w:rsidR="00B10F93" w:rsidRPr="00414F73">
        <w:t>January</w:t>
      </w:r>
      <w:r w:rsidR="008035E7" w:rsidRPr="00414F73">
        <w:t xml:space="preserve"> 2017</w:t>
      </w:r>
      <w:r w:rsidR="004A2CDA">
        <w:t>.</w:t>
      </w:r>
    </w:p>
    <w:p w14:paraId="037A569A" w14:textId="619FB8F9" w:rsidR="007E4154" w:rsidRPr="00414F73" w:rsidRDefault="00DF1BAE" w:rsidP="00414F73">
      <w:pPr>
        <w:pStyle w:val="ListBullet"/>
      </w:pPr>
      <w:r w:rsidRPr="00414F73">
        <w:t xml:space="preserve">Since 20 January 2017, we have </w:t>
      </w:r>
      <w:r w:rsidR="006C1FB0" w:rsidRPr="00414F73">
        <w:t xml:space="preserve">engaged members of the public </w:t>
      </w:r>
      <w:r w:rsidR="008F12E0" w:rsidRPr="00414F73">
        <w:t>through social media</w:t>
      </w:r>
      <w:r w:rsidR="00414F73">
        <w:t xml:space="preserve">. </w:t>
      </w:r>
      <w:r w:rsidR="00C77E6E" w:rsidRPr="00414F73">
        <w:t xml:space="preserve">To date, </w:t>
      </w:r>
      <w:r w:rsidR="008F12E0" w:rsidRPr="00414F73">
        <w:t xml:space="preserve">over 60,000 people have </w:t>
      </w:r>
      <w:r w:rsidR="00E00306" w:rsidRPr="00414F73">
        <w:t xml:space="preserve">viewed our feed regarding their </w:t>
      </w:r>
      <w:r w:rsidR="008F12E0" w:rsidRPr="00414F73">
        <w:t xml:space="preserve">legal </w:t>
      </w:r>
      <w:r w:rsidR="00E00306" w:rsidRPr="00414F73">
        <w:t>rights</w:t>
      </w:r>
      <w:r w:rsidR="008F12E0" w:rsidRPr="00414F73">
        <w:t xml:space="preserve"> </w:t>
      </w:r>
      <w:r w:rsidR="00131862" w:rsidRPr="00414F73">
        <w:t xml:space="preserve">following </w:t>
      </w:r>
      <w:r w:rsidR="004A2CDA">
        <w:t>social media posting.</w:t>
      </w:r>
    </w:p>
    <w:p w14:paraId="07591216" w14:textId="578B9CD4" w:rsidR="00B72806" w:rsidRPr="00414F73" w:rsidRDefault="00B72806" w:rsidP="00414F73">
      <w:pPr>
        <w:pStyle w:val="ListBullet"/>
      </w:pPr>
      <w:r w:rsidRPr="00414F73">
        <w:t>Since 1 February 2017</w:t>
      </w:r>
      <w:r w:rsidR="007D2242" w:rsidRPr="00414F73">
        <w:t>,</w:t>
      </w:r>
      <w:r w:rsidRPr="00414F73">
        <w:t xml:space="preserve"> we have provided a dedicated telephone advice line, taking calls across Victoria in relation to debts raised under the Initiative – many from vulnerable, distressed people</w:t>
      </w:r>
      <w:r w:rsidR="000417F4" w:rsidRPr="00414F73">
        <w:t xml:space="preserve">, including </w:t>
      </w:r>
      <w:r w:rsidR="00063D36" w:rsidRPr="00414F73">
        <w:t xml:space="preserve">people </w:t>
      </w:r>
      <w:r w:rsidR="000417F4" w:rsidRPr="00414F73">
        <w:t>with mental health issues</w:t>
      </w:r>
      <w:r w:rsidR="004A2CDA">
        <w:t>.</w:t>
      </w:r>
    </w:p>
    <w:p w14:paraId="7F179C0C" w14:textId="77F7D8A1" w:rsidR="00131862" w:rsidRPr="00414F73" w:rsidRDefault="008035E7" w:rsidP="00414F73">
      <w:r w:rsidRPr="00414F73">
        <w:t xml:space="preserve">In addition, </w:t>
      </w:r>
      <w:r w:rsidR="00131862" w:rsidRPr="00414F73">
        <w:t xml:space="preserve">VLA </w:t>
      </w:r>
      <w:r w:rsidRPr="00414F73">
        <w:t xml:space="preserve">also </w:t>
      </w:r>
      <w:r w:rsidR="00131862" w:rsidRPr="00414F73">
        <w:t xml:space="preserve">continues to see clients affected by </w:t>
      </w:r>
      <w:r w:rsidR="00063D36" w:rsidRPr="00414F73">
        <w:t>the Initiative</w:t>
      </w:r>
      <w:r w:rsidR="00131862" w:rsidRPr="00414F73">
        <w:t xml:space="preserve"> through </w:t>
      </w:r>
      <w:r w:rsidRPr="00414F73">
        <w:t xml:space="preserve">our existing </w:t>
      </w:r>
      <w:r w:rsidR="00F035C1" w:rsidRPr="00414F73">
        <w:t>advice</w:t>
      </w:r>
      <w:r w:rsidRPr="00414F73">
        <w:t xml:space="preserve"> services, Administrative Appeals Tribunal case work and in</w:t>
      </w:r>
      <w:r w:rsidR="003E3B9E" w:rsidRPr="00414F73">
        <w:t>-</w:t>
      </w:r>
      <w:r w:rsidRPr="00414F73">
        <w:t>house practice.</w:t>
      </w:r>
    </w:p>
    <w:p w14:paraId="47CA7231" w14:textId="77777777" w:rsidR="00673EDA" w:rsidRPr="00414F73" w:rsidRDefault="00673EDA" w:rsidP="00414F73">
      <w:r w:rsidRPr="00414F73">
        <w:t xml:space="preserve">In providing legal advice to clients affected by the Initiative, we have been exposed to the important technical legal issues raised by the Initiative alongside its very real and continuing financial and human costs </w:t>
      </w:r>
      <w:r w:rsidR="00DF1BAE" w:rsidRPr="00414F73">
        <w:t>for</w:t>
      </w:r>
      <w:r w:rsidRPr="00414F73">
        <w:t xml:space="preserve"> our clients.</w:t>
      </w:r>
    </w:p>
    <w:p w14:paraId="3C8BA921" w14:textId="77777777" w:rsidR="008F12E0" w:rsidRDefault="008F12E0" w:rsidP="008F12E0">
      <w:pPr>
        <w:pStyle w:val="VLALetterText"/>
        <w:outlineLvl w:val="0"/>
      </w:pPr>
    </w:p>
    <w:p w14:paraId="54E41CF8" w14:textId="53441E40" w:rsidR="00414F73" w:rsidRDefault="00414F73" w:rsidP="008F12E0">
      <w:pPr>
        <w:pStyle w:val="Heading1"/>
      </w:pPr>
    </w:p>
    <w:p w14:paraId="3C4AFCCE" w14:textId="109C0E29" w:rsidR="00414F73" w:rsidRPr="00414F73" w:rsidRDefault="00414F73" w:rsidP="00414F73">
      <w:pPr>
        <w:tabs>
          <w:tab w:val="left" w:pos="1807"/>
        </w:tabs>
        <w:rPr>
          <w:lang w:eastAsia="en-AU"/>
        </w:rPr>
      </w:pPr>
      <w:r>
        <w:rPr>
          <w:lang w:eastAsia="en-AU"/>
        </w:rPr>
        <w:tab/>
      </w:r>
    </w:p>
    <w:p w14:paraId="5EA67E8D" w14:textId="1B58CBA2" w:rsidR="007825F3" w:rsidRDefault="00414F73" w:rsidP="008F12E0">
      <w:pPr>
        <w:pStyle w:val="Heading1"/>
      </w:pPr>
      <w:bookmarkStart w:id="2" w:name="_Toc479316947"/>
      <w:r>
        <w:lastRenderedPageBreak/>
        <w:t>Executive s</w:t>
      </w:r>
      <w:r w:rsidR="007825F3">
        <w:t>ummary</w:t>
      </w:r>
      <w:bookmarkEnd w:id="2"/>
    </w:p>
    <w:p w14:paraId="4E3848F5" w14:textId="25B1E062" w:rsidR="00885371" w:rsidRPr="00414F73" w:rsidRDefault="00885371" w:rsidP="00414F73">
      <w:r w:rsidRPr="00414F73">
        <w:t>I</w:t>
      </w:r>
      <w:r w:rsidR="00585ADB" w:rsidRPr="00414F73">
        <w:t xml:space="preserve">n our view, the Initiative is a </w:t>
      </w:r>
      <w:r w:rsidR="00DF1BAE" w:rsidRPr="00414F73">
        <w:t>disquieting</w:t>
      </w:r>
      <w:r w:rsidR="0039357C" w:rsidRPr="00414F73">
        <w:t xml:space="preserve"> and </w:t>
      </w:r>
      <w:r w:rsidR="00890925" w:rsidRPr="00414F73">
        <w:t>ill-advised</w:t>
      </w:r>
      <w:r w:rsidR="004A2CDA">
        <w:t xml:space="preserve"> legal and policy development.</w:t>
      </w:r>
    </w:p>
    <w:p w14:paraId="6053CA4D" w14:textId="64906770" w:rsidR="00885371" w:rsidRPr="00414F73" w:rsidRDefault="00885371" w:rsidP="00414F73">
      <w:r w:rsidRPr="00414F73">
        <w:t xml:space="preserve">VLA supports </w:t>
      </w:r>
      <w:r w:rsidR="003A4E0A" w:rsidRPr="00414F73">
        <w:t xml:space="preserve">efficiency and </w:t>
      </w:r>
      <w:r w:rsidRPr="00414F73">
        <w:t>expediency as hallmark</w:t>
      </w:r>
      <w:r w:rsidR="003A4E0A" w:rsidRPr="00414F73">
        <w:t>s</w:t>
      </w:r>
      <w:r w:rsidRPr="00414F73">
        <w:t xml:space="preserve"> of good government decis</w:t>
      </w:r>
      <w:r w:rsidR="004A2CDA">
        <w:t xml:space="preserve">ion-making and administration. </w:t>
      </w:r>
      <w:r w:rsidRPr="00414F73">
        <w:t>We also support the intelligent, lawful and valuable application by government of technology</w:t>
      </w:r>
      <w:r w:rsidR="00E476B9" w:rsidRPr="00414F73">
        <w:t>, including to manage government funds</w:t>
      </w:r>
      <w:r w:rsidR="004A2CDA">
        <w:t>.</w:t>
      </w:r>
      <w:r w:rsidRPr="00414F73">
        <w:t xml:space="preserve"> </w:t>
      </w:r>
      <w:r w:rsidR="00551636" w:rsidRPr="00414F73">
        <w:t xml:space="preserve">Accordingly, </w:t>
      </w:r>
      <w:r w:rsidRPr="00414F73">
        <w:t xml:space="preserve">VLA has not </w:t>
      </w:r>
      <w:r w:rsidR="006B4E7A" w:rsidRPr="00414F73">
        <w:t>been critical of previous</w:t>
      </w:r>
      <w:r w:rsidRPr="00414F73">
        <w:t xml:space="preserve"> earlier automated compliance and decision-making policies and laws enacted by the Department of Human Services (t</w:t>
      </w:r>
      <w:r w:rsidR="004A2CDA">
        <w:t>he Department) and Centrelink.</w:t>
      </w:r>
    </w:p>
    <w:p w14:paraId="0984CA03" w14:textId="1948C2AF" w:rsidR="00100DE3" w:rsidRPr="00414F73" w:rsidRDefault="00357A85" w:rsidP="00414F73">
      <w:r w:rsidRPr="00414F73">
        <w:t>However, i</w:t>
      </w:r>
      <w:r w:rsidR="004D3864" w:rsidRPr="00414F73">
        <w:t>n our experience, the Initiative</w:t>
      </w:r>
      <w:r w:rsidR="00E476B9" w:rsidRPr="00414F73">
        <w:t xml:space="preserve"> </w:t>
      </w:r>
      <w:r w:rsidR="00CE744C" w:rsidRPr="00414F73">
        <w:t>undermines key tenets of</w:t>
      </w:r>
      <w:r w:rsidR="006B4E7A" w:rsidRPr="00414F73">
        <w:t xml:space="preserve"> proper</w:t>
      </w:r>
      <w:r w:rsidR="004A2CDA">
        <w:t xml:space="preserve"> and lawful government action. </w:t>
      </w:r>
      <w:r w:rsidR="00100DE3" w:rsidRPr="00414F73">
        <w:t xml:space="preserve">Critically, in its </w:t>
      </w:r>
      <w:r w:rsidR="001A6D47" w:rsidRPr="00414F73">
        <w:t xml:space="preserve">design and </w:t>
      </w:r>
      <w:r w:rsidR="00100DE3" w:rsidRPr="00414F73">
        <w:t>operation, the Initiative has effectively shifted the burden of responsible administration of government funds from the Commonwealth to individuals.</w:t>
      </w:r>
      <w:r w:rsidR="004A2CDA">
        <w:t xml:space="preserve"> </w:t>
      </w:r>
      <w:r w:rsidR="00E476B9" w:rsidRPr="00414F73">
        <w:t xml:space="preserve">At the same time, </w:t>
      </w:r>
      <w:r w:rsidR="00944DBA" w:rsidRPr="00414F73">
        <w:t xml:space="preserve">in practice, </w:t>
      </w:r>
      <w:r w:rsidR="00E476B9" w:rsidRPr="00414F73">
        <w:t>key elements of the design and application of the Initiative fundamentally impede Centrelink customers’ abilities to understand, question o</w:t>
      </w:r>
      <w:r w:rsidR="004A2CDA">
        <w:t xml:space="preserve">r challenge an automated debt. </w:t>
      </w:r>
      <w:r w:rsidR="00B15325" w:rsidRPr="00414F73">
        <w:t>The</w:t>
      </w:r>
      <w:r w:rsidR="00585ADB" w:rsidRPr="00414F73">
        <w:t xml:space="preserve"> cumulative impact will damage the overall integrity of the Centrelink system</w:t>
      </w:r>
      <w:r w:rsidR="004557BA" w:rsidRPr="00414F73">
        <w:t>.</w:t>
      </w:r>
    </w:p>
    <w:p w14:paraId="464686FE" w14:textId="0AD3F0CA" w:rsidR="00240901" w:rsidRPr="00414F73" w:rsidRDefault="00E476B9" w:rsidP="00414F73">
      <w:r w:rsidRPr="00414F73">
        <w:t>Through</w:t>
      </w:r>
      <w:r w:rsidR="00C77E6E" w:rsidRPr="00414F73">
        <w:t xml:space="preserve"> our case work, we </w:t>
      </w:r>
      <w:r w:rsidR="00885371" w:rsidRPr="00414F73">
        <w:t xml:space="preserve">have </w:t>
      </w:r>
      <w:r w:rsidR="00C77E6E" w:rsidRPr="00414F73">
        <w:t>witnessed the translation of a lack of responsible government action under the Initiative into real financial and personal harm for clients</w:t>
      </w:r>
      <w:r w:rsidR="00E54597" w:rsidRPr="00414F73">
        <w:t xml:space="preserve">. </w:t>
      </w:r>
      <w:r w:rsidR="006B4E7A" w:rsidRPr="00414F73">
        <w:t>This is especially the case for those who were already vulnerable and receiving a social security payment because of th</w:t>
      </w:r>
      <w:r w:rsidR="00063D36" w:rsidRPr="00414F73">
        <w:t>eir</w:t>
      </w:r>
      <w:r w:rsidR="004A2CDA">
        <w:t xml:space="preserve"> vulnerabilities.</w:t>
      </w:r>
    </w:p>
    <w:p w14:paraId="1AB59711" w14:textId="419ED429" w:rsidR="00933D41" w:rsidRPr="00414F73" w:rsidRDefault="00E54597" w:rsidP="00414F73">
      <w:r w:rsidRPr="00414F73">
        <w:t xml:space="preserve">As a legal practice, we </w:t>
      </w:r>
      <w:r w:rsidR="00723E63" w:rsidRPr="00414F73">
        <w:t>are</w:t>
      </w:r>
      <w:r w:rsidRPr="00414F73">
        <w:t xml:space="preserve"> confronted</w:t>
      </w:r>
      <w:r w:rsidR="004D7ABB" w:rsidRPr="00414F73">
        <w:t xml:space="preserve"> by a lack of </w:t>
      </w:r>
      <w:r w:rsidR="00723E63" w:rsidRPr="00414F73">
        <w:t>transparency in respect of the data match</w:t>
      </w:r>
      <w:r w:rsidR="00063D36" w:rsidRPr="00414F73">
        <w:t xml:space="preserve">ing processes </w:t>
      </w:r>
      <w:r w:rsidR="00723E63" w:rsidRPr="00414F73">
        <w:t>under the Initiativ</w:t>
      </w:r>
      <w:r w:rsidR="00240901" w:rsidRPr="00414F73">
        <w:t xml:space="preserve">e, as well as an absence of a justification for specific debts in individual cases. </w:t>
      </w:r>
      <w:r w:rsidR="0019339A" w:rsidRPr="00414F73">
        <w:t>Inadequate</w:t>
      </w:r>
      <w:r w:rsidR="00240901" w:rsidRPr="00414F73">
        <w:t xml:space="preserve"> transparency within the Initiative hampers access to justice</w:t>
      </w:r>
      <w:r w:rsidR="00100DE3" w:rsidRPr="00414F73">
        <w:t>, client certainty about their best legal options</w:t>
      </w:r>
      <w:r w:rsidR="00C96248" w:rsidRPr="00414F73">
        <w:t xml:space="preserve"> (including whether to accept the correctness of an alleged debt)</w:t>
      </w:r>
      <w:r w:rsidR="00240901" w:rsidRPr="00414F73">
        <w:t xml:space="preserve"> and </w:t>
      </w:r>
      <w:r w:rsidR="00100DE3" w:rsidRPr="00414F73">
        <w:t xml:space="preserve">the </w:t>
      </w:r>
      <w:r w:rsidR="00063D36" w:rsidRPr="00414F73">
        <w:t xml:space="preserve">effective </w:t>
      </w:r>
      <w:r w:rsidR="00240901" w:rsidRPr="00414F73">
        <w:t xml:space="preserve">supervision by the Courts and Tribunals of </w:t>
      </w:r>
      <w:r w:rsidR="00100DE3" w:rsidRPr="00414F73">
        <w:t xml:space="preserve">decisions made under the </w:t>
      </w:r>
      <w:r w:rsidR="00240901" w:rsidRPr="00414F73">
        <w:t>Initiative.</w:t>
      </w:r>
      <w:r w:rsidR="006B4E7A" w:rsidRPr="00414F73">
        <w:t xml:space="preserve"> </w:t>
      </w:r>
      <w:r w:rsidR="00100DE3" w:rsidRPr="00414F73">
        <w:t>Further,</w:t>
      </w:r>
      <w:r w:rsidR="003124DA" w:rsidRPr="00414F73">
        <w:t xml:space="preserve"> we </w:t>
      </w:r>
      <w:r w:rsidR="00100DE3" w:rsidRPr="00414F73">
        <w:t>consider th</w:t>
      </w:r>
      <w:r w:rsidR="00357A85" w:rsidRPr="00414F73">
        <w:t>at the</w:t>
      </w:r>
      <w:r w:rsidR="00C96248" w:rsidRPr="00414F73">
        <w:t xml:space="preserve"> disclosure by the Department </w:t>
      </w:r>
      <w:r w:rsidR="00100DE3" w:rsidRPr="00414F73">
        <w:t xml:space="preserve">of </w:t>
      </w:r>
      <w:r w:rsidR="00357A85" w:rsidRPr="00414F73">
        <w:t xml:space="preserve">otherwise protected </w:t>
      </w:r>
      <w:r w:rsidR="00100DE3" w:rsidRPr="00414F73">
        <w:t>social security information in response to public criticism</w:t>
      </w:r>
      <w:r w:rsidR="00357A85" w:rsidRPr="00414F73">
        <w:t xml:space="preserve"> </w:t>
      </w:r>
      <w:r w:rsidR="007B485F" w:rsidRPr="00414F73">
        <w:t xml:space="preserve">is </w:t>
      </w:r>
      <w:r w:rsidR="00F6591A" w:rsidRPr="00414F73">
        <w:t xml:space="preserve">jarring and </w:t>
      </w:r>
      <w:r w:rsidR="00357A85" w:rsidRPr="00414F73">
        <w:t>concerning</w:t>
      </w:r>
      <w:r w:rsidR="00E476B9" w:rsidRPr="00414F73">
        <w:t>: both in terms of its lawfulness and its purported justification</w:t>
      </w:r>
      <w:r w:rsidR="00BF3F3B" w:rsidRPr="00414F73">
        <w:t>.</w:t>
      </w:r>
    </w:p>
    <w:p w14:paraId="43712405" w14:textId="77777777" w:rsidR="003B70E2" w:rsidRPr="00414F73" w:rsidRDefault="0011475E" w:rsidP="00414F73">
      <w:r w:rsidRPr="00414F73">
        <w:t>In</w:t>
      </w:r>
      <w:r w:rsidR="001A6D47" w:rsidRPr="00414F73">
        <w:t xml:space="preserve"> </w:t>
      </w:r>
      <w:r w:rsidR="0019339A" w:rsidRPr="00414F73">
        <w:t>response to the Committee’s terms of reference</w:t>
      </w:r>
      <w:r w:rsidR="000D09E2" w:rsidRPr="00414F73">
        <w:t xml:space="preserve"> (TOR)</w:t>
      </w:r>
      <w:r w:rsidR="0019339A" w:rsidRPr="00414F73">
        <w:t>, we highlight</w:t>
      </w:r>
      <w:r w:rsidR="001A6D47" w:rsidRPr="00414F73">
        <w:t xml:space="preserve"> that</w:t>
      </w:r>
      <w:r w:rsidR="0019339A" w:rsidRPr="00414F73">
        <w:t xml:space="preserve">: </w:t>
      </w:r>
    </w:p>
    <w:p w14:paraId="667F9A2C" w14:textId="77777777" w:rsidR="0098606E" w:rsidRPr="00E476B9" w:rsidRDefault="0098606E" w:rsidP="00414F73">
      <w:pPr>
        <w:pStyle w:val="VLA1"/>
        <w:rPr>
          <w:lang w:eastAsia="en-AU"/>
        </w:rPr>
      </w:pPr>
      <w:r>
        <w:rPr>
          <w:lang w:eastAsia="en-AU"/>
        </w:rPr>
        <w:t xml:space="preserve">Real questions arise as to </w:t>
      </w:r>
      <w:r w:rsidR="005A1447">
        <w:rPr>
          <w:lang w:eastAsia="en-AU"/>
        </w:rPr>
        <w:t xml:space="preserve">lawfulness, accuracy and policy justification for </w:t>
      </w:r>
      <w:r>
        <w:rPr>
          <w:lang w:eastAsia="en-AU"/>
        </w:rPr>
        <w:t>debts raised through data matching alone</w:t>
      </w:r>
      <w:r w:rsidR="005A1447">
        <w:rPr>
          <w:lang w:eastAsia="en-AU"/>
        </w:rPr>
        <w:t xml:space="preserve"> (or effectively alone)</w:t>
      </w:r>
      <w:r>
        <w:rPr>
          <w:lang w:eastAsia="en-AU"/>
        </w:rPr>
        <w:t xml:space="preserve"> </w:t>
      </w:r>
      <w:r w:rsidRPr="00E476B9">
        <w:rPr>
          <w:lang w:eastAsia="en-AU"/>
        </w:rPr>
        <w:t>(TOR (a), (e), (g), (h) and (k))</w:t>
      </w:r>
      <w:r>
        <w:rPr>
          <w:lang w:eastAsia="en-AU"/>
        </w:rPr>
        <w:t>.</w:t>
      </w:r>
    </w:p>
    <w:p w14:paraId="484A7954" w14:textId="64E9F6C7" w:rsidR="0019339A" w:rsidRPr="00E476B9" w:rsidRDefault="00BF13C6" w:rsidP="00414F73">
      <w:pPr>
        <w:pStyle w:val="VLA1"/>
        <w:rPr>
          <w:lang w:eastAsia="en-AU"/>
        </w:rPr>
      </w:pPr>
      <w:r>
        <w:rPr>
          <w:lang w:eastAsia="en-AU"/>
        </w:rPr>
        <w:t>T</w:t>
      </w:r>
      <w:r w:rsidR="00B26D62">
        <w:rPr>
          <w:lang w:eastAsia="en-AU"/>
        </w:rPr>
        <w:t xml:space="preserve">he </w:t>
      </w:r>
      <w:r w:rsidR="004D3864">
        <w:rPr>
          <w:lang w:eastAsia="en-AU"/>
        </w:rPr>
        <w:t xml:space="preserve">personal and financial </w:t>
      </w:r>
      <w:r w:rsidR="00B475A8">
        <w:rPr>
          <w:lang w:eastAsia="en-AU"/>
        </w:rPr>
        <w:t xml:space="preserve">consequences </w:t>
      </w:r>
      <w:r w:rsidR="004D3864">
        <w:rPr>
          <w:lang w:eastAsia="en-AU"/>
        </w:rPr>
        <w:t xml:space="preserve">for individuals required </w:t>
      </w:r>
      <w:r w:rsidR="00B475A8">
        <w:rPr>
          <w:lang w:eastAsia="en-AU"/>
        </w:rPr>
        <w:t>to disprove a</w:t>
      </w:r>
      <w:r w:rsidR="00B26D62">
        <w:rPr>
          <w:lang w:eastAsia="en-AU"/>
        </w:rPr>
        <w:t xml:space="preserve">n alleged discrepancy or </w:t>
      </w:r>
      <w:r w:rsidR="00B475A8">
        <w:rPr>
          <w:lang w:eastAsia="en-AU"/>
        </w:rPr>
        <w:t xml:space="preserve">debt </w:t>
      </w:r>
      <w:r w:rsidR="004D3864">
        <w:rPr>
          <w:lang w:eastAsia="en-AU"/>
        </w:rPr>
        <w:t xml:space="preserve">or accept its validity </w:t>
      </w:r>
      <w:r w:rsidR="00B26D62">
        <w:rPr>
          <w:lang w:eastAsia="en-AU"/>
        </w:rPr>
        <w:t>are unjustifiably</w:t>
      </w:r>
      <w:r w:rsidR="001A6D47">
        <w:rPr>
          <w:lang w:eastAsia="en-AU"/>
        </w:rPr>
        <w:t xml:space="preserve"> high</w:t>
      </w:r>
      <w:r w:rsidR="004A2CDA">
        <w:rPr>
          <w:lang w:eastAsia="en-AU"/>
        </w:rPr>
        <w:t>.</w:t>
      </w:r>
      <w:r w:rsidR="004D3864">
        <w:rPr>
          <w:lang w:eastAsia="en-AU"/>
        </w:rPr>
        <w:t xml:space="preserve"> The</w:t>
      </w:r>
      <w:r>
        <w:rPr>
          <w:lang w:eastAsia="en-AU"/>
        </w:rPr>
        <w:t xml:space="preserve"> costs of the scheme to individuals have been </w:t>
      </w:r>
      <w:r w:rsidR="00B475A8">
        <w:rPr>
          <w:lang w:eastAsia="en-AU"/>
        </w:rPr>
        <w:t>exacerbated by</w:t>
      </w:r>
      <w:r w:rsidR="0011475E">
        <w:rPr>
          <w:lang w:eastAsia="en-AU"/>
        </w:rPr>
        <w:t>:</w:t>
      </w:r>
      <w:r w:rsidR="001A6D47">
        <w:rPr>
          <w:lang w:eastAsia="en-AU"/>
        </w:rPr>
        <w:t xml:space="preserve"> (a)</w:t>
      </w:r>
      <w:r w:rsidR="00B475A8">
        <w:rPr>
          <w:lang w:eastAsia="en-AU"/>
        </w:rPr>
        <w:t xml:space="preserve"> the </w:t>
      </w:r>
      <w:r w:rsidR="00B26D62">
        <w:rPr>
          <w:lang w:eastAsia="en-AU"/>
        </w:rPr>
        <w:t xml:space="preserve">inability </w:t>
      </w:r>
      <w:r w:rsidR="00B475A8">
        <w:rPr>
          <w:lang w:eastAsia="en-AU"/>
        </w:rPr>
        <w:t xml:space="preserve">of Centrelink’s systems and frontline staff </w:t>
      </w:r>
      <w:r w:rsidR="001A6D47">
        <w:rPr>
          <w:lang w:eastAsia="en-AU"/>
        </w:rPr>
        <w:t xml:space="preserve">to </w:t>
      </w:r>
      <w:r>
        <w:rPr>
          <w:lang w:eastAsia="en-AU"/>
        </w:rPr>
        <w:t xml:space="preserve">satisfactorily </w:t>
      </w:r>
      <w:r w:rsidR="001A6D47">
        <w:rPr>
          <w:lang w:eastAsia="en-AU"/>
        </w:rPr>
        <w:t>engage with the individuals</w:t>
      </w:r>
      <w:r w:rsidR="005A1447">
        <w:rPr>
          <w:lang w:eastAsia="en-AU"/>
        </w:rPr>
        <w:t>; and</w:t>
      </w:r>
      <w:r w:rsidR="001A6D47">
        <w:rPr>
          <w:lang w:eastAsia="en-AU"/>
        </w:rPr>
        <w:t xml:space="preserve"> (b) the paucity of information provided to Centrelink clients to </w:t>
      </w:r>
      <w:r w:rsidR="00063D36">
        <w:rPr>
          <w:lang w:eastAsia="en-AU"/>
        </w:rPr>
        <w:t>help them understand</w:t>
      </w:r>
      <w:r w:rsidR="001A6D47">
        <w:rPr>
          <w:lang w:eastAsia="en-AU"/>
        </w:rPr>
        <w:t xml:space="preserve"> the debt</w:t>
      </w:r>
      <w:r w:rsidR="0011475E">
        <w:rPr>
          <w:lang w:eastAsia="en-AU"/>
        </w:rPr>
        <w:t>, their appeal rights</w:t>
      </w:r>
      <w:r w:rsidR="001A6D47">
        <w:rPr>
          <w:lang w:eastAsia="en-AU"/>
        </w:rPr>
        <w:t xml:space="preserve"> or the merit of pursuing a particular course of action </w:t>
      </w:r>
      <w:r w:rsidR="0019339A" w:rsidRPr="00E476B9">
        <w:rPr>
          <w:lang w:eastAsia="en-AU"/>
        </w:rPr>
        <w:t>(TOR (a)</w:t>
      </w:r>
      <w:r w:rsidR="00551636">
        <w:rPr>
          <w:lang w:eastAsia="en-AU"/>
        </w:rPr>
        <w:t>, (b), (c)</w:t>
      </w:r>
      <w:r w:rsidR="000D09E2">
        <w:rPr>
          <w:lang w:eastAsia="en-AU"/>
        </w:rPr>
        <w:t xml:space="preserve">, </w:t>
      </w:r>
      <w:r w:rsidR="0011475E">
        <w:rPr>
          <w:lang w:eastAsia="en-AU"/>
        </w:rPr>
        <w:t>(d)</w:t>
      </w:r>
      <w:r w:rsidR="00551636">
        <w:rPr>
          <w:lang w:eastAsia="en-AU"/>
        </w:rPr>
        <w:t>, (g), (h), (j)).</w:t>
      </w:r>
    </w:p>
    <w:p w14:paraId="6C1D6235" w14:textId="77777777" w:rsidR="003E3B9E" w:rsidRPr="00E476B9" w:rsidRDefault="00BF13C6" w:rsidP="00414F73">
      <w:pPr>
        <w:pStyle w:val="VLA1"/>
        <w:rPr>
          <w:lang w:eastAsia="en-AU"/>
        </w:rPr>
      </w:pPr>
      <w:r>
        <w:rPr>
          <w:lang w:eastAsia="en-AU"/>
        </w:rPr>
        <w:t>The Initiative has been marked by a lack of t</w:t>
      </w:r>
      <w:r w:rsidR="003E3B9E" w:rsidRPr="00E476B9">
        <w:rPr>
          <w:lang w:eastAsia="en-AU"/>
        </w:rPr>
        <w:t>ransparency</w:t>
      </w:r>
      <w:r w:rsidR="0011475E">
        <w:rPr>
          <w:lang w:eastAsia="en-AU"/>
        </w:rPr>
        <w:t>, both in relation to the broad basis for the data matching and the specific debt in individual cases</w:t>
      </w:r>
      <w:r w:rsidR="00605673" w:rsidRPr="00E476B9">
        <w:rPr>
          <w:lang w:eastAsia="en-AU"/>
        </w:rPr>
        <w:t xml:space="preserve"> (TOR </w:t>
      </w:r>
      <w:r w:rsidR="00C77E6E" w:rsidRPr="00E476B9">
        <w:rPr>
          <w:lang w:eastAsia="en-AU"/>
        </w:rPr>
        <w:t xml:space="preserve">(a), (b), (d), </w:t>
      </w:r>
      <w:r w:rsidR="00605673" w:rsidRPr="00E476B9">
        <w:rPr>
          <w:lang w:eastAsia="en-AU"/>
        </w:rPr>
        <w:t>(</w:t>
      </w:r>
      <w:r w:rsidR="00DF1BAE" w:rsidRPr="00E476B9">
        <w:rPr>
          <w:lang w:eastAsia="en-AU"/>
        </w:rPr>
        <w:t>g), (</w:t>
      </w:r>
      <w:r w:rsidR="00605673" w:rsidRPr="00E476B9">
        <w:rPr>
          <w:lang w:eastAsia="en-AU"/>
        </w:rPr>
        <w:t>i)</w:t>
      </w:r>
      <w:r w:rsidR="0011475E">
        <w:rPr>
          <w:lang w:eastAsia="en-AU"/>
        </w:rPr>
        <w:t>).</w:t>
      </w:r>
    </w:p>
    <w:p w14:paraId="3E4D6B2A" w14:textId="77777777" w:rsidR="003E3B9E" w:rsidRDefault="00B616D2" w:rsidP="00414F73">
      <w:pPr>
        <w:pStyle w:val="VLA1"/>
        <w:rPr>
          <w:lang w:eastAsia="en-AU"/>
        </w:rPr>
      </w:pPr>
      <w:r>
        <w:rPr>
          <w:lang w:eastAsia="en-AU"/>
        </w:rPr>
        <w:t xml:space="preserve">We have serious concerns </w:t>
      </w:r>
      <w:r w:rsidR="0011475E">
        <w:rPr>
          <w:lang w:eastAsia="en-AU"/>
        </w:rPr>
        <w:t xml:space="preserve">about the legality and </w:t>
      </w:r>
      <w:r>
        <w:rPr>
          <w:lang w:eastAsia="en-AU"/>
        </w:rPr>
        <w:t xml:space="preserve">purported </w:t>
      </w:r>
      <w:r w:rsidR="0011475E">
        <w:rPr>
          <w:lang w:eastAsia="en-AU"/>
        </w:rPr>
        <w:t>justification of the p</w:t>
      </w:r>
      <w:r w:rsidR="003E3B9E" w:rsidRPr="00E476B9">
        <w:rPr>
          <w:lang w:eastAsia="en-AU"/>
        </w:rPr>
        <w:t xml:space="preserve">ublic </w:t>
      </w:r>
      <w:r w:rsidR="0011475E">
        <w:rPr>
          <w:lang w:eastAsia="en-AU"/>
        </w:rPr>
        <w:t>d</w:t>
      </w:r>
      <w:r w:rsidR="003E3B9E" w:rsidRPr="00E476B9">
        <w:rPr>
          <w:lang w:eastAsia="en-AU"/>
        </w:rPr>
        <w:t>isclosure of social security information in response to public criticism</w:t>
      </w:r>
      <w:r w:rsidR="00DF1BAE" w:rsidRPr="00E476B9">
        <w:rPr>
          <w:lang w:eastAsia="en-AU"/>
        </w:rPr>
        <w:t xml:space="preserve"> (TOR (h), (k))</w:t>
      </w:r>
      <w:r w:rsidR="0011475E">
        <w:rPr>
          <w:lang w:eastAsia="en-AU"/>
        </w:rPr>
        <w:t>.</w:t>
      </w:r>
    </w:p>
    <w:p w14:paraId="3B14F0EA" w14:textId="58543C67" w:rsidR="0098606E" w:rsidRPr="00E476B9" w:rsidRDefault="0098606E" w:rsidP="0098606E">
      <w:pPr>
        <w:rPr>
          <w:lang w:eastAsia="en-AU"/>
        </w:rPr>
      </w:pPr>
      <w:r>
        <w:rPr>
          <w:lang w:eastAsia="en-AU"/>
        </w:rPr>
        <w:t xml:space="preserve">We address each of these issues </w:t>
      </w:r>
      <w:r w:rsidR="00414F73">
        <w:rPr>
          <w:lang w:eastAsia="en-AU"/>
        </w:rPr>
        <w:t xml:space="preserve">in this </w:t>
      </w:r>
      <w:hyperlink w:anchor="_Summary_of_recommendations" w:history="1">
        <w:r w:rsidR="00414F73" w:rsidRPr="00414F73">
          <w:rPr>
            <w:rStyle w:val="Hyperlink"/>
            <w:lang w:eastAsia="en-AU"/>
          </w:rPr>
          <w:t>Summary of recommendations</w:t>
        </w:r>
      </w:hyperlink>
      <w:r>
        <w:rPr>
          <w:lang w:eastAsia="en-AU"/>
        </w:rPr>
        <w:t>.</w:t>
      </w:r>
    </w:p>
    <w:p w14:paraId="2D6B25DD" w14:textId="77777777" w:rsidR="007825F3" w:rsidRDefault="007D7535" w:rsidP="00161EEF">
      <w:pPr>
        <w:pStyle w:val="Heading1"/>
      </w:pPr>
      <w:bookmarkStart w:id="3" w:name="_Summary_of_recommendations"/>
      <w:bookmarkEnd w:id="3"/>
      <w:r>
        <w:br w:type="page"/>
      </w:r>
      <w:bookmarkStart w:id="4" w:name="_Toc479316948"/>
      <w:r w:rsidR="007825F3">
        <w:lastRenderedPageBreak/>
        <w:t>Summary of recommendations</w:t>
      </w:r>
      <w:bookmarkEnd w:id="4"/>
    </w:p>
    <w:p w14:paraId="0298557F" w14:textId="77777777" w:rsidR="00080080" w:rsidRPr="00414F73" w:rsidRDefault="007070A8" w:rsidP="00414F73">
      <w:pPr>
        <w:pStyle w:val="Heading2"/>
      </w:pPr>
      <w:r w:rsidRPr="00414F73">
        <w:t>To ensure r</w:t>
      </w:r>
      <w:r w:rsidR="00080080" w:rsidRPr="00414F73">
        <w:t>esponsible, lawful, government decision-making and action</w:t>
      </w:r>
    </w:p>
    <w:p w14:paraId="2914A42F" w14:textId="77777777" w:rsidR="004C5733" w:rsidRDefault="004C5733" w:rsidP="00770BDB">
      <w:pPr>
        <w:rPr>
          <w:lang w:eastAsia="en-AU"/>
        </w:rPr>
      </w:pPr>
      <w:r>
        <w:rPr>
          <w:b/>
          <w:lang w:eastAsia="en-AU"/>
        </w:rPr>
        <w:t>Recommendation 1</w:t>
      </w:r>
      <w:r w:rsidRPr="004C5733">
        <w:rPr>
          <w:lang w:eastAsia="en-AU"/>
        </w:rPr>
        <w:t>:</w:t>
      </w:r>
      <w:r>
        <w:rPr>
          <w:b/>
          <w:lang w:eastAsia="en-AU"/>
        </w:rPr>
        <w:t xml:space="preserve"> </w:t>
      </w:r>
      <w:r>
        <w:rPr>
          <w:lang w:eastAsia="en-AU"/>
        </w:rPr>
        <w:t>The Initiative should be suspended.</w:t>
      </w:r>
    </w:p>
    <w:p w14:paraId="17EB57A6" w14:textId="153ECF93" w:rsidR="004C5733" w:rsidRPr="004C5733" w:rsidRDefault="004C5733" w:rsidP="00770BDB">
      <w:pPr>
        <w:rPr>
          <w:lang w:eastAsia="en-AU"/>
        </w:rPr>
      </w:pPr>
      <w:r>
        <w:rPr>
          <w:b/>
          <w:lang w:eastAsia="en-AU"/>
        </w:rPr>
        <w:t>Recommendation 2</w:t>
      </w:r>
      <w:r>
        <w:rPr>
          <w:lang w:eastAsia="en-AU"/>
        </w:rPr>
        <w:t xml:space="preserve">: The Social Security </w:t>
      </w:r>
      <w:r w:rsidR="00414F73">
        <w:rPr>
          <w:lang w:eastAsia="en-AU"/>
        </w:rPr>
        <w:t>Law and related legislation (eg</w:t>
      </w:r>
      <w:r>
        <w:rPr>
          <w:lang w:eastAsia="en-AU"/>
        </w:rPr>
        <w:t xml:space="preserve"> the Family Assistance Legislation) should be amended to </w:t>
      </w:r>
      <w:r w:rsidR="003A4E0A">
        <w:rPr>
          <w:lang w:eastAsia="en-AU"/>
        </w:rPr>
        <w:t xml:space="preserve">expressly </w:t>
      </w:r>
      <w:r>
        <w:rPr>
          <w:lang w:eastAsia="en-AU"/>
        </w:rPr>
        <w:t>preclude debt recovery systems akin to the Initiative.</w:t>
      </w:r>
    </w:p>
    <w:p w14:paraId="3A8E4B1B" w14:textId="77777777" w:rsidR="004C5733" w:rsidRPr="00B616D2" w:rsidRDefault="004C5733" w:rsidP="00770BDB">
      <w:pPr>
        <w:rPr>
          <w:lang w:eastAsia="en-AU"/>
        </w:rPr>
      </w:pPr>
      <w:r>
        <w:rPr>
          <w:b/>
          <w:lang w:eastAsia="en-AU"/>
        </w:rPr>
        <w:t xml:space="preserve">Recommendation 3: </w:t>
      </w:r>
      <w:r w:rsidRPr="00B616D2">
        <w:rPr>
          <w:lang w:eastAsia="en-AU"/>
        </w:rPr>
        <w:t xml:space="preserve">Decisions to </w:t>
      </w:r>
      <w:r>
        <w:rPr>
          <w:lang w:eastAsia="en-AU"/>
        </w:rPr>
        <w:t xml:space="preserve">investigate or raise </w:t>
      </w:r>
      <w:r w:rsidRPr="00B616D2">
        <w:rPr>
          <w:lang w:eastAsia="en-AU"/>
        </w:rPr>
        <w:t>debts should retain a residual element of human oversight to mitigate the unavoidable risk of inaccurate data-matching and</w:t>
      </w:r>
      <w:r>
        <w:rPr>
          <w:lang w:eastAsia="en-AU"/>
        </w:rPr>
        <w:t xml:space="preserve"> to ensure that there is active consideration, at the time of the communication, of the relevant hardship factors at play and the proper method of engaging in communication and negotiation with Centrelink customers.</w:t>
      </w:r>
    </w:p>
    <w:p w14:paraId="7FE40F70" w14:textId="255A85A3" w:rsidR="004C5733" w:rsidRDefault="004A2CDA" w:rsidP="00770BDB">
      <w:pPr>
        <w:rPr>
          <w:lang w:eastAsia="en-AU"/>
        </w:rPr>
      </w:pPr>
      <w:r>
        <w:rPr>
          <w:b/>
          <w:lang w:eastAsia="en-AU"/>
        </w:rPr>
        <w:t xml:space="preserve">Recommendation 4: </w:t>
      </w:r>
      <w:r w:rsidR="004C5733">
        <w:rPr>
          <w:lang w:eastAsia="en-AU"/>
        </w:rPr>
        <w:t xml:space="preserve">Centrelink should not place an unreasonable onus on people to ‘prove’ their prior entitlement to payments, eg, by a requirement to provide payslips from employment in prior financial years in circumstances where Centrelink had advised they were unnecessary to retain. </w:t>
      </w:r>
    </w:p>
    <w:p w14:paraId="6B314A93" w14:textId="58073C48" w:rsidR="004C5733" w:rsidRDefault="004A2CDA" w:rsidP="00770BDB">
      <w:pPr>
        <w:rPr>
          <w:lang w:eastAsia="en-AU"/>
        </w:rPr>
      </w:pPr>
      <w:r>
        <w:rPr>
          <w:b/>
          <w:lang w:eastAsia="en-AU"/>
        </w:rPr>
        <w:t xml:space="preserve">Recommendation 5: </w:t>
      </w:r>
      <w:r w:rsidR="004C5733" w:rsidRPr="00B616D2">
        <w:rPr>
          <w:lang w:eastAsia="en-AU"/>
        </w:rPr>
        <w:t xml:space="preserve">The Department must make public the rate at which decisions to raise debts that are challenged are being </w:t>
      </w:r>
      <w:r w:rsidR="004C5733">
        <w:rPr>
          <w:lang w:eastAsia="en-AU"/>
        </w:rPr>
        <w:t xml:space="preserve">modified </w:t>
      </w:r>
      <w:r w:rsidR="005A1447">
        <w:rPr>
          <w:lang w:eastAsia="en-AU"/>
        </w:rPr>
        <w:t>on merits or internal review, including by providing information about the numbers of merits review and internal review applications which have been made.</w:t>
      </w:r>
    </w:p>
    <w:p w14:paraId="5D06D23A" w14:textId="5CD54380" w:rsidR="004C5733" w:rsidRDefault="004C5733" w:rsidP="00770BDB">
      <w:pPr>
        <w:rPr>
          <w:lang w:eastAsia="en-AU"/>
        </w:rPr>
      </w:pPr>
      <w:r>
        <w:rPr>
          <w:b/>
          <w:lang w:eastAsia="en-AU"/>
        </w:rPr>
        <w:t xml:space="preserve">Recommendation 6: </w:t>
      </w:r>
      <w:r>
        <w:rPr>
          <w:lang w:eastAsia="en-AU"/>
        </w:rPr>
        <w:t xml:space="preserve">Debts should not be raised in </w:t>
      </w:r>
      <w:r w:rsidR="006C1FB0">
        <w:rPr>
          <w:lang w:eastAsia="en-AU"/>
        </w:rPr>
        <w:t xml:space="preserve">effective </w:t>
      </w:r>
      <w:r>
        <w:rPr>
          <w:lang w:eastAsia="en-AU"/>
        </w:rPr>
        <w:t>reliance on data-matching unless the accuracy of the proce</w:t>
      </w:r>
      <w:r w:rsidR="004A2CDA">
        <w:rPr>
          <w:lang w:eastAsia="en-AU"/>
        </w:rPr>
        <w:t xml:space="preserve">ss is able to be demonstrated. </w:t>
      </w:r>
      <w:r>
        <w:rPr>
          <w:lang w:eastAsia="en-AU"/>
        </w:rPr>
        <w:t>This means that if data-matching is intended to be material to the raising of a debt, it must accurately reflect the complex combination of the specific requirements of social security law to an individual case and information previously provided by a person to Centrelink.</w:t>
      </w:r>
    </w:p>
    <w:p w14:paraId="69BBD967" w14:textId="77777777" w:rsidR="007B485F" w:rsidRPr="00414F73" w:rsidRDefault="007070A8" w:rsidP="00414F73">
      <w:pPr>
        <w:pStyle w:val="Heading2"/>
      </w:pPr>
      <w:r w:rsidRPr="00414F73">
        <w:t>To ensure r</w:t>
      </w:r>
      <w:r w:rsidR="007B485F" w:rsidRPr="00414F73">
        <w:t>esponsible</w:t>
      </w:r>
      <w:r w:rsidR="000D09E2" w:rsidRPr="00414F73">
        <w:t xml:space="preserve"> </w:t>
      </w:r>
      <w:r w:rsidR="007B485F" w:rsidRPr="00414F73">
        <w:t>engagement with Centrelink customers</w:t>
      </w:r>
    </w:p>
    <w:p w14:paraId="6690388E" w14:textId="246720B2" w:rsidR="004C5733" w:rsidRDefault="005A1447" w:rsidP="00770BDB">
      <w:pPr>
        <w:rPr>
          <w:lang w:eastAsia="en-AU"/>
        </w:rPr>
      </w:pPr>
      <w:r>
        <w:rPr>
          <w:b/>
          <w:lang w:eastAsia="en-AU"/>
        </w:rPr>
        <w:t>Recommendation 7</w:t>
      </w:r>
      <w:r w:rsidR="004A2CDA">
        <w:rPr>
          <w:lang w:eastAsia="en-AU"/>
        </w:rPr>
        <w:t xml:space="preserve">: </w:t>
      </w:r>
      <w:r w:rsidR="004C5733">
        <w:rPr>
          <w:lang w:eastAsia="en-AU"/>
        </w:rPr>
        <w:t>Centrelink must actively reduce the current financial burden experienced by customers, including by contacting all customers who are the subject of involuntary repayments where their case is under review and alert those clients to the optio</w:t>
      </w:r>
      <w:r w:rsidR="004A2CDA">
        <w:rPr>
          <w:lang w:eastAsia="en-AU"/>
        </w:rPr>
        <w:t xml:space="preserve">n to discontinue the payments. </w:t>
      </w:r>
      <w:r w:rsidR="004C5733">
        <w:rPr>
          <w:lang w:eastAsia="en-AU"/>
        </w:rPr>
        <w:t xml:space="preserve">Where a client elects to discontinue payments the amounts already deducted </w:t>
      </w:r>
      <w:r w:rsidR="004A2CDA">
        <w:rPr>
          <w:lang w:eastAsia="en-AU"/>
        </w:rPr>
        <w:t>should also be repaid.</w:t>
      </w:r>
    </w:p>
    <w:p w14:paraId="45D68E41" w14:textId="18BB4193" w:rsidR="004C5733" w:rsidRPr="000D09E2" w:rsidRDefault="005A1447" w:rsidP="00770BDB">
      <w:pPr>
        <w:rPr>
          <w:lang w:eastAsia="en-AU"/>
        </w:rPr>
      </w:pPr>
      <w:r>
        <w:rPr>
          <w:b/>
          <w:lang w:eastAsia="en-AU"/>
        </w:rPr>
        <w:t>Recommendation 8</w:t>
      </w:r>
      <w:r w:rsidR="004C5733" w:rsidRPr="007F505B">
        <w:rPr>
          <w:b/>
          <w:lang w:eastAsia="en-AU"/>
        </w:rPr>
        <w:t xml:space="preserve">: </w:t>
      </w:r>
      <w:r w:rsidR="004C5733">
        <w:rPr>
          <w:lang w:eastAsia="en-AU"/>
        </w:rPr>
        <w:t xml:space="preserve">Centrelink must work with service providers and consumer groups to establish a best-practice model for service delivery, including evaluating publicly whether its actions in the design and roll out of the Initiative are consistent with its commitments following the 2010 Ombudsman report </w:t>
      </w:r>
      <w:r w:rsidR="004C5733" w:rsidRPr="007F505B">
        <w:rPr>
          <w:i/>
          <w:lang w:eastAsia="en-AU"/>
        </w:rPr>
        <w:t>Falling through the cracks</w:t>
      </w:r>
      <w:r w:rsidR="004C5733">
        <w:rPr>
          <w:lang w:eastAsia="en-AU"/>
        </w:rPr>
        <w:t xml:space="preserve"> in relation to engaging with cu</w:t>
      </w:r>
      <w:r w:rsidR="004A2CDA">
        <w:rPr>
          <w:lang w:eastAsia="en-AU"/>
        </w:rPr>
        <w:t>stomers with a mental illness.</w:t>
      </w:r>
    </w:p>
    <w:p w14:paraId="531C3851" w14:textId="79D15F43" w:rsidR="004C5733" w:rsidRPr="001B3947" w:rsidRDefault="005A1447" w:rsidP="00770BDB">
      <w:pPr>
        <w:rPr>
          <w:lang w:eastAsia="en-AU"/>
        </w:rPr>
      </w:pPr>
      <w:r>
        <w:rPr>
          <w:b/>
          <w:lang w:eastAsia="en-AU"/>
        </w:rPr>
        <w:t>Recommendation 9</w:t>
      </w:r>
      <w:r w:rsidR="004C5733">
        <w:rPr>
          <w:lang w:eastAsia="en-AU"/>
        </w:rPr>
        <w:t>: All letters to Centrelink customers in relation to discrepancies or alleged debts must set out the basis for the alleged discrepancy, the specific provision under which the Department asserts that the debt has been raised and include the timeframes, contact details and detailed, relevant</w:t>
      </w:r>
      <w:r w:rsidR="00374F56">
        <w:rPr>
          <w:lang w:eastAsia="en-AU"/>
        </w:rPr>
        <w:t>,</w:t>
      </w:r>
      <w:r w:rsidR="004C5733">
        <w:rPr>
          <w:lang w:eastAsia="en-AU"/>
        </w:rPr>
        <w:t xml:space="preserve"> information on the methods for a person to seek review of or appeal a decision to raise a debt. </w:t>
      </w:r>
    </w:p>
    <w:p w14:paraId="7CA95A0F" w14:textId="0A7B67C9" w:rsidR="007B485F" w:rsidRPr="00414F73" w:rsidRDefault="00414F73" w:rsidP="00414F73">
      <w:pPr>
        <w:pStyle w:val="Heading2"/>
      </w:pPr>
      <w:r>
        <w:br w:type="column"/>
      </w:r>
      <w:r w:rsidR="007070A8" w:rsidRPr="00414F73">
        <w:lastRenderedPageBreak/>
        <w:t xml:space="preserve">To ensure </w:t>
      </w:r>
      <w:r w:rsidR="007B485F" w:rsidRPr="00414F73">
        <w:t xml:space="preserve">transparency and </w:t>
      </w:r>
      <w:r w:rsidR="007F505B" w:rsidRPr="00414F73">
        <w:t>access to Departmental operational information</w:t>
      </w:r>
    </w:p>
    <w:p w14:paraId="07F0DB1A" w14:textId="77777777" w:rsidR="004C5733" w:rsidRDefault="005A1447" w:rsidP="00770BDB">
      <w:pPr>
        <w:rPr>
          <w:lang w:eastAsia="en-AU"/>
        </w:rPr>
      </w:pPr>
      <w:r>
        <w:rPr>
          <w:b/>
          <w:lang w:eastAsia="en-AU"/>
        </w:rPr>
        <w:t>Recommendation 10</w:t>
      </w:r>
      <w:r w:rsidR="004C5733">
        <w:rPr>
          <w:b/>
          <w:lang w:eastAsia="en-AU"/>
        </w:rPr>
        <w:t xml:space="preserve">: </w:t>
      </w:r>
      <w:r w:rsidR="004C5733">
        <w:rPr>
          <w:lang w:eastAsia="en-AU"/>
        </w:rPr>
        <w:t>The Department must publish online and make promptly available in paper format</w:t>
      </w:r>
      <w:r>
        <w:rPr>
          <w:lang w:eastAsia="en-AU"/>
        </w:rPr>
        <w:t>,</w:t>
      </w:r>
      <w:r w:rsidR="004C5733">
        <w:rPr>
          <w:lang w:eastAsia="en-AU"/>
        </w:rPr>
        <w:t xml:space="preserve"> </w:t>
      </w:r>
      <w:r w:rsidR="00F035C1">
        <w:rPr>
          <w:lang w:eastAsia="en-AU"/>
        </w:rPr>
        <w:t>all</w:t>
      </w:r>
      <w:r w:rsidR="004C5733">
        <w:rPr>
          <w:lang w:eastAsia="en-AU"/>
        </w:rPr>
        <w:t xml:space="preserve"> of </w:t>
      </w:r>
      <w:r w:rsidR="00063D36">
        <w:rPr>
          <w:lang w:eastAsia="en-AU"/>
        </w:rPr>
        <w:t xml:space="preserve">the </w:t>
      </w:r>
      <w:r w:rsidR="004C5733">
        <w:rPr>
          <w:lang w:eastAsia="en-AU"/>
        </w:rPr>
        <w:t>policies, procedures and protocols which are relevant to or inform the Initiative, including the relevant Program Protocol/s completed in respect of its data-matching projects.</w:t>
      </w:r>
    </w:p>
    <w:p w14:paraId="3E122C6B" w14:textId="77777777" w:rsidR="004C5733" w:rsidRDefault="005A1447" w:rsidP="00770BDB">
      <w:pPr>
        <w:rPr>
          <w:lang w:eastAsia="en-AU"/>
        </w:rPr>
      </w:pPr>
      <w:r>
        <w:rPr>
          <w:b/>
          <w:lang w:eastAsia="en-AU"/>
        </w:rPr>
        <w:t>Recommendation 11</w:t>
      </w:r>
      <w:r w:rsidR="004C5733" w:rsidRPr="004C5733">
        <w:rPr>
          <w:b/>
          <w:lang w:eastAsia="en-AU"/>
        </w:rPr>
        <w:t>:</w:t>
      </w:r>
      <w:r w:rsidR="004C5733" w:rsidRPr="004C5733">
        <w:rPr>
          <w:lang w:eastAsia="en-AU"/>
        </w:rPr>
        <w:t xml:space="preserve"> Every </w:t>
      </w:r>
      <w:r>
        <w:rPr>
          <w:lang w:eastAsia="en-AU"/>
        </w:rPr>
        <w:t>letter</w:t>
      </w:r>
      <w:r w:rsidR="004C5733" w:rsidRPr="004C5733">
        <w:rPr>
          <w:lang w:eastAsia="en-AU"/>
        </w:rPr>
        <w:t xml:space="preserve"> sent to a Centrelink customer asserting a discrepancy or debt which has relied on some form of data-matching should state clearly in the body of the letter (a) the specific legal authority relied on to conduct the relevant data-match and (b) the available public information setting out the data-matching exercise.</w:t>
      </w:r>
    </w:p>
    <w:p w14:paraId="5A3ED2A5" w14:textId="59FABA9E" w:rsidR="00374F56" w:rsidRDefault="00374F56" w:rsidP="00770BDB">
      <w:pPr>
        <w:rPr>
          <w:b/>
          <w:lang w:eastAsia="en-AU"/>
        </w:rPr>
      </w:pPr>
      <w:r w:rsidRPr="00BA3FA4">
        <w:rPr>
          <w:b/>
        </w:rPr>
        <w:t xml:space="preserve">Recommendation </w:t>
      </w:r>
      <w:r w:rsidR="005A1447">
        <w:rPr>
          <w:b/>
        </w:rPr>
        <w:t>12</w:t>
      </w:r>
      <w:r>
        <w:t>: Centrelink staff must be in a position to understand and explain to its customers how an alleged debt has been calculated, the first</w:t>
      </w:r>
      <w:r w:rsidR="004A2CDA">
        <w:t xml:space="preserve"> time that an inquiry is made.</w:t>
      </w:r>
    </w:p>
    <w:p w14:paraId="3723F29D" w14:textId="77777777" w:rsidR="000D09E2" w:rsidRPr="00414F73" w:rsidRDefault="007070A8" w:rsidP="00414F73">
      <w:pPr>
        <w:pStyle w:val="Heading2"/>
      </w:pPr>
      <w:r w:rsidRPr="00414F73">
        <w:t>To ensure r</w:t>
      </w:r>
      <w:r w:rsidR="000D09E2" w:rsidRPr="00414F73">
        <w:t>esponsible handling of social security information</w:t>
      </w:r>
    </w:p>
    <w:p w14:paraId="791F2F5F" w14:textId="41BB62A1" w:rsidR="00374F56" w:rsidRPr="00B0606A" w:rsidRDefault="005A1447" w:rsidP="00770BDB">
      <w:pPr>
        <w:rPr>
          <w:lang w:eastAsia="en-AU"/>
        </w:rPr>
      </w:pPr>
      <w:r>
        <w:rPr>
          <w:b/>
          <w:lang w:eastAsia="en-AU"/>
        </w:rPr>
        <w:t>Recommendation 13</w:t>
      </w:r>
      <w:r w:rsidR="004A2CDA">
        <w:rPr>
          <w:lang w:eastAsia="en-AU"/>
        </w:rPr>
        <w:t xml:space="preserve">: </w:t>
      </w:r>
      <w:r w:rsidR="00374F56">
        <w:rPr>
          <w:lang w:eastAsia="en-AU"/>
        </w:rPr>
        <w:t>The Department or Minister (whichever is the true client of the advice) should release, publicly, its advice stating that the disclosures were authorised.</w:t>
      </w:r>
    </w:p>
    <w:p w14:paraId="3C695483" w14:textId="37CD53A4" w:rsidR="00374F56" w:rsidRDefault="00374F56" w:rsidP="00770BDB">
      <w:pPr>
        <w:rPr>
          <w:lang w:eastAsia="en-AU"/>
        </w:rPr>
      </w:pPr>
      <w:r>
        <w:rPr>
          <w:b/>
          <w:lang w:eastAsia="en-AU"/>
        </w:rPr>
        <w:t>Recommendation 1</w:t>
      </w:r>
      <w:r w:rsidR="005A1447">
        <w:rPr>
          <w:b/>
          <w:lang w:eastAsia="en-AU"/>
        </w:rPr>
        <w:t>4</w:t>
      </w:r>
      <w:r>
        <w:rPr>
          <w:lang w:eastAsia="en-AU"/>
        </w:rPr>
        <w:t>: The Department should cease disclosing protected social security information in purported reliance on s</w:t>
      </w:r>
      <w:r w:rsidR="00414F73">
        <w:rPr>
          <w:lang w:eastAsia="en-AU"/>
        </w:rPr>
        <w:t>.</w:t>
      </w:r>
      <w:r>
        <w:rPr>
          <w:lang w:eastAsia="en-AU"/>
        </w:rPr>
        <w:t xml:space="preserve"> 204 of the </w:t>
      </w:r>
      <w:r>
        <w:rPr>
          <w:i/>
          <w:lang w:eastAsia="en-AU"/>
        </w:rPr>
        <w:t xml:space="preserve">Social Security (Administration) Act 1999 </w:t>
      </w:r>
      <w:r>
        <w:rPr>
          <w:lang w:eastAsia="en-AU"/>
        </w:rPr>
        <w:t>(Cth)(</w:t>
      </w:r>
      <w:r w:rsidRPr="00414F73">
        <w:rPr>
          <w:lang w:eastAsia="en-AU"/>
        </w:rPr>
        <w:t>SSA Act</w:t>
      </w:r>
      <w:r w:rsidRPr="003C0DF7">
        <w:rPr>
          <w:lang w:eastAsia="en-AU"/>
        </w:rPr>
        <w:t>)</w:t>
      </w:r>
      <w:r>
        <w:rPr>
          <w:lang w:eastAsia="en-AU"/>
        </w:rPr>
        <w:t xml:space="preserve"> or s</w:t>
      </w:r>
      <w:r w:rsidR="00414F73">
        <w:rPr>
          <w:lang w:eastAsia="en-AU"/>
        </w:rPr>
        <w:t>.</w:t>
      </w:r>
      <w:r>
        <w:rPr>
          <w:lang w:eastAsia="en-AU"/>
        </w:rPr>
        <w:t xml:space="preserve"> 164 of the </w:t>
      </w:r>
      <w:r>
        <w:rPr>
          <w:i/>
          <w:lang w:eastAsia="en-AU"/>
        </w:rPr>
        <w:t xml:space="preserve">New Tax System (Family Assistance) Administration Act 1999 </w:t>
      </w:r>
      <w:r>
        <w:rPr>
          <w:lang w:eastAsia="en-AU"/>
        </w:rPr>
        <w:t>(Cth) (</w:t>
      </w:r>
      <w:r w:rsidRPr="00414F73">
        <w:rPr>
          <w:lang w:eastAsia="en-AU"/>
        </w:rPr>
        <w:t>FAA Act</w:t>
      </w:r>
      <w:r w:rsidR="004A2CDA">
        <w:rPr>
          <w:lang w:eastAsia="en-AU"/>
        </w:rPr>
        <w:t xml:space="preserve">). </w:t>
      </w:r>
      <w:r>
        <w:rPr>
          <w:lang w:eastAsia="en-AU"/>
        </w:rPr>
        <w:t>All purported ‘public interest’ disclosures must accord wi</w:t>
      </w:r>
      <w:r w:rsidR="005A1447">
        <w:rPr>
          <w:lang w:eastAsia="en-AU"/>
        </w:rPr>
        <w:t>th the specific provisions and G</w:t>
      </w:r>
      <w:r>
        <w:rPr>
          <w:lang w:eastAsia="en-AU"/>
        </w:rPr>
        <w:t>uidelines for public interest disclosures already established under s</w:t>
      </w:r>
      <w:r w:rsidR="00414F73">
        <w:rPr>
          <w:lang w:eastAsia="en-AU"/>
        </w:rPr>
        <w:t>.</w:t>
      </w:r>
      <w:r>
        <w:rPr>
          <w:lang w:eastAsia="en-AU"/>
        </w:rPr>
        <w:t xml:space="preserve"> 208 of the SSA Act and s</w:t>
      </w:r>
      <w:r w:rsidR="00414F73">
        <w:rPr>
          <w:lang w:eastAsia="en-AU"/>
        </w:rPr>
        <w:t>.</w:t>
      </w:r>
      <w:r w:rsidR="005A1447">
        <w:rPr>
          <w:lang w:eastAsia="en-AU"/>
        </w:rPr>
        <w:t> </w:t>
      </w:r>
      <w:r w:rsidR="004A2CDA">
        <w:rPr>
          <w:lang w:eastAsia="en-AU"/>
        </w:rPr>
        <w:t>168 of the FAA Act.</w:t>
      </w:r>
    </w:p>
    <w:p w14:paraId="2FDBE8F4" w14:textId="5CE3BDF9" w:rsidR="00374F56" w:rsidRPr="0076778C" w:rsidRDefault="00374F56" w:rsidP="00770BDB">
      <w:pPr>
        <w:rPr>
          <w:lang w:eastAsia="en-AU"/>
        </w:rPr>
      </w:pPr>
      <w:r>
        <w:rPr>
          <w:b/>
          <w:lang w:eastAsia="en-AU"/>
        </w:rPr>
        <w:t>Recommendation 1</w:t>
      </w:r>
      <w:r w:rsidR="005A1447">
        <w:rPr>
          <w:b/>
          <w:lang w:eastAsia="en-AU"/>
        </w:rPr>
        <w:t>5</w:t>
      </w:r>
      <w:r w:rsidR="004A2CDA">
        <w:rPr>
          <w:lang w:eastAsia="en-AU"/>
        </w:rPr>
        <w:t xml:space="preserve">: </w:t>
      </w:r>
      <w:r>
        <w:rPr>
          <w:lang w:eastAsia="en-AU"/>
        </w:rPr>
        <w:t xml:space="preserve">Any future disclosure of information by the Department under the formal public interest disclosure regime should be effected </w:t>
      </w:r>
      <w:r w:rsidR="005A1447">
        <w:rPr>
          <w:lang w:eastAsia="en-AU"/>
        </w:rPr>
        <w:t>only by a media statement issued</w:t>
      </w:r>
      <w:r>
        <w:rPr>
          <w:lang w:eastAsia="en-AU"/>
        </w:rPr>
        <w:t xml:space="preserve"> by the Department disclosing the bare </w:t>
      </w:r>
      <w:r w:rsidR="00063D36">
        <w:rPr>
          <w:lang w:eastAsia="en-AU"/>
        </w:rPr>
        <w:t xml:space="preserve">facts </w:t>
      </w:r>
      <w:r>
        <w:rPr>
          <w:lang w:eastAsia="en-AU"/>
        </w:rPr>
        <w:t>necessary to correct the record.</w:t>
      </w:r>
    </w:p>
    <w:p w14:paraId="2284976F" w14:textId="77777777" w:rsidR="004C5733" w:rsidRDefault="004C5733">
      <w:pPr>
        <w:spacing w:after="0" w:line="240" w:lineRule="auto"/>
        <w:rPr>
          <w:rFonts w:cs="Arial"/>
          <w:b/>
          <w:bCs/>
          <w:color w:val="971A4B"/>
          <w:kern w:val="32"/>
          <w:sz w:val="32"/>
          <w:szCs w:val="32"/>
          <w:lang w:eastAsia="en-AU"/>
        </w:rPr>
      </w:pPr>
      <w:r>
        <w:br w:type="page"/>
      </w:r>
    </w:p>
    <w:p w14:paraId="53B2390B" w14:textId="77777777" w:rsidR="00080080" w:rsidRDefault="00080080" w:rsidP="00080080">
      <w:pPr>
        <w:pStyle w:val="Heading1"/>
      </w:pPr>
      <w:bookmarkStart w:id="5" w:name="_Toc479316949"/>
      <w:r>
        <w:lastRenderedPageBreak/>
        <w:t>Lawfulness and accuracy of debts raised through data matching alone (</w:t>
      </w:r>
      <w:r w:rsidRPr="00E476B9">
        <w:t>TOR (a), (e), (g), (h) and (k</w:t>
      </w:r>
      <w:r>
        <w:t>))</w:t>
      </w:r>
      <w:bookmarkEnd w:id="5"/>
    </w:p>
    <w:p w14:paraId="77432BEA" w14:textId="77777777" w:rsidR="008F750B" w:rsidRPr="00374F56" w:rsidRDefault="008F750B" w:rsidP="00414F73">
      <w:pPr>
        <w:pStyle w:val="Heading2"/>
      </w:pPr>
      <w:bookmarkStart w:id="6" w:name="_Toc479316950"/>
      <w:r w:rsidRPr="00374F56">
        <w:t>Overview</w:t>
      </w:r>
      <w:bookmarkEnd w:id="6"/>
    </w:p>
    <w:p w14:paraId="66F8B6CD" w14:textId="041B68F6" w:rsidR="008F750B" w:rsidRDefault="005758F2" w:rsidP="007F505B">
      <w:pPr>
        <w:rPr>
          <w:lang w:eastAsia="en-AU"/>
        </w:rPr>
      </w:pPr>
      <w:r>
        <w:rPr>
          <w:lang w:eastAsia="en-AU"/>
        </w:rPr>
        <w:t>VLA has strong concerns about the lawfulness</w:t>
      </w:r>
      <w:r w:rsidR="005A1447">
        <w:rPr>
          <w:lang w:eastAsia="en-AU"/>
        </w:rPr>
        <w:t>, policy merit and accuracy o</w:t>
      </w:r>
      <w:r>
        <w:rPr>
          <w:lang w:eastAsia="en-AU"/>
        </w:rPr>
        <w:t>f the Department and Centrelink’s method of raising purport</w:t>
      </w:r>
      <w:r w:rsidR="004A2CDA">
        <w:rPr>
          <w:lang w:eastAsia="en-AU"/>
        </w:rPr>
        <w:t xml:space="preserve">ed debts under the Initiative. </w:t>
      </w:r>
      <w:r>
        <w:rPr>
          <w:lang w:eastAsia="en-AU"/>
        </w:rPr>
        <w:t xml:space="preserve">Specifically, in our view, </w:t>
      </w:r>
      <w:r w:rsidR="005A1447">
        <w:rPr>
          <w:lang w:eastAsia="en-AU"/>
        </w:rPr>
        <w:t xml:space="preserve">the Initiative raises </w:t>
      </w:r>
      <w:r>
        <w:rPr>
          <w:lang w:eastAsia="en-AU"/>
        </w:rPr>
        <w:t>serious questions about how a debt raised on the basis of the current data-matching exercise alone (referred to within this submission as a ‘robo-debt’) can be respo</w:t>
      </w:r>
      <w:r w:rsidR="00FC4460">
        <w:rPr>
          <w:lang w:eastAsia="en-AU"/>
        </w:rPr>
        <w:t>nsibly and lawfully treated as ‘a debt to the Commonwealth’</w:t>
      </w:r>
      <w:r w:rsidR="0057176B">
        <w:rPr>
          <w:lang w:eastAsia="en-AU"/>
        </w:rPr>
        <w:t xml:space="preserve"> under the </w:t>
      </w:r>
      <w:r w:rsidR="0057176B">
        <w:rPr>
          <w:i/>
          <w:lang w:eastAsia="en-AU"/>
        </w:rPr>
        <w:t xml:space="preserve">Social Security Act 1991 </w:t>
      </w:r>
      <w:r w:rsidR="0057176B">
        <w:rPr>
          <w:lang w:eastAsia="en-AU"/>
        </w:rPr>
        <w:t>(Cth)</w:t>
      </w:r>
      <w:r w:rsidR="000417F4">
        <w:rPr>
          <w:lang w:eastAsia="en-AU"/>
        </w:rPr>
        <w:t xml:space="preserve"> (</w:t>
      </w:r>
      <w:r w:rsidR="000417F4" w:rsidRPr="00414F73">
        <w:rPr>
          <w:lang w:eastAsia="en-AU"/>
        </w:rPr>
        <w:t>SS Act</w:t>
      </w:r>
      <w:r w:rsidR="000417F4">
        <w:rPr>
          <w:lang w:eastAsia="en-AU"/>
        </w:rPr>
        <w:t>)</w:t>
      </w:r>
      <w:r w:rsidR="0057176B">
        <w:rPr>
          <w:lang w:eastAsia="en-AU"/>
        </w:rPr>
        <w:t>.</w:t>
      </w:r>
    </w:p>
    <w:p w14:paraId="6E89CDFB" w14:textId="3A3C2CB1" w:rsidR="00561788" w:rsidRDefault="00561788" w:rsidP="00080080">
      <w:pPr>
        <w:rPr>
          <w:lang w:eastAsia="en-AU"/>
        </w:rPr>
      </w:pPr>
      <w:r>
        <w:rPr>
          <w:lang w:eastAsia="en-AU"/>
        </w:rPr>
        <w:t>Further</w:t>
      </w:r>
      <w:r w:rsidR="005758F2">
        <w:rPr>
          <w:lang w:eastAsia="en-AU"/>
        </w:rPr>
        <w:t xml:space="preserve">, if the </w:t>
      </w:r>
      <w:r w:rsidR="0057176B">
        <w:rPr>
          <w:lang w:eastAsia="en-AU"/>
        </w:rPr>
        <w:t>Initiative</w:t>
      </w:r>
      <w:r w:rsidR="005758F2">
        <w:rPr>
          <w:lang w:eastAsia="en-AU"/>
        </w:rPr>
        <w:t xml:space="preserve"> is lawful, </w:t>
      </w:r>
      <w:r w:rsidR="0057176B">
        <w:rPr>
          <w:lang w:eastAsia="en-AU"/>
        </w:rPr>
        <w:t xml:space="preserve">we consider that steps, including legislative </w:t>
      </w:r>
      <w:r w:rsidR="0095388B">
        <w:rPr>
          <w:lang w:eastAsia="en-AU"/>
        </w:rPr>
        <w:t>reform</w:t>
      </w:r>
      <w:r w:rsidR="0057176B">
        <w:rPr>
          <w:lang w:eastAsia="en-AU"/>
        </w:rPr>
        <w:t>, should be immediately taken to prevent the continuation of the Initiative an</w:t>
      </w:r>
      <w:r w:rsidR="004A2CDA">
        <w:rPr>
          <w:lang w:eastAsia="en-AU"/>
        </w:rPr>
        <w:t xml:space="preserve">d any future analogous scheme. </w:t>
      </w:r>
      <w:r w:rsidR="0057176B">
        <w:rPr>
          <w:lang w:eastAsia="en-AU"/>
        </w:rPr>
        <w:t xml:space="preserve">While VLA supports the intelligent, lawful and </w:t>
      </w:r>
      <w:r w:rsidR="00063D36">
        <w:rPr>
          <w:lang w:eastAsia="en-AU"/>
        </w:rPr>
        <w:t xml:space="preserve">efficient </w:t>
      </w:r>
      <w:r w:rsidR="0057176B">
        <w:rPr>
          <w:lang w:eastAsia="en-AU"/>
        </w:rPr>
        <w:t xml:space="preserve">application by government of technology, including to manage government funds, the Initiative does not </w:t>
      </w:r>
      <w:r w:rsidR="00063D36">
        <w:rPr>
          <w:lang w:eastAsia="en-AU"/>
        </w:rPr>
        <w:t xml:space="preserve">have </w:t>
      </w:r>
      <w:r w:rsidR="004A2CDA">
        <w:rPr>
          <w:lang w:eastAsia="en-AU"/>
        </w:rPr>
        <w:t>these features.</w:t>
      </w:r>
      <w:r w:rsidR="0057176B">
        <w:rPr>
          <w:lang w:eastAsia="en-AU"/>
        </w:rPr>
        <w:t xml:space="preserve"> </w:t>
      </w:r>
      <w:r>
        <w:rPr>
          <w:lang w:eastAsia="en-AU"/>
        </w:rPr>
        <w:t>In addition, the Initiative is markedly out of step with the legal and policy settings which are applied in respect of debt recovery and compliance monitoring for other recipient</w:t>
      </w:r>
      <w:r w:rsidR="0095388B">
        <w:rPr>
          <w:lang w:eastAsia="en-AU"/>
        </w:rPr>
        <w:t>s</w:t>
      </w:r>
      <w:r>
        <w:rPr>
          <w:lang w:eastAsia="en-AU"/>
        </w:rPr>
        <w:t xml:space="preserve"> of government funds</w:t>
      </w:r>
      <w:r w:rsidR="0095388B">
        <w:rPr>
          <w:lang w:eastAsia="en-AU"/>
        </w:rPr>
        <w:t>,</w:t>
      </w:r>
      <w:r w:rsidR="00BB55D9">
        <w:rPr>
          <w:lang w:eastAsia="en-AU"/>
        </w:rPr>
        <w:t xml:space="preserve"> such as </w:t>
      </w:r>
      <w:r w:rsidR="00063D36">
        <w:rPr>
          <w:lang w:eastAsia="en-AU"/>
        </w:rPr>
        <w:t>war</w:t>
      </w:r>
      <w:r w:rsidR="00F87059">
        <w:rPr>
          <w:lang w:eastAsia="en-AU"/>
        </w:rPr>
        <w:t xml:space="preserve"> </w:t>
      </w:r>
      <w:r w:rsidR="00BB55D9">
        <w:rPr>
          <w:lang w:eastAsia="en-AU"/>
        </w:rPr>
        <w:t>v</w:t>
      </w:r>
      <w:r>
        <w:rPr>
          <w:lang w:eastAsia="en-AU"/>
        </w:rPr>
        <w:t>eterans.</w:t>
      </w:r>
    </w:p>
    <w:p w14:paraId="37B00B86" w14:textId="77777777" w:rsidR="00CE744C" w:rsidRDefault="00561788" w:rsidP="00080080">
      <w:pPr>
        <w:rPr>
          <w:lang w:eastAsia="en-AU"/>
        </w:rPr>
      </w:pPr>
      <w:r>
        <w:rPr>
          <w:lang w:eastAsia="en-AU"/>
        </w:rPr>
        <w:t>Moreover</w:t>
      </w:r>
      <w:r w:rsidR="0057176B">
        <w:rPr>
          <w:lang w:eastAsia="en-AU"/>
        </w:rPr>
        <w:t xml:space="preserve">, as </w:t>
      </w:r>
      <w:r w:rsidR="00F87059">
        <w:rPr>
          <w:lang w:eastAsia="en-AU"/>
        </w:rPr>
        <w:t>is demonstrated</w:t>
      </w:r>
      <w:r w:rsidR="0057176B">
        <w:rPr>
          <w:lang w:eastAsia="en-AU"/>
        </w:rPr>
        <w:t xml:space="preserve"> by a large body of literature in relation to </w:t>
      </w:r>
      <w:r w:rsidR="00F87059">
        <w:rPr>
          <w:lang w:eastAsia="en-AU"/>
        </w:rPr>
        <w:t xml:space="preserve">compliance in </w:t>
      </w:r>
      <w:r w:rsidR="0057176B">
        <w:rPr>
          <w:lang w:eastAsia="en-AU"/>
        </w:rPr>
        <w:t>the Australian taxation system, despite the Initiative possessing a</w:t>
      </w:r>
      <w:r w:rsidR="00E83176">
        <w:rPr>
          <w:lang w:eastAsia="en-AU"/>
        </w:rPr>
        <w:t>n ostensible ‘integrity’ motive,</w:t>
      </w:r>
      <w:r w:rsidR="005A1447">
        <w:rPr>
          <w:lang w:eastAsia="en-AU"/>
        </w:rPr>
        <w:t xml:space="preserve"> by neglecting to provide its customers with procedural justice and respect,</w:t>
      </w:r>
      <w:r w:rsidR="0057176B">
        <w:rPr>
          <w:lang w:eastAsia="en-AU"/>
        </w:rPr>
        <w:t xml:space="preserve"> </w:t>
      </w:r>
      <w:r w:rsidR="00891949">
        <w:rPr>
          <w:lang w:eastAsia="en-AU"/>
        </w:rPr>
        <w:t>it</w:t>
      </w:r>
      <w:r w:rsidR="0057176B">
        <w:rPr>
          <w:lang w:eastAsia="en-AU"/>
        </w:rPr>
        <w:t xml:space="preserve"> is far more likely to prod</w:t>
      </w:r>
      <w:r w:rsidR="00E83176">
        <w:rPr>
          <w:lang w:eastAsia="en-AU"/>
        </w:rPr>
        <w:t>uce a long term weakening of the integrity of the welfare system.</w:t>
      </w:r>
    </w:p>
    <w:p w14:paraId="77B6D889" w14:textId="77777777" w:rsidR="00085742" w:rsidRPr="00374F56" w:rsidRDefault="00085742" w:rsidP="00414F73">
      <w:pPr>
        <w:pStyle w:val="Heading2"/>
      </w:pPr>
      <w:bookmarkStart w:id="7" w:name="_Toc479316951"/>
      <w:r w:rsidRPr="00374F56">
        <w:t>Asking questions about lawfulness</w:t>
      </w:r>
      <w:bookmarkEnd w:id="7"/>
    </w:p>
    <w:p w14:paraId="3C9DFD33" w14:textId="60313D6A" w:rsidR="00E83176" w:rsidRDefault="00E83176" w:rsidP="00085742">
      <w:pPr>
        <w:rPr>
          <w:lang w:eastAsia="en-AU"/>
        </w:rPr>
      </w:pPr>
      <w:r>
        <w:rPr>
          <w:lang w:eastAsia="en-AU"/>
        </w:rPr>
        <w:t xml:space="preserve">While the method of debt recovery under the Initiative shares some key features with </w:t>
      </w:r>
      <w:r w:rsidR="00891949">
        <w:rPr>
          <w:lang w:eastAsia="en-AU"/>
        </w:rPr>
        <w:t>Centrelink’s previous automated compliance interventions, it is di</w:t>
      </w:r>
      <w:r w:rsidR="004A2CDA">
        <w:rPr>
          <w:lang w:eastAsia="en-AU"/>
        </w:rPr>
        <w:t xml:space="preserve">stinct in a fundamental sense. </w:t>
      </w:r>
      <w:r w:rsidR="00561788">
        <w:rPr>
          <w:lang w:eastAsia="en-AU"/>
        </w:rPr>
        <w:t>U</w:t>
      </w:r>
      <w:r w:rsidR="00891949">
        <w:rPr>
          <w:lang w:eastAsia="en-AU"/>
        </w:rPr>
        <w:t>nder the Initiative, we understand that:</w:t>
      </w:r>
      <w:r w:rsidR="00891949">
        <w:rPr>
          <w:rStyle w:val="FootnoteReference"/>
          <w:lang w:eastAsia="en-AU"/>
        </w:rPr>
        <w:footnoteReference w:id="1"/>
      </w:r>
    </w:p>
    <w:p w14:paraId="14076A11" w14:textId="0ABC8C43" w:rsidR="00891949" w:rsidRDefault="002D74B3" w:rsidP="00414F73">
      <w:pPr>
        <w:pStyle w:val="ListBullet"/>
        <w:rPr>
          <w:lang w:eastAsia="en-AU"/>
        </w:rPr>
      </w:pPr>
      <w:r>
        <w:rPr>
          <w:lang w:eastAsia="en-AU"/>
        </w:rPr>
        <w:t>y</w:t>
      </w:r>
      <w:r w:rsidR="00891949">
        <w:rPr>
          <w:lang w:eastAsia="en-AU"/>
        </w:rPr>
        <w:t>early income contained in tax returns is averaged into fortnightly payments (or, alternatively income across a part of a year is aver</w:t>
      </w:r>
      <w:r>
        <w:rPr>
          <w:lang w:eastAsia="en-AU"/>
        </w:rPr>
        <w:t>aged into fortnightly payments)</w:t>
      </w:r>
    </w:p>
    <w:p w14:paraId="7B7CCE29" w14:textId="6052622A" w:rsidR="00561788" w:rsidRDefault="002D74B3" w:rsidP="00414F73">
      <w:pPr>
        <w:pStyle w:val="ListBullet"/>
        <w:rPr>
          <w:lang w:eastAsia="en-AU"/>
        </w:rPr>
      </w:pPr>
      <w:r>
        <w:rPr>
          <w:lang w:eastAsia="en-AU"/>
        </w:rPr>
        <w:t>i</w:t>
      </w:r>
      <w:r w:rsidR="00891949">
        <w:rPr>
          <w:lang w:eastAsia="en-AU"/>
        </w:rPr>
        <w:t xml:space="preserve">ncome data of this kind </w:t>
      </w:r>
      <w:r w:rsidR="00561788">
        <w:rPr>
          <w:lang w:eastAsia="en-AU"/>
        </w:rPr>
        <w:t>is used as the preferred basis for calculating a fortnightly amount of a particular Centrelink pay</w:t>
      </w:r>
      <w:r>
        <w:rPr>
          <w:lang w:eastAsia="en-AU"/>
        </w:rPr>
        <w:t>ment which is deemed to be owed</w:t>
      </w:r>
    </w:p>
    <w:p w14:paraId="7DFDFFBD" w14:textId="0F0A635B" w:rsidR="00891949" w:rsidRDefault="002D74B3" w:rsidP="00414F73">
      <w:pPr>
        <w:pStyle w:val="ListBullet"/>
        <w:rPr>
          <w:lang w:eastAsia="en-AU"/>
        </w:rPr>
      </w:pPr>
      <w:r>
        <w:rPr>
          <w:lang w:eastAsia="en-AU"/>
        </w:rPr>
        <w:t>t</w:t>
      </w:r>
      <w:r w:rsidR="00561788">
        <w:rPr>
          <w:lang w:eastAsia="en-AU"/>
        </w:rPr>
        <w:t xml:space="preserve">his income data is then </w:t>
      </w:r>
      <w:r w:rsidR="00891949">
        <w:rPr>
          <w:lang w:eastAsia="en-AU"/>
        </w:rPr>
        <w:t>automatically</w:t>
      </w:r>
      <w:r w:rsidR="00561788">
        <w:rPr>
          <w:lang w:eastAsia="en-AU"/>
        </w:rPr>
        <w:t xml:space="preserve"> compared with </w:t>
      </w:r>
      <w:r w:rsidR="00891949">
        <w:rPr>
          <w:lang w:eastAsia="en-AU"/>
        </w:rPr>
        <w:t>Centrelink</w:t>
      </w:r>
      <w:r w:rsidR="00561788">
        <w:rPr>
          <w:lang w:eastAsia="en-AU"/>
        </w:rPr>
        <w:t>’s</w:t>
      </w:r>
      <w:r w:rsidR="00891949">
        <w:rPr>
          <w:lang w:eastAsia="en-AU"/>
        </w:rPr>
        <w:t xml:space="preserve"> data </w:t>
      </w:r>
      <w:r w:rsidR="00561788">
        <w:rPr>
          <w:lang w:eastAsia="en-AU"/>
        </w:rPr>
        <w:t>about the</w:t>
      </w:r>
      <w:r w:rsidR="00891949">
        <w:rPr>
          <w:lang w:eastAsia="en-AU"/>
        </w:rPr>
        <w:t xml:space="preserve"> payments received </w:t>
      </w:r>
      <w:r w:rsidR="005A1447">
        <w:rPr>
          <w:lang w:eastAsia="en-AU"/>
        </w:rPr>
        <w:t xml:space="preserve">by a person </w:t>
      </w:r>
      <w:r>
        <w:rPr>
          <w:lang w:eastAsia="en-AU"/>
        </w:rPr>
        <w:t>across the relevant period</w:t>
      </w:r>
    </w:p>
    <w:p w14:paraId="1448F7D0" w14:textId="79A931F8" w:rsidR="00891949" w:rsidRDefault="002D74B3" w:rsidP="00414F73">
      <w:pPr>
        <w:pStyle w:val="ListBullet"/>
        <w:rPr>
          <w:lang w:eastAsia="en-AU"/>
        </w:rPr>
      </w:pPr>
      <w:r>
        <w:rPr>
          <w:lang w:eastAsia="en-AU"/>
        </w:rPr>
        <w:t>i</w:t>
      </w:r>
      <w:r w:rsidR="00561788">
        <w:rPr>
          <w:lang w:eastAsia="en-AU"/>
        </w:rPr>
        <w:t xml:space="preserve">f a discrepancy </w:t>
      </w:r>
      <w:r w:rsidR="00F87059">
        <w:rPr>
          <w:lang w:eastAsia="en-AU"/>
        </w:rPr>
        <w:t xml:space="preserve">arises </w:t>
      </w:r>
      <w:r w:rsidR="00561788">
        <w:rPr>
          <w:lang w:eastAsia="en-AU"/>
        </w:rPr>
        <w:t xml:space="preserve">between the amount said, under the data matching equation, to be owed in a fortnight and the amount paid by Centrelink, a letter is automatically generated advising an individual of </w:t>
      </w:r>
      <w:r w:rsidR="005A1447">
        <w:rPr>
          <w:lang w:eastAsia="en-AU"/>
        </w:rPr>
        <w:t>a</w:t>
      </w:r>
      <w:r w:rsidR="004A2CDA">
        <w:rPr>
          <w:lang w:eastAsia="en-AU"/>
        </w:rPr>
        <w:t xml:space="preserve"> ‘suspected overpayment’. </w:t>
      </w:r>
      <w:r w:rsidR="00561788">
        <w:rPr>
          <w:lang w:eastAsia="en-AU"/>
        </w:rPr>
        <w:t xml:space="preserve">A person is given </w:t>
      </w:r>
      <w:r w:rsidR="00876671">
        <w:rPr>
          <w:lang w:eastAsia="en-AU"/>
        </w:rPr>
        <w:t xml:space="preserve">a short, specified, period </w:t>
      </w:r>
      <w:r w:rsidR="00561788">
        <w:rPr>
          <w:lang w:eastAsia="en-AU"/>
        </w:rPr>
        <w:t>to engage with Cen</w:t>
      </w:r>
      <w:r>
        <w:rPr>
          <w:lang w:eastAsia="en-AU"/>
        </w:rPr>
        <w:t>trelink in relation to the data</w:t>
      </w:r>
    </w:p>
    <w:p w14:paraId="4E57ADAB" w14:textId="60A44E5F" w:rsidR="00561788" w:rsidRDefault="002D74B3" w:rsidP="00414F73">
      <w:pPr>
        <w:pStyle w:val="ListBullet"/>
        <w:rPr>
          <w:lang w:eastAsia="en-AU"/>
        </w:rPr>
      </w:pPr>
      <w:r>
        <w:rPr>
          <w:lang w:eastAsia="en-AU"/>
        </w:rPr>
        <w:t>a</w:t>
      </w:r>
      <w:r w:rsidR="00561788">
        <w:rPr>
          <w:lang w:eastAsia="en-AU"/>
        </w:rPr>
        <w:t xml:space="preserve"> failure to engage,</w:t>
      </w:r>
      <w:r w:rsidR="000417F4">
        <w:rPr>
          <w:lang w:eastAsia="en-AU"/>
        </w:rPr>
        <w:t xml:space="preserve"> a failure to provide detailed</w:t>
      </w:r>
      <w:r w:rsidR="00561788">
        <w:rPr>
          <w:lang w:eastAsia="en-AU"/>
        </w:rPr>
        <w:t xml:space="preserve"> histor</w:t>
      </w:r>
      <w:r w:rsidR="000417F4">
        <w:rPr>
          <w:lang w:eastAsia="en-AU"/>
        </w:rPr>
        <w:t>ical</w:t>
      </w:r>
      <w:r w:rsidR="00561788">
        <w:rPr>
          <w:lang w:eastAsia="en-AU"/>
        </w:rPr>
        <w:t xml:space="preserve"> information such as payslips, </w:t>
      </w:r>
      <w:r w:rsidR="00876671">
        <w:rPr>
          <w:lang w:eastAsia="en-AU"/>
        </w:rPr>
        <w:t xml:space="preserve">or an acquiescence in respect of the data, </w:t>
      </w:r>
      <w:r w:rsidR="00561788">
        <w:rPr>
          <w:lang w:eastAsia="en-AU"/>
        </w:rPr>
        <w:t>will lead to the formal raising of a debt.</w:t>
      </w:r>
    </w:p>
    <w:p w14:paraId="14AE616D" w14:textId="0B7914BD" w:rsidR="00561788" w:rsidRDefault="00561788" w:rsidP="00561788">
      <w:pPr>
        <w:rPr>
          <w:lang w:eastAsia="en-AU"/>
        </w:rPr>
      </w:pPr>
      <w:r>
        <w:rPr>
          <w:lang w:eastAsia="en-AU"/>
        </w:rPr>
        <w:t>Critically, under the Initiative</w:t>
      </w:r>
      <w:r w:rsidR="00414F73">
        <w:rPr>
          <w:lang w:eastAsia="en-AU"/>
        </w:rPr>
        <w:t>, in those</w:t>
      </w:r>
      <w:r w:rsidR="000417F4">
        <w:rPr>
          <w:lang w:eastAsia="en-AU"/>
        </w:rPr>
        <w:t xml:space="preserve"> circumstances</w:t>
      </w:r>
      <w:r>
        <w:rPr>
          <w:lang w:eastAsia="en-AU"/>
        </w:rPr>
        <w:t>:</w:t>
      </w:r>
    </w:p>
    <w:p w14:paraId="00DC4015" w14:textId="7F9F7538" w:rsidR="00561788" w:rsidRDefault="002D74B3" w:rsidP="00414F73">
      <w:pPr>
        <w:pStyle w:val="ListBullet"/>
        <w:rPr>
          <w:lang w:eastAsia="en-AU"/>
        </w:rPr>
      </w:pPr>
      <w:r>
        <w:rPr>
          <w:lang w:eastAsia="en-AU"/>
        </w:rPr>
        <w:lastRenderedPageBreak/>
        <w:t>t</w:t>
      </w:r>
      <w:r w:rsidR="00561788">
        <w:rPr>
          <w:lang w:eastAsia="en-AU"/>
        </w:rPr>
        <w:t>here is no process for initial</w:t>
      </w:r>
      <w:r w:rsidR="000417F4">
        <w:rPr>
          <w:lang w:eastAsia="en-AU"/>
        </w:rPr>
        <w:t xml:space="preserve"> human consideration of the data match before the initi</w:t>
      </w:r>
      <w:r>
        <w:rPr>
          <w:lang w:eastAsia="en-AU"/>
        </w:rPr>
        <w:t>al discrepancy letter is issued</w:t>
      </w:r>
    </w:p>
    <w:p w14:paraId="1C9322EC" w14:textId="0269B479" w:rsidR="00EE70DD" w:rsidRDefault="002D74B3" w:rsidP="00414F73">
      <w:pPr>
        <w:pStyle w:val="ListBullet"/>
        <w:rPr>
          <w:lang w:eastAsia="en-AU"/>
        </w:rPr>
      </w:pPr>
      <w:r>
        <w:rPr>
          <w:lang w:eastAsia="en-AU"/>
        </w:rPr>
        <w:t>t</w:t>
      </w:r>
      <w:r w:rsidR="000417F4">
        <w:rPr>
          <w:lang w:eastAsia="en-AU"/>
        </w:rPr>
        <w:t xml:space="preserve">here is no requirement that a human </w:t>
      </w:r>
      <w:r w:rsidR="009A6950">
        <w:rPr>
          <w:lang w:eastAsia="en-AU"/>
        </w:rPr>
        <w:t xml:space="preserve">critically engage with </w:t>
      </w:r>
      <w:r w:rsidR="000417F4">
        <w:rPr>
          <w:lang w:eastAsia="en-AU"/>
        </w:rPr>
        <w:t xml:space="preserve">the correctness of the </w:t>
      </w:r>
      <w:r w:rsidR="00EE70DD">
        <w:rPr>
          <w:lang w:eastAsia="en-AU"/>
        </w:rPr>
        <w:t xml:space="preserve">premises behind the </w:t>
      </w:r>
      <w:r w:rsidR="000417F4">
        <w:rPr>
          <w:lang w:eastAsia="en-AU"/>
        </w:rPr>
        <w:t>data-match before a formal debt is raised.</w:t>
      </w:r>
      <w:r w:rsidR="00B94104">
        <w:rPr>
          <w:lang w:eastAsia="en-AU"/>
        </w:rPr>
        <w:t xml:space="preserve"> </w:t>
      </w:r>
      <w:r w:rsidR="00EE70DD">
        <w:rPr>
          <w:lang w:eastAsia="en-AU"/>
        </w:rPr>
        <w:t xml:space="preserve">Instead, Centrelink has routinely stated in its initial discrepancy letters to individuals that: </w:t>
      </w:r>
    </w:p>
    <w:p w14:paraId="53AF818A" w14:textId="64420441" w:rsidR="00EE70DD" w:rsidRPr="00EE70DD" w:rsidRDefault="00EE70DD" w:rsidP="00414F73">
      <w:pPr>
        <w:pStyle w:val="VLAquotation"/>
        <w:ind w:left="1440"/>
        <w:rPr>
          <w:lang w:eastAsia="en-AU"/>
        </w:rPr>
      </w:pPr>
      <w:r w:rsidRPr="00EE70DD">
        <w:rPr>
          <w:lang w:eastAsia="en-AU"/>
        </w:rPr>
        <w:t>…</w:t>
      </w:r>
      <w:r w:rsidR="00414F73">
        <w:rPr>
          <w:lang w:eastAsia="en-AU"/>
        </w:rPr>
        <w:t xml:space="preserve"> </w:t>
      </w:r>
      <w:r w:rsidRPr="00EE70DD">
        <w:rPr>
          <w:lang w:eastAsia="en-AU"/>
        </w:rPr>
        <w:t>if you do not confirm your employment income online</w:t>
      </w:r>
      <w:r w:rsidR="00414F73">
        <w:rPr>
          <w:lang w:eastAsia="en-AU"/>
        </w:rPr>
        <w:t xml:space="preserve"> </w:t>
      </w:r>
      <w:r w:rsidRPr="00EE70DD">
        <w:rPr>
          <w:lang w:eastAsia="en-AU"/>
        </w:rPr>
        <w:t>… we will update your details using the enclosed</w:t>
      </w:r>
      <w:r w:rsidR="0017198B">
        <w:rPr>
          <w:lang w:eastAsia="en-AU"/>
        </w:rPr>
        <w:t xml:space="preserve"> employment income information </w:t>
      </w:r>
      <w:r w:rsidRPr="00EE70DD">
        <w:rPr>
          <w:lang w:eastAsia="en-AU"/>
        </w:rPr>
        <w:t>(</w:t>
      </w:r>
      <w:r w:rsidR="00414F73">
        <w:rPr>
          <w:lang w:eastAsia="en-AU"/>
        </w:rPr>
        <w:t>ie</w:t>
      </w:r>
      <w:r w:rsidR="0017198B">
        <w:rPr>
          <w:lang w:eastAsia="en-AU"/>
        </w:rPr>
        <w:t xml:space="preserve"> </w:t>
      </w:r>
      <w:r w:rsidRPr="00EE70DD">
        <w:rPr>
          <w:lang w:eastAsia="en-AU"/>
        </w:rPr>
        <w:t>where the employment income information has been generated by the data-match</w:t>
      </w:r>
      <w:r w:rsidR="0017198B">
        <w:rPr>
          <w:lang w:eastAsia="en-AU"/>
        </w:rPr>
        <w:t>)</w:t>
      </w:r>
      <w:r w:rsidRPr="00EE70DD">
        <w:rPr>
          <w:lang w:eastAsia="en-AU"/>
        </w:rPr>
        <w:t>.</w:t>
      </w:r>
    </w:p>
    <w:p w14:paraId="0F096D41" w14:textId="677166E6" w:rsidR="00E83176" w:rsidRDefault="0095388B" w:rsidP="00B94104">
      <w:pPr>
        <w:rPr>
          <w:lang w:eastAsia="en-AU"/>
        </w:rPr>
      </w:pPr>
      <w:r>
        <w:rPr>
          <w:lang w:eastAsia="en-AU"/>
        </w:rPr>
        <w:t>In these circumstances, VLA has significant concerns that where a ‘robo-debt’ has been raised it may not be sufficiently certain or accurate to satisfy the requirements for ra</w:t>
      </w:r>
      <w:r w:rsidR="004A2CDA">
        <w:rPr>
          <w:lang w:eastAsia="en-AU"/>
        </w:rPr>
        <w:t xml:space="preserve">ising a debt under the SS Act. </w:t>
      </w:r>
      <w:r>
        <w:rPr>
          <w:lang w:eastAsia="en-AU"/>
        </w:rPr>
        <w:t xml:space="preserve">This is because, under the relevant provisions of the </w:t>
      </w:r>
      <w:r w:rsidR="0017198B">
        <w:rPr>
          <w:lang w:eastAsia="en-AU"/>
        </w:rPr>
        <w:t xml:space="preserve">SS </w:t>
      </w:r>
      <w:r>
        <w:rPr>
          <w:lang w:eastAsia="en-AU"/>
        </w:rPr>
        <w:t>Act</w:t>
      </w:r>
      <w:r>
        <w:rPr>
          <w:rStyle w:val="FootnoteReference"/>
          <w:lang w:eastAsia="en-AU"/>
        </w:rPr>
        <w:footnoteReference w:id="2"/>
      </w:r>
      <w:r>
        <w:rPr>
          <w:lang w:eastAsia="en-AU"/>
        </w:rPr>
        <w:t xml:space="preserve"> a debt is only recoverable</w:t>
      </w:r>
      <w:r w:rsidR="0017198B">
        <w:rPr>
          <w:lang w:eastAsia="en-AU"/>
        </w:rPr>
        <w:t xml:space="preserve"> by Centrelink or the Department</w:t>
      </w:r>
      <w:r>
        <w:rPr>
          <w:lang w:eastAsia="en-AU"/>
        </w:rPr>
        <w:t xml:space="preserve"> if, among other things, it </w:t>
      </w:r>
      <w:r w:rsidRPr="00414F73">
        <w:rPr>
          <w:lang w:eastAsia="en-AU"/>
        </w:rPr>
        <w:t>is</w:t>
      </w:r>
      <w:r w:rsidR="00414F73">
        <w:rPr>
          <w:lang w:eastAsia="en-AU"/>
        </w:rPr>
        <w:t xml:space="preserve"> ‘</w:t>
      </w:r>
      <w:r>
        <w:rPr>
          <w:lang w:eastAsia="en-AU"/>
        </w:rPr>
        <w:t>owed to the Commonwealth</w:t>
      </w:r>
      <w:r w:rsidR="00414F73">
        <w:rPr>
          <w:lang w:eastAsia="en-AU"/>
        </w:rPr>
        <w:t>’</w:t>
      </w:r>
      <w:r w:rsidR="00A66E6A">
        <w:rPr>
          <w:rStyle w:val="FootnoteReference"/>
          <w:lang w:eastAsia="en-AU"/>
        </w:rPr>
        <w:footnoteReference w:id="3"/>
      </w:r>
      <w:r>
        <w:rPr>
          <w:lang w:eastAsia="en-AU"/>
        </w:rPr>
        <w:t xml:space="preserve"> </w:t>
      </w:r>
      <w:r w:rsidR="00A66E6A">
        <w:rPr>
          <w:lang w:eastAsia="en-AU"/>
        </w:rPr>
        <w:t xml:space="preserve">and </w:t>
      </w:r>
      <w:r w:rsidR="00414F73">
        <w:rPr>
          <w:lang w:eastAsia="en-AU"/>
        </w:rPr>
        <w:t>‘</w:t>
      </w:r>
      <w:r w:rsidR="00A66E6A">
        <w:rPr>
          <w:lang w:eastAsia="en-AU"/>
        </w:rPr>
        <w:t xml:space="preserve">a person who obtains the benefit of the payment was </w:t>
      </w:r>
      <w:r w:rsidR="00A66E6A" w:rsidRPr="0017198B">
        <w:rPr>
          <w:b/>
          <w:lang w:eastAsia="en-AU"/>
        </w:rPr>
        <w:t>not</w:t>
      </w:r>
      <w:r w:rsidR="00A66E6A">
        <w:rPr>
          <w:lang w:eastAsia="en-AU"/>
        </w:rPr>
        <w:t xml:space="preserve"> entitled for a reason to obtain that benefit</w:t>
      </w:r>
      <w:r w:rsidR="00414F73">
        <w:rPr>
          <w:lang w:eastAsia="en-AU"/>
        </w:rPr>
        <w:t>’</w:t>
      </w:r>
      <w:r w:rsidR="00A66E6A">
        <w:rPr>
          <w:lang w:eastAsia="en-AU"/>
        </w:rPr>
        <w:t>.</w:t>
      </w:r>
      <w:r w:rsidR="00A66E6A">
        <w:rPr>
          <w:rStyle w:val="FootnoteReference"/>
          <w:lang w:eastAsia="en-AU"/>
        </w:rPr>
        <w:footnoteReference w:id="4"/>
      </w:r>
      <w:r w:rsidR="004A2CDA">
        <w:rPr>
          <w:lang w:eastAsia="en-AU"/>
        </w:rPr>
        <w:t xml:space="preserve"> </w:t>
      </w:r>
      <w:r w:rsidR="00A66E6A">
        <w:rPr>
          <w:lang w:eastAsia="en-AU"/>
        </w:rPr>
        <w:t>Each of these requirements connote that there is reasonable and sufficient certainty on the part of an officer that such a debt does exist or that a person was not entitled to a payment.</w:t>
      </w:r>
      <w:r w:rsidR="009A6950">
        <w:rPr>
          <w:lang w:eastAsia="en-AU"/>
        </w:rPr>
        <w:t xml:space="preserve"> Moreover, in our </w:t>
      </w:r>
      <w:r w:rsidR="0017198B">
        <w:rPr>
          <w:lang w:eastAsia="en-AU"/>
        </w:rPr>
        <w:t xml:space="preserve">recent </w:t>
      </w:r>
      <w:r w:rsidR="009A6950">
        <w:rPr>
          <w:lang w:eastAsia="en-AU"/>
        </w:rPr>
        <w:t>experience</w:t>
      </w:r>
      <w:r w:rsidR="0017198B">
        <w:rPr>
          <w:lang w:eastAsia="en-AU"/>
        </w:rPr>
        <w:t>,</w:t>
      </w:r>
      <w:r w:rsidR="009A6950">
        <w:rPr>
          <w:lang w:eastAsia="en-AU"/>
        </w:rPr>
        <w:t xml:space="preserve"> </w:t>
      </w:r>
      <w:r w:rsidR="00EE70DD">
        <w:rPr>
          <w:lang w:eastAsia="en-AU"/>
        </w:rPr>
        <w:t>acting in an</w:t>
      </w:r>
      <w:r w:rsidR="009A6950">
        <w:rPr>
          <w:lang w:eastAsia="en-AU"/>
        </w:rPr>
        <w:t xml:space="preserve"> application for merits review of a robo-debt in the Administrative Appeals Tribunal (</w:t>
      </w:r>
      <w:r w:rsidR="009A6950" w:rsidRPr="00414F73">
        <w:rPr>
          <w:lang w:eastAsia="en-AU"/>
        </w:rPr>
        <w:t>AAT</w:t>
      </w:r>
      <w:r w:rsidR="009A6950">
        <w:rPr>
          <w:lang w:eastAsia="en-AU"/>
        </w:rPr>
        <w:t xml:space="preserve">), the ‘averaging’ which the data-match employs </w:t>
      </w:r>
      <w:r w:rsidR="00BB55D9">
        <w:rPr>
          <w:lang w:eastAsia="en-AU"/>
        </w:rPr>
        <w:t>appear</w:t>
      </w:r>
      <w:r w:rsidR="009A6950">
        <w:rPr>
          <w:lang w:eastAsia="en-AU"/>
        </w:rPr>
        <w:t xml:space="preserve"> to fall outside the </w:t>
      </w:r>
      <w:r w:rsidR="0017198B">
        <w:rPr>
          <w:lang w:eastAsia="en-AU"/>
        </w:rPr>
        <w:t>circumstances</w:t>
      </w:r>
      <w:r w:rsidR="00F87059">
        <w:rPr>
          <w:lang w:eastAsia="en-AU"/>
        </w:rPr>
        <w:t xml:space="preserve"> in which</w:t>
      </w:r>
      <w:r w:rsidR="00B94104">
        <w:rPr>
          <w:lang w:eastAsia="en-AU"/>
        </w:rPr>
        <w:t>, under the SS Act or the Guide to Social Security Law,</w:t>
      </w:r>
      <w:r w:rsidR="009A6950">
        <w:rPr>
          <w:lang w:eastAsia="en-AU"/>
        </w:rPr>
        <w:t xml:space="preserve"> income </w:t>
      </w:r>
      <w:r w:rsidR="0017198B">
        <w:rPr>
          <w:lang w:eastAsia="en-AU"/>
        </w:rPr>
        <w:t>is permitted to be averaged</w:t>
      </w:r>
      <w:r w:rsidR="009A6950">
        <w:rPr>
          <w:lang w:eastAsia="en-AU"/>
        </w:rPr>
        <w:t xml:space="preserve"> over a year.</w:t>
      </w:r>
      <w:r w:rsidR="009A6950">
        <w:rPr>
          <w:rStyle w:val="FootnoteReference"/>
          <w:lang w:eastAsia="en-AU"/>
        </w:rPr>
        <w:footnoteReference w:id="5"/>
      </w:r>
      <w:r w:rsidR="009A6950">
        <w:rPr>
          <w:lang w:eastAsia="en-AU"/>
        </w:rPr>
        <w:t xml:space="preserve"> </w:t>
      </w:r>
    </w:p>
    <w:p w14:paraId="77B117CC" w14:textId="013142E4" w:rsidR="00A66E6A" w:rsidRDefault="00B94104" w:rsidP="00085742">
      <w:pPr>
        <w:rPr>
          <w:lang w:eastAsia="en-AU"/>
        </w:rPr>
      </w:pPr>
      <w:r>
        <w:rPr>
          <w:lang w:eastAsia="en-AU"/>
        </w:rPr>
        <w:t>In</w:t>
      </w:r>
      <w:r w:rsidR="00A66E6A">
        <w:rPr>
          <w:lang w:eastAsia="en-AU"/>
        </w:rPr>
        <w:t xml:space="preserve"> the case of a robo-debt, it is unclear how an offi</w:t>
      </w:r>
      <w:r w:rsidR="009A6950">
        <w:rPr>
          <w:lang w:eastAsia="en-AU"/>
        </w:rPr>
        <w:t>cer could possess any certainty that the purported discrepancy generate</w:t>
      </w:r>
      <w:r w:rsidR="00414F73">
        <w:rPr>
          <w:lang w:eastAsia="en-AU"/>
        </w:rPr>
        <w:t>d by the data-match is correct.</w:t>
      </w:r>
      <w:r w:rsidR="009A6950">
        <w:rPr>
          <w:lang w:eastAsia="en-AU"/>
        </w:rPr>
        <w:t xml:space="preserve"> This is especially the case given that:</w:t>
      </w:r>
    </w:p>
    <w:p w14:paraId="5FEAEE5C" w14:textId="1CA0423A" w:rsidR="00B94104" w:rsidRDefault="00B94104" w:rsidP="00414F73">
      <w:pPr>
        <w:pStyle w:val="ListBullet"/>
        <w:rPr>
          <w:lang w:eastAsia="en-AU"/>
        </w:rPr>
      </w:pPr>
      <w:r>
        <w:rPr>
          <w:lang w:eastAsia="en-AU"/>
        </w:rPr>
        <w:t>Centrelink and the Department are aware that the error rate in raising alleged debts under the Initiative is materially high (despite bei</w:t>
      </w:r>
      <w:r w:rsidR="00414F73">
        <w:rPr>
          <w:lang w:eastAsia="en-AU"/>
        </w:rPr>
        <w:t>ng unable to quantify the rate)</w:t>
      </w:r>
      <w:r>
        <w:rPr>
          <w:rStyle w:val="FootnoteReference"/>
          <w:lang w:eastAsia="en-AU"/>
        </w:rPr>
        <w:footnoteReference w:id="6"/>
      </w:r>
    </w:p>
    <w:p w14:paraId="52C725FF" w14:textId="2DEE9B7B" w:rsidR="00501B72" w:rsidRDefault="002D74B3" w:rsidP="00414F73">
      <w:pPr>
        <w:pStyle w:val="ListBullet"/>
        <w:rPr>
          <w:lang w:eastAsia="en-AU"/>
        </w:rPr>
      </w:pPr>
      <w:r>
        <w:rPr>
          <w:lang w:eastAsia="en-AU"/>
        </w:rPr>
        <w:t>u</w:t>
      </w:r>
      <w:r w:rsidR="00B94104">
        <w:rPr>
          <w:lang w:eastAsia="en-AU"/>
        </w:rPr>
        <w:t xml:space="preserve">nder the Department’s own </w:t>
      </w:r>
      <w:r w:rsidR="00501B72">
        <w:rPr>
          <w:lang w:eastAsia="en-AU"/>
        </w:rPr>
        <w:t xml:space="preserve">operational </w:t>
      </w:r>
      <w:r w:rsidR="00B94104">
        <w:rPr>
          <w:lang w:eastAsia="en-AU"/>
        </w:rPr>
        <w:t xml:space="preserve">document titled </w:t>
      </w:r>
      <w:r w:rsidR="00B94104">
        <w:rPr>
          <w:i/>
          <w:lang w:eastAsia="en-AU"/>
        </w:rPr>
        <w:t>Acceptable documents for verifying income when investigating debts</w:t>
      </w:r>
      <w:r w:rsidR="00501B72">
        <w:rPr>
          <w:lang w:eastAsia="en-AU"/>
        </w:rPr>
        <w:t>,</w:t>
      </w:r>
      <w:r w:rsidR="00B94104">
        <w:rPr>
          <w:rStyle w:val="FootnoteReference"/>
          <w:i/>
          <w:lang w:eastAsia="en-AU"/>
        </w:rPr>
        <w:footnoteReference w:id="7"/>
      </w:r>
      <w:r w:rsidR="0017198B">
        <w:rPr>
          <w:lang w:eastAsia="en-AU"/>
        </w:rPr>
        <w:t xml:space="preserve"> it states that:</w:t>
      </w:r>
    </w:p>
    <w:p w14:paraId="3D099B07" w14:textId="18331B15" w:rsidR="00501B72" w:rsidRPr="00501B72" w:rsidRDefault="00501B72" w:rsidP="00414F73">
      <w:pPr>
        <w:pStyle w:val="VLAquotation"/>
        <w:ind w:left="1440"/>
        <w:rPr>
          <w:lang w:eastAsia="en-AU"/>
        </w:rPr>
      </w:pPr>
      <w:r w:rsidRPr="00501B72">
        <w:rPr>
          <w:lang w:eastAsia="en-AU"/>
        </w:rPr>
        <w:t>If employment is for a part of the year only, averaging over 12 months will not result in a correct result if the customer should have received a full rate at other time</w:t>
      </w:r>
      <w:r w:rsidR="0017198B">
        <w:rPr>
          <w:lang w:eastAsia="en-AU"/>
        </w:rPr>
        <w:t>s</w:t>
      </w:r>
      <w:r w:rsidRPr="00501B72">
        <w:rPr>
          <w:lang w:eastAsia="en-AU"/>
        </w:rPr>
        <w:t xml:space="preserve"> of the year</w:t>
      </w:r>
      <w:r w:rsidR="00414F73">
        <w:rPr>
          <w:lang w:eastAsia="en-AU"/>
        </w:rPr>
        <w:t>.</w:t>
      </w:r>
    </w:p>
    <w:p w14:paraId="348D2AE5" w14:textId="77777777" w:rsidR="00B94104" w:rsidRPr="00501B72" w:rsidRDefault="00501B72" w:rsidP="00414F73">
      <w:pPr>
        <w:pStyle w:val="VLAquotation"/>
        <w:ind w:left="1440"/>
        <w:rPr>
          <w:lang w:eastAsia="en-AU"/>
        </w:rPr>
      </w:pPr>
      <w:r w:rsidRPr="00501B72">
        <w:rPr>
          <w:lang w:eastAsia="en-AU"/>
        </w:rPr>
        <w:t xml:space="preserve">If income varied greatly during the year, the result may be incorrect. </w:t>
      </w:r>
    </w:p>
    <w:p w14:paraId="26B35462" w14:textId="7F109FF0" w:rsidR="00085742" w:rsidRPr="00501B72" w:rsidRDefault="00501B72" w:rsidP="00085742">
      <w:pPr>
        <w:rPr>
          <w:lang w:eastAsia="en-AU"/>
        </w:rPr>
      </w:pPr>
      <w:r>
        <w:rPr>
          <w:lang w:eastAsia="en-AU"/>
        </w:rPr>
        <w:t>As we discuss in more detail, under the Initiative, when a debt is raised</w:t>
      </w:r>
      <w:r w:rsidR="00EE70DD">
        <w:rPr>
          <w:lang w:eastAsia="en-AU"/>
        </w:rPr>
        <w:t>,</w:t>
      </w:r>
      <w:r>
        <w:rPr>
          <w:lang w:eastAsia="en-AU"/>
        </w:rPr>
        <w:t xml:space="preserve"> Centrelink is not required to set out the basis for coming to any degree of certainty about the quantum or existence of a debt; no</w:t>
      </w:r>
      <w:r w:rsidR="00BB55D9">
        <w:rPr>
          <w:lang w:eastAsia="en-AU"/>
        </w:rPr>
        <w:t>r</w:t>
      </w:r>
      <w:r>
        <w:rPr>
          <w:lang w:eastAsia="en-AU"/>
        </w:rPr>
        <w:t xml:space="preserve"> articulate its purported basis under the SS Act for raising </w:t>
      </w:r>
      <w:r w:rsidR="00EE70DD">
        <w:rPr>
          <w:lang w:eastAsia="en-AU"/>
        </w:rPr>
        <w:t>the</w:t>
      </w:r>
      <w:r>
        <w:rPr>
          <w:lang w:eastAsia="en-AU"/>
        </w:rPr>
        <w:t xml:space="preserve"> debt.</w:t>
      </w:r>
    </w:p>
    <w:p w14:paraId="48B8E820" w14:textId="77777777" w:rsidR="00085742" w:rsidRPr="00374F56" w:rsidRDefault="00085742" w:rsidP="00414F73">
      <w:pPr>
        <w:pStyle w:val="Heading2"/>
      </w:pPr>
      <w:bookmarkStart w:id="8" w:name="_Toc479316952"/>
      <w:r w:rsidRPr="00374F56">
        <w:lastRenderedPageBreak/>
        <w:t>Strong policy considerations against the Initiative</w:t>
      </w:r>
      <w:bookmarkEnd w:id="8"/>
    </w:p>
    <w:p w14:paraId="45618A0C" w14:textId="217F7C7C" w:rsidR="00E8705C" w:rsidRPr="00414F73" w:rsidRDefault="00501B72" w:rsidP="00414F73">
      <w:r w:rsidRPr="00414F73">
        <w:t xml:space="preserve">Even if the Initiative is lawful, in our view, it should </w:t>
      </w:r>
      <w:r w:rsidR="0017198B" w:rsidRPr="00414F73">
        <w:t>not be</w:t>
      </w:r>
      <w:r w:rsidRPr="00414F73">
        <w:t>.</w:t>
      </w:r>
    </w:p>
    <w:p w14:paraId="49F9C1E7" w14:textId="77777777" w:rsidR="00564F86" w:rsidRDefault="0017198B" w:rsidP="00414F73">
      <w:pPr>
        <w:pStyle w:val="Heading3"/>
      </w:pPr>
      <w:r w:rsidRPr="00564F86">
        <w:t>Irresponsible to re</w:t>
      </w:r>
      <w:r w:rsidR="00564F86" w:rsidRPr="00564F86">
        <w:t>ly on a blunt and error-prone tool</w:t>
      </w:r>
    </w:p>
    <w:p w14:paraId="0D90A911" w14:textId="243073FE" w:rsidR="00564F86" w:rsidRPr="00414F73" w:rsidRDefault="00501B72" w:rsidP="00414F73">
      <w:r w:rsidRPr="00414F73">
        <w:t>At a high level, we consider that raising of debts under the Initiativ</w:t>
      </w:r>
      <w:r w:rsidR="00EE70DD" w:rsidRPr="00414F73">
        <w:t xml:space="preserve">e has been and </w:t>
      </w:r>
      <w:r w:rsidR="00414F73">
        <w:t xml:space="preserve">continues to be irresponsible. </w:t>
      </w:r>
      <w:r w:rsidR="00EE70DD" w:rsidRPr="00414F73">
        <w:t xml:space="preserve">First, this is because the discrepancy letters issued and the subsequent debts raised are </w:t>
      </w:r>
      <w:r w:rsidR="00F87059" w:rsidRPr="00414F73">
        <w:t>a form of</w:t>
      </w:r>
      <w:r w:rsidR="00414F73">
        <w:t xml:space="preserve"> speculation. </w:t>
      </w:r>
      <w:r w:rsidR="00951752" w:rsidRPr="00414F73">
        <w:t xml:space="preserve">Whereas a data-match may be an entirely appropriate first step in investigating overpayments, the Department’s own acknowledgment that averaging may be incorrect and should be reviewed, means that it is too blunt and </w:t>
      </w:r>
      <w:r w:rsidR="00564F86" w:rsidRPr="00414F73">
        <w:t>error-prone</w:t>
      </w:r>
      <w:r w:rsidR="00951752" w:rsidRPr="00414F73">
        <w:t xml:space="preserve"> a tool to apply to establish a debt.</w:t>
      </w:r>
      <w:r w:rsidR="00CF1AC5" w:rsidRPr="00414F73">
        <w:t xml:space="preserve"> It is also a mechanism which is literally unable to take into </w:t>
      </w:r>
      <w:r w:rsidR="00E8705C" w:rsidRPr="00414F73">
        <w:t xml:space="preserve">account </w:t>
      </w:r>
      <w:r w:rsidR="00CF1AC5" w:rsidRPr="00414F73">
        <w:t xml:space="preserve">the specific factors which may be affecting a Centrelink customer (including hardship factors) at the time the purported discrepancy is </w:t>
      </w:r>
      <w:r w:rsidR="00564F86" w:rsidRPr="00414F73">
        <w:t>flagged by</w:t>
      </w:r>
      <w:r w:rsidR="00CF1AC5" w:rsidRPr="00414F73">
        <w:t xml:space="preserve"> the data</w:t>
      </w:r>
      <w:r w:rsidR="00564F86" w:rsidRPr="00414F73">
        <w:t>-match</w:t>
      </w:r>
      <w:r w:rsidR="00CF1AC5" w:rsidRPr="00414F73">
        <w:t xml:space="preserve">. </w:t>
      </w:r>
    </w:p>
    <w:p w14:paraId="01B2A51B" w14:textId="34E6BD43" w:rsidR="00CF1AC5" w:rsidRPr="00414F73" w:rsidRDefault="00CF1AC5" w:rsidP="00414F73">
      <w:r w:rsidRPr="00414F73">
        <w:t xml:space="preserve">This much was recently recognised by the Department of Veterans’ Affairs and the Senate Foreign Affairs, Defence and Trade Committee during the Committee’s inquiry into the Veterans’ Affairs’ Legislation Amendment (Digital Readiness </w:t>
      </w:r>
      <w:r w:rsidR="00414F73">
        <w:t>and Other Measures) Bill 2016.</w:t>
      </w:r>
      <w:r w:rsidRPr="00414F73">
        <w:t xml:space="preserve"> </w:t>
      </w:r>
      <w:r w:rsidR="00564F86" w:rsidRPr="00414F73">
        <w:t>In marked contrast to the Department and Centrelink’s approach</w:t>
      </w:r>
      <w:r w:rsidR="00F035C1" w:rsidRPr="00414F73">
        <w:t>, the</w:t>
      </w:r>
      <w:r w:rsidRPr="00414F73">
        <w:t xml:space="preserve"> Department of Veterans’ Affairs highlighted that</w:t>
      </w:r>
      <w:r w:rsidR="00F035C1" w:rsidRPr="00414F73">
        <w:t>, in respect of payments to war veterans</w:t>
      </w:r>
      <w:r w:rsidRPr="00414F73">
        <w:t>:</w:t>
      </w:r>
    </w:p>
    <w:p w14:paraId="3D74AB90" w14:textId="77777777" w:rsidR="00501B72" w:rsidRPr="00CF1AC5" w:rsidRDefault="00CF1AC5" w:rsidP="00414F73">
      <w:pPr>
        <w:pStyle w:val="VLAquotation"/>
        <w:rPr>
          <w:lang w:eastAsia="en-AU"/>
        </w:rPr>
      </w:pPr>
      <w:r>
        <w:rPr>
          <w:lang w:eastAsia="en-AU"/>
        </w:rPr>
        <w:t xml:space="preserve">… debt management and collection will remain a matter where the specific circumstances </w:t>
      </w:r>
      <w:r w:rsidR="0094625D">
        <w:rPr>
          <w:lang w:eastAsia="en-AU"/>
        </w:rPr>
        <w:t xml:space="preserve">of the individual and the value of the debt are considered in what action is taken and how it is communicated. </w:t>
      </w:r>
    </w:p>
    <w:p w14:paraId="3FE69A57" w14:textId="77777777" w:rsidR="00564F86" w:rsidRPr="00564F86" w:rsidRDefault="00564F86" w:rsidP="00414F73">
      <w:pPr>
        <w:pStyle w:val="Heading3"/>
      </w:pPr>
      <w:r w:rsidRPr="00564F86">
        <w:t>Risk that many individuals will pay erroneous debts</w:t>
      </w:r>
    </w:p>
    <w:p w14:paraId="0CBBE316" w14:textId="130255AB" w:rsidR="00414946" w:rsidRPr="00414F73" w:rsidRDefault="00414946" w:rsidP="00414F73">
      <w:r w:rsidRPr="00414F73">
        <w:t xml:space="preserve">Second, given the anticipated high error rate and that averaging in the context of variable incomes will produce incorrect data, we consider it is irresponsible to make that data match the predominating (if not the only) factor in Centrelink’s decision making </w:t>
      </w:r>
      <w:r w:rsidR="004A2CDA">
        <w:t xml:space="preserve">about the existence of a debt. </w:t>
      </w:r>
      <w:r w:rsidRPr="00414F73">
        <w:t xml:space="preserve">The risk that individuals will pay an incorrectly </w:t>
      </w:r>
      <w:r w:rsidR="00F87059" w:rsidRPr="00414F73">
        <w:t xml:space="preserve">raised </w:t>
      </w:r>
      <w:r w:rsidRPr="00414F73">
        <w:t xml:space="preserve">debt is more than hypothetical, especially given that social science research </w:t>
      </w:r>
      <w:r w:rsidR="00564F86" w:rsidRPr="00414F73">
        <w:t>regarding</w:t>
      </w:r>
      <w:r w:rsidRPr="00414F73">
        <w:t xml:space="preserve"> regulatory compliance (including </w:t>
      </w:r>
      <w:r w:rsidR="00424B79" w:rsidRPr="00414F73">
        <w:t xml:space="preserve">in the analogous context of </w:t>
      </w:r>
      <w:r w:rsidR="00564F86" w:rsidRPr="00414F73">
        <w:t xml:space="preserve">payment of </w:t>
      </w:r>
      <w:r w:rsidR="00424B79" w:rsidRPr="00414F73">
        <w:t>taxation assessment notices) confirm</w:t>
      </w:r>
      <w:r w:rsidR="00F87059" w:rsidRPr="00414F73">
        <w:t>s</w:t>
      </w:r>
      <w:r w:rsidR="00424B79" w:rsidRPr="00414F73">
        <w:t xml:space="preserve"> that, in ordinary circumstances, the </w:t>
      </w:r>
      <w:r w:rsidR="00BB55D9" w:rsidRPr="00414F73">
        <w:t xml:space="preserve">vast majority </w:t>
      </w:r>
      <w:r w:rsidR="00424B79" w:rsidRPr="00414F73">
        <w:t xml:space="preserve">of people will comply with </w:t>
      </w:r>
      <w:r w:rsidR="00BB55D9" w:rsidRPr="00414F73">
        <w:t>a request for payment.</w:t>
      </w:r>
      <w:r w:rsidR="00BB55D9" w:rsidRPr="00414F73">
        <w:rPr>
          <w:rStyle w:val="FootnoteReference"/>
        </w:rPr>
        <w:footnoteReference w:id="8"/>
      </w:r>
    </w:p>
    <w:p w14:paraId="1F03708D" w14:textId="77777777" w:rsidR="00564F86" w:rsidRPr="00564F86" w:rsidRDefault="00564F86" w:rsidP="00414F73">
      <w:pPr>
        <w:pStyle w:val="Heading3"/>
      </w:pPr>
      <w:r w:rsidRPr="00564F86">
        <w:t>Outsourcing a fundamental government function to vulnerable people</w:t>
      </w:r>
    </w:p>
    <w:p w14:paraId="6201957B" w14:textId="1C3B2836" w:rsidR="00CF1AC5" w:rsidRDefault="00414946" w:rsidP="00CF1AC5">
      <w:pPr>
        <w:rPr>
          <w:lang w:eastAsia="en-AU"/>
        </w:rPr>
      </w:pPr>
      <w:r>
        <w:rPr>
          <w:lang w:eastAsia="en-AU"/>
        </w:rPr>
        <w:t>Third,</w:t>
      </w:r>
      <w:r w:rsidR="00951752">
        <w:rPr>
          <w:lang w:eastAsia="en-AU"/>
        </w:rPr>
        <w:t xml:space="preserve"> </w:t>
      </w:r>
      <w:r w:rsidR="00EE70DD">
        <w:rPr>
          <w:lang w:eastAsia="en-AU"/>
        </w:rPr>
        <w:t>as we outline separately, the Initiative has resulted in individuals</w:t>
      </w:r>
      <w:r w:rsidR="0074648C">
        <w:rPr>
          <w:lang w:eastAsia="en-AU"/>
        </w:rPr>
        <w:t>,</w:t>
      </w:r>
      <w:r w:rsidR="00EE70DD">
        <w:rPr>
          <w:lang w:eastAsia="en-AU"/>
        </w:rPr>
        <w:t xml:space="preserve"> many of whom are vulnerable</w:t>
      </w:r>
      <w:r w:rsidR="0074648C">
        <w:rPr>
          <w:lang w:eastAsia="en-AU"/>
        </w:rPr>
        <w:t>,</w:t>
      </w:r>
      <w:r w:rsidR="00EE70DD">
        <w:rPr>
          <w:lang w:eastAsia="en-AU"/>
        </w:rPr>
        <w:t xml:space="preserve"> bearing the greatest burden</w:t>
      </w:r>
      <w:r w:rsidR="00414F73">
        <w:rPr>
          <w:lang w:eastAsia="en-AU"/>
        </w:rPr>
        <w:t xml:space="preserve"> in managing government funds. </w:t>
      </w:r>
      <w:r w:rsidR="00951752">
        <w:rPr>
          <w:lang w:eastAsia="en-AU"/>
        </w:rPr>
        <w:t xml:space="preserve">By casting the burden out to individuals to </w:t>
      </w:r>
      <w:r w:rsidR="00414F73">
        <w:rPr>
          <w:lang w:eastAsia="en-AU"/>
        </w:rPr>
        <w:t>‘</w:t>
      </w:r>
      <w:r w:rsidR="00951752">
        <w:rPr>
          <w:lang w:eastAsia="en-AU"/>
        </w:rPr>
        <w:t>correct the record</w:t>
      </w:r>
      <w:r w:rsidR="00414F73">
        <w:rPr>
          <w:lang w:eastAsia="en-AU"/>
        </w:rPr>
        <w:t>’</w:t>
      </w:r>
      <w:r w:rsidR="00951752">
        <w:rPr>
          <w:lang w:eastAsia="en-AU"/>
        </w:rPr>
        <w:t xml:space="preserve">, the Initiative has effectively outsourced its own responsibility to ensure that </w:t>
      </w:r>
      <w:r w:rsidR="006B796E">
        <w:rPr>
          <w:lang w:eastAsia="en-AU"/>
        </w:rPr>
        <w:t>only money which is permitted to be paid out of consolidated revenue is released.</w:t>
      </w:r>
      <w:r w:rsidR="006B796E">
        <w:rPr>
          <w:rStyle w:val="FootnoteReference"/>
          <w:lang w:eastAsia="en-AU"/>
        </w:rPr>
        <w:footnoteReference w:id="9"/>
      </w:r>
      <w:r w:rsidR="004A2CDA">
        <w:rPr>
          <w:lang w:eastAsia="en-AU"/>
        </w:rPr>
        <w:t xml:space="preserve"> </w:t>
      </w:r>
      <w:r w:rsidR="006B796E">
        <w:rPr>
          <w:lang w:eastAsia="en-AU"/>
        </w:rPr>
        <w:t xml:space="preserve">This is a fundamental government duty; not an obligation which should be </w:t>
      </w:r>
      <w:r w:rsidR="00F87059">
        <w:rPr>
          <w:lang w:eastAsia="en-AU"/>
        </w:rPr>
        <w:t xml:space="preserve">imposed </w:t>
      </w:r>
      <w:r w:rsidR="006B796E">
        <w:rPr>
          <w:lang w:eastAsia="en-AU"/>
        </w:rPr>
        <w:t>by default on individuals.</w:t>
      </w:r>
    </w:p>
    <w:p w14:paraId="71D07BBA" w14:textId="5D8B3B14" w:rsidR="00564F86" w:rsidRPr="00564F86" w:rsidRDefault="00414F73" w:rsidP="00414F73">
      <w:pPr>
        <w:pStyle w:val="Heading3"/>
        <w:rPr>
          <w:sz w:val="20"/>
          <w:szCs w:val="20"/>
        </w:rPr>
      </w:pPr>
      <w:r>
        <w:lastRenderedPageBreak/>
        <w:t>Outsourcing the obligation to ‘get it right’</w:t>
      </w:r>
      <w:r w:rsidR="00564F86" w:rsidRPr="00564F86">
        <w:t xml:space="preserve"> to legal service providers and the Courts and Tribunals</w:t>
      </w:r>
    </w:p>
    <w:p w14:paraId="66278BEC" w14:textId="1C9B9F3C" w:rsidR="00085742" w:rsidRDefault="00414946" w:rsidP="00085742">
      <w:pPr>
        <w:rPr>
          <w:lang w:eastAsia="en-AU"/>
        </w:rPr>
      </w:pPr>
      <w:r>
        <w:rPr>
          <w:lang w:eastAsia="en-AU"/>
        </w:rPr>
        <w:t>Fourth</w:t>
      </w:r>
      <w:r w:rsidR="006B796E">
        <w:rPr>
          <w:lang w:eastAsia="en-AU"/>
        </w:rPr>
        <w:t xml:space="preserve">, the Initiative has also passed </w:t>
      </w:r>
      <w:r w:rsidR="00EE70DD">
        <w:rPr>
          <w:lang w:eastAsia="en-AU"/>
        </w:rPr>
        <w:t>the bu</w:t>
      </w:r>
      <w:r w:rsidR="006B796E">
        <w:rPr>
          <w:lang w:eastAsia="en-AU"/>
        </w:rPr>
        <w:t xml:space="preserve">rden of </w:t>
      </w:r>
      <w:r w:rsidR="00414F73">
        <w:rPr>
          <w:lang w:eastAsia="en-AU"/>
        </w:rPr>
        <w:t>‘</w:t>
      </w:r>
      <w:r w:rsidR="00EE70DD">
        <w:rPr>
          <w:lang w:eastAsia="en-AU"/>
        </w:rPr>
        <w:t>getting it right</w:t>
      </w:r>
      <w:r w:rsidR="00414F73">
        <w:rPr>
          <w:lang w:eastAsia="en-AU"/>
        </w:rPr>
        <w:t>’</w:t>
      </w:r>
      <w:r w:rsidR="006B796E">
        <w:rPr>
          <w:lang w:eastAsia="en-AU"/>
        </w:rPr>
        <w:t xml:space="preserve"> </w:t>
      </w:r>
      <w:r w:rsidR="00EE70DD">
        <w:rPr>
          <w:lang w:eastAsia="en-AU"/>
        </w:rPr>
        <w:t>– without consultation</w:t>
      </w:r>
      <w:r w:rsidR="006B796E">
        <w:rPr>
          <w:lang w:eastAsia="en-AU"/>
        </w:rPr>
        <w:t xml:space="preserve"> or warning</w:t>
      </w:r>
      <w:r w:rsidR="00EE70DD">
        <w:rPr>
          <w:lang w:eastAsia="en-AU"/>
        </w:rPr>
        <w:t xml:space="preserve"> – to legal services and other entities in </w:t>
      </w:r>
      <w:r w:rsidR="00414F73">
        <w:rPr>
          <w:lang w:eastAsia="en-AU"/>
        </w:rPr>
        <w:t xml:space="preserve">the Court and Tribunal system. </w:t>
      </w:r>
      <w:r w:rsidR="00EE70DD">
        <w:rPr>
          <w:lang w:eastAsia="en-AU"/>
        </w:rPr>
        <w:t xml:space="preserve">In our experience, the Initiative has had a marked impact on demand for legal services, </w:t>
      </w:r>
      <w:r w:rsidR="006B796E">
        <w:rPr>
          <w:lang w:eastAsia="en-AU"/>
        </w:rPr>
        <w:t xml:space="preserve">especially during </w:t>
      </w:r>
      <w:r w:rsidR="00EE70DD">
        <w:rPr>
          <w:lang w:eastAsia="en-AU"/>
        </w:rPr>
        <w:t>a period</w:t>
      </w:r>
      <w:r w:rsidR="006B796E">
        <w:rPr>
          <w:lang w:eastAsia="en-AU"/>
        </w:rPr>
        <w:t xml:space="preserve"> (the Christmas to New Year period) where most legal services and Tribunals </w:t>
      </w:r>
      <w:r w:rsidR="004A2CDA">
        <w:rPr>
          <w:lang w:eastAsia="en-AU"/>
        </w:rPr>
        <w:t xml:space="preserve">operate on a light staff load. </w:t>
      </w:r>
      <w:r w:rsidR="006B796E">
        <w:rPr>
          <w:lang w:eastAsia="en-AU"/>
        </w:rPr>
        <w:t>Clients we have had engagement with</w:t>
      </w:r>
      <w:r w:rsidR="00F87059">
        <w:rPr>
          <w:lang w:eastAsia="en-AU"/>
        </w:rPr>
        <w:t>,</w:t>
      </w:r>
      <w:r w:rsidR="006B796E">
        <w:rPr>
          <w:lang w:eastAsia="en-AU"/>
        </w:rPr>
        <w:t xml:space="preserve"> have been told not to expect to hear from the AAT for months while it attempts to ma</w:t>
      </w:r>
      <w:r w:rsidR="00414F73">
        <w:rPr>
          <w:lang w:eastAsia="en-AU"/>
        </w:rPr>
        <w:t xml:space="preserve">nage an increase in workload. </w:t>
      </w:r>
      <w:r w:rsidR="007602FD">
        <w:rPr>
          <w:lang w:eastAsia="en-AU"/>
        </w:rPr>
        <w:t>Similarly, a</w:t>
      </w:r>
      <w:r w:rsidR="006B796E">
        <w:rPr>
          <w:lang w:eastAsia="en-AU"/>
        </w:rPr>
        <w:t xml:space="preserve">t VLA, we took more calls in the first </w:t>
      </w:r>
      <w:r w:rsidR="00E8705C">
        <w:rPr>
          <w:lang w:eastAsia="en-AU"/>
        </w:rPr>
        <w:t>seven</w:t>
      </w:r>
      <w:r w:rsidR="006B796E">
        <w:rPr>
          <w:lang w:eastAsia="en-AU"/>
        </w:rPr>
        <w:t xml:space="preserve"> days of January than for the enti</w:t>
      </w:r>
      <w:r w:rsidR="00414F73">
        <w:rPr>
          <w:lang w:eastAsia="en-AU"/>
        </w:rPr>
        <w:t xml:space="preserve">re month in the previous year. </w:t>
      </w:r>
      <w:r w:rsidR="006B796E">
        <w:rPr>
          <w:lang w:eastAsia="en-AU"/>
        </w:rPr>
        <w:t>Again, in our view, it is an inefficient and unjustifiable policy decis</w:t>
      </w:r>
      <w:r w:rsidR="00414F73">
        <w:rPr>
          <w:lang w:eastAsia="en-AU"/>
        </w:rPr>
        <w:t>ion to outsource the burden of ‘</w:t>
      </w:r>
      <w:r w:rsidR="006B796E">
        <w:rPr>
          <w:lang w:eastAsia="en-AU"/>
        </w:rPr>
        <w:t>getting it right the first time</w:t>
      </w:r>
      <w:r w:rsidR="00414F73">
        <w:rPr>
          <w:lang w:eastAsia="en-AU"/>
        </w:rPr>
        <w:t>’</w:t>
      </w:r>
      <w:r w:rsidR="006B796E">
        <w:rPr>
          <w:lang w:eastAsia="en-AU"/>
        </w:rPr>
        <w:t xml:space="preserve"> </w:t>
      </w:r>
      <w:r w:rsidR="0074648C">
        <w:rPr>
          <w:lang w:eastAsia="en-AU"/>
        </w:rPr>
        <w:t xml:space="preserve">to legal services and Tribunals </w:t>
      </w:r>
      <w:r w:rsidR="00414F73">
        <w:rPr>
          <w:lang w:eastAsia="en-AU"/>
        </w:rPr>
        <w:t>‘</w:t>
      </w:r>
      <w:r w:rsidR="007602FD">
        <w:rPr>
          <w:lang w:eastAsia="en-AU"/>
        </w:rPr>
        <w:t xml:space="preserve">to </w:t>
      </w:r>
      <w:r w:rsidR="0074648C">
        <w:rPr>
          <w:lang w:eastAsia="en-AU"/>
        </w:rPr>
        <w:t>get it right on review</w:t>
      </w:r>
      <w:r w:rsidR="00414F73">
        <w:rPr>
          <w:lang w:eastAsia="en-AU"/>
        </w:rPr>
        <w:t>’</w:t>
      </w:r>
      <w:r w:rsidR="0074648C">
        <w:rPr>
          <w:lang w:eastAsia="en-AU"/>
        </w:rPr>
        <w:t>.</w:t>
      </w:r>
    </w:p>
    <w:p w14:paraId="162FD898" w14:textId="77777777" w:rsidR="007602FD" w:rsidRPr="007602FD" w:rsidRDefault="007602FD" w:rsidP="00414F73">
      <w:pPr>
        <w:pStyle w:val="Heading3"/>
      </w:pPr>
      <w:r w:rsidRPr="007602FD">
        <w:t>Undermining public confidence and voluntary compliance</w:t>
      </w:r>
    </w:p>
    <w:p w14:paraId="4494FC5C" w14:textId="3E910F53" w:rsidR="00F017E3" w:rsidRPr="00414F73" w:rsidRDefault="00414946" w:rsidP="00414F73">
      <w:r w:rsidRPr="00414F73">
        <w:t>Fifth</w:t>
      </w:r>
      <w:r w:rsidR="006B796E" w:rsidRPr="00414F73">
        <w:t xml:space="preserve">, despite the Initiative’s integrity motive, it appears to us that </w:t>
      </w:r>
      <w:r w:rsidR="009B6FE8" w:rsidRPr="00414F73">
        <w:t>it</w:t>
      </w:r>
      <w:r w:rsidR="006B796E" w:rsidRPr="00414F73">
        <w:t xml:space="preserve"> is much more like</w:t>
      </w:r>
      <w:r w:rsidR="0015447C" w:rsidRPr="00414F73">
        <w:t xml:space="preserve">ly to </w:t>
      </w:r>
      <w:r w:rsidR="0074648C" w:rsidRPr="00414F73">
        <w:t xml:space="preserve">ultimately </w:t>
      </w:r>
      <w:r w:rsidR="0015447C" w:rsidRPr="00414F73">
        <w:t>lead to reduced integr</w:t>
      </w:r>
      <w:r w:rsidR="004A2CDA">
        <w:t xml:space="preserve">ity across the welfare system. </w:t>
      </w:r>
      <w:r w:rsidR="0015447C" w:rsidRPr="00414F73">
        <w:t>As has been established in international and domestic literature,</w:t>
      </w:r>
      <w:r w:rsidR="0074648C" w:rsidRPr="00414F73">
        <w:rPr>
          <w:rStyle w:val="FootnoteReference"/>
        </w:rPr>
        <w:footnoteReference w:id="10"/>
      </w:r>
      <w:r w:rsidR="0015447C" w:rsidRPr="00414F73">
        <w:t xml:space="preserve"> where </w:t>
      </w:r>
      <w:r w:rsidR="0074648C" w:rsidRPr="00414F73">
        <w:t xml:space="preserve">a regulator treats citizens without procedural justice and respect, the </w:t>
      </w:r>
      <w:r w:rsidR="00F44DD7" w:rsidRPr="00414F73">
        <w:t>rates of voluntary compliance with the regulatory system decline.</w:t>
      </w:r>
      <w:r w:rsidR="009B6FE8" w:rsidRPr="00414F73">
        <w:t xml:space="preserve"> Many of the elements of the Initiative, </w:t>
      </w:r>
      <w:r w:rsidR="00F87059" w:rsidRPr="00414F73">
        <w:t xml:space="preserve">including </w:t>
      </w:r>
      <w:r w:rsidR="009B6FE8" w:rsidRPr="00414F73">
        <w:t>poor accountability, poor communication in letters and by staff, lack of transparency, high error rates, insensitive timing</w:t>
      </w:r>
      <w:r w:rsidR="00241612" w:rsidRPr="00414F73">
        <w:t>,</w:t>
      </w:r>
      <w:r w:rsidR="009B6FE8" w:rsidRPr="00414F73">
        <w:t xml:space="preserve"> </w:t>
      </w:r>
      <w:r w:rsidR="0094625D" w:rsidRPr="00414F73">
        <w:t xml:space="preserve">lack of attention to personal hardship, </w:t>
      </w:r>
      <w:r w:rsidR="00F017E3" w:rsidRPr="00414F73">
        <w:t xml:space="preserve">and disclosing social security information to </w:t>
      </w:r>
      <w:r w:rsidR="00770BDB" w:rsidRPr="00414F73">
        <w:t xml:space="preserve">counter dissent, </w:t>
      </w:r>
      <w:r w:rsidR="009B6FE8" w:rsidRPr="00414F73">
        <w:t>contravene fundamental legal, procedural</w:t>
      </w:r>
      <w:r w:rsidR="00F87059" w:rsidRPr="00414F73">
        <w:t xml:space="preserve"> and</w:t>
      </w:r>
      <w:r w:rsidR="009B6FE8" w:rsidRPr="00414F73">
        <w:t xml:space="preserve"> social norms</w:t>
      </w:r>
      <w:r w:rsidR="00374F56" w:rsidRPr="00414F73">
        <w:t xml:space="preserve"> </w:t>
      </w:r>
      <w:r w:rsidR="00F017E3" w:rsidRPr="00414F73">
        <w:t xml:space="preserve">which </w:t>
      </w:r>
      <w:r w:rsidR="00F87059" w:rsidRPr="00414F73">
        <w:t xml:space="preserve">underpin the </w:t>
      </w:r>
      <w:r w:rsidR="00F017E3" w:rsidRPr="00414F73">
        <w:t>continuing compliance by citizens with the demands of government (including, for example, to honestly report cash income to Centrelink or repay debts)</w:t>
      </w:r>
      <w:r w:rsidR="00241612" w:rsidRPr="00414F73">
        <w:t>.</w:t>
      </w:r>
      <w:r w:rsidR="004A2CDA">
        <w:t xml:space="preserve"> </w:t>
      </w:r>
      <w:r w:rsidR="00F017E3" w:rsidRPr="00414F73">
        <w:t xml:space="preserve">As Professor Valerie Braithwaite and the Centre for Tax Integrity found during </w:t>
      </w:r>
      <w:r w:rsidR="00F87059" w:rsidRPr="00414F73">
        <w:t>a</w:t>
      </w:r>
      <w:r w:rsidR="00F017E3" w:rsidRPr="00414F73">
        <w:t xml:space="preserve"> </w:t>
      </w:r>
      <w:r w:rsidR="00414F73" w:rsidRPr="00414F73">
        <w:t>five-year</w:t>
      </w:r>
      <w:r w:rsidR="00F017E3" w:rsidRPr="00414F73">
        <w:t xml:space="preserve"> research project, ensuring continued voluntary </w:t>
      </w:r>
      <w:r w:rsidR="007602FD" w:rsidRPr="00414F73">
        <w:t>compliance requires a regulator</w:t>
      </w:r>
      <w:r w:rsidR="00F017E3" w:rsidRPr="00414F73">
        <w:t xml:space="preserve"> (like Centrelink) to:</w:t>
      </w:r>
    </w:p>
    <w:p w14:paraId="22A237A8" w14:textId="61361366" w:rsidR="00374F56" w:rsidRDefault="00414F73" w:rsidP="00414F73">
      <w:pPr>
        <w:pStyle w:val="ListBullet"/>
        <w:rPr>
          <w:lang w:eastAsia="en-AU"/>
        </w:rPr>
      </w:pPr>
      <w:r>
        <w:rPr>
          <w:lang w:eastAsia="en-AU"/>
        </w:rPr>
        <w:t>b</w:t>
      </w:r>
      <w:r w:rsidR="00F017E3">
        <w:rPr>
          <w:lang w:eastAsia="en-AU"/>
        </w:rPr>
        <w:t>e open to</w:t>
      </w:r>
      <w:r w:rsidR="007602FD">
        <w:rPr>
          <w:lang w:eastAsia="en-AU"/>
        </w:rPr>
        <w:t xml:space="preserve"> hearing and mitigating</w:t>
      </w:r>
      <w:r w:rsidR="00F017E3">
        <w:rPr>
          <w:lang w:eastAsia="en-AU"/>
        </w:rPr>
        <w:t xml:space="preserve"> hardship</w:t>
      </w:r>
    </w:p>
    <w:p w14:paraId="443DE087" w14:textId="3F8C26F7" w:rsidR="00F017E3" w:rsidRDefault="00414F73" w:rsidP="00414F73">
      <w:pPr>
        <w:pStyle w:val="ListBullet"/>
        <w:rPr>
          <w:lang w:eastAsia="en-AU"/>
        </w:rPr>
      </w:pPr>
      <w:r>
        <w:t>d</w:t>
      </w:r>
      <w:r w:rsidR="00F017E3">
        <w:t>eliver procedural justice to regulatees by treating individuals with respect, ensuring procedures are clear and transparent, and provid</w:t>
      </w:r>
      <w:r>
        <w:t>e a reasonable and fair hearing</w:t>
      </w:r>
    </w:p>
    <w:p w14:paraId="14DB733D" w14:textId="52A8FCF2" w:rsidR="00F017E3" w:rsidRDefault="00414F73" w:rsidP="00414F73">
      <w:pPr>
        <w:pStyle w:val="ListBullet"/>
        <w:rPr>
          <w:lang w:eastAsia="en-AU"/>
        </w:rPr>
      </w:pPr>
      <w:r>
        <w:t>e</w:t>
      </w:r>
      <w:r w:rsidR="00F017E3">
        <w:t>ngage constr</w:t>
      </w:r>
      <w:r>
        <w:t>uctively with dissenting voices</w:t>
      </w:r>
    </w:p>
    <w:p w14:paraId="41E0969E" w14:textId="76D33108" w:rsidR="00F017E3" w:rsidRDefault="00414F73" w:rsidP="00414F73">
      <w:pPr>
        <w:pStyle w:val="ListBullet"/>
        <w:rPr>
          <w:lang w:eastAsia="en-AU"/>
        </w:rPr>
      </w:pPr>
      <w:r>
        <w:t>e</w:t>
      </w:r>
      <w:r w:rsidR="00F017E3">
        <w:t>ngage with dissent in terms of social justice: Do the outcomes of the regulation benefit everyone? Are the costs and benefits of regulation born disproportionately?</w:t>
      </w:r>
    </w:p>
    <w:p w14:paraId="5FFF12B9" w14:textId="643163B6" w:rsidR="00F017E3" w:rsidRDefault="00414F73" w:rsidP="00414F73">
      <w:pPr>
        <w:pStyle w:val="ListBullet"/>
        <w:rPr>
          <w:lang w:eastAsia="en-AU"/>
        </w:rPr>
      </w:pPr>
      <w:r>
        <w:t>e</w:t>
      </w:r>
      <w:r w:rsidR="00F017E3">
        <w:t>ngage with dissent on moral grounds: Is it right to change the flow of events in this way?</w:t>
      </w:r>
      <w:r w:rsidR="00770BDB">
        <w:rPr>
          <w:rStyle w:val="FootnoteReference"/>
        </w:rPr>
        <w:footnoteReference w:id="11"/>
      </w:r>
    </w:p>
    <w:p w14:paraId="577E2F8D" w14:textId="6F628D07" w:rsidR="00085742" w:rsidRPr="00414F73" w:rsidRDefault="00F017E3" w:rsidP="00414F73">
      <w:r w:rsidRPr="00414F73">
        <w:t>We also</w:t>
      </w:r>
      <w:r w:rsidR="0094625D" w:rsidRPr="00414F73">
        <w:t xml:space="preserve"> draw the Committee’s attention to the </w:t>
      </w:r>
      <w:r w:rsidR="007602FD" w:rsidRPr="00414F73">
        <w:t xml:space="preserve">specific </w:t>
      </w:r>
      <w:r w:rsidR="0094625D" w:rsidRPr="00414F73">
        <w:t xml:space="preserve">integrity issues experienced by the Australian Taxation Office following its </w:t>
      </w:r>
      <w:r w:rsidR="00374F56" w:rsidRPr="00414F73">
        <w:t>well-publicised</w:t>
      </w:r>
      <w:r w:rsidR="0094625D" w:rsidRPr="00414F73">
        <w:t xml:space="preserve"> ‘crackdown’ on mass marketed scheme participants in the 1990s, including by sending opaque letters to alleged debtors in the weeks before Christmas.</w:t>
      </w:r>
      <w:r w:rsidR="0094625D" w:rsidRPr="00414F73">
        <w:rPr>
          <w:rStyle w:val="FootnoteReference"/>
        </w:rPr>
        <w:footnoteReference w:id="12"/>
      </w:r>
      <w:r w:rsidR="004A2CDA">
        <w:t xml:space="preserve"> </w:t>
      </w:r>
      <w:r w:rsidR="0094625D" w:rsidRPr="00414F73">
        <w:t>We note the ATO subsequently went ‘to great lengths to improve the quality and information</w:t>
      </w:r>
      <w:r w:rsidR="0094625D">
        <w:t xml:space="preserve"> </w:t>
      </w:r>
      <w:r w:rsidR="0094625D" w:rsidRPr="00414F73">
        <w:lastRenderedPageBreak/>
        <w:t>contained within its letters to investors’,</w:t>
      </w:r>
      <w:r w:rsidR="0094625D" w:rsidRPr="00414F73">
        <w:rPr>
          <w:rStyle w:val="FootnoteReference"/>
        </w:rPr>
        <w:footnoteReference w:id="13"/>
      </w:r>
      <w:r w:rsidR="0094625D" w:rsidRPr="00414F73">
        <w:t xml:space="preserve"> including ensuring that </w:t>
      </w:r>
      <w:r w:rsidR="00374F56" w:rsidRPr="00414F73">
        <w:t xml:space="preserve">notice </w:t>
      </w:r>
      <w:r w:rsidR="0094625D" w:rsidRPr="00414F73">
        <w:t>letters</w:t>
      </w:r>
      <w:r w:rsidR="00374F56" w:rsidRPr="00414F73">
        <w:t xml:space="preserve"> now</w:t>
      </w:r>
      <w:r w:rsidR="0094625D" w:rsidRPr="00414F73">
        <w:t xml:space="preserve"> outline possible payment plans and provide the name of a case manager who an investor can speak to.</w:t>
      </w:r>
    </w:p>
    <w:p w14:paraId="1EF32717" w14:textId="77777777" w:rsidR="007602FD" w:rsidRPr="00414F73" w:rsidRDefault="007602FD" w:rsidP="00414F73">
      <w:r w:rsidRPr="00414F73">
        <w:t xml:space="preserve">Against the background of these specific issues, we make the following </w:t>
      </w:r>
      <w:r w:rsidR="006C1FB0" w:rsidRPr="00414F73">
        <w:t>recommendations</w:t>
      </w:r>
      <w:r w:rsidRPr="00414F73">
        <w:t>.</w:t>
      </w:r>
    </w:p>
    <w:p w14:paraId="76D78927" w14:textId="77777777" w:rsidR="00414F73" w:rsidRDefault="00414F73" w:rsidP="00414F73">
      <w:r w:rsidRPr="00414F73">
        <w:rPr>
          <w:b/>
        </w:rPr>
        <w:t>Recommendation 1:</w:t>
      </w:r>
      <w:r>
        <w:t xml:space="preserve"> The Initiative should be suspended.</w:t>
      </w:r>
    </w:p>
    <w:p w14:paraId="45B5A696" w14:textId="1B1AC715" w:rsidR="00414F73" w:rsidRDefault="00414F73" w:rsidP="00414F73">
      <w:r w:rsidRPr="00414F73">
        <w:rPr>
          <w:b/>
        </w:rPr>
        <w:t>Recommendation 2:</w:t>
      </w:r>
      <w:r>
        <w:t xml:space="preserve"> The Social Security</w:t>
      </w:r>
      <w:r w:rsidR="002D74B3">
        <w:t xml:space="preserve"> Law and related legislation (eg</w:t>
      </w:r>
      <w:r>
        <w:t xml:space="preserve"> the Family Assistance Legislation) should be amended to expressly preclude debt recovery systems akin to the Initiative.</w:t>
      </w:r>
    </w:p>
    <w:p w14:paraId="64C4A76D" w14:textId="77777777" w:rsidR="00414F73" w:rsidRDefault="00414F73" w:rsidP="00414F73">
      <w:r w:rsidRPr="00414F73">
        <w:rPr>
          <w:b/>
        </w:rPr>
        <w:t>Recommendation 3:</w:t>
      </w:r>
      <w:r>
        <w:t xml:space="preserve"> Decisions to investigate or raise debts should retain a residual element of human oversight to mitigate the unavoidable risk of inaccurate data-matching and to ensure that there is active consideration, at the time of the communication, of the relevant hardship factors at play and the proper method of engaging in communication and negotiation with Centrelink customers.</w:t>
      </w:r>
    </w:p>
    <w:p w14:paraId="6757DFC1" w14:textId="6DD56D66" w:rsidR="00414F73" w:rsidRDefault="00414F73" w:rsidP="00414F73">
      <w:r w:rsidRPr="00414F73">
        <w:rPr>
          <w:b/>
        </w:rPr>
        <w:t>Recommendation 4:</w:t>
      </w:r>
      <w:r w:rsidR="004A2CDA">
        <w:t xml:space="preserve"> </w:t>
      </w:r>
      <w:r>
        <w:t xml:space="preserve">Centrelink should not place an unreasonable onus on people to ‘prove’ their prior entitlement to payments, eg, by a requirement to provide payslips from employment in prior financial years in circumstances where Centrelink had advised they were unnecessary to retain. </w:t>
      </w:r>
    </w:p>
    <w:p w14:paraId="312FE32E" w14:textId="0A8A75A3" w:rsidR="00414F73" w:rsidRDefault="00414F73" w:rsidP="00414F73">
      <w:r w:rsidRPr="00414F73">
        <w:rPr>
          <w:b/>
        </w:rPr>
        <w:t>Recommendation 5:</w:t>
      </w:r>
      <w:r w:rsidR="004A2CDA">
        <w:t xml:space="preserve"> </w:t>
      </w:r>
      <w:r>
        <w:t>The Department must make public the rate at which decisions to raise debts that are challenged are being modified on merits or internal review, including by providing information about the numbers of merits review and internal review applications which have been made.</w:t>
      </w:r>
    </w:p>
    <w:p w14:paraId="22F0E82C" w14:textId="18494137" w:rsidR="000417F4" w:rsidRPr="00414F73" w:rsidRDefault="00414F73" w:rsidP="00414F73">
      <w:r w:rsidRPr="00414F73">
        <w:rPr>
          <w:b/>
        </w:rPr>
        <w:t>Recommendation 6:</w:t>
      </w:r>
      <w:r>
        <w:t xml:space="preserve"> Debts should not be raised in effective reliance on data-matching unless the accuracy of the process i</w:t>
      </w:r>
      <w:r w:rsidR="004A2CDA">
        <w:t xml:space="preserve">s able to be demonstrated. </w:t>
      </w:r>
      <w:r>
        <w:t>This means that if data-matching is intended to be material to the raising of a debt, it must accurately reflect the complex combination of the specific requirements of social security law to an individual case and information previously provided by a person to Centrelink.</w:t>
      </w:r>
      <w:r w:rsidR="000417F4">
        <w:br w:type="page"/>
      </w:r>
    </w:p>
    <w:p w14:paraId="0F079231" w14:textId="77777777" w:rsidR="0011475E" w:rsidRDefault="00486AFA" w:rsidP="0011475E">
      <w:pPr>
        <w:pStyle w:val="Heading1"/>
      </w:pPr>
      <w:bookmarkStart w:id="9" w:name="_Toc479316953"/>
      <w:r>
        <w:lastRenderedPageBreak/>
        <w:t>Personal and financial consequences for individuals subject to automated debt notices</w:t>
      </w:r>
      <w:r w:rsidR="003C0DF7">
        <w:t xml:space="preserve"> (TOR (a),</w:t>
      </w:r>
      <w:r w:rsidR="00403CB1">
        <w:t xml:space="preserve"> </w:t>
      </w:r>
      <w:r w:rsidR="003C0DF7">
        <w:t>(b),</w:t>
      </w:r>
      <w:r w:rsidR="00A31347">
        <w:t xml:space="preserve"> </w:t>
      </w:r>
      <w:r w:rsidR="003C0DF7">
        <w:t>(c), (d), (g), (h), (j))</w:t>
      </w:r>
      <w:bookmarkEnd w:id="9"/>
    </w:p>
    <w:p w14:paraId="308009BD" w14:textId="77777777" w:rsidR="00531FD9" w:rsidRPr="00770BDB" w:rsidRDefault="00531FD9" w:rsidP="00414F73">
      <w:pPr>
        <w:pStyle w:val="Heading2"/>
      </w:pPr>
      <w:bookmarkStart w:id="10" w:name="_Toc479316954"/>
      <w:r w:rsidRPr="00770BDB">
        <w:t>Overview</w:t>
      </w:r>
      <w:bookmarkEnd w:id="10"/>
    </w:p>
    <w:p w14:paraId="3B026A62" w14:textId="5609BB7D" w:rsidR="001B3947" w:rsidRDefault="001B3947" w:rsidP="001B3947">
      <w:pPr>
        <w:rPr>
          <w:lang w:eastAsia="en-AU"/>
        </w:rPr>
      </w:pPr>
      <w:r>
        <w:rPr>
          <w:lang w:eastAsia="en-AU"/>
        </w:rPr>
        <w:t>Through VLA’s case work, we have witnessed the translation of a lack of responsible government action under the Initiative into real financial</w:t>
      </w:r>
      <w:r w:rsidR="004A2CDA">
        <w:rPr>
          <w:lang w:eastAsia="en-AU"/>
        </w:rPr>
        <w:t xml:space="preserve"> and personal harm for clients.</w:t>
      </w:r>
      <w:r>
        <w:rPr>
          <w:lang w:eastAsia="en-AU"/>
        </w:rPr>
        <w:t xml:space="preserve"> This is especially the case for those who were already vulnerable and typically rece</w:t>
      </w:r>
      <w:r w:rsidR="00080080">
        <w:rPr>
          <w:lang w:eastAsia="en-AU"/>
        </w:rPr>
        <w:t>iving a social security payment</w:t>
      </w:r>
      <w:r>
        <w:rPr>
          <w:lang w:eastAsia="en-AU"/>
        </w:rPr>
        <w:t xml:space="preserve"> because of those vulnerabilities. </w:t>
      </w:r>
    </w:p>
    <w:p w14:paraId="66B7F975" w14:textId="401A3AFC" w:rsidR="001B3947" w:rsidRDefault="001B3947" w:rsidP="001B3947">
      <w:pPr>
        <w:rPr>
          <w:lang w:eastAsia="en-AU"/>
        </w:rPr>
      </w:pPr>
      <w:r>
        <w:rPr>
          <w:lang w:eastAsia="en-AU"/>
        </w:rPr>
        <w:t xml:space="preserve">We set out two case studies </w:t>
      </w:r>
      <w:r w:rsidR="006D532E">
        <w:rPr>
          <w:lang w:eastAsia="en-AU"/>
        </w:rPr>
        <w:t>drawn from specific client stories rec</w:t>
      </w:r>
      <w:r>
        <w:rPr>
          <w:lang w:eastAsia="en-AU"/>
        </w:rPr>
        <w:t xml:space="preserve">ounted in </w:t>
      </w:r>
      <w:r w:rsidR="006D532E">
        <w:rPr>
          <w:lang w:eastAsia="en-AU"/>
        </w:rPr>
        <w:t xml:space="preserve">legal advice sessions </w:t>
      </w:r>
      <w:r w:rsidR="00FC4460">
        <w:rPr>
          <w:lang w:eastAsia="en-AU"/>
        </w:rPr>
        <w:t>since the Initiative commenced:</w:t>
      </w:r>
    </w:p>
    <w:p w14:paraId="1C0B6A04" w14:textId="77777777" w:rsidR="00414F73" w:rsidRPr="00414F73" w:rsidRDefault="00414F73" w:rsidP="00414F73">
      <w:pPr>
        <w:pStyle w:val="Casestudy"/>
        <w:rPr>
          <w:b/>
        </w:rPr>
      </w:pPr>
      <w:bookmarkStart w:id="11" w:name="June"/>
      <w:bookmarkEnd w:id="11"/>
      <w:r w:rsidRPr="00414F73">
        <w:rPr>
          <w:b/>
        </w:rPr>
        <w:t>Case study 1: June’s story</w:t>
      </w:r>
    </w:p>
    <w:p w14:paraId="7CEEEDF2" w14:textId="0A306C98" w:rsidR="00414F73" w:rsidRDefault="00414F73" w:rsidP="00414F73">
      <w:pPr>
        <w:pStyle w:val="Casestudy"/>
      </w:pPr>
      <w:r>
        <w:t>June is an Aboriginal woman living in regional Victoria. She has five children, including children at school. She is a single mother receiving the Single Parenting Payment. She has been diagnosed with Post-Traumatic Stress Disorder, anxiety and depression.</w:t>
      </w:r>
    </w:p>
    <w:p w14:paraId="752B5C97" w14:textId="386256A7" w:rsidR="00414F73" w:rsidRDefault="00414F73" w:rsidP="00414F73">
      <w:pPr>
        <w:pStyle w:val="Casestudy"/>
      </w:pPr>
      <w:r>
        <w:t>In early 2017, June received a letter from Centrelink alleging that data-matching had detected a discrepancy in her reporting while completing a train</w:t>
      </w:r>
      <w:r w:rsidR="004A2CDA">
        <w:t>eeship over five years earlier.</w:t>
      </w:r>
      <w:r>
        <w:t xml:space="preserve"> While undertaking the traineeship she made regular fortnightly r</w:t>
      </w:r>
      <w:r w:rsidR="004A2CDA">
        <w:t>eports of her variable income.</w:t>
      </w:r>
    </w:p>
    <w:p w14:paraId="1B8BFA7A" w14:textId="22151254" w:rsidR="00414F73" w:rsidRDefault="00414F73" w:rsidP="00414F73">
      <w:pPr>
        <w:pStyle w:val="Casestudy"/>
      </w:pPr>
      <w:r>
        <w:t>In response to the letter, June contacted the training organisation she had attended so that she could obtain payslips to support her earlier fortnightly reporting. However, because of the length of time which had passed since her attendance there, June was told that it n</w:t>
      </w:r>
      <w:r w:rsidR="004A2CDA">
        <w:t>o longer held her pay records.</w:t>
      </w:r>
    </w:p>
    <w:p w14:paraId="6414EA44" w14:textId="48440CDC" w:rsidR="00414F73" w:rsidRDefault="00414F73" w:rsidP="00414F73">
      <w:pPr>
        <w:pStyle w:val="Casestudy"/>
      </w:pPr>
      <w:r>
        <w:t>June contacted Centrelink to try to explain her predicament. She was told by a Centrelink staff member that it was ‘up to her to correct the record’. But, without the payslips requested by Centrelink, she couldn’t.</w:t>
      </w:r>
    </w:p>
    <w:p w14:paraId="116C2BA4" w14:textId="272D34B8" w:rsidR="00414F73" w:rsidRDefault="00414F73" w:rsidP="00414F73">
      <w:pPr>
        <w:pStyle w:val="Casestudy"/>
      </w:pPr>
      <w:r>
        <w:t>June subsequently received a debt notice for over $2,000.</w:t>
      </w:r>
    </w:p>
    <w:p w14:paraId="7DD2EC7F" w14:textId="1292D652" w:rsidR="00414F73" w:rsidRDefault="00414F73" w:rsidP="00414F73">
      <w:pPr>
        <w:pStyle w:val="Casestudy"/>
      </w:pPr>
      <w:r>
        <w:t>When June sought legal advice from a VLA duty lawyer, Centrelink had commenced deducting repaymen</w:t>
      </w:r>
      <w:r w:rsidR="004A2CDA">
        <w:t xml:space="preserve">ts from her Parenting Payment. </w:t>
      </w:r>
      <w:r>
        <w:t>At the same time, because of the alleged debt, June is also now ineligible for a Centrelink loan which she had hoped to rely on to make the large ‘start of year’ outlay for her childrens’ school uniforms and fees.</w:t>
      </w:r>
    </w:p>
    <w:p w14:paraId="7FC16AA5" w14:textId="25412451" w:rsidR="00414F73" w:rsidRDefault="00414F73" w:rsidP="00414F73">
      <w:pPr>
        <w:pStyle w:val="Casestudy"/>
      </w:pPr>
      <w:r>
        <w:t>As she attempted to meet her basic financial commitments and the additional start up costs of the school year, June fell into serious financial hardship. June did not know how to make an application for an authorised review of her alleged debt and had not been provided with this information prior to receiving legal advice.</w:t>
      </w:r>
    </w:p>
    <w:p w14:paraId="3A5250C1" w14:textId="48E0F953" w:rsidR="0011475E" w:rsidRPr="0011475E" w:rsidRDefault="0011475E" w:rsidP="0011475E">
      <w:pPr>
        <w:rPr>
          <w:lang w:eastAsia="en-AU"/>
        </w:rPr>
      </w:pPr>
    </w:p>
    <w:p w14:paraId="02F0CDB7" w14:textId="77777777" w:rsidR="009D0F76" w:rsidRPr="00414F73" w:rsidRDefault="00777FB1" w:rsidP="00414F73">
      <w:pPr>
        <w:pStyle w:val="Casestudy"/>
        <w:rPr>
          <w:b/>
        </w:rPr>
      </w:pPr>
      <w:bookmarkStart w:id="12" w:name="Jan"/>
      <w:bookmarkEnd w:id="12"/>
      <w:r w:rsidRPr="00414F73">
        <w:rPr>
          <w:b/>
        </w:rPr>
        <w:t xml:space="preserve">Case study 2: </w:t>
      </w:r>
      <w:r w:rsidR="00157046" w:rsidRPr="00414F73">
        <w:rPr>
          <w:b/>
        </w:rPr>
        <w:t>Jan’s</w:t>
      </w:r>
      <w:r w:rsidR="00926DAA" w:rsidRPr="00414F73">
        <w:rPr>
          <w:b/>
        </w:rPr>
        <w:t xml:space="preserve"> story</w:t>
      </w:r>
    </w:p>
    <w:p w14:paraId="6B109189" w14:textId="278A36B5" w:rsidR="00336950" w:rsidRPr="00414F73" w:rsidRDefault="00157046" w:rsidP="00414F73">
      <w:pPr>
        <w:pStyle w:val="Casestudy"/>
      </w:pPr>
      <w:r w:rsidRPr="00414F73">
        <w:t>Jan</w:t>
      </w:r>
      <w:r w:rsidR="00926DAA" w:rsidRPr="00414F73">
        <w:t xml:space="preserve"> is a recipient of </w:t>
      </w:r>
      <w:r w:rsidRPr="00414F73">
        <w:t xml:space="preserve">the </w:t>
      </w:r>
      <w:r w:rsidR="00926DAA" w:rsidRPr="00414F73">
        <w:t>disability support pension.</w:t>
      </w:r>
      <w:r w:rsidRPr="00414F73">
        <w:t xml:space="preserve"> She </w:t>
      </w:r>
      <w:r w:rsidR="001816E4" w:rsidRPr="00414F73">
        <w:t>was</w:t>
      </w:r>
      <w:r w:rsidRPr="00414F73">
        <w:t xml:space="preserve"> diagnosed with PTSD followi</w:t>
      </w:r>
      <w:r w:rsidR="00414F73">
        <w:t>ng a workplace injury in 2011.</w:t>
      </w:r>
    </w:p>
    <w:p w14:paraId="75AC2D7A" w14:textId="38012AF2" w:rsidR="00157046" w:rsidRPr="00414F73" w:rsidRDefault="00B72806" w:rsidP="00414F73">
      <w:pPr>
        <w:pStyle w:val="Casestudy"/>
      </w:pPr>
      <w:r w:rsidRPr="00414F73">
        <w:t>In</w:t>
      </w:r>
      <w:r w:rsidR="00157046" w:rsidRPr="00414F73">
        <w:t xml:space="preserve"> 2011, during her absence from work, Jan received a social security payment from Centrelink while she attempted to obtain income protection under her insuranc</w:t>
      </w:r>
      <w:r w:rsidR="00414F73">
        <w:t xml:space="preserve">e policy. </w:t>
      </w:r>
      <w:r w:rsidR="00157046" w:rsidRPr="00414F73">
        <w:t>Ultimately Jan received a lump sum from her insurer, which she and her lawyer</w:t>
      </w:r>
      <w:r w:rsidR="00B15325" w:rsidRPr="00414F73">
        <w:t xml:space="preserve"> had foreshadowed with Centrelink and </w:t>
      </w:r>
      <w:r w:rsidR="00157046" w:rsidRPr="00414F73">
        <w:lastRenderedPageBreak/>
        <w:t>contacted Centrelink promptly to report.</w:t>
      </w:r>
      <w:r w:rsidR="00414F73">
        <w:t xml:space="preserve"> </w:t>
      </w:r>
      <w:r w:rsidR="001816E4" w:rsidRPr="00414F73">
        <w:t xml:space="preserve">At the time, Centrelink requested that she provide detailed breakdowns of how she had spent </w:t>
      </w:r>
      <w:r w:rsidR="00B15325" w:rsidRPr="00414F73">
        <w:t xml:space="preserve">each dollar of the </w:t>
      </w:r>
      <w:r w:rsidR="00414F73">
        <w:t xml:space="preserve">lump sum. </w:t>
      </w:r>
      <w:r w:rsidR="001816E4" w:rsidRPr="00414F73">
        <w:t>Jan provided that detail in a process which was itself highly distressing</w:t>
      </w:r>
      <w:r w:rsidR="00057D39" w:rsidRPr="00414F73">
        <w:t xml:space="preserve"> to her</w:t>
      </w:r>
      <w:r w:rsidR="00414F73">
        <w:t>.</w:t>
      </w:r>
      <w:r w:rsidR="001816E4" w:rsidRPr="00414F73">
        <w:t xml:space="preserve"> Centrelink ultimately informed Jan that no further action was required.</w:t>
      </w:r>
    </w:p>
    <w:p w14:paraId="6959AA10" w14:textId="5DA46A54" w:rsidR="00E61E27" w:rsidRPr="00414F73" w:rsidRDefault="00157046" w:rsidP="00414F73">
      <w:pPr>
        <w:pStyle w:val="Casestudy"/>
      </w:pPr>
      <w:r w:rsidRPr="00414F73">
        <w:t>In early 2017, Jan received a letter from Centrelink stating that sh</w:t>
      </w:r>
      <w:r w:rsidR="004A2CDA">
        <w:t xml:space="preserve">e owed a debt of over $20,000. </w:t>
      </w:r>
      <w:r w:rsidR="00057D39" w:rsidRPr="00414F73">
        <w:t xml:space="preserve">When she received the </w:t>
      </w:r>
      <w:r w:rsidR="0034118D" w:rsidRPr="00414F73">
        <w:t>letter</w:t>
      </w:r>
      <w:r w:rsidR="00057D39" w:rsidRPr="00414F73">
        <w:t xml:space="preserve"> Jan </w:t>
      </w:r>
      <w:r w:rsidR="00414F73">
        <w:t>‘</w:t>
      </w:r>
      <w:r w:rsidR="0034118D" w:rsidRPr="00414F73">
        <w:t>felt as if h</w:t>
      </w:r>
      <w:r w:rsidR="00414F73">
        <w:t>er world had come crashing down’ even though she knew she had ‘done everything she could’</w:t>
      </w:r>
      <w:r w:rsidR="0034118D" w:rsidRPr="00414F73">
        <w:t xml:space="preserve"> during 2011 to keep Centrelink informed of her financial situation.</w:t>
      </w:r>
      <w:r w:rsidR="00057D39" w:rsidRPr="00414F73">
        <w:t xml:space="preserve"> </w:t>
      </w:r>
      <w:r w:rsidRPr="00414F73">
        <w:t>This was the first contact she reports that she received from Centrelink</w:t>
      </w:r>
      <w:r w:rsidR="00B36563" w:rsidRPr="00414F73">
        <w:t xml:space="preserve"> in relation to any discrepancy.</w:t>
      </w:r>
    </w:p>
    <w:p w14:paraId="2FDE14AF" w14:textId="3D05FE25" w:rsidR="00336950" w:rsidRPr="00414F73" w:rsidRDefault="00E61E27" w:rsidP="00414F73">
      <w:pPr>
        <w:pStyle w:val="Casestudy"/>
      </w:pPr>
      <w:r w:rsidRPr="00414F73">
        <w:t xml:space="preserve">After receiving the letter, </w:t>
      </w:r>
      <w:r w:rsidR="00336950" w:rsidRPr="00414F73">
        <w:t xml:space="preserve">Jan </w:t>
      </w:r>
      <w:r w:rsidR="00414F73">
        <w:t xml:space="preserve">promptly contacted Centrelink. </w:t>
      </w:r>
      <w:r w:rsidR="00336950" w:rsidRPr="00414F73">
        <w:t xml:space="preserve">She spoke with a woman who </w:t>
      </w:r>
      <w:r w:rsidR="00414F73">
        <w:t>‘</w:t>
      </w:r>
      <w:r w:rsidR="00336950" w:rsidRPr="00414F73">
        <w:t xml:space="preserve">talked to </w:t>
      </w:r>
      <w:r w:rsidRPr="00414F73">
        <w:t>[</w:t>
      </w:r>
      <w:r w:rsidR="00336950" w:rsidRPr="00414F73">
        <w:t>her</w:t>
      </w:r>
      <w:r w:rsidRPr="00414F73">
        <w:t>]</w:t>
      </w:r>
      <w:r w:rsidR="00414F73">
        <w:t xml:space="preserve"> like she didn’t believe me’</w:t>
      </w:r>
      <w:r w:rsidRPr="00414F73">
        <w:t xml:space="preserve"> and responded to her explanation of the events in 2011 by saying </w:t>
      </w:r>
      <w:r w:rsidR="00414F73">
        <w:t>‘</w:t>
      </w:r>
      <w:r w:rsidR="001816E4" w:rsidRPr="00414F73">
        <w:t>w</w:t>
      </w:r>
      <w:r w:rsidR="00336950" w:rsidRPr="00414F73">
        <w:t>ell, you know you can’t have it both ways don’t you</w:t>
      </w:r>
      <w:r w:rsidR="00414F73">
        <w:t>’.</w:t>
      </w:r>
      <w:r w:rsidRPr="00414F73">
        <w:t xml:space="preserve"> I</w:t>
      </w:r>
      <w:r w:rsidR="00336950" w:rsidRPr="00414F73">
        <w:t>n Jan’s experience</w:t>
      </w:r>
      <w:r w:rsidRPr="00414F73">
        <w:t xml:space="preserve">, </w:t>
      </w:r>
      <w:r w:rsidR="00414F73">
        <w:t>it was ‘</w:t>
      </w:r>
      <w:r w:rsidR="00336950" w:rsidRPr="00414F73">
        <w:t>just like she [the Centrelink e</w:t>
      </w:r>
      <w:r w:rsidR="00414F73">
        <w:t xml:space="preserve">mployee] didn’t want to hear it’. </w:t>
      </w:r>
      <w:r w:rsidR="00336950" w:rsidRPr="00414F73">
        <w:t xml:space="preserve">Jan explained that the Centrelink employee moved quickly to telling </w:t>
      </w:r>
      <w:r w:rsidR="0034118D" w:rsidRPr="00414F73">
        <w:t>her</w:t>
      </w:r>
      <w:r w:rsidR="00336950" w:rsidRPr="00414F73">
        <w:t xml:space="preserve"> how the alleged debt would be repaid out of her current payments.</w:t>
      </w:r>
    </w:p>
    <w:p w14:paraId="75CC547D" w14:textId="5BE8B11A" w:rsidR="00336950" w:rsidRPr="00414F73" w:rsidRDefault="001816E4" w:rsidP="00414F73">
      <w:pPr>
        <w:pStyle w:val="Casestudy"/>
      </w:pPr>
      <w:r w:rsidRPr="00414F73">
        <w:t>After contacting VLA</w:t>
      </w:r>
      <w:r w:rsidR="00057D39" w:rsidRPr="00414F73">
        <w:t xml:space="preserve"> for telephone advice</w:t>
      </w:r>
      <w:r w:rsidRPr="00414F73">
        <w:t>, Jan sought a review of t</w:t>
      </w:r>
      <w:r w:rsidR="004A2CDA">
        <w:t xml:space="preserve">he decision to raise the debt. </w:t>
      </w:r>
      <w:r w:rsidRPr="00414F73">
        <w:t>She spent hours on the phone attempting to speak again to Centrelink</w:t>
      </w:r>
      <w:r w:rsidR="00A31347" w:rsidRPr="00414F73">
        <w:t>,</w:t>
      </w:r>
      <w:r w:rsidR="0034118D" w:rsidRPr="00414F73">
        <w:t xml:space="preserve"> spending</w:t>
      </w:r>
      <w:r w:rsidR="00414F73">
        <w:t xml:space="preserve"> at least three</w:t>
      </w:r>
      <w:r w:rsidRPr="00414F73">
        <w:t xml:space="preserve"> </w:t>
      </w:r>
      <w:r w:rsidR="0034118D" w:rsidRPr="00414F73">
        <w:t xml:space="preserve">hours </w:t>
      </w:r>
      <w:r w:rsidR="00057D39" w:rsidRPr="00414F73">
        <w:t>on ho</w:t>
      </w:r>
      <w:r w:rsidR="00414F73">
        <w:t xml:space="preserve">ld to Centrelink in this time. </w:t>
      </w:r>
      <w:r w:rsidR="0034118D" w:rsidRPr="00414F73">
        <w:t xml:space="preserve">She spent time on the phone speaking with the </w:t>
      </w:r>
      <w:r w:rsidRPr="00414F73">
        <w:t xml:space="preserve">Australian Tax Office in an attempt to obtain the previous </w:t>
      </w:r>
      <w:r w:rsidR="00A31347" w:rsidRPr="00414F73">
        <w:t xml:space="preserve">seven </w:t>
      </w:r>
      <w:r w:rsidRPr="00414F73">
        <w:t>years of her tax records in order to understand how the debt may have been raised</w:t>
      </w:r>
      <w:r w:rsidR="00B72806" w:rsidRPr="00414F73">
        <w:t>, because none of the documents or advice from telephone staff could set that out</w:t>
      </w:r>
      <w:r w:rsidRPr="00414F73">
        <w:t>.</w:t>
      </w:r>
      <w:r w:rsidR="004A2CDA">
        <w:t xml:space="preserve"> </w:t>
      </w:r>
      <w:r w:rsidR="00F34F86" w:rsidRPr="00414F73">
        <w:t xml:space="preserve">At a cost to her health, </w:t>
      </w:r>
      <w:r w:rsidR="00057D39" w:rsidRPr="00414F73">
        <w:t xml:space="preserve">Jan reopened </w:t>
      </w:r>
      <w:r w:rsidR="00B36563" w:rsidRPr="00414F73">
        <w:t xml:space="preserve">and retraced </w:t>
      </w:r>
      <w:r w:rsidR="00057D39" w:rsidRPr="00414F73">
        <w:t xml:space="preserve">her correspondence in relation to her workplace injury, her income protection matter </w:t>
      </w:r>
      <w:r w:rsidR="0034118D" w:rsidRPr="00414F73">
        <w:t>and her correspondence with Centrelink in 2011 to try to show her diligen</w:t>
      </w:r>
      <w:r w:rsidR="00E61E27" w:rsidRPr="00414F73">
        <w:t>t reporting</w:t>
      </w:r>
      <w:r w:rsidR="0034118D" w:rsidRPr="00414F73">
        <w:t xml:space="preserve"> through that period.</w:t>
      </w:r>
    </w:p>
    <w:p w14:paraId="3AD23439" w14:textId="76F00120" w:rsidR="00057D39" w:rsidRPr="00414F73" w:rsidRDefault="0034118D" w:rsidP="00414F73">
      <w:pPr>
        <w:pStyle w:val="Casestudy"/>
        <w:rPr>
          <w:b/>
        </w:rPr>
      </w:pPr>
      <w:r w:rsidRPr="00414F73">
        <w:t xml:space="preserve">Very recently, Jan received a telephone call from an Authorised Review Officer (ARO) who apologised </w:t>
      </w:r>
      <w:r w:rsidR="00E61E27" w:rsidRPr="00414F73">
        <w:t xml:space="preserve">for </w:t>
      </w:r>
      <w:r w:rsidRPr="00414F73">
        <w:t>his delay in Centrel</w:t>
      </w:r>
      <w:r w:rsidR="00414F73">
        <w:t xml:space="preserve">ink being in contact with her. </w:t>
      </w:r>
      <w:r w:rsidRPr="00414F73">
        <w:t>The ARO explained that he had review</w:t>
      </w:r>
      <w:r w:rsidR="00E61E27" w:rsidRPr="00414F73">
        <w:t>ed</w:t>
      </w:r>
      <w:r w:rsidRPr="00414F73">
        <w:t xml:space="preserve"> her file including a letter from her lawyer during 2011 setting out her receipt of a lump sum payment and her det</w:t>
      </w:r>
      <w:r w:rsidR="00414F73">
        <w:t>ailed reporting in this period.</w:t>
      </w:r>
      <w:r w:rsidRPr="00414F73">
        <w:t xml:space="preserve"> </w:t>
      </w:r>
      <w:r w:rsidRPr="00414F73">
        <w:rPr>
          <w:b/>
        </w:rPr>
        <w:t xml:space="preserve">The $20,000 debt decision </w:t>
      </w:r>
      <w:r w:rsidR="004A2CDA">
        <w:rPr>
          <w:b/>
        </w:rPr>
        <w:t>was set aside in its entirety.</w:t>
      </w:r>
    </w:p>
    <w:p w14:paraId="2D2A4F71" w14:textId="0F640080" w:rsidR="0034118D" w:rsidRPr="00414F73" w:rsidRDefault="00E61E27" w:rsidP="00414F73">
      <w:pPr>
        <w:pStyle w:val="Casestudy"/>
      </w:pPr>
      <w:r w:rsidRPr="00414F73">
        <w:t>During the six weeks before the decision was set aside, Jan describes herself as being a</w:t>
      </w:r>
      <w:r w:rsidR="00414F73">
        <w:t xml:space="preserve">n ‘emotional and physical wreck’. </w:t>
      </w:r>
      <w:r w:rsidRPr="00414F73">
        <w:t xml:space="preserve">The symptoms of her PTSD were heightened, her mood was affected, </w:t>
      </w:r>
      <w:r w:rsidR="00B15325" w:rsidRPr="00414F73">
        <w:t xml:space="preserve">she cried frequently and daily </w:t>
      </w:r>
      <w:r w:rsidR="00414F73">
        <w:t>and ‘</w:t>
      </w:r>
      <w:r w:rsidRPr="00414F73">
        <w:t>didn’t</w:t>
      </w:r>
      <w:r w:rsidR="00414F73">
        <w:t xml:space="preserve"> want to get up to face the day’</w:t>
      </w:r>
      <w:r w:rsidRPr="00414F73">
        <w:t xml:space="preserve"> as she considered how she was going to pay back the debt.</w:t>
      </w:r>
    </w:p>
    <w:p w14:paraId="4B3668A2" w14:textId="77777777" w:rsidR="00BA4488" w:rsidRPr="00374F56" w:rsidRDefault="0015447C" w:rsidP="00414F73">
      <w:pPr>
        <w:pStyle w:val="Heading2"/>
      </w:pPr>
      <w:bookmarkStart w:id="13" w:name="_Toc479316955"/>
      <w:r w:rsidRPr="00374F56">
        <w:t>The cost of s</w:t>
      </w:r>
      <w:r w:rsidR="00BA4488" w:rsidRPr="00374F56">
        <w:t>hifting the burden of responsible government to individuals</w:t>
      </w:r>
      <w:bookmarkEnd w:id="13"/>
      <w:r w:rsidR="00BA4488" w:rsidRPr="00374F56">
        <w:t xml:space="preserve"> </w:t>
      </w:r>
    </w:p>
    <w:p w14:paraId="0158ECBE" w14:textId="01189584" w:rsidR="00BA3FA4" w:rsidRPr="00414F73" w:rsidRDefault="00080080" w:rsidP="00414F73">
      <w:r w:rsidRPr="00414F73">
        <w:t>Elements of each of these case studies</w:t>
      </w:r>
      <w:r w:rsidR="0034118D" w:rsidRPr="00414F73">
        <w:t xml:space="preserve"> </w:t>
      </w:r>
      <w:r w:rsidR="009E36DF" w:rsidRPr="00414F73">
        <w:t>exemplify</w:t>
      </w:r>
      <w:r w:rsidR="0034118D" w:rsidRPr="00414F73">
        <w:t xml:space="preserve"> our contact with clients.</w:t>
      </w:r>
      <w:r w:rsidR="00C03A1C" w:rsidRPr="00414F73">
        <w:t xml:space="preserve"> </w:t>
      </w:r>
      <w:r w:rsidR="00BA3FA4" w:rsidRPr="00414F73">
        <w:t xml:space="preserve">In our view, the personal and financial consequences for individuals required to </w:t>
      </w:r>
      <w:r w:rsidR="007602FD" w:rsidRPr="00414F73">
        <w:t xml:space="preserve">either </w:t>
      </w:r>
      <w:r w:rsidR="00BA3FA4" w:rsidRPr="00414F73">
        <w:t xml:space="preserve">disprove an alleged discrepancy generated by the data-match or accept a debt raised are unjustifiably high </w:t>
      </w:r>
      <w:r w:rsidR="004A2CDA">
        <w:t>and disproportionately costly.</w:t>
      </w:r>
    </w:p>
    <w:p w14:paraId="4B7ED8FD" w14:textId="03C1C092" w:rsidR="00604D69" w:rsidRPr="00414F73" w:rsidRDefault="00BA3FA4" w:rsidP="00414F73">
      <w:r w:rsidRPr="00414F73">
        <w:t>For the reasons already set out, the Initiative, by design and in pract</w:t>
      </w:r>
      <w:r w:rsidR="00414F73">
        <w:t>ice, does effectively mean, as ‘June’</w:t>
      </w:r>
      <w:r w:rsidRPr="00414F73">
        <w:t xml:space="preserve"> was told bluntly b</w:t>
      </w:r>
      <w:r w:rsidR="00414F73">
        <w:t>y Centrelink staff, that it is ‘</w:t>
      </w:r>
      <w:r w:rsidRPr="00414F73">
        <w:t>up to [its c</w:t>
      </w:r>
      <w:r w:rsidR="00414F73">
        <w:t>ustomers] to correct the record’.</w:t>
      </w:r>
      <w:r w:rsidRPr="00414F73">
        <w:t xml:space="preserve"> In circumstances where the Department and Centrelink</w:t>
      </w:r>
      <w:r w:rsidR="00604D69" w:rsidRPr="00414F73">
        <w:t>:</w:t>
      </w:r>
    </w:p>
    <w:p w14:paraId="5C5742F1" w14:textId="089D1C60" w:rsidR="00604D69" w:rsidRDefault="00A31347" w:rsidP="00414F73">
      <w:pPr>
        <w:pStyle w:val="ListBullet"/>
        <w:rPr>
          <w:lang w:eastAsia="en-AU"/>
        </w:rPr>
      </w:pPr>
      <w:r>
        <w:rPr>
          <w:lang w:eastAsia="en-AU"/>
        </w:rPr>
        <w:t xml:space="preserve">are </w:t>
      </w:r>
      <w:r w:rsidR="00BA3FA4">
        <w:rPr>
          <w:lang w:eastAsia="en-AU"/>
        </w:rPr>
        <w:t>aware that the original debt amount is likely to be in error (as discussed)</w:t>
      </w:r>
    </w:p>
    <w:p w14:paraId="1AB00579" w14:textId="0B6D1FB0" w:rsidR="00604D69" w:rsidRDefault="00604D69" w:rsidP="00414F73">
      <w:pPr>
        <w:pStyle w:val="ListBullet"/>
        <w:rPr>
          <w:lang w:eastAsia="en-AU"/>
        </w:rPr>
      </w:pPr>
      <w:r>
        <w:rPr>
          <w:lang w:eastAsia="en-AU"/>
        </w:rPr>
        <w:t xml:space="preserve">have not built in any </w:t>
      </w:r>
      <w:r w:rsidR="007602FD">
        <w:rPr>
          <w:lang w:eastAsia="en-AU"/>
        </w:rPr>
        <w:t xml:space="preserve">minimum level of </w:t>
      </w:r>
      <w:r>
        <w:rPr>
          <w:lang w:eastAsia="en-AU"/>
        </w:rPr>
        <w:t>human oversight of the original debt raising</w:t>
      </w:r>
      <w:r w:rsidR="00414F73">
        <w:rPr>
          <w:lang w:eastAsia="en-AU"/>
        </w:rPr>
        <w:t>,</w:t>
      </w:r>
      <w:r>
        <w:rPr>
          <w:lang w:eastAsia="en-AU"/>
        </w:rPr>
        <w:t xml:space="preserve"> </w:t>
      </w:r>
      <w:r w:rsidR="00FB110A">
        <w:rPr>
          <w:lang w:eastAsia="en-AU"/>
        </w:rPr>
        <w:t xml:space="preserve">and </w:t>
      </w:r>
    </w:p>
    <w:p w14:paraId="6DCEB857" w14:textId="196C346B" w:rsidR="00604D69" w:rsidRDefault="00FB110A" w:rsidP="00414F73">
      <w:pPr>
        <w:pStyle w:val="ListBullet"/>
        <w:rPr>
          <w:lang w:eastAsia="en-AU"/>
        </w:rPr>
      </w:pPr>
      <w:r>
        <w:rPr>
          <w:lang w:eastAsia="en-AU"/>
        </w:rPr>
        <w:lastRenderedPageBreak/>
        <w:t>have not undertaken any hardship or waiver analysis in relation to the debt</w:t>
      </w:r>
      <w:r w:rsidR="00414F73">
        <w:rPr>
          <w:lang w:eastAsia="en-AU"/>
        </w:rPr>
        <w:t>.</w:t>
      </w:r>
    </w:p>
    <w:p w14:paraId="2E82C317" w14:textId="34C92639" w:rsidR="00BA3FA4" w:rsidRPr="00414F73" w:rsidRDefault="005C28CD" w:rsidP="00414F73">
      <w:r w:rsidRPr="00414F73">
        <w:t xml:space="preserve">it is not justifiable to place </w:t>
      </w:r>
      <w:r w:rsidR="00BA3FA4" w:rsidRPr="00414F73">
        <w:t xml:space="preserve">financial pressure </w:t>
      </w:r>
      <w:r w:rsidRPr="00414F73">
        <w:t xml:space="preserve">on </w:t>
      </w:r>
      <w:r w:rsidR="00BA3FA4" w:rsidRPr="00414F73">
        <w:t xml:space="preserve">and </w:t>
      </w:r>
      <w:r w:rsidRPr="00414F73">
        <w:t xml:space="preserve">cause </w:t>
      </w:r>
      <w:r w:rsidR="00BA3FA4" w:rsidRPr="00414F73">
        <w:t xml:space="preserve">personal harm </w:t>
      </w:r>
      <w:r w:rsidR="00F10C5A" w:rsidRPr="00414F73">
        <w:t xml:space="preserve">by way of </w:t>
      </w:r>
      <w:r w:rsidR="00616450" w:rsidRPr="00414F73">
        <w:t>designating th</w:t>
      </w:r>
      <w:r w:rsidR="00F10C5A" w:rsidRPr="00414F73">
        <w:t xml:space="preserve">at </w:t>
      </w:r>
      <w:r w:rsidR="00616450" w:rsidRPr="00414F73">
        <w:t xml:space="preserve">individual as responsible for </w:t>
      </w:r>
      <w:r w:rsidRPr="00414F73">
        <w:t>carry</w:t>
      </w:r>
      <w:r w:rsidR="00616450" w:rsidRPr="00414F73">
        <w:t>ing</w:t>
      </w:r>
      <w:r w:rsidRPr="00414F73">
        <w:t xml:space="preserve"> the burden of disproving </w:t>
      </w:r>
      <w:r w:rsidR="0098606E" w:rsidRPr="00414F73">
        <w:t>the</w:t>
      </w:r>
      <w:r w:rsidRPr="00414F73">
        <w:t xml:space="preserve"> debt.</w:t>
      </w:r>
    </w:p>
    <w:p w14:paraId="698308F8" w14:textId="77777777" w:rsidR="00672AF9" w:rsidRPr="00414F73" w:rsidRDefault="00672AF9" w:rsidP="00414F73">
      <w:r w:rsidRPr="00414F73">
        <w:t xml:space="preserve">The immediate costs of the Initiative </w:t>
      </w:r>
      <w:r w:rsidR="00E67CD3" w:rsidRPr="00414F73">
        <w:t xml:space="preserve">which </w:t>
      </w:r>
      <w:r w:rsidR="00C07422" w:rsidRPr="00414F73">
        <w:t>clients have</w:t>
      </w:r>
      <w:r w:rsidR="00E67CD3" w:rsidRPr="00414F73">
        <w:t xml:space="preserve"> recounted in the course of legal advice </w:t>
      </w:r>
      <w:r w:rsidR="00C07422" w:rsidRPr="00414F73">
        <w:t xml:space="preserve">sessions </w:t>
      </w:r>
      <w:r w:rsidR="00E67CD3" w:rsidRPr="00414F73">
        <w:t>include:</w:t>
      </w:r>
    </w:p>
    <w:p w14:paraId="62FBF419" w14:textId="42A45706" w:rsidR="005C28CD" w:rsidRDefault="00414F73" w:rsidP="00414F73">
      <w:pPr>
        <w:pStyle w:val="ListBullet"/>
        <w:rPr>
          <w:lang w:eastAsia="en-AU"/>
        </w:rPr>
      </w:pPr>
      <w:r>
        <w:rPr>
          <w:lang w:eastAsia="en-AU"/>
        </w:rPr>
        <w:t>c</w:t>
      </w:r>
      <w:r w:rsidR="00E67CD3">
        <w:rPr>
          <w:lang w:eastAsia="en-AU"/>
        </w:rPr>
        <w:t>lients experiencing heightened symptoms of mental health conditions while trying to resolve or understand the basis for an alleged debt</w:t>
      </w:r>
    </w:p>
    <w:p w14:paraId="76D05366" w14:textId="15B3EE76" w:rsidR="00E67CD3" w:rsidRDefault="00414F73" w:rsidP="00414F73">
      <w:pPr>
        <w:pStyle w:val="ListBullet"/>
        <w:rPr>
          <w:lang w:eastAsia="en-AU"/>
        </w:rPr>
      </w:pPr>
      <w:r>
        <w:rPr>
          <w:lang w:eastAsia="en-AU"/>
        </w:rPr>
        <w:t>c</w:t>
      </w:r>
      <w:r w:rsidR="00E67CD3">
        <w:rPr>
          <w:lang w:eastAsia="en-AU"/>
        </w:rPr>
        <w:t xml:space="preserve">lients experiencing heightened </w:t>
      </w:r>
      <w:r w:rsidR="00FB110A">
        <w:rPr>
          <w:lang w:eastAsia="en-AU"/>
        </w:rPr>
        <w:t>symptoms of physical disabilities in response to the stress of attempting to engage with the Initiat</w:t>
      </w:r>
      <w:r w:rsidR="00616450">
        <w:rPr>
          <w:lang w:eastAsia="en-AU"/>
        </w:rPr>
        <w:t>ive</w:t>
      </w:r>
      <w:r w:rsidR="00FB110A">
        <w:rPr>
          <w:lang w:eastAsia="en-AU"/>
        </w:rPr>
        <w:t xml:space="preserve"> to understand its implications an</w:t>
      </w:r>
      <w:r>
        <w:rPr>
          <w:lang w:eastAsia="en-AU"/>
        </w:rPr>
        <w:t>d discharge the burden of proof</w:t>
      </w:r>
    </w:p>
    <w:p w14:paraId="311C549C" w14:textId="5DAF6AD3" w:rsidR="00672AF9" w:rsidRDefault="00414F73" w:rsidP="00414F73">
      <w:pPr>
        <w:pStyle w:val="ListBullet"/>
        <w:rPr>
          <w:lang w:eastAsia="en-AU"/>
        </w:rPr>
      </w:pPr>
      <w:r>
        <w:rPr>
          <w:lang w:eastAsia="en-AU"/>
        </w:rPr>
        <w:t>i</w:t>
      </w:r>
      <w:r w:rsidR="00FB110A">
        <w:rPr>
          <w:lang w:eastAsia="en-AU"/>
        </w:rPr>
        <w:t>mmediate financial disadvantage to clients who are confronted with potentially</w:t>
      </w:r>
      <w:r w:rsidR="00604D69">
        <w:rPr>
          <w:lang w:eastAsia="en-AU"/>
        </w:rPr>
        <w:t xml:space="preserve"> erroneous debts leading to severe financial hardship, </w:t>
      </w:r>
      <w:r w:rsidR="00FB110A">
        <w:rPr>
          <w:lang w:eastAsia="en-AU"/>
        </w:rPr>
        <w:t xml:space="preserve">including the inaccessibility of the Centrelink loan scheme </w:t>
      </w:r>
      <w:r w:rsidR="00531FD9">
        <w:rPr>
          <w:lang w:eastAsia="en-AU"/>
        </w:rPr>
        <w:t xml:space="preserve">and immediate and involuntary deductions </w:t>
      </w:r>
      <w:r w:rsidR="00C07422">
        <w:rPr>
          <w:lang w:eastAsia="en-AU"/>
        </w:rPr>
        <w:t>fr</w:t>
      </w:r>
      <w:r w:rsidR="00F035C1">
        <w:rPr>
          <w:lang w:eastAsia="en-AU"/>
        </w:rPr>
        <w:t>om</w:t>
      </w:r>
      <w:r w:rsidR="00C07422">
        <w:rPr>
          <w:lang w:eastAsia="en-AU"/>
        </w:rPr>
        <w:t xml:space="preserve"> their current Centrelink payments to</w:t>
      </w:r>
      <w:r>
        <w:rPr>
          <w:lang w:eastAsia="en-AU"/>
        </w:rPr>
        <w:t xml:space="preserve"> repay the alleged debt</w:t>
      </w:r>
    </w:p>
    <w:p w14:paraId="26E6B585" w14:textId="319ECA0A" w:rsidR="00531FD9" w:rsidRDefault="00414F73" w:rsidP="00414F73">
      <w:pPr>
        <w:pStyle w:val="ListBullet"/>
        <w:rPr>
          <w:lang w:eastAsia="en-AU"/>
        </w:rPr>
      </w:pPr>
      <w:r>
        <w:rPr>
          <w:lang w:eastAsia="en-AU"/>
        </w:rPr>
        <w:t>s</w:t>
      </w:r>
      <w:r w:rsidR="00531FD9">
        <w:rPr>
          <w:lang w:eastAsia="en-AU"/>
        </w:rPr>
        <w:t>ignificant compromises to work and study commitments as clients</w:t>
      </w:r>
      <w:r w:rsidR="00604D69">
        <w:rPr>
          <w:lang w:eastAsia="en-AU"/>
        </w:rPr>
        <w:t>:</w:t>
      </w:r>
      <w:r w:rsidR="00531FD9">
        <w:rPr>
          <w:lang w:eastAsia="en-AU"/>
        </w:rPr>
        <w:t xml:space="preserve"> (a) spend large amounts of time </w:t>
      </w:r>
      <w:r w:rsidR="009E36DF">
        <w:rPr>
          <w:lang w:eastAsia="en-AU"/>
        </w:rPr>
        <w:t xml:space="preserve">travelling </w:t>
      </w:r>
      <w:r w:rsidR="00531FD9">
        <w:rPr>
          <w:lang w:eastAsia="en-AU"/>
        </w:rPr>
        <w:t xml:space="preserve">to and from Centrelink offices, waiting on hold </w:t>
      </w:r>
      <w:r w:rsidR="009E36DF">
        <w:rPr>
          <w:lang w:eastAsia="en-AU"/>
        </w:rPr>
        <w:t>with</w:t>
      </w:r>
      <w:r w:rsidR="00531FD9">
        <w:rPr>
          <w:lang w:eastAsia="en-AU"/>
        </w:rPr>
        <w:t xml:space="preserve"> </w:t>
      </w:r>
      <w:r w:rsidR="00604D69">
        <w:rPr>
          <w:lang w:eastAsia="en-AU"/>
        </w:rPr>
        <w:t xml:space="preserve">Centrelink and other entities in an </w:t>
      </w:r>
      <w:r w:rsidR="00531FD9">
        <w:rPr>
          <w:lang w:eastAsia="en-AU"/>
        </w:rPr>
        <w:t>attempt to resolve issues or obtain further information about a debt</w:t>
      </w:r>
      <w:r w:rsidR="00604D69">
        <w:rPr>
          <w:lang w:eastAsia="en-AU"/>
        </w:rPr>
        <w:t>;</w:t>
      </w:r>
      <w:r w:rsidR="00531FD9">
        <w:rPr>
          <w:lang w:eastAsia="en-AU"/>
        </w:rPr>
        <w:t xml:space="preserve"> (b) locate and pursue multiple employers for historical payslips</w:t>
      </w:r>
      <w:r w:rsidR="00604D69">
        <w:rPr>
          <w:lang w:eastAsia="en-AU"/>
        </w:rPr>
        <w:t xml:space="preserve"> or</w:t>
      </w:r>
      <w:r w:rsidR="00531FD9">
        <w:rPr>
          <w:lang w:eastAsia="en-AU"/>
        </w:rPr>
        <w:t xml:space="preserve"> seek further information from the Australian Taxation Office (</w:t>
      </w:r>
      <w:r w:rsidR="00531FD9" w:rsidRPr="00414F73">
        <w:rPr>
          <w:lang w:eastAsia="en-AU"/>
        </w:rPr>
        <w:t>ATO</w:t>
      </w:r>
      <w:r w:rsidR="00531FD9">
        <w:rPr>
          <w:lang w:eastAsia="en-AU"/>
        </w:rPr>
        <w:t>)</w:t>
      </w:r>
      <w:r w:rsidR="00604D69">
        <w:rPr>
          <w:lang w:eastAsia="en-AU"/>
        </w:rPr>
        <w:t>; and (c) attempt to seek legal advice and provide do</w:t>
      </w:r>
      <w:r>
        <w:rPr>
          <w:lang w:eastAsia="en-AU"/>
        </w:rPr>
        <w:t>cumentary evidence for analysis</w:t>
      </w:r>
    </w:p>
    <w:p w14:paraId="7BCE88C7" w14:textId="05C64435" w:rsidR="00604D69" w:rsidRDefault="00414F73" w:rsidP="00414F73">
      <w:pPr>
        <w:pStyle w:val="ListBullet"/>
        <w:rPr>
          <w:lang w:eastAsia="en-AU"/>
        </w:rPr>
      </w:pPr>
      <w:r>
        <w:rPr>
          <w:lang w:eastAsia="en-AU"/>
        </w:rPr>
        <w:t>large time outlays (eg</w:t>
      </w:r>
      <w:r w:rsidR="00604D69">
        <w:rPr>
          <w:lang w:eastAsia="en-AU"/>
        </w:rPr>
        <w:t xml:space="preserve"> hours each day for a month) as individuals attempt to unpack, by themselves, the basis for the </w:t>
      </w:r>
      <w:r w:rsidR="009E36DF">
        <w:rPr>
          <w:lang w:eastAsia="en-AU"/>
        </w:rPr>
        <w:t xml:space="preserve">alleged </w:t>
      </w:r>
      <w:r w:rsidR="00604D69">
        <w:rPr>
          <w:lang w:eastAsia="en-AU"/>
        </w:rPr>
        <w:t>debt</w:t>
      </w:r>
      <w:r w:rsidR="009E36DF">
        <w:rPr>
          <w:lang w:eastAsia="en-AU"/>
        </w:rPr>
        <w:t>,</w:t>
      </w:r>
      <w:r w:rsidR="00604D69">
        <w:rPr>
          <w:lang w:eastAsia="en-AU"/>
        </w:rPr>
        <w:t xml:space="preserve"> </w:t>
      </w:r>
      <w:r w:rsidR="009E36DF">
        <w:rPr>
          <w:lang w:eastAsia="en-AU"/>
        </w:rPr>
        <w:t>to</w:t>
      </w:r>
      <w:r>
        <w:rPr>
          <w:lang w:eastAsia="en-AU"/>
        </w:rPr>
        <w:t xml:space="preserve"> disprove it</w:t>
      </w:r>
      <w:r w:rsidR="002D74B3">
        <w:rPr>
          <w:lang w:eastAsia="en-AU"/>
        </w:rPr>
        <w:t>.</w:t>
      </w:r>
    </w:p>
    <w:p w14:paraId="3D6235DA" w14:textId="1781FA2D" w:rsidR="0098606E" w:rsidRDefault="00FC4460" w:rsidP="0098606E">
      <w:pPr>
        <w:rPr>
          <w:lang w:eastAsia="en-AU"/>
        </w:rPr>
      </w:pPr>
      <w:r>
        <w:rPr>
          <w:lang w:eastAsia="en-AU"/>
        </w:rPr>
        <w:t xml:space="preserve">Of course </w:t>
      </w:r>
      <w:r w:rsidR="0098606E">
        <w:rPr>
          <w:lang w:eastAsia="en-AU"/>
        </w:rPr>
        <w:t xml:space="preserve">we are </w:t>
      </w:r>
      <w:r w:rsidR="003A4E0A">
        <w:rPr>
          <w:lang w:eastAsia="en-AU"/>
        </w:rPr>
        <w:t>also</w:t>
      </w:r>
      <w:r w:rsidR="0098606E">
        <w:rPr>
          <w:lang w:eastAsia="en-AU"/>
        </w:rPr>
        <w:t xml:space="preserve"> concerned about the financial cost carried by individuals who will have paid a debt or entered into </w:t>
      </w:r>
      <w:r w:rsidR="009E36DF">
        <w:rPr>
          <w:lang w:eastAsia="en-AU"/>
        </w:rPr>
        <w:t xml:space="preserve">a </w:t>
      </w:r>
      <w:r w:rsidR="0098606E">
        <w:rPr>
          <w:lang w:eastAsia="en-AU"/>
        </w:rPr>
        <w:t xml:space="preserve">payment plan </w:t>
      </w:r>
      <w:r w:rsidR="00F10C5A">
        <w:rPr>
          <w:lang w:eastAsia="en-AU"/>
        </w:rPr>
        <w:t>without the resources to consider their options</w:t>
      </w:r>
      <w:r w:rsidR="009E36DF">
        <w:rPr>
          <w:lang w:eastAsia="en-AU"/>
        </w:rPr>
        <w:t>,</w:t>
      </w:r>
      <w:r w:rsidR="00F10C5A">
        <w:rPr>
          <w:lang w:eastAsia="en-AU"/>
        </w:rPr>
        <w:t xml:space="preserve"> or </w:t>
      </w:r>
      <w:r w:rsidR="00414F73">
        <w:rPr>
          <w:lang w:eastAsia="en-AU"/>
        </w:rPr>
        <w:t>on the assumption that ‘</w:t>
      </w:r>
      <w:r w:rsidR="0098606E">
        <w:rPr>
          <w:lang w:eastAsia="en-AU"/>
        </w:rPr>
        <w:t>it must be right</w:t>
      </w:r>
      <w:r w:rsidR="00414F73">
        <w:rPr>
          <w:lang w:eastAsia="en-AU"/>
        </w:rPr>
        <w:t>’</w:t>
      </w:r>
      <w:r w:rsidR="00F10C5A">
        <w:rPr>
          <w:lang w:eastAsia="en-AU"/>
        </w:rPr>
        <w:t xml:space="preserve"> or </w:t>
      </w:r>
      <w:r w:rsidR="00414F73">
        <w:rPr>
          <w:lang w:eastAsia="en-AU"/>
        </w:rPr>
        <w:t>‘</w:t>
      </w:r>
      <w:r w:rsidR="00616450">
        <w:rPr>
          <w:lang w:eastAsia="en-AU"/>
        </w:rPr>
        <w:t>they shoul</w:t>
      </w:r>
      <w:r w:rsidR="00414F73">
        <w:rPr>
          <w:lang w:eastAsia="en-AU"/>
        </w:rPr>
        <w:t>d just pay it’</w:t>
      </w:r>
      <w:r w:rsidR="00616450">
        <w:rPr>
          <w:lang w:eastAsia="en-AU"/>
        </w:rPr>
        <w:t xml:space="preserve">. </w:t>
      </w:r>
    </w:p>
    <w:p w14:paraId="7BB8B3E6" w14:textId="77777777" w:rsidR="00BA4488" w:rsidRPr="00374F56" w:rsidRDefault="00BA4488" w:rsidP="00414F73">
      <w:pPr>
        <w:pStyle w:val="Heading2"/>
      </w:pPr>
      <w:bookmarkStart w:id="14" w:name="_Toc479316956"/>
      <w:r w:rsidRPr="00374F56">
        <w:t>Centrelink’s engagement with clients</w:t>
      </w:r>
      <w:r w:rsidR="00827C8B" w:rsidRPr="00374F56">
        <w:t xml:space="preserve"> seeking to discharge the onus of proof</w:t>
      </w:r>
      <w:bookmarkEnd w:id="14"/>
    </w:p>
    <w:p w14:paraId="77DA783C" w14:textId="4186171E" w:rsidR="001E400F" w:rsidRDefault="00080080" w:rsidP="001E400F">
      <w:pPr>
        <w:rPr>
          <w:lang w:eastAsia="en-AU"/>
        </w:rPr>
      </w:pPr>
      <w:r w:rsidRPr="00080080">
        <w:rPr>
          <w:lang w:eastAsia="en-AU"/>
        </w:rPr>
        <w:t>The costs of the scheme to individuals have been exacerbated by</w:t>
      </w:r>
      <w:r w:rsidR="00BF3F3B">
        <w:rPr>
          <w:lang w:eastAsia="en-AU"/>
        </w:rPr>
        <w:t xml:space="preserve"> the apparent </w:t>
      </w:r>
      <w:r w:rsidRPr="00080080">
        <w:rPr>
          <w:lang w:eastAsia="en-AU"/>
        </w:rPr>
        <w:t xml:space="preserve">inability of Centrelink’s systems and frontline staff to satisfactorily engage with the individuals </w:t>
      </w:r>
      <w:r w:rsidR="00414F73">
        <w:rPr>
          <w:lang w:eastAsia="en-AU"/>
        </w:rPr>
        <w:t>attempting to ‘correct the record’</w:t>
      </w:r>
      <w:r w:rsidR="004A2CDA">
        <w:rPr>
          <w:lang w:eastAsia="en-AU"/>
        </w:rPr>
        <w:t>.</w:t>
      </w:r>
      <w:r w:rsidR="00BF3F3B">
        <w:rPr>
          <w:lang w:eastAsia="en-AU"/>
        </w:rPr>
        <w:t xml:space="preserve"> </w:t>
      </w:r>
      <w:r w:rsidR="00414F73">
        <w:rPr>
          <w:lang w:eastAsia="en-AU"/>
        </w:rPr>
        <w:t>As one client remarked: ‘</w:t>
      </w:r>
      <w:r w:rsidR="001E400F">
        <w:rPr>
          <w:lang w:eastAsia="en-AU"/>
        </w:rPr>
        <w:t>there must be a gent</w:t>
      </w:r>
      <w:r w:rsidR="00414F73">
        <w:rPr>
          <w:lang w:eastAsia="en-AU"/>
        </w:rPr>
        <w:t>ler way to get the point across’</w:t>
      </w:r>
      <w:r w:rsidR="001E400F">
        <w:rPr>
          <w:lang w:eastAsia="en-AU"/>
        </w:rPr>
        <w:t>.</w:t>
      </w:r>
    </w:p>
    <w:p w14:paraId="13439567" w14:textId="4F2594B0" w:rsidR="000578D9" w:rsidRDefault="000578D9" w:rsidP="0034118D">
      <w:pPr>
        <w:rPr>
          <w:lang w:eastAsia="en-AU"/>
        </w:rPr>
      </w:pPr>
      <w:r>
        <w:rPr>
          <w:lang w:eastAsia="en-AU"/>
        </w:rPr>
        <w:t>In our view, the existing systems surrounding the raising and recovery of debts under the Initiative are grossly ill-adapted to meet the distress, dismay</w:t>
      </w:r>
      <w:r w:rsidR="00672AF9">
        <w:rPr>
          <w:lang w:eastAsia="en-AU"/>
        </w:rPr>
        <w:t>, anger</w:t>
      </w:r>
      <w:r>
        <w:rPr>
          <w:lang w:eastAsia="en-AU"/>
        </w:rPr>
        <w:t xml:space="preserve"> and disadvantage which is often part of the context in which people receive debt notices of any initial discrepancy letter (if they </w:t>
      </w:r>
      <w:r w:rsidR="00840D25">
        <w:rPr>
          <w:lang w:eastAsia="en-AU"/>
        </w:rPr>
        <w:t xml:space="preserve">have </w:t>
      </w:r>
      <w:r>
        <w:rPr>
          <w:lang w:eastAsia="en-AU"/>
        </w:rPr>
        <w:t>receive</w:t>
      </w:r>
      <w:r w:rsidR="00840D25">
        <w:rPr>
          <w:lang w:eastAsia="en-AU"/>
        </w:rPr>
        <w:t>d</w:t>
      </w:r>
      <w:r>
        <w:rPr>
          <w:lang w:eastAsia="en-AU"/>
        </w:rPr>
        <w:t xml:space="preserve"> one).</w:t>
      </w:r>
    </w:p>
    <w:p w14:paraId="22C750C9" w14:textId="77777777" w:rsidR="00C03A1C" w:rsidRDefault="00C03A1C" w:rsidP="0034118D">
      <w:pPr>
        <w:rPr>
          <w:lang w:eastAsia="en-AU"/>
        </w:rPr>
      </w:pPr>
      <w:r>
        <w:rPr>
          <w:lang w:eastAsia="en-AU"/>
        </w:rPr>
        <w:t>Clients recount that they have:</w:t>
      </w:r>
    </w:p>
    <w:p w14:paraId="5372E39E" w14:textId="5F7DEF84" w:rsidR="000578D9" w:rsidRDefault="000578D9" w:rsidP="00414F73">
      <w:pPr>
        <w:pStyle w:val="ListBullet"/>
        <w:rPr>
          <w:lang w:eastAsia="en-AU"/>
        </w:rPr>
      </w:pPr>
      <w:r>
        <w:rPr>
          <w:lang w:eastAsia="en-AU"/>
        </w:rPr>
        <w:t>been practically unable to access the necessary online portal to upload information both because they could not navigate the system, but also because they did not possess the necessary log-in details</w:t>
      </w:r>
    </w:p>
    <w:p w14:paraId="799311DE" w14:textId="3C98998E" w:rsidR="000578D9" w:rsidRDefault="000578D9" w:rsidP="00414F73">
      <w:pPr>
        <w:pStyle w:val="ListBullet"/>
        <w:rPr>
          <w:lang w:eastAsia="en-AU"/>
        </w:rPr>
      </w:pPr>
      <w:r>
        <w:rPr>
          <w:lang w:eastAsia="en-AU"/>
        </w:rPr>
        <w:t xml:space="preserve">been treated with condescension when they </w:t>
      </w:r>
      <w:r w:rsidR="00B72806">
        <w:rPr>
          <w:lang w:eastAsia="en-AU"/>
        </w:rPr>
        <w:t>attempt to speak with Centrelink staff about their refusal to accept the debt</w:t>
      </w:r>
    </w:p>
    <w:p w14:paraId="1A2159F4" w14:textId="6FEC7761" w:rsidR="000578D9" w:rsidRDefault="000578D9" w:rsidP="00414F73">
      <w:pPr>
        <w:pStyle w:val="ListBullet"/>
        <w:rPr>
          <w:lang w:eastAsia="en-AU"/>
        </w:rPr>
      </w:pPr>
      <w:r>
        <w:rPr>
          <w:lang w:eastAsia="en-AU"/>
        </w:rPr>
        <w:lastRenderedPageBreak/>
        <w:t>discover</w:t>
      </w:r>
      <w:r w:rsidR="00B72806">
        <w:rPr>
          <w:lang w:eastAsia="en-AU"/>
        </w:rPr>
        <w:t>ed</w:t>
      </w:r>
      <w:r>
        <w:rPr>
          <w:lang w:eastAsia="en-AU"/>
        </w:rPr>
        <w:t xml:space="preserve"> that following </w:t>
      </w:r>
      <w:r w:rsidR="009E36DF">
        <w:rPr>
          <w:lang w:eastAsia="en-AU"/>
        </w:rPr>
        <w:t xml:space="preserve">a telephone </w:t>
      </w:r>
      <w:r>
        <w:rPr>
          <w:lang w:eastAsia="en-AU"/>
        </w:rPr>
        <w:t xml:space="preserve">conversation </w:t>
      </w:r>
      <w:r w:rsidR="009E36DF">
        <w:rPr>
          <w:lang w:eastAsia="en-AU"/>
        </w:rPr>
        <w:t>in which they have disputed the amount of a</w:t>
      </w:r>
      <w:r w:rsidR="00360AB0">
        <w:rPr>
          <w:lang w:eastAsia="en-AU"/>
        </w:rPr>
        <w:t xml:space="preserve">n alleged </w:t>
      </w:r>
      <w:r w:rsidR="00A31347">
        <w:rPr>
          <w:lang w:eastAsia="en-AU"/>
        </w:rPr>
        <w:t>discrepancy</w:t>
      </w:r>
      <w:r w:rsidR="009E36DF">
        <w:rPr>
          <w:lang w:eastAsia="en-AU"/>
        </w:rPr>
        <w:t xml:space="preserve">, </w:t>
      </w:r>
      <w:r>
        <w:rPr>
          <w:lang w:eastAsia="en-AU"/>
        </w:rPr>
        <w:t>a debt has been raised</w:t>
      </w:r>
    </w:p>
    <w:p w14:paraId="0C849320" w14:textId="7C35AD32" w:rsidR="0034118D" w:rsidRDefault="00C03A1C" w:rsidP="00414F73">
      <w:pPr>
        <w:pStyle w:val="ListBullet"/>
        <w:rPr>
          <w:lang w:eastAsia="en-AU"/>
        </w:rPr>
      </w:pPr>
      <w:r>
        <w:rPr>
          <w:lang w:eastAsia="en-AU"/>
        </w:rPr>
        <w:t>been spoken to insensitively and spoken over when they try to explain their situation on the telephone and in p</w:t>
      </w:r>
      <w:r w:rsidR="00414F73">
        <w:rPr>
          <w:lang w:eastAsia="en-AU"/>
        </w:rPr>
        <w:t>erson to Centrelink staff</w:t>
      </w:r>
    </w:p>
    <w:p w14:paraId="550CEFEA" w14:textId="07500F0F" w:rsidR="00604D69" w:rsidRDefault="00604D69" w:rsidP="00414F73">
      <w:pPr>
        <w:pStyle w:val="ListBullet"/>
        <w:rPr>
          <w:lang w:eastAsia="en-AU"/>
        </w:rPr>
      </w:pPr>
      <w:r>
        <w:rPr>
          <w:lang w:eastAsia="en-AU"/>
        </w:rPr>
        <w:t>received conflicting advice from Centrelink staff</w:t>
      </w:r>
      <w:r w:rsidR="00414F73">
        <w:rPr>
          <w:lang w:eastAsia="en-AU"/>
        </w:rPr>
        <w:t xml:space="preserve"> about the nature of their debt,</w:t>
      </w:r>
      <w:r w:rsidR="001E400F">
        <w:rPr>
          <w:lang w:eastAsia="en-AU"/>
        </w:rPr>
        <w:t xml:space="preserve"> and</w:t>
      </w:r>
    </w:p>
    <w:p w14:paraId="6C5CD42C" w14:textId="4917D5C2" w:rsidR="00604D69" w:rsidRDefault="00604D69" w:rsidP="00414F73">
      <w:pPr>
        <w:pStyle w:val="ListBullet"/>
        <w:rPr>
          <w:lang w:eastAsia="en-AU"/>
        </w:rPr>
      </w:pPr>
      <w:r>
        <w:rPr>
          <w:lang w:eastAsia="en-AU"/>
        </w:rPr>
        <w:t>received conflicting advice from Centrelink staff about whether the noted ‘discrepancy’ has progressed to being a debt</w:t>
      </w:r>
      <w:r w:rsidR="00A31347">
        <w:rPr>
          <w:lang w:eastAsia="en-AU"/>
        </w:rPr>
        <w:t>.</w:t>
      </w:r>
    </w:p>
    <w:p w14:paraId="404498F7" w14:textId="6AE46E64" w:rsidR="005C28CD" w:rsidRPr="00414F73" w:rsidRDefault="005C28CD" w:rsidP="00414F73">
      <w:r w:rsidRPr="00414F73">
        <w:t>F</w:t>
      </w:r>
      <w:r w:rsidR="00353D80" w:rsidRPr="00414F73">
        <w:t xml:space="preserve">urther, </w:t>
      </w:r>
      <w:r w:rsidR="00E67CD3" w:rsidRPr="00414F73">
        <w:t xml:space="preserve">the </w:t>
      </w:r>
      <w:r w:rsidR="00FB110A" w:rsidRPr="00414F73">
        <w:t xml:space="preserve">lack of transparency </w:t>
      </w:r>
      <w:r w:rsidR="00531FD9" w:rsidRPr="00414F73">
        <w:t>which has accompanied the Initiative has both (a) increased the intensity of the burden placed on people to disprove a debt and (b) heightened t</w:t>
      </w:r>
      <w:r w:rsidR="00353D80" w:rsidRPr="00414F73">
        <w:t>he distress experienced by individual</w:t>
      </w:r>
      <w:r w:rsidR="00A31347" w:rsidRPr="00414F73">
        <w:t>s</w:t>
      </w:r>
      <w:r w:rsidR="00353D80" w:rsidRPr="00414F73">
        <w:t xml:space="preserve"> who seek to discharge the burden.</w:t>
      </w:r>
      <w:r w:rsidR="00531FD9" w:rsidRPr="00414F73">
        <w:t xml:space="preserve"> </w:t>
      </w:r>
    </w:p>
    <w:p w14:paraId="22AD14AC" w14:textId="77777777" w:rsidR="00F10C5A" w:rsidRPr="00374F56" w:rsidRDefault="00F10C5A" w:rsidP="00414F73">
      <w:pPr>
        <w:pStyle w:val="Heading2"/>
      </w:pPr>
      <w:bookmarkStart w:id="15" w:name="_Toc479316957"/>
      <w:r w:rsidRPr="00374F56">
        <w:t xml:space="preserve">Burden on </w:t>
      </w:r>
      <w:r w:rsidR="00C07422" w:rsidRPr="00374F56">
        <w:t>clients</w:t>
      </w:r>
      <w:r w:rsidRPr="00374F56">
        <w:t xml:space="preserve"> with mental health conditions</w:t>
      </w:r>
      <w:bookmarkEnd w:id="15"/>
    </w:p>
    <w:p w14:paraId="64FED543" w14:textId="425E53B5" w:rsidR="00F10C5A" w:rsidRDefault="00F10C5A" w:rsidP="00F10C5A">
      <w:pPr>
        <w:rPr>
          <w:lang w:eastAsia="en-AU"/>
        </w:rPr>
      </w:pPr>
      <w:r w:rsidRPr="0098606E">
        <w:rPr>
          <w:lang w:eastAsia="en-AU"/>
        </w:rPr>
        <w:t xml:space="preserve">VLA is particularly concerned that, in </w:t>
      </w:r>
      <w:r w:rsidR="00C07422">
        <w:rPr>
          <w:lang w:eastAsia="en-AU"/>
        </w:rPr>
        <w:t xml:space="preserve">its design and </w:t>
      </w:r>
      <w:r w:rsidRPr="0098606E">
        <w:rPr>
          <w:lang w:eastAsia="en-AU"/>
        </w:rPr>
        <w:t>application, the Initiative undermines the Department and Centrelink’s pre</w:t>
      </w:r>
      <w:r>
        <w:rPr>
          <w:lang w:eastAsia="en-AU"/>
        </w:rPr>
        <w:t>vious commitments to tailor their communication to the needs of people experien</w:t>
      </w:r>
      <w:r w:rsidR="004A2CDA">
        <w:rPr>
          <w:lang w:eastAsia="en-AU"/>
        </w:rPr>
        <w:t>cing mental health conditions.</w:t>
      </w:r>
    </w:p>
    <w:p w14:paraId="1F484FD2" w14:textId="77777777" w:rsidR="00F10C5A" w:rsidRDefault="00F10C5A" w:rsidP="00F10C5A">
      <w:pPr>
        <w:rPr>
          <w:lang w:eastAsia="en-AU"/>
        </w:rPr>
      </w:pPr>
      <w:r>
        <w:rPr>
          <w:lang w:eastAsia="en-AU"/>
        </w:rPr>
        <w:t xml:space="preserve">As the Commonwealth Ombudsman concluded in his 2010 report </w:t>
      </w:r>
      <w:r>
        <w:rPr>
          <w:i/>
          <w:lang w:eastAsia="en-AU"/>
        </w:rPr>
        <w:t>Falling through the Cracks: Centrelink, DEEWR and FAHCSIA</w:t>
      </w:r>
      <w:r w:rsidR="007602FD">
        <w:rPr>
          <w:lang w:eastAsia="en-AU"/>
        </w:rPr>
        <w:t>:</w:t>
      </w:r>
      <w:r w:rsidRPr="00F10C5A">
        <w:rPr>
          <w:rStyle w:val="FootnoteReference"/>
          <w:lang w:eastAsia="en-AU"/>
        </w:rPr>
        <w:footnoteReference w:id="14"/>
      </w:r>
      <w:r>
        <w:rPr>
          <w:lang w:eastAsia="en-AU"/>
        </w:rPr>
        <w:t xml:space="preserve"> </w:t>
      </w:r>
    </w:p>
    <w:p w14:paraId="342AF505" w14:textId="77777777" w:rsidR="00F10C5A" w:rsidRPr="00F10C5A" w:rsidRDefault="00F10C5A" w:rsidP="00414F73">
      <w:pPr>
        <w:pStyle w:val="VLAquotation"/>
      </w:pPr>
      <w:r w:rsidRPr="00F10C5A">
        <w:t>When we examined Centrelink’s debt recovery procedures we were unable to identify any advice to staff to consider a customer’s personal circumstances, including whether they have a mental illness, before proceeding to notify them of a debt or commencing recovery.</w:t>
      </w:r>
    </w:p>
    <w:p w14:paraId="6F069076" w14:textId="77777777" w:rsidR="00F10C5A" w:rsidRDefault="00F10C5A" w:rsidP="00414F73">
      <w:pPr>
        <w:pStyle w:val="VLAquotation"/>
      </w:pPr>
      <w:r w:rsidRPr="00F10C5A">
        <w:t xml:space="preserve">Anecdotal evidence suggests that customers who are experiencing symptoms of mental illness may: </w:t>
      </w:r>
    </w:p>
    <w:p w14:paraId="69E1024A" w14:textId="77777777" w:rsidR="00F10C5A" w:rsidRDefault="00F10C5A" w:rsidP="00414F73">
      <w:pPr>
        <w:pStyle w:val="VLAquotation"/>
        <w:numPr>
          <w:ilvl w:val="0"/>
          <w:numId w:val="28"/>
        </w:numPr>
      </w:pPr>
      <w:r w:rsidRPr="00F10C5A">
        <w:t xml:space="preserve">have difficulty understanding the reason for the debt </w:t>
      </w:r>
    </w:p>
    <w:p w14:paraId="7821C1CC" w14:textId="77777777" w:rsidR="00F10C5A" w:rsidRPr="00F10C5A" w:rsidRDefault="00F10C5A" w:rsidP="00414F73">
      <w:pPr>
        <w:pStyle w:val="VLAquotation"/>
        <w:numPr>
          <w:ilvl w:val="0"/>
          <w:numId w:val="28"/>
        </w:numPr>
      </w:pPr>
      <w:r w:rsidRPr="00F10C5A">
        <w:t xml:space="preserve">have difficulty understanding, or pursuing, the options available to them for seeking a review or negotiating repayment </w:t>
      </w:r>
    </w:p>
    <w:p w14:paraId="4214A50C" w14:textId="77777777" w:rsidR="00F10C5A" w:rsidRDefault="00F10C5A" w:rsidP="00414F73">
      <w:pPr>
        <w:pStyle w:val="VLAquotation"/>
        <w:numPr>
          <w:ilvl w:val="0"/>
          <w:numId w:val="28"/>
        </w:numPr>
      </w:pPr>
      <w:r w:rsidRPr="00F10C5A">
        <w:t xml:space="preserve">refuse to accept the debt is valid and/or refuse to discuss repayment. </w:t>
      </w:r>
    </w:p>
    <w:p w14:paraId="2D0C939A" w14:textId="77777777" w:rsidR="00F10C5A" w:rsidRDefault="00F10C5A" w:rsidP="00414F73">
      <w:pPr>
        <w:pStyle w:val="VLAquotation"/>
      </w:pPr>
      <w:r w:rsidRPr="00F10C5A">
        <w:t xml:space="preserve">These difficulties could result in the customer: </w:t>
      </w:r>
    </w:p>
    <w:p w14:paraId="56875768" w14:textId="77777777" w:rsidR="00F10C5A" w:rsidRDefault="00F10C5A" w:rsidP="00414F73">
      <w:pPr>
        <w:pStyle w:val="VLAquotation"/>
        <w:numPr>
          <w:ilvl w:val="0"/>
          <w:numId w:val="29"/>
        </w:numPr>
      </w:pPr>
      <w:r w:rsidRPr="00F10C5A">
        <w:t xml:space="preserve">experiencing heightened symptoms of anxiety or paranoia </w:t>
      </w:r>
    </w:p>
    <w:p w14:paraId="2131102B" w14:textId="77777777" w:rsidR="00F10C5A" w:rsidRDefault="00F10C5A" w:rsidP="00414F73">
      <w:pPr>
        <w:pStyle w:val="VLAquotation"/>
        <w:numPr>
          <w:ilvl w:val="0"/>
          <w:numId w:val="29"/>
        </w:numPr>
      </w:pPr>
      <w:r w:rsidRPr="00F10C5A">
        <w:t xml:space="preserve">committing to repayment terms they are unable to meet </w:t>
      </w:r>
    </w:p>
    <w:p w14:paraId="7245FDDC" w14:textId="77777777" w:rsidR="00F10C5A" w:rsidRDefault="00F10C5A" w:rsidP="00414F73">
      <w:pPr>
        <w:pStyle w:val="VLAquotation"/>
        <w:numPr>
          <w:ilvl w:val="0"/>
          <w:numId w:val="29"/>
        </w:numPr>
      </w:pPr>
      <w:r w:rsidRPr="00F10C5A">
        <w:t>refusing to cooperate and being subjected to rigorous recovery arrangements that do not consider their true financial circumstances.</w:t>
      </w:r>
      <w:r>
        <w:rPr>
          <w:rStyle w:val="FootnoteReference"/>
          <w:szCs w:val="20"/>
        </w:rPr>
        <w:footnoteReference w:id="15"/>
      </w:r>
    </w:p>
    <w:p w14:paraId="0228E2A0" w14:textId="5CDC23A2" w:rsidR="009F7E61" w:rsidRDefault="009F7E61" w:rsidP="009F7E61">
      <w:pPr>
        <w:rPr>
          <w:szCs w:val="22"/>
        </w:rPr>
      </w:pPr>
      <w:r w:rsidRPr="009F7E61">
        <w:rPr>
          <w:szCs w:val="22"/>
        </w:rPr>
        <w:t xml:space="preserve">The Ombudsman’s report suggested that </w:t>
      </w:r>
      <w:r w:rsidR="00C07422">
        <w:rPr>
          <w:szCs w:val="22"/>
        </w:rPr>
        <w:t xml:space="preserve">the existing </w:t>
      </w:r>
      <w:r w:rsidRPr="009F7E61">
        <w:rPr>
          <w:szCs w:val="22"/>
        </w:rPr>
        <w:t>debt recovery procedures be expanded to require staff to consider thoroughly the implications of a customer’s mental illness and associated communication or servicing arrangements</w:t>
      </w:r>
      <w:r w:rsidR="00611992">
        <w:rPr>
          <w:szCs w:val="22"/>
        </w:rPr>
        <w:t xml:space="preserve">, including </w:t>
      </w:r>
      <w:r w:rsidRPr="009F7E61">
        <w:rPr>
          <w:szCs w:val="22"/>
        </w:rPr>
        <w:t xml:space="preserve">before proceeding to negotiate repayment. </w:t>
      </w:r>
      <w:r>
        <w:rPr>
          <w:szCs w:val="22"/>
        </w:rPr>
        <w:t>The recommendation</w:t>
      </w:r>
      <w:r w:rsidR="00611992">
        <w:rPr>
          <w:szCs w:val="22"/>
        </w:rPr>
        <w:t>s</w:t>
      </w:r>
      <w:r>
        <w:rPr>
          <w:szCs w:val="22"/>
        </w:rPr>
        <w:t xml:space="preserve"> w</w:t>
      </w:r>
      <w:r w:rsidR="00611992">
        <w:rPr>
          <w:szCs w:val="22"/>
        </w:rPr>
        <w:t>ere</w:t>
      </w:r>
      <w:r>
        <w:rPr>
          <w:szCs w:val="22"/>
        </w:rPr>
        <w:t xml:space="preserve"> aimed at attaining </w:t>
      </w:r>
      <w:r w:rsidRPr="009F7E61">
        <w:rPr>
          <w:szCs w:val="22"/>
        </w:rPr>
        <w:t>fairness</w:t>
      </w:r>
      <w:r w:rsidR="00353D80">
        <w:rPr>
          <w:szCs w:val="22"/>
        </w:rPr>
        <w:t xml:space="preserve"> and correctness</w:t>
      </w:r>
      <w:r w:rsidRPr="009F7E61">
        <w:rPr>
          <w:szCs w:val="22"/>
        </w:rPr>
        <w:t xml:space="preserve"> in the debt recovery process.</w:t>
      </w:r>
      <w:r w:rsidR="00CA0D04">
        <w:rPr>
          <w:rStyle w:val="FootnoteReference"/>
          <w:szCs w:val="22"/>
        </w:rPr>
        <w:footnoteReference w:id="16"/>
      </w:r>
    </w:p>
    <w:p w14:paraId="758AD7C8" w14:textId="3A06DB28" w:rsidR="009F7E61" w:rsidRDefault="009F7E61" w:rsidP="009F7E61">
      <w:pPr>
        <w:rPr>
          <w:szCs w:val="22"/>
        </w:rPr>
      </w:pPr>
      <w:r>
        <w:rPr>
          <w:szCs w:val="22"/>
        </w:rPr>
        <w:lastRenderedPageBreak/>
        <w:t>Centrelink, at that time, agreed with the Ombudsman’s recommendation</w:t>
      </w:r>
      <w:r w:rsidR="00085742">
        <w:rPr>
          <w:szCs w:val="22"/>
        </w:rPr>
        <w:t>s</w:t>
      </w:r>
      <w:r>
        <w:rPr>
          <w:szCs w:val="22"/>
        </w:rPr>
        <w:t>.</w:t>
      </w:r>
      <w:r>
        <w:rPr>
          <w:rStyle w:val="FootnoteReference"/>
          <w:szCs w:val="22"/>
        </w:rPr>
        <w:footnoteReference w:id="17"/>
      </w:r>
      <w:r w:rsidR="004A2CDA">
        <w:rPr>
          <w:szCs w:val="22"/>
        </w:rPr>
        <w:t xml:space="preserve"> </w:t>
      </w:r>
      <w:r w:rsidR="00353D80">
        <w:rPr>
          <w:szCs w:val="22"/>
        </w:rPr>
        <w:t xml:space="preserve">However, in our work, we have not observed </w:t>
      </w:r>
      <w:r w:rsidR="00FF47B4">
        <w:rPr>
          <w:szCs w:val="22"/>
        </w:rPr>
        <w:t>a</w:t>
      </w:r>
      <w:r w:rsidR="00353D80">
        <w:rPr>
          <w:szCs w:val="22"/>
        </w:rPr>
        <w:t xml:space="preserve"> tailored consideration under the Initiative of needs of peopl</w:t>
      </w:r>
      <w:r w:rsidR="004A2CDA">
        <w:rPr>
          <w:szCs w:val="22"/>
        </w:rPr>
        <w:t xml:space="preserve">e experiencing mental illness. </w:t>
      </w:r>
      <w:r w:rsidR="00353D80">
        <w:rPr>
          <w:szCs w:val="22"/>
        </w:rPr>
        <w:t xml:space="preserve">For example, in </w:t>
      </w:r>
      <w:r w:rsidR="00414F73">
        <w:rPr>
          <w:szCs w:val="22"/>
        </w:rPr>
        <w:t>both ‘Jan’</w:t>
      </w:r>
      <w:r w:rsidR="007602FD">
        <w:rPr>
          <w:szCs w:val="22"/>
        </w:rPr>
        <w:t xml:space="preserve"> and </w:t>
      </w:r>
      <w:r w:rsidR="00414F73">
        <w:rPr>
          <w:szCs w:val="22"/>
        </w:rPr>
        <w:t>‘June’s’</w:t>
      </w:r>
      <w:r w:rsidR="007602FD">
        <w:rPr>
          <w:szCs w:val="22"/>
        </w:rPr>
        <w:t xml:space="preserve"> stories </w:t>
      </w:r>
      <w:r w:rsidR="00353D80">
        <w:rPr>
          <w:szCs w:val="22"/>
        </w:rPr>
        <w:t xml:space="preserve">(see </w:t>
      </w:r>
      <w:hyperlink w:anchor="June" w:history="1">
        <w:r w:rsidR="00FC4460" w:rsidRPr="00FC4460">
          <w:rPr>
            <w:rStyle w:val="Hyperlink"/>
            <w:szCs w:val="22"/>
          </w:rPr>
          <w:t>Case study</w:t>
        </w:r>
        <w:r w:rsidR="007602FD" w:rsidRPr="00FC4460">
          <w:rPr>
            <w:rStyle w:val="Hyperlink"/>
            <w:szCs w:val="22"/>
          </w:rPr>
          <w:t xml:space="preserve"> 1</w:t>
        </w:r>
      </w:hyperlink>
      <w:r w:rsidR="007602FD">
        <w:rPr>
          <w:szCs w:val="22"/>
        </w:rPr>
        <w:t xml:space="preserve"> and</w:t>
      </w:r>
      <w:r w:rsidR="00FC4460">
        <w:rPr>
          <w:szCs w:val="22"/>
        </w:rPr>
        <w:t xml:space="preserve"> </w:t>
      </w:r>
      <w:hyperlink w:anchor="Jan" w:history="1">
        <w:r w:rsidR="00FC4460" w:rsidRPr="00FC4460">
          <w:rPr>
            <w:rStyle w:val="Hyperlink"/>
            <w:szCs w:val="22"/>
          </w:rPr>
          <w:t>Case study</w:t>
        </w:r>
        <w:r w:rsidR="00353D80" w:rsidRPr="00FC4460">
          <w:rPr>
            <w:rStyle w:val="Hyperlink"/>
            <w:szCs w:val="22"/>
          </w:rPr>
          <w:t xml:space="preserve"> 2</w:t>
        </w:r>
      </w:hyperlink>
      <w:r w:rsidR="00353D80">
        <w:rPr>
          <w:szCs w:val="22"/>
        </w:rPr>
        <w:t xml:space="preserve">), there does not appear to have been any </w:t>
      </w:r>
      <w:r w:rsidR="007602FD">
        <w:rPr>
          <w:szCs w:val="22"/>
        </w:rPr>
        <w:t>consideration given by Centrelink staff to their mental health diagnoses</w:t>
      </w:r>
      <w:r w:rsidR="004A2CDA">
        <w:rPr>
          <w:szCs w:val="22"/>
        </w:rPr>
        <w:t xml:space="preserve">. </w:t>
      </w:r>
      <w:r w:rsidR="00C07422">
        <w:rPr>
          <w:szCs w:val="22"/>
        </w:rPr>
        <w:t xml:space="preserve">Other clients, including those who receive the Disability Support Pension </w:t>
      </w:r>
      <w:r w:rsidR="00C07422">
        <w:rPr>
          <w:b/>
          <w:szCs w:val="22"/>
        </w:rPr>
        <w:t>for mental health conditions</w:t>
      </w:r>
      <w:r w:rsidR="00C07422">
        <w:rPr>
          <w:szCs w:val="22"/>
        </w:rPr>
        <w:t xml:space="preserve"> have also been subject to the standard automated letters</w:t>
      </w:r>
      <w:r w:rsidR="00FF47B4">
        <w:rPr>
          <w:szCs w:val="22"/>
        </w:rPr>
        <w:t xml:space="preserve"> asserting a debt and requiring repayment.</w:t>
      </w:r>
    </w:p>
    <w:p w14:paraId="6A8514AF" w14:textId="7281E36D" w:rsidR="00FF47B4" w:rsidRDefault="00FF47B4" w:rsidP="009F7E61">
      <w:pPr>
        <w:rPr>
          <w:szCs w:val="22"/>
        </w:rPr>
      </w:pPr>
      <w:r>
        <w:rPr>
          <w:szCs w:val="22"/>
        </w:rPr>
        <w:t xml:space="preserve">We anticipate that the Initiative has heightened the </w:t>
      </w:r>
      <w:r w:rsidR="001E400F">
        <w:rPr>
          <w:szCs w:val="22"/>
        </w:rPr>
        <w:t>undeniable challenge Centrelink faces to</w:t>
      </w:r>
      <w:r>
        <w:rPr>
          <w:szCs w:val="22"/>
        </w:rPr>
        <w:t xml:space="preserve"> identify individuals who will </w:t>
      </w:r>
      <w:r w:rsidR="001E400F">
        <w:rPr>
          <w:szCs w:val="22"/>
        </w:rPr>
        <w:t>experience</w:t>
      </w:r>
      <w:r>
        <w:rPr>
          <w:szCs w:val="22"/>
        </w:rPr>
        <w:t xml:space="preserve"> difficulties in navigating the specific debt recovery process.</w:t>
      </w:r>
      <w:r w:rsidR="00414F73">
        <w:rPr>
          <w:szCs w:val="22"/>
        </w:rPr>
        <w:t xml:space="preserve"> </w:t>
      </w:r>
      <w:r w:rsidR="001E400F">
        <w:rPr>
          <w:szCs w:val="22"/>
        </w:rPr>
        <w:t>This is because, under the Initiative:</w:t>
      </w:r>
    </w:p>
    <w:p w14:paraId="0E776641" w14:textId="46A1E335" w:rsidR="001E400F" w:rsidRDefault="002D74B3" w:rsidP="00414F73">
      <w:pPr>
        <w:pStyle w:val="ListBullet"/>
      </w:pPr>
      <w:r>
        <w:t>d</w:t>
      </w:r>
      <w:r w:rsidR="001E400F">
        <w:t>ebt notices are generated and sent to individuals if they fail to respond to the initial ‘</w:t>
      </w:r>
      <w:r w:rsidR="00A31347">
        <w:t>discrepancy</w:t>
      </w:r>
      <w:r w:rsidR="001E400F">
        <w:t xml:space="preserve"> letter’ </w:t>
      </w:r>
      <w:r w:rsidR="00A31347">
        <w:t xml:space="preserve">in </w:t>
      </w:r>
      <w:r w:rsidR="00360AB0">
        <w:t>the short, specified, period</w:t>
      </w:r>
      <w:r w:rsidR="004A2CDA">
        <w:t xml:space="preserve">. </w:t>
      </w:r>
      <w:r w:rsidR="001E400F">
        <w:t>This appears to occur without any contemporaneous human consideration whether or not the person may have a vulnerability which would mer</w:t>
      </w:r>
      <w:r>
        <w:t>it a different type of approach</w:t>
      </w:r>
    </w:p>
    <w:p w14:paraId="08BBFFB1" w14:textId="2A9EAD98" w:rsidR="00414F73" w:rsidRDefault="002D74B3" w:rsidP="00414F73">
      <w:pPr>
        <w:pStyle w:val="ListBullet"/>
      </w:pPr>
      <w:r>
        <w:t>a</w:t>
      </w:r>
      <w:r w:rsidR="001E400F">
        <w:t xml:space="preserve"> person who is no longer a recipient of a Centrelink payment or who has not had cause to connect with Centrelink in any intensive way for </w:t>
      </w:r>
      <w:r w:rsidR="001E400F">
        <w:rPr>
          <w:b/>
        </w:rPr>
        <w:t>years</w:t>
      </w:r>
      <w:r w:rsidR="001E400F">
        <w:t xml:space="preserve"> is contemplated to be the subject of </w:t>
      </w:r>
      <w:r w:rsidR="00CA0D04">
        <w:t xml:space="preserve">the blanket </w:t>
      </w:r>
      <w:r w:rsidR="001E400F">
        <w:t>discrepancy</w:t>
      </w:r>
      <w:r w:rsidR="004A2CDA">
        <w:t xml:space="preserve"> letters and debt notices. </w:t>
      </w:r>
      <w:r w:rsidR="00CA0D04">
        <w:t>As a result, Centrelink will be necessarily unable to evaluate vulnerabilities before they embark on the standard format of automated, written, communication.</w:t>
      </w:r>
    </w:p>
    <w:p w14:paraId="619D5773" w14:textId="03541C57" w:rsidR="00E00306" w:rsidRPr="00414F73" w:rsidRDefault="00E00306" w:rsidP="00414F73">
      <w:r w:rsidRPr="00414F73">
        <w:rPr>
          <w:b/>
        </w:rPr>
        <w:t xml:space="preserve">Recommendation 7: </w:t>
      </w:r>
      <w:r w:rsidRPr="00414F73">
        <w:t>Centrelink must actively reduce the current financial burden experienced by customers, including by contacting all customers who are the subject of involuntary repayments where their case is under review and alert those clients to the optio</w:t>
      </w:r>
      <w:r w:rsidR="004A2CDA">
        <w:t xml:space="preserve">n to discontinue the payments. </w:t>
      </w:r>
      <w:r w:rsidRPr="00414F73">
        <w:t>Where a client elects to discontinue payments the amounts already d</w:t>
      </w:r>
      <w:r w:rsidR="004A2CDA">
        <w:t>educted should also be repaid.</w:t>
      </w:r>
    </w:p>
    <w:p w14:paraId="6C30C8D1" w14:textId="62EA3621" w:rsidR="00E00306" w:rsidRPr="00414F73" w:rsidRDefault="00E00306" w:rsidP="00414F73">
      <w:r w:rsidRPr="00414F73">
        <w:rPr>
          <w:b/>
        </w:rPr>
        <w:t>Recommendation 8:</w:t>
      </w:r>
      <w:r w:rsidRPr="00414F73">
        <w:t xml:space="preserve"> Centrelink must work with service providers and consumer groups to establish a best-practice model for service delivery, including evaluating publicly whether its actions in the design and roll out of the Initiative are consistent with its commitments following the 2010 Ombudsman report </w:t>
      </w:r>
      <w:r w:rsidRPr="00414F73">
        <w:rPr>
          <w:i/>
        </w:rPr>
        <w:t>Falling through the cracks</w:t>
      </w:r>
      <w:r w:rsidRPr="00414F73">
        <w:t xml:space="preserve"> in relation to engaging with cu</w:t>
      </w:r>
      <w:r w:rsidR="004A2CDA">
        <w:t>stomers with a mental illness.</w:t>
      </w:r>
    </w:p>
    <w:p w14:paraId="2694E54D" w14:textId="23630180" w:rsidR="00E00306" w:rsidRPr="00414F73" w:rsidRDefault="00E00306" w:rsidP="00414F73">
      <w:r w:rsidRPr="00414F73">
        <w:rPr>
          <w:b/>
        </w:rPr>
        <w:t>Recommendation 9:</w:t>
      </w:r>
      <w:r w:rsidRPr="00414F73">
        <w:t xml:space="preserve"> All letters to Centrelink customers in relation to discrepancies or alleged debts must set out the basis for the alleged discrepancy, the specific provision under which the Department asserts that the debt has been raised and include the timeframes, contact details and detailed, relevant, information on the methods for a person to seek review of or app</w:t>
      </w:r>
      <w:r w:rsidR="004A2CDA">
        <w:t>eal a decision to raise a debt.</w:t>
      </w:r>
    </w:p>
    <w:p w14:paraId="392D79B0" w14:textId="77777777" w:rsidR="007F505B" w:rsidRDefault="007F505B">
      <w:pPr>
        <w:spacing w:after="0" w:line="240" w:lineRule="auto"/>
        <w:rPr>
          <w:lang w:eastAsia="en-AU"/>
        </w:rPr>
      </w:pPr>
      <w:r>
        <w:rPr>
          <w:lang w:eastAsia="en-AU"/>
        </w:rPr>
        <w:br w:type="page"/>
      </w:r>
    </w:p>
    <w:p w14:paraId="20A2300D" w14:textId="77777777" w:rsidR="00336950" w:rsidRDefault="00080080" w:rsidP="00080080">
      <w:pPr>
        <w:pStyle w:val="Heading1"/>
      </w:pPr>
      <w:bookmarkStart w:id="16" w:name="_Toc479316958"/>
      <w:r>
        <w:lastRenderedPageBreak/>
        <w:t>Lack of transparency in data matching and the raising of specific debts in individual cases</w:t>
      </w:r>
      <w:r w:rsidR="00AF001C">
        <w:t xml:space="preserve"> (TOR (a), (b), </w:t>
      </w:r>
      <w:r w:rsidRPr="00E476B9">
        <w:t>(g), (i)</w:t>
      </w:r>
      <w:r>
        <w:t>)</w:t>
      </w:r>
      <w:bookmarkEnd w:id="16"/>
    </w:p>
    <w:p w14:paraId="091A37C5" w14:textId="77777777" w:rsidR="00BA4488" w:rsidRPr="00374F56" w:rsidRDefault="00EE5F5D" w:rsidP="00414F73">
      <w:pPr>
        <w:pStyle w:val="Heading2"/>
      </w:pPr>
      <w:bookmarkStart w:id="17" w:name="_Toc479316959"/>
      <w:r w:rsidRPr="00374F56">
        <w:t>Overview</w:t>
      </w:r>
      <w:bookmarkEnd w:id="17"/>
    </w:p>
    <w:p w14:paraId="4DDA3A43" w14:textId="77777777" w:rsidR="004C5033" w:rsidRDefault="00B72806" w:rsidP="00CE744C">
      <w:pPr>
        <w:rPr>
          <w:lang w:eastAsia="en-AU"/>
        </w:rPr>
      </w:pPr>
      <w:r>
        <w:rPr>
          <w:lang w:eastAsia="en-AU"/>
        </w:rPr>
        <w:t>In our experience, t</w:t>
      </w:r>
      <w:r w:rsidR="00CE744C">
        <w:rPr>
          <w:lang w:eastAsia="en-AU"/>
        </w:rPr>
        <w:t>he Initiative has been marked by a</w:t>
      </w:r>
      <w:r w:rsidR="00B15325">
        <w:rPr>
          <w:lang w:eastAsia="en-AU"/>
        </w:rPr>
        <w:t xml:space="preserve"> </w:t>
      </w:r>
      <w:r w:rsidR="00CE744C">
        <w:rPr>
          <w:lang w:eastAsia="en-AU"/>
        </w:rPr>
        <w:t xml:space="preserve">lack of transparency </w:t>
      </w:r>
      <w:r w:rsidR="00D87E39">
        <w:rPr>
          <w:lang w:eastAsia="en-AU"/>
        </w:rPr>
        <w:t>and specificity about</w:t>
      </w:r>
      <w:r w:rsidR="004C5033">
        <w:rPr>
          <w:lang w:eastAsia="en-AU"/>
        </w:rPr>
        <w:t>:</w:t>
      </w:r>
    </w:p>
    <w:p w14:paraId="47F9F0EF" w14:textId="63D93A8A" w:rsidR="004C5033" w:rsidRDefault="00CE744C" w:rsidP="00414F73">
      <w:pPr>
        <w:pStyle w:val="ListBullet"/>
        <w:rPr>
          <w:lang w:eastAsia="en-AU"/>
        </w:rPr>
      </w:pPr>
      <w:r>
        <w:rPr>
          <w:lang w:eastAsia="en-AU"/>
        </w:rPr>
        <w:t>the</w:t>
      </w:r>
      <w:r w:rsidR="00D87E39">
        <w:rPr>
          <w:lang w:eastAsia="en-AU"/>
        </w:rPr>
        <w:t xml:space="preserve"> broad principles and algorithms on which the data-matching project </w:t>
      </w:r>
      <w:r w:rsidR="004C5033">
        <w:rPr>
          <w:lang w:eastAsia="en-AU"/>
        </w:rPr>
        <w:t xml:space="preserve">underlying the Initiative </w:t>
      </w:r>
      <w:r w:rsidR="00D87E39">
        <w:rPr>
          <w:lang w:eastAsia="en-AU"/>
        </w:rPr>
        <w:t>is based</w:t>
      </w:r>
    </w:p>
    <w:p w14:paraId="5A9CDD6F" w14:textId="7C718C71" w:rsidR="004C5033" w:rsidRDefault="00D87E39" w:rsidP="00414F73">
      <w:pPr>
        <w:pStyle w:val="ListBullet"/>
        <w:rPr>
          <w:lang w:eastAsia="en-AU"/>
        </w:rPr>
      </w:pPr>
      <w:r>
        <w:rPr>
          <w:lang w:eastAsia="en-AU"/>
        </w:rPr>
        <w:t>the legal basis for the data-matching which has occurred</w:t>
      </w:r>
      <w:r w:rsidR="00414F73">
        <w:rPr>
          <w:lang w:eastAsia="en-AU"/>
        </w:rPr>
        <w:t>,</w:t>
      </w:r>
      <w:r>
        <w:rPr>
          <w:lang w:eastAsia="en-AU"/>
        </w:rPr>
        <w:t xml:space="preserve"> and </w:t>
      </w:r>
    </w:p>
    <w:p w14:paraId="4EE7D8A5" w14:textId="77777777" w:rsidR="00CE744C" w:rsidRDefault="00D87E39" w:rsidP="00414F73">
      <w:pPr>
        <w:pStyle w:val="ListBullet"/>
        <w:rPr>
          <w:lang w:eastAsia="en-AU"/>
        </w:rPr>
      </w:pPr>
      <w:r>
        <w:rPr>
          <w:lang w:eastAsia="en-AU"/>
        </w:rPr>
        <w:t xml:space="preserve">the way any particular discrepancy or default automated debt has been generated. </w:t>
      </w:r>
    </w:p>
    <w:p w14:paraId="2F6F0C4E" w14:textId="74AF8529" w:rsidR="00EE167C" w:rsidRDefault="00D3446D" w:rsidP="00AF001C">
      <w:pPr>
        <w:rPr>
          <w:lang w:eastAsia="en-AU"/>
        </w:rPr>
      </w:pPr>
      <w:r>
        <w:rPr>
          <w:lang w:eastAsia="en-AU"/>
        </w:rPr>
        <w:t>T</w:t>
      </w:r>
      <w:r w:rsidR="00AF001C">
        <w:rPr>
          <w:lang w:eastAsia="en-AU"/>
        </w:rPr>
        <w:t xml:space="preserve">ransparency and specificity are critical </w:t>
      </w:r>
      <w:r>
        <w:rPr>
          <w:lang w:eastAsia="en-AU"/>
        </w:rPr>
        <w:t>to enabling public confidence in</w:t>
      </w:r>
      <w:r w:rsidR="009E36DF">
        <w:rPr>
          <w:lang w:eastAsia="en-AU"/>
        </w:rPr>
        <w:t>,</w:t>
      </w:r>
      <w:r>
        <w:rPr>
          <w:lang w:eastAsia="en-AU"/>
        </w:rPr>
        <w:t xml:space="preserve"> and accountability for</w:t>
      </w:r>
      <w:r w:rsidR="009E36DF">
        <w:rPr>
          <w:lang w:eastAsia="en-AU"/>
        </w:rPr>
        <w:t>,</w:t>
      </w:r>
      <w:r>
        <w:rPr>
          <w:lang w:eastAsia="en-AU"/>
        </w:rPr>
        <w:t xml:space="preserve"> the Initiative or any futur</w:t>
      </w:r>
      <w:r w:rsidR="009A5164">
        <w:rPr>
          <w:lang w:eastAsia="en-AU"/>
        </w:rPr>
        <w:t>e automated compliance system.</w:t>
      </w:r>
      <w:r w:rsidR="004A2CDA">
        <w:rPr>
          <w:lang w:eastAsia="en-AU"/>
        </w:rPr>
        <w:t xml:space="preserve"> </w:t>
      </w:r>
    </w:p>
    <w:p w14:paraId="5237E86C" w14:textId="77777777" w:rsidR="009A5164" w:rsidRPr="00064301" w:rsidRDefault="00064301" w:rsidP="00AF001C">
      <w:pPr>
        <w:rPr>
          <w:lang w:eastAsia="en-AU"/>
        </w:rPr>
      </w:pPr>
      <w:r>
        <w:rPr>
          <w:lang w:eastAsia="en-AU"/>
        </w:rPr>
        <w:t>The Department’s lack of public</w:t>
      </w:r>
      <w:r w:rsidR="009A5164">
        <w:rPr>
          <w:lang w:eastAsia="en-AU"/>
        </w:rPr>
        <w:t xml:space="preserve"> disclosure of the program protocol for the data-matching project also raises real questions </w:t>
      </w:r>
      <w:r w:rsidR="00280673">
        <w:rPr>
          <w:lang w:eastAsia="en-AU"/>
        </w:rPr>
        <w:t xml:space="preserve">about </w:t>
      </w:r>
      <w:r w:rsidR="00672AF9">
        <w:rPr>
          <w:lang w:eastAsia="en-AU"/>
        </w:rPr>
        <w:t>i</w:t>
      </w:r>
      <w:r w:rsidR="00EE167C">
        <w:rPr>
          <w:lang w:eastAsia="en-AU"/>
        </w:rPr>
        <w:t>ts</w:t>
      </w:r>
      <w:r w:rsidR="00280673">
        <w:rPr>
          <w:lang w:eastAsia="en-AU"/>
        </w:rPr>
        <w:t xml:space="preserve"> compliance with the Office of the Australian Information Commission </w:t>
      </w:r>
      <w:r w:rsidR="00280673">
        <w:rPr>
          <w:i/>
          <w:lang w:eastAsia="en-AU"/>
        </w:rPr>
        <w:t>Guidelines on Data Matching in Australian Government Administration</w:t>
      </w:r>
      <w:r>
        <w:rPr>
          <w:lang w:eastAsia="en-AU"/>
        </w:rPr>
        <w:t xml:space="preserve"> and its obligations under the </w:t>
      </w:r>
      <w:r>
        <w:rPr>
          <w:i/>
          <w:lang w:eastAsia="en-AU"/>
        </w:rPr>
        <w:t xml:space="preserve">Freedom of Information Act 1978 </w:t>
      </w:r>
      <w:r>
        <w:rPr>
          <w:lang w:eastAsia="en-AU"/>
        </w:rPr>
        <w:t>(Cth) (</w:t>
      </w:r>
      <w:r w:rsidRPr="00414F73">
        <w:rPr>
          <w:lang w:eastAsia="en-AU"/>
        </w:rPr>
        <w:t>FOI Act</w:t>
      </w:r>
      <w:r>
        <w:rPr>
          <w:lang w:eastAsia="en-AU"/>
        </w:rPr>
        <w:t>).</w:t>
      </w:r>
    </w:p>
    <w:p w14:paraId="45DC5A24" w14:textId="79F01056" w:rsidR="00E444E9" w:rsidRDefault="00E444E9" w:rsidP="00AF001C">
      <w:pPr>
        <w:rPr>
          <w:lang w:eastAsia="en-AU"/>
        </w:rPr>
      </w:pPr>
      <w:r>
        <w:rPr>
          <w:lang w:eastAsia="en-AU"/>
        </w:rPr>
        <w:t>Further, the</w:t>
      </w:r>
      <w:r w:rsidR="00FC4460">
        <w:rPr>
          <w:lang w:eastAsia="en-AU"/>
        </w:rPr>
        <w:t xml:space="preserve"> lack of transparency about these </w:t>
      </w:r>
      <w:r>
        <w:rPr>
          <w:lang w:eastAsia="en-AU"/>
        </w:rPr>
        <w:t>matters, especially in the context of an incredibly complex social security system</w:t>
      </w:r>
      <w:r w:rsidR="009A5164">
        <w:rPr>
          <w:lang w:eastAsia="en-AU"/>
        </w:rPr>
        <w:t>,</w:t>
      </w:r>
      <w:r>
        <w:rPr>
          <w:lang w:eastAsia="en-AU"/>
        </w:rPr>
        <w:t xml:space="preserve"> has had immediate consequences for:</w:t>
      </w:r>
    </w:p>
    <w:p w14:paraId="53204890" w14:textId="13D0A984" w:rsidR="00827C8B" w:rsidRDefault="00414F73" w:rsidP="00414F73">
      <w:pPr>
        <w:pStyle w:val="ListBullet"/>
        <w:rPr>
          <w:lang w:eastAsia="en-AU"/>
        </w:rPr>
      </w:pPr>
      <w:r>
        <w:rPr>
          <w:lang w:eastAsia="en-AU"/>
        </w:rPr>
        <w:t>i</w:t>
      </w:r>
      <w:r w:rsidR="00E444E9">
        <w:rPr>
          <w:lang w:eastAsia="en-AU"/>
        </w:rPr>
        <w:t>ndividuals affected by the au</w:t>
      </w:r>
      <w:r w:rsidR="00672AF9">
        <w:rPr>
          <w:lang w:eastAsia="en-AU"/>
        </w:rPr>
        <w:t>tomated debt collection process</w:t>
      </w:r>
      <w:r w:rsidR="00E444E9">
        <w:rPr>
          <w:lang w:eastAsia="en-AU"/>
        </w:rPr>
        <w:t xml:space="preserve"> who</w:t>
      </w:r>
      <w:r w:rsidR="00672AF9">
        <w:rPr>
          <w:lang w:eastAsia="en-AU"/>
        </w:rPr>
        <w:t xml:space="preserve">, as </w:t>
      </w:r>
      <w:r w:rsidR="00B1402A">
        <w:rPr>
          <w:lang w:eastAsia="en-AU"/>
        </w:rPr>
        <w:t>described</w:t>
      </w:r>
      <w:r w:rsidR="00672AF9">
        <w:rPr>
          <w:lang w:eastAsia="en-AU"/>
        </w:rPr>
        <w:t>,</w:t>
      </w:r>
      <w:r w:rsidR="00E444E9">
        <w:rPr>
          <w:lang w:eastAsia="en-AU"/>
        </w:rPr>
        <w:t xml:space="preserve"> are </w:t>
      </w:r>
      <w:r w:rsidR="000936FC">
        <w:rPr>
          <w:lang w:eastAsia="en-AU"/>
        </w:rPr>
        <w:t xml:space="preserve">(a) </w:t>
      </w:r>
      <w:r w:rsidR="00E444E9">
        <w:rPr>
          <w:lang w:eastAsia="en-AU"/>
        </w:rPr>
        <w:t xml:space="preserve">distressed when they </w:t>
      </w:r>
      <w:r w:rsidR="001E6956">
        <w:rPr>
          <w:lang w:eastAsia="en-AU"/>
        </w:rPr>
        <w:t>cannot</w:t>
      </w:r>
      <w:r w:rsidR="00E444E9">
        <w:rPr>
          <w:lang w:eastAsia="en-AU"/>
        </w:rPr>
        <w:t xml:space="preserve"> comprehend the specific basis for the debt but are responsible for disproving it</w:t>
      </w:r>
      <w:r w:rsidR="000936FC">
        <w:rPr>
          <w:lang w:eastAsia="en-AU"/>
        </w:rPr>
        <w:t xml:space="preserve">; and (b) unable to make decisions about their best legal options </w:t>
      </w:r>
      <w:r w:rsidR="00FF311E">
        <w:rPr>
          <w:lang w:eastAsia="en-AU"/>
        </w:rPr>
        <w:t xml:space="preserve">without clarity about whether the debt is accurate and which provision of the </w:t>
      </w:r>
      <w:r w:rsidR="007602FD" w:rsidRPr="007602FD">
        <w:rPr>
          <w:lang w:eastAsia="en-AU"/>
        </w:rPr>
        <w:t>SS Act</w:t>
      </w:r>
      <w:r w:rsidR="00FF311E">
        <w:rPr>
          <w:lang w:eastAsia="en-AU"/>
        </w:rPr>
        <w:t xml:space="preserve"> has empowered t</w:t>
      </w:r>
      <w:r>
        <w:rPr>
          <w:lang w:eastAsia="en-AU"/>
        </w:rPr>
        <w:t>he Centrelink to raise the debt</w:t>
      </w:r>
    </w:p>
    <w:p w14:paraId="188C9182" w14:textId="657334F7" w:rsidR="00E444E9" w:rsidRDefault="00414F73" w:rsidP="00414F73">
      <w:pPr>
        <w:pStyle w:val="ListBullet"/>
        <w:rPr>
          <w:lang w:eastAsia="en-AU"/>
        </w:rPr>
      </w:pPr>
      <w:r>
        <w:rPr>
          <w:lang w:eastAsia="en-AU"/>
        </w:rPr>
        <w:t>l</w:t>
      </w:r>
      <w:r w:rsidR="009A5164">
        <w:rPr>
          <w:lang w:eastAsia="en-AU"/>
        </w:rPr>
        <w:t>e</w:t>
      </w:r>
      <w:r w:rsidR="00FF311E">
        <w:rPr>
          <w:lang w:eastAsia="en-AU"/>
        </w:rPr>
        <w:t xml:space="preserve">gal service providers who, acting on the instructions of their clients, are unable to </w:t>
      </w:r>
      <w:r w:rsidR="00B1402A">
        <w:rPr>
          <w:lang w:eastAsia="en-AU"/>
        </w:rPr>
        <w:t xml:space="preserve">understand </w:t>
      </w:r>
      <w:r w:rsidR="00FF311E">
        <w:rPr>
          <w:lang w:eastAsia="en-AU"/>
        </w:rPr>
        <w:t>from Centrelink’s official decisions</w:t>
      </w:r>
      <w:r w:rsidR="009A5164">
        <w:rPr>
          <w:lang w:eastAsia="en-AU"/>
        </w:rPr>
        <w:t xml:space="preserve"> </w:t>
      </w:r>
      <w:r w:rsidR="00FF311E">
        <w:rPr>
          <w:lang w:eastAsia="en-AU"/>
        </w:rPr>
        <w:t>to raise the debt</w:t>
      </w:r>
      <w:r w:rsidR="009A5164">
        <w:rPr>
          <w:lang w:eastAsia="en-AU"/>
        </w:rPr>
        <w:t xml:space="preserve"> or any other public</w:t>
      </w:r>
      <w:r w:rsidR="00B1402A">
        <w:rPr>
          <w:lang w:eastAsia="en-AU"/>
        </w:rPr>
        <w:t>ly available</w:t>
      </w:r>
      <w:r w:rsidR="009A5164">
        <w:rPr>
          <w:lang w:eastAsia="en-AU"/>
        </w:rPr>
        <w:t xml:space="preserve"> document</w:t>
      </w:r>
      <w:r w:rsidR="00B1402A">
        <w:rPr>
          <w:lang w:eastAsia="en-AU"/>
        </w:rPr>
        <w:t>,</w:t>
      </w:r>
      <w:r w:rsidR="00FF311E">
        <w:rPr>
          <w:lang w:eastAsia="en-AU"/>
        </w:rPr>
        <w:t xml:space="preserve"> how the debt in the figure specified </w:t>
      </w:r>
      <w:r w:rsidR="004A2CDA">
        <w:rPr>
          <w:lang w:eastAsia="en-AU"/>
        </w:rPr>
        <w:t xml:space="preserve">has been arrived at. </w:t>
      </w:r>
      <w:r w:rsidR="009A5164">
        <w:rPr>
          <w:lang w:eastAsia="en-AU"/>
        </w:rPr>
        <w:t>The lack of transparency here has resulted in gross inefficiency</w:t>
      </w:r>
      <w:r w:rsidR="00280673">
        <w:rPr>
          <w:lang w:eastAsia="en-AU"/>
        </w:rPr>
        <w:t xml:space="preserve">, including </w:t>
      </w:r>
      <w:r w:rsidR="00B1402A">
        <w:rPr>
          <w:lang w:eastAsia="en-AU"/>
        </w:rPr>
        <w:t>by causing</w:t>
      </w:r>
      <w:r w:rsidR="00280673">
        <w:rPr>
          <w:lang w:eastAsia="en-AU"/>
        </w:rPr>
        <w:t xml:space="preserve"> lawyers </w:t>
      </w:r>
      <w:r w:rsidR="00B1402A">
        <w:rPr>
          <w:lang w:eastAsia="en-AU"/>
        </w:rPr>
        <w:t xml:space="preserve">to make </w:t>
      </w:r>
      <w:r w:rsidR="00280673">
        <w:rPr>
          <w:lang w:eastAsia="en-AU"/>
        </w:rPr>
        <w:t>application for access to a client’s documents held by Centrelink</w:t>
      </w:r>
      <w:r w:rsidR="00B1402A">
        <w:rPr>
          <w:lang w:eastAsia="en-AU"/>
        </w:rPr>
        <w:t>,</w:t>
      </w:r>
      <w:r w:rsidR="00280673">
        <w:rPr>
          <w:lang w:eastAsia="en-AU"/>
        </w:rPr>
        <w:t xml:space="preserve"> and </w:t>
      </w:r>
      <w:r w:rsidR="00B1402A">
        <w:rPr>
          <w:lang w:eastAsia="en-AU"/>
        </w:rPr>
        <w:t xml:space="preserve">to </w:t>
      </w:r>
      <w:r w:rsidR="00280673">
        <w:rPr>
          <w:lang w:eastAsia="en-AU"/>
        </w:rPr>
        <w:t>any information in relation to the debt</w:t>
      </w:r>
      <w:r w:rsidR="00B1402A">
        <w:rPr>
          <w:lang w:eastAsia="en-AU"/>
        </w:rPr>
        <w:t>,</w:t>
      </w:r>
      <w:r w:rsidR="00280673">
        <w:rPr>
          <w:lang w:eastAsia="en-AU"/>
        </w:rPr>
        <w:t xml:space="preserve"> under the </w:t>
      </w:r>
      <w:r w:rsidR="007602FD">
        <w:rPr>
          <w:lang w:eastAsia="en-AU"/>
        </w:rPr>
        <w:t>FOI Act.</w:t>
      </w:r>
    </w:p>
    <w:p w14:paraId="63B6EFDB" w14:textId="77777777" w:rsidR="004C5033" w:rsidRPr="00374F56" w:rsidRDefault="004C5033" w:rsidP="00414F73">
      <w:pPr>
        <w:pStyle w:val="Heading2"/>
      </w:pPr>
      <w:bookmarkStart w:id="18" w:name="_Toc479316960"/>
      <w:r w:rsidRPr="00374F56">
        <w:t xml:space="preserve">Lack of access to </w:t>
      </w:r>
      <w:r w:rsidR="00AF001C" w:rsidRPr="00374F56">
        <w:t>policies and principles</w:t>
      </w:r>
      <w:r w:rsidR="00981EB4" w:rsidRPr="00374F56">
        <w:t xml:space="preserve"> </w:t>
      </w:r>
      <w:r w:rsidR="00F07505" w:rsidRPr="00374F56">
        <w:t>regarding the Initiative</w:t>
      </w:r>
      <w:bookmarkEnd w:id="18"/>
    </w:p>
    <w:p w14:paraId="7C1C9745" w14:textId="3BC66396" w:rsidR="00556A24" w:rsidRDefault="00412463" w:rsidP="00CE744C">
      <w:pPr>
        <w:rPr>
          <w:lang w:eastAsia="en-AU"/>
        </w:rPr>
      </w:pPr>
      <w:r>
        <w:rPr>
          <w:lang w:eastAsia="en-AU"/>
        </w:rPr>
        <w:t xml:space="preserve">At a high level, VLA is concerned by the lack </w:t>
      </w:r>
      <w:r w:rsidR="00064301">
        <w:rPr>
          <w:lang w:eastAsia="en-AU"/>
        </w:rPr>
        <w:t>of</w:t>
      </w:r>
      <w:r>
        <w:rPr>
          <w:lang w:eastAsia="en-AU"/>
        </w:rPr>
        <w:t xml:space="preserve"> publication by the Department of the Program Protocol which describes the Data Matching Project being undertaken by</w:t>
      </w:r>
      <w:r w:rsidR="00B726F1">
        <w:rPr>
          <w:lang w:eastAsia="en-AU"/>
        </w:rPr>
        <w:t xml:space="preserve"> the Department to support the I</w:t>
      </w:r>
      <w:r w:rsidR="004A2CDA">
        <w:rPr>
          <w:lang w:eastAsia="en-AU"/>
        </w:rPr>
        <w:t>nitiative.</w:t>
      </w:r>
    </w:p>
    <w:p w14:paraId="6FE435CA" w14:textId="77777777" w:rsidR="00556A24" w:rsidRPr="00770BDB" w:rsidRDefault="00556A24" w:rsidP="00414F73">
      <w:pPr>
        <w:pStyle w:val="Heading3"/>
      </w:pPr>
      <w:r w:rsidRPr="00770BDB">
        <w:t>Data-matching program protocol is not publicly available</w:t>
      </w:r>
      <w:r w:rsidR="00860AEE" w:rsidRPr="00770BDB">
        <w:t xml:space="preserve"> as</w:t>
      </w:r>
      <w:r w:rsidR="00685504" w:rsidRPr="00770BDB">
        <w:t xml:space="preserve"> required</w:t>
      </w:r>
      <w:r w:rsidR="00643109" w:rsidRPr="00770BDB">
        <w:t xml:space="preserve"> by the Data-matching guidelines</w:t>
      </w:r>
    </w:p>
    <w:p w14:paraId="20F06CD0" w14:textId="3305C00B" w:rsidR="00280673" w:rsidRDefault="00414F73" w:rsidP="00CE744C">
      <w:pPr>
        <w:rPr>
          <w:lang w:eastAsia="en-AU"/>
        </w:rPr>
      </w:pPr>
      <w:r>
        <w:rPr>
          <w:lang w:eastAsia="en-AU"/>
        </w:rPr>
        <w:t>While</w:t>
      </w:r>
      <w:r w:rsidR="00412463">
        <w:rPr>
          <w:lang w:eastAsia="en-AU"/>
        </w:rPr>
        <w:t xml:space="preserve"> the official documents sent to a person </w:t>
      </w:r>
      <w:r w:rsidR="00064301">
        <w:rPr>
          <w:lang w:eastAsia="en-AU"/>
        </w:rPr>
        <w:t xml:space="preserve">in respect of a debt or an alleged discrepancy do not specify </w:t>
      </w:r>
      <w:r w:rsidR="00981EB4">
        <w:rPr>
          <w:lang w:eastAsia="en-AU"/>
        </w:rPr>
        <w:t>the Dep</w:t>
      </w:r>
      <w:r w:rsidR="00672AF9">
        <w:rPr>
          <w:lang w:eastAsia="en-AU"/>
        </w:rPr>
        <w:t xml:space="preserve">artment’s authority to conduct </w:t>
      </w:r>
      <w:r w:rsidR="00EE167C">
        <w:rPr>
          <w:lang w:eastAsia="en-AU"/>
        </w:rPr>
        <w:t>data matching</w:t>
      </w:r>
      <w:r w:rsidR="00672AF9">
        <w:rPr>
          <w:lang w:eastAsia="en-AU"/>
        </w:rPr>
        <w:t xml:space="preserve"> in their case</w:t>
      </w:r>
      <w:r w:rsidR="00064301">
        <w:rPr>
          <w:lang w:eastAsia="en-AU"/>
        </w:rPr>
        <w:t xml:space="preserve">, we anticipate that the Initiative relies on the ‘Non-Employment Data Matching project’ (the </w:t>
      </w:r>
      <w:r w:rsidR="00064301" w:rsidRPr="00414F73">
        <w:rPr>
          <w:lang w:eastAsia="en-AU"/>
        </w:rPr>
        <w:t>NEIDM Project</w:t>
      </w:r>
      <w:r w:rsidR="00981EB4">
        <w:rPr>
          <w:lang w:eastAsia="en-AU"/>
        </w:rPr>
        <w:t>)</w:t>
      </w:r>
      <w:r w:rsidR="00672AF9">
        <w:rPr>
          <w:lang w:eastAsia="en-AU"/>
        </w:rPr>
        <w:t xml:space="preserve"> which </w:t>
      </w:r>
      <w:r w:rsidR="003E38DD">
        <w:rPr>
          <w:lang w:eastAsia="en-AU"/>
        </w:rPr>
        <w:t>was announced on 19</w:t>
      </w:r>
      <w:r w:rsidR="004001DA">
        <w:rPr>
          <w:lang w:eastAsia="en-AU"/>
        </w:rPr>
        <w:t xml:space="preserve"> A</w:t>
      </w:r>
      <w:r w:rsidR="00672AF9">
        <w:rPr>
          <w:lang w:eastAsia="en-AU"/>
        </w:rPr>
        <w:t>ugust 2016.</w:t>
      </w:r>
      <w:r w:rsidR="00981EB4">
        <w:rPr>
          <w:lang w:eastAsia="en-AU"/>
        </w:rPr>
        <w:t xml:space="preserve"> </w:t>
      </w:r>
    </w:p>
    <w:p w14:paraId="428B26BA" w14:textId="25F7A9C8" w:rsidR="00D364CA" w:rsidRDefault="00064301" w:rsidP="00D364CA">
      <w:pPr>
        <w:rPr>
          <w:color w:val="000000"/>
          <w:lang w:val="en-US" w:eastAsia="en-AU"/>
        </w:rPr>
      </w:pPr>
      <w:r>
        <w:rPr>
          <w:lang w:eastAsia="en-AU"/>
        </w:rPr>
        <w:lastRenderedPageBreak/>
        <w:t>We</w:t>
      </w:r>
      <w:r w:rsidR="00D87E39">
        <w:rPr>
          <w:lang w:eastAsia="en-AU"/>
        </w:rPr>
        <w:t xml:space="preserve"> refer the Committee to the ‘Notice of a Data Matching Project between Department of Human Services and Australian Taxation Office’ publi</w:t>
      </w:r>
      <w:r w:rsidR="00EC541B">
        <w:rPr>
          <w:lang w:eastAsia="en-AU"/>
        </w:rPr>
        <w:t>shed</w:t>
      </w:r>
      <w:r w:rsidR="00D87E39">
        <w:rPr>
          <w:lang w:eastAsia="en-AU"/>
        </w:rPr>
        <w:t xml:space="preserve"> in the Australian Government Notices Gazette on 19 August 2016 (the </w:t>
      </w:r>
      <w:r w:rsidR="00D87E39" w:rsidRPr="00414F73">
        <w:rPr>
          <w:lang w:eastAsia="en-AU"/>
        </w:rPr>
        <w:t>Gazette notice</w:t>
      </w:r>
      <w:r w:rsidR="00EE167C">
        <w:rPr>
          <w:b/>
          <w:lang w:eastAsia="en-AU"/>
        </w:rPr>
        <w:t xml:space="preserve">, </w:t>
      </w:r>
      <w:r w:rsidR="00EE167C" w:rsidRPr="00BA4488">
        <w:rPr>
          <w:lang w:eastAsia="en-AU"/>
        </w:rPr>
        <w:t xml:space="preserve">see </w:t>
      </w:r>
      <w:hyperlink w:anchor="_Appendix_1:_NEIDM" w:history="1">
        <w:r w:rsidR="00EE167C" w:rsidRPr="00414F73">
          <w:rPr>
            <w:rStyle w:val="Hyperlink"/>
            <w:lang w:eastAsia="en-AU"/>
          </w:rPr>
          <w:t xml:space="preserve">Appendix </w:t>
        </w:r>
        <w:r w:rsidR="00414F73" w:rsidRPr="00414F73">
          <w:rPr>
            <w:rStyle w:val="Hyperlink"/>
            <w:lang w:eastAsia="en-AU"/>
          </w:rPr>
          <w:t>1</w:t>
        </w:r>
      </w:hyperlink>
      <w:r w:rsidR="00414F73">
        <w:rPr>
          <w:lang w:eastAsia="en-AU"/>
        </w:rPr>
        <w:t xml:space="preserve">). </w:t>
      </w:r>
      <w:r w:rsidR="004001DA">
        <w:rPr>
          <w:lang w:eastAsia="en-AU"/>
        </w:rPr>
        <w:t>Relevantly, the Gazette notice</w:t>
      </w:r>
      <w:r w:rsidR="00672AF9">
        <w:rPr>
          <w:lang w:eastAsia="en-AU"/>
        </w:rPr>
        <w:t xml:space="preserve"> describes that</w:t>
      </w:r>
      <w:r w:rsidR="004001DA">
        <w:rPr>
          <w:lang w:eastAsia="en-AU"/>
        </w:rPr>
        <w:t xml:space="preserve">, in accordance with the </w:t>
      </w:r>
      <w:r w:rsidR="00576A20">
        <w:rPr>
          <w:lang w:eastAsia="en-AU"/>
        </w:rPr>
        <w:t xml:space="preserve">Office of </w:t>
      </w:r>
      <w:r w:rsidR="004001DA">
        <w:rPr>
          <w:lang w:eastAsia="en-AU"/>
        </w:rPr>
        <w:t>Australian Information Commission Guidelines on data-matching (</w:t>
      </w:r>
      <w:r w:rsidR="00576A20" w:rsidRPr="00414F73">
        <w:rPr>
          <w:lang w:eastAsia="en-AU"/>
        </w:rPr>
        <w:t>O</w:t>
      </w:r>
      <w:r w:rsidR="004001DA" w:rsidRPr="00414F73">
        <w:rPr>
          <w:lang w:eastAsia="en-AU"/>
        </w:rPr>
        <w:t>AIC Data-matching Guidelines</w:t>
      </w:r>
      <w:r w:rsidR="004001DA">
        <w:rPr>
          <w:lang w:eastAsia="en-AU"/>
        </w:rPr>
        <w:t xml:space="preserve">), a Program Protocol has been developed for </w:t>
      </w:r>
      <w:r w:rsidR="00672AF9">
        <w:rPr>
          <w:lang w:eastAsia="en-AU"/>
        </w:rPr>
        <w:t>the NEIDM Project</w:t>
      </w:r>
      <w:r w:rsidR="004A2CDA">
        <w:rPr>
          <w:lang w:eastAsia="en-AU"/>
        </w:rPr>
        <w:t xml:space="preserve">. </w:t>
      </w:r>
      <w:r w:rsidR="004001DA">
        <w:rPr>
          <w:lang w:eastAsia="en-AU"/>
        </w:rPr>
        <w:t xml:space="preserve">In </w:t>
      </w:r>
      <w:r w:rsidR="00576A20">
        <w:rPr>
          <w:lang w:eastAsia="en-AU"/>
        </w:rPr>
        <w:t>purported</w:t>
      </w:r>
      <w:r w:rsidR="004001DA">
        <w:rPr>
          <w:lang w:eastAsia="en-AU"/>
        </w:rPr>
        <w:t xml:space="preserve"> bare compliance</w:t>
      </w:r>
      <w:r w:rsidR="004001DA">
        <w:rPr>
          <w:rStyle w:val="FootnoteReference"/>
          <w:lang w:eastAsia="en-AU"/>
        </w:rPr>
        <w:footnoteReference w:id="18"/>
      </w:r>
      <w:r w:rsidR="004001DA">
        <w:rPr>
          <w:lang w:eastAsia="en-AU"/>
        </w:rPr>
        <w:t xml:space="preserve"> with </w:t>
      </w:r>
      <w:r w:rsidR="00D364CA">
        <w:rPr>
          <w:color w:val="000000"/>
          <w:lang w:val="en-US" w:eastAsia="en-AU"/>
        </w:rPr>
        <w:t xml:space="preserve">Guideline 3 of the </w:t>
      </w:r>
      <w:r w:rsidR="007602FD">
        <w:rPr>
          <w:color w:val="000000"/>
          <w:lang w:val="en-US" w:eastAsia="en-AU"/>
        </w:rPr>
        <w:t>O</w:t>
      </w:r>
      <w:r w:rsidR="004001DA">
        <w:rPr>
          <w:color w:val="000000"/>
          <w:lang w:val="en-US" w:eastAsia="en-AU"/>
        </w:rPr>
        <w:t xml:space="preserve">AIC Data-matching Guidelines </w:t>
      </w:r>
      <w:r w:rsidR="007602FD">
        <w:rPr>
          <w:color w:val="000000"/>
          <w:lang w:val="en-US" w:eastAsia="en-AU"/>
        </w:rPr>
        <w:t xml:space="preserve">which requires </w:t>
      </w:r>
      <w:r w:rsidR="004001DA">
        <w:rPr>
          <w:color w:val="000000"/>
          <w:lang w:val="en-US" w:eastAsia="en-AU"/>
        </w:rPr>
        <w:t xml:space="preserve">the lead agency to make the Program Protocol </w:t>
      </w:r>
      <w:r w:rsidR="007602FD">
        <w:rPr>
          <w:color w:val="000000"/>
          <w:lang w:val="en-US" w:eastAsia="en-AU"/>
        </w:rPr>
        <w:t>publicly available</w:t>
      </w:r>
      <w:r w:rsidR="004001DA">
        <w:rPr>
          <w:color w:val="000000"/>
          <w:lang w:val="en-US" w:eastAsia="en-AU"/>
        </w:rPr>
        <w:t>, the Gazette notice states that:</w:t>
      </w:r>
    </w:p>
    <w:p w14:paraId="6F598C21" w14:textId="77777777" w:rsidR="004001DA" w:rsidRPr="004001DA" w:rsidRDefault="004001DA" w:rsidP="00414F73">
      <w:pPr>
        <w:pStyle w:val="VLAquotation"/>
        <w:rPr>
          <w:lang w:val="en-US" w:eastAsia="en-AU"/>
        </w:rPr>
      </w:pPr>
      <w:r w:rsidRPr="004001DA">
        <w:rPr>
          <w:lang w:val="en-US" w:eastAsia="en-AU"/>
        </w:rPr>
        <w:t>Copies of the Program Protocol are available from:</w:t>
      </w:r>
    </w:p>
    <w:p w14:paraId="39843485" w14:textId="690FA382" w:rsidR="004001DA" w:rsidRPr="004001DA" w:rsidRDefault="004001DA" w:rsidP="00414F73">
      <w:pPr>
        <w:pStyle w:val="VLAquotation"/>
        <w:ind w:left="1440"/>
        <w:rPr>
          <w:lang w:val="en-US" w:eastAsia="en-AU"/>
        </w:rPr>
      </w:pPr>
      <w:r w:rsidRPr="004001DA">
        <w:rPr>
          <w:lang w:val="en-US" w:eastAsia="en-AU"/>
        </w:rPr>
        <w:t>Case Selection Section</w:t>
      </w:r>
      <w:r w:rsidR="00414F73">
        <w:rPr>
          <w:lang w:val="en-US" w:eastAsia="en-AU"/>
        </w:rPr>
        <w:br/>
      </w:r>
      <w:r w:rsidRPr="004001DA">
        <w:rPr>
          <w:lang w:val="en-US" w:eastAsia="en-AU"/>
        </w:rPr>
        <w:t>Level 2</w:t>
      </w:r>
      <w:r w:rsidR="00414F73">
        <w:rPr>
          <w:lang w:val="en-US" w:eastAsia="en-AU"/>
        </w:rPr>
        <w:br/>
      </w:r>
      <w:r w:rsidRPr="004001DA">
        <w:rPr>
          <w:lang w:val="en-US" w:eastAsia="en-AU"/>
        </w:rPr>
        <w:t>Louisa Lawson Building</w:t>
      </w:r>
      <w:r w:rsidR="00414F73">
        <w:rPr>
          <w:lang w:val="en-US" w:eastAsia="en-AU"/>
        </w:rPr>
        <w:br/>
      </w:r>
      <w:r w:rsidRPr="004001DA">
        <w:rPr>
          <w:lang w:val="en-US" w:eastAsia="en-AU"/>
        </w:rPr>
        <w:t>25 Cowlishaw Street</w:t>
      </w:r>
      <w:r w:rsidR="00414F73">
        <w:rPr>
          <w:lang w:val="en-US" w:eastAsia="en-AU"/>
        </w:rPr>
        <w:br/>
      </w:r>
      <w:r w:rsidRPr="004001DA">
        <w:rPr>
          <w:lang w:val="en-US" w:eastAsia="en-AU"/>
        </w:rPr>
        <w:t>Greenway ACT 2900.</w:t>
      </w:r>
    </w:p>
    <w:p w14:paraId="1FDFB29A" w14:textId="221C795A" w:rsidR="00556A24" w:rsidRDefault="004001DA" w:rsidP="00D364CA">
      <w:pPr>
        <w:rPr>
          <w:color w:val="000000"/>
          <w:lang w:val="en-US" w:eastAsia="en-AU"/>
        </w:rPr>
      </w:pPr>
      <w:r>
        <w:rPr>
          <w:color w:val="000000"/>
          <w:lang w:val="en-US" w:eastAsia="en-AU"/>
        </w:rPr>
        <w:t>However, copies of the Program Protocol are not</w:t>
      </w:r>
      <w:r w:rsidR="00414F73">
        <w:rPr>
          <w:color w:val="000000"/>
          <w:lang w:val="en-US" w:eastAsia="en-AU"/>
        </w:rPr>
        <w:t xml:space="preserve"> available from this location. </w:t>
      </w:r>
      <w:r w:rsidR="00556A24">
        <w:rPr>
          <w:color w:val="000000"/>
          <w:lang w:val="en-US" w:eastAsia="en-AU"/>
        </w:rPr>
        <w:t>Level 2 of the Louisa Lawson Building is not accessible to the public, nor is it possible to request access to Level 2 from the</w:t>
      </w:r>
      <w:r w:rsidR="004A2CDA">
        <w:rPr>
          <w:color w:val="000000"/>
          <w:lang w:val="en-US" w:eastAsia="en-AU"/>
        </w:rPr>
        <w:t xml:space="preserve"> Ground Floor of the Building. </w:t>
      </w:r>
      <w:r w:rsidR="00556A24">
        <w:rPr>
          <w:color w:val="000000"/>
          <w:lang w:val="en-US" w:eastAsia="en-AU"/>
        </w:rPr>
        <w:t>Moreover, when legal services have attended the building to request access to the Program Protocol they were turned away</w:t>
      </w:r>
      <w:r w:rsidR="00860AEE">
        <w:rPr>
          <w:color w:val="000000"/>
          <w:lang w:val="en-US" w:eastAsia="en-AU"/>
        </w:rPr>
        <w:t xml:space="preserve"> by staff of the Case Selection Section</w:t>
      </w:r>
      <w:r w:rsidR="00556A24">
        <w:rPr>
          <w:color w:val="000000"/>
          <w:lang w:val="en-US" w:eastAsia="en-AU"/>
        </w:rPr>
        <w:t xml:space="preserve"> after being advised that:</w:t>
      </w:r>
    </w:p>
    <w:p w14:paraId="63D38114" w14:textId="5E6D8AFB" w:rsidR="004001DA" w:rsidRPr="00556A24" w:rsidRDefault="00556A24" w:rsidP="00414F73">
      <w:pPr>
        <w:pStyle w:val="ListBullet"/>
        <w:rPr>
          <w:lang w:eastAsia="en-AU"/>
        </w:rPr>
      </w:pPr>
      <w:r w:rsidRPr="00556A24">
        <w:rPr>
          <w:lang w:val="en-US" w:eastAsia="en-AU"/>
        </w:rPr>
        <w:t xml:space="preserve">there was no one </w:t>
      </w:r>
      <w:r w:rsidR="00860AEE">
        <w:rPr>
          <w:lang w:val="en-US" w:eastAsia="en-AU"/>
        </w:rPr>
        <w:t>available</w:t>
      </w:r>
      <w:r w:rsidRPr="00556A24">
        <w:rPr>
          <w:lang w:val="en-US" w:eastAsia="en-AU"/>
        </w:rPr>
        <w:t xml:space="preserve"> who could </w:t>
      </w:r>
      <w:r w:rsidRPr="00414F73">
        <w:rPr>
          <w:lang w:val="en-US" w:eastAsia="en-AU"/>
        </w:rPr>
        <w:t>authorise</w:t>
      </w:r>
      <w:r w:rsidRPr="00556A24">
        <w:rPr>
          <w:b/>
          <w:lang w:val="en-US" w:eastAsia="en-AU"/>
        </w:rPr>
        <w:t xml:space="preserve"> </w:t>
      </w:r>
      <w:r w:rsidRPr="00556A24">
        <w:rPr>
          <w:lang w:val="en-US" w:eastAsia="en-AU"/>
        </w:rPr>
        <w:t>access to the document</w:t>
      </w:r>
    </w:p>
    <w:p w14:paraId="440BD2E1" w14:textId="78320E1A" w:rsidR="00556A24" w:rsidRPr="00556A24" w:rsidRDefault="00556A24" w:rsidP="00414F73">
      <w:pPr>
        <w:pStyle w:val="ListBullet"/>
        <w:rPr>
          <w:lang w:eastAsia="en-AU"/>
        </w:rPr>
      </w:pPr>
      <w:r>
        <w:rPr>
          <w:lang w:val="en-US" w:eastAsia="en-AU"/>
        </w:rPr>
        <w:t xml:space="preserve">only the Director of the Section could </w:t>
      </w:r>
      <w:r w:rsidRPr="00414F73">
        <w:rPr>
          <w:lang w:val="en-US" w:eastAsia="en-AU"/>
        </w:rPr>
        <w:t>authorise</w:t>
      </w:r>
      <w:r>
        <w:rPr>
          <w:lang w:val="en-US" w:eastAsia="en-AU"/>
        </w:rPr>
        <w:t xml:space="preserve"> access to the document</w:t>
      </w:r>
      <w:r w:rsidR="00880A46">
        <w:rPr>
          <w:lang w:val="en-US" w:eastAsia="en-AU"/>
        </w:rPr>
        <w:t xml:space="preserve"> and </w:t>
      </w:r>
      <w:r w:rsidR="00F035C1">
        <w:rPr>
          <w:lang w:val="en-US" w:eastAsia="en-AU"/>
        </w:rPr>
        <w:t xml:space="preserve">the Director was not </w:t>
      </w:r>
      <w:r w:rsidR="00880A46">
        <w:rPr>
          <w:lang w:val="en-US" w:eastAsia="en-AU"/>
        </w:rPr>
        <w:t>available</w:t>
      </w:r>
      <w:r w:rsidR="00414F73">
        <w:rPr>
          <w:lang w:val="en-US" w:eastAsia="en-AU"/>
        </w:rPr>
        <w:t>,</w:t>
      </w:r>
      <w:r>
        <w:rPr>
          <w:lang w:val="en-US" w:eastAsia="en-AU"/>
        </w:rPr>
        <w:t xml:space="preserve"> and</w:t>
      </w:r>
    </w:p>
    <w:p w14:paraId="14A5C9D3" w14:textId="77777777" w:rsidR="00556A24" w:rsidRPr="00556A24" w:rsidRDefault="00556A24" w:rsidP="00414F73">
      <w:pPr>
        <w:pStyle w:val="ListBullet"/>
        <w:rPr>
          <w:lang w:eastAsia="en-AU"/>
        </w:rPr>
      </w:pPr>
      <w:r>
        <w:rPr>
          <w:lang w:val="en-US" w:eastAsia="en-AU"/>
        </w:rPr>
        <w:t xml:space="preserve">someone would be in contact within the week to confirm whether access would or would not be granted. </w:t>
      </w:r>
    </w:p>
    <w:p w14:paraId="373C4D17" w14:textId="668E92EB" w:rsidR="00556A24" w:rsidRDefault="00556A24" w:rsidP="00556A24">
      <w:pPr>
        <w:rPr>
          <w:lang w:eastAsia="en-AU"/>
        </w:rPr>
      </w:pPr>
      <w:r>
        <w:rPr>
          <w:lang w:eastAsia="en-AU"/>
        </w:rPr>
        <w:t>There was no subsequent communication from any staff of the Department regarding access to the Program Protocol.</w:t>
      </w:r>
      <w:r w:rsidR="00A549D1">
        <w:rPr>
          <w:rStyle w:val="FootnoteReference"/>
          <w:lang w:eastAsia="en-AU"/>
        </w:rPr>
        <w:footnoteReference w:id="19"/>
      </w:r>
    </w:p>
    <w:p w14:paraId="1F662FFE" w14:textId="423F2854" w:rsidR="00860AEE" w:rsidRDefault="00860AEE" w:rsidP="00556A24">
      <w:pPr>
        <w:rPr>
          <w:lang w:eastAsia="en-AU"/>
        </w:rPr>
      </w:pPr>
      <w:r>
        <w:rPr>
          <w:lang w:eastAsia="en-AU"/>
        </w:rPr>
        <w:t xml:space="preserve">The Department’s </w:t>
      </w:r>
      <w:r w:rsidR="00447C83">
        <w:rPr>
          <w:lang w:eastAsia="en-AU"/>
        </w:rPr>
        <w:t xml:space="preserve">active </w:t>
      </w:r>
      <w:r>
        <w:rPr>
          <w:lang w:eastAsia="en-AU"/>
        </w:rPr>
        <w:t xml:space="preserve">refusal to provide public access to the Program Protocol is </w:t>
      </w:r>
      <w:r w:rsidR="00B1402A">
        <w:rPr>
          <w:lang w:eastAsia="en-AU"/>
        </w:rPr>
        <w:t>deeply</w:t>
      </w:r>
      <w:r w:rsidR="00414F73">
        <w:rPr>
          <w:lang w:eastAsia="en-AU"/>
        </w:rPr>
        <w:t xml:space="preserve"> concerning.</w:t>
      </w:r>
      <w:r w:rsidR="00447C83">
        <w:rPr>
          <w:lang w:eastAsia="en-AU"/>
        </w:rPr>
        <w:t xml:space="preserve"> First, it is contrary to </w:t>
      </w:r>
      <w:r w:rsidR="00880A46">
        <w:rPr>
          <w:lang w:eastAsia="en-AU"/>
        </w:rPr>
        <w:t>Guideline 3 of</w:t>
      </w:r>
      <w:r w:rsidR="00447C83">
        <w:rPr>
          <w:lang w:eastAsia="en-AU"/>
        </w:rPr>
        <w:t xml:space="preserve"> the </w:t>
      </w:r>
      <w:r w:rsidR="00576A20">
        <w:rPr>
          <w:lang w:eastAsia="en-AU"/>
        </w:rPr>
        <w:t>O</w:t>
      </w:r>
      <w:r w:rsidR="00447C83">
        <w:rPr>
          <w:lang w:eastAsia="en-AU"/>
        </w:rPr>
        <w:t>AIC Data-matching Guidelines</w:t>
      </w:r>
      <w:r w:rsidR="00880A46">
        <w:rPr>
          <w:lang w:eastAsia="en-AU"/>
        </w:rPr>
        <w:t xml:space="preserve"> because the Program Protocol is not </w:t>
      </w:r>
      <w:r w:rsidR="007602FD">
        <w:rPr>
          <w:lang w:eastAsia="en-AU"/>
        </w:rPr>
        <w:t xml:space="preserve">publicly </w:t>
      </w:r>
      <w:r w:rsidR="00880A46">
        <w:rPr>
          <w:lang w:eastAsia="en-AU"/>
        </w:rPr>
        <w:t>available</w:t>
      </w:r>
      <w:r w:rsidR="00414F73">
        <w:rPr>
          <w:lang w:eastAsia="en-AU"/>
        </w:rPr>
        <w:t xml:space="preserve">. </w:t>
      </w:r>
      <w:r w:rsidR="00447C83">
        <w:rPr>
          <w:lang w:eastAsia="en-AU"/>
        </w:rPr>
        <w:t xml:space="preserve">Second, it is contrary to the Department’s own public statements in purported compliance with the </w:t>
      </w:r>
      <w:r w:rsidR="00576A20">
        <w:rPr>
          <w:lang w:eastAsia="en-AU"/>
        </w:rPr>
        <w:t>O</w:t>
      </w:r>
      <w:r w:rsidR="00447C83">
        <w:rPr>
          <w:lang w:eastAsia="en-AU"/>
        </w:rPr>
        <w:t>AIC Data-matching Guidelines in the</w:t>
      </w:r>
      <w:r w:rsidR="00414F73">
        <w:rPr>
          <w:lang w:eastAsia="en-AU"/>
        </w:rPr>
        <w:t xml:space="preserve"> Australian Government Gazette.</w:t>
      </w:r>
      <w:r w:rsidR="00447C83">
        <w:rPr>
          <w:lang w:eastAsia="en-AU"/>
        </w:rPr>
        <w:t xml:space="preserve"> Third</w:t>
      </w:r>
      <w:r w:rsidR="00A549D1">
        <w:rPr>
          <w:lang w:eastAsia="en-AU"/>
        </w:rPr>
        <w:t xml:space="preserve">, </w:t>
      </w:r>
      <w:r w:rsidR="00447C83">
        <w:rPr>
          <w:lang w:eastAsia="en-AU"/>
        </w:rPr>
        <w:t xml:space="preserve">by not publishing the document, the Department </w:t>
      </w:r>
      <w:r w:rsidR="003E38DD">
        <w:rPr>
          <w:lang w:eastAsia="en-AU"/>
        </w:rPr>
        <w:t>appears to be</w:t>
      </w:r>
      <w:r w:rsidR="00447C83">
        <w:rPr>
          <w:lang w:eastAsia="en-AU"/>
        </w:rPr>
        <w:t xml:space="preserve"> failing to comply with its obligation under Part II of the FOI Act </w:t>
      </w:r>
      <w:r w:rsidR="00643109">
        <w:rPr>
          <w:lang w:eastAsia="en-AU"/>
        </w:rPr>
        <w:t>to</w:t>
      </w:r>
      <w:r w:rsidR="00447C83">
        <w:rPr>
          <w:lang w:eastAsia="en-AU"/>
        </w:rPr>
        <w:t xml:space="preserve"> publish its ‘operational information’ (which includes, relevantly, ‘information held by the agency to assist it to exercise its functions or powers in making decisions or recommendations affecting members of the public’).</w:t>
      </w:r>
      <w:r w:rsidR="00447C83">
        <w:rPr>
          <w:rStyle w:val="FootnoteReference"/>
          <w:lang w:eastAsia="en-AU"/>
        </w:rPr>
        <w:footnoteReference w:id="20"/>
      </w:r>
      <w:r w:rsidR="00447C83">
        <w:rPr>
          <w:lang w:eastAsia="en-AU"/>
        </w:rPr>
        <w:t xml:space="preserve"> </w:t>
      </w:r>
    </w:p>
    <w:p w14:paraId="2E4BE570" w14:textId="0C4899F6" w:rsidR="00A549D1" w:rsidRDefault="00A549D1" w:rsidP="00556A24">
      <w:pPr>
        <w:rPr>
          <w:lang w:eastAsia="en-AU"/>
        </w:rPr>
      </w:pPr>
      <w:r>
        <w:rPr>
          <w:lang w:eastAsia="en-AU"/>
        </w:rPr>
        <w:t xml:space="preserve">Moreover, </w:t>
      </w:r>
      <w:r w:rsidR="003E38DD">
        <w:rPr>
          <w:lang w:eastAsia="en-AU"/>
        </w:rPr>
        <w:t xml:space="preserve">the lack of transparency regarding </w:t>
      </w:r>
      <w:r w:rsidR="00880A46">
        <w:rPr>
          <w:lang w:eastAsia="en-AU"/>
        </w:rPr>
        <w:t xml:space="preserve">the policies behind the Initiative has had </w:t>
      </w:r>
      <w:r>
        <w:rPr>
          <w:lang w:eastAsia="en-AU"/>
        </w:rPr>
        <w:t xml:space="preserve">immediate, practical ramifications. In particular, it inhibits legal analysis or </w:t>
      </w:r>
      <w:r w:rsidR="00B1402A">
        <w:rPr>
          <w:lang w:eastAsia="en-AU"/>
        </w:rPr>
        <w:t xml:space="preserve">entirely appropriate </w:t>
      </w:r>
      <w:r>
        <w:rPr>
          <w:lang w:eastAsia="en-AU"/>
        </w:rPr>
        <w:t>public</w:t>
      </w:r>
      <w:r w:rsidR="007602FD">
        <w:rPr>
          <w:lang w:eastAsia="en-AU"/>
        </w:rPr>
        <w:t xml:space="preserve"> scrutiny</w:t>
      </w:r>
      <w:r>
        <w:rPr>
          <w:lang w:eastAsia="en-AU"/>
        </w:rPr>
        <w:t xml:space="preserve"> of the data-matching proj</w:t>
      </w:r>
      <w:r w:rsidR="00F07505">
        <w:rPr>
          <w:lang w:eastAsia="en-AU"/>
        </w:rPr>
        <w:t>ect</w:t>
      </w:r>
      <w:r w:rsidR="00880A46">
        <w:rPr>
          <w:lang w:eastAsia="en-AU"/>
        </w:rPr>
        <w:t xml:space="preserve"> and</w:t>
      </w:r>
      <w:r w:rsidR="00782E5E">
        <w:rPr>
          <w:lang w:eastAsia="en-AU"/>
        </w:rPr>
        <w:t xml:space="preserve"> the</w:t>
      </w:r>
      <w:r w:rsidR="00880A46">
        <w:rPr>
          <w:lang w:eastAsia="en-AU"/>
        </w:rPr>
        <w:t xml:space="preserve"> information sharing and privacy-related arrangements </w:t>
      </w:r>
      <w:r w:rsidR="00F07505">
        <w:rPr>
          <w:lang w:eastAsia="en-AU"/>
        </w:rPr>
        <w:t xml:space="preserve">underlying </w:t>
      </w:r>
      <w:r w:rsidR="004A2CDA">
        <w:rPr>
          <w:lang w:eastAsia="en-AU"/>
        </w:rPr>
        <w:lastRenderedPageBreak/>
        <w:t>the Initiative.</w:t>
      </w:r>
      <w:r w:rsidR="00880A46">
        <w:rPr>
          <w:lang w:eastAsia="en-AU"/>
        </w:rPr>
        <w:t xml:space="preserve"> </w:t>
      </w:r>
      <w:r w:rsidR="00EA164B">
        <w:rPr>
          <w:lang w:eastAsia="en-AU"/>
        </w:rPr>
        <w:t xml:space="preserve">In our view, </w:t>
      </w:r>
      <w:r w:rsidR="00B1402A">
        <w:rPr>
          <w:lang w:eastAsia="en-AU"/>
        </w:rPr>
        <w:t>the Commonwealth Government has acted in a way which is</w:t>
      </w:r>
      <w:r w:rsidR="00EA164B">
        <w:rPr>
          <w:lang w:eastAsia="en-AU"/>
        </w:rPr>
        <w:t xml:space="preserve"> contrary to </w:t>
      </w:r>
      <w:r w:rsidR="00B1402A">
        <w:rPr>
          <w:lang w:eastAsia="en-AU"/>
        </w:rPr>
        <w:t xml:space="preserve">its </w:t>
      </w:r>
      <w:r w:rsidR="00EA164B">
        <w:rPr>
          <w:lang w:eastAsia="en-AU"/>
        </w:rPr>
        <w:t xml:space="preserve">legal </w:t>
      </w:r>
      <w:r w:rsidR="00B1402A">
        <w:rPr>
          <w:lang w:eastAsia="en-AU"/>
        </w:rPr>
        <w:t xml:space="preserve">obligations, and which is </w:t>
      </w:r>
      <w:r w:rsidR="00AD2906">
        <w:rPr>
          <w:lang w:eastAsia="en-AU"/>
        </w:rPr>
        <w:t>p</w:t>
      </w:r>
      <w:r w:rsidR="004A2CDA">
        <w:rPr>
          <w:lang w:eastAsia="en-AU"/>
        </w:rPr>
        <w:t>oor government administration.</w:t>
      </w:r>
    </w:p>
    <w:p w14:paraId="30ADBC13" w14:textId="77777777" w:rsidR="00E00306" w:rsidRPr="00414F73" w:rsidRDefault="00E00306" w:rsidP="00414F73">
      <w:r w:rsidRPr="00414F73">
        <w:rPr>
          <w:b/>
        </w:rPr>
        <w:t>Recommendation 10:</w:t>
      </w:r>
      <w:r w:rsidRPr="00414F73">
        <w:t xml:space="preserve"> The Department must publish online and make promptly available in paper format, each of the policies, procedures and protocols which are relevant to or inform the Initiative, including the relevant Program Protocol/s completed in respect of its data-matching projects.</w:t>
      </w:r>
    </w:p>
    <w:p w14:paraId="1414FC32" w14:textId="77777777" w:rsidR="00AD2906" w:rsidRPr="00374F56" w:rsidRDefault="004C5033" w:rsidP="00414F73">
      <w:pPr>
        <w:pStyle w:val="Heading2"/>
      </w:pPr>
      <w:bookmarkStart w:id="19" w:name="_Toc479316961"/>
      <w:r w:rsidRPr="00374F56">
        <w:t>Lack of specificity about th</w:t>
      </w:r>
      <w:r w:rsidR="00EC1756" w:rsidRPr="00374F56">
        <w:t>e legal basis for data-matching</w:t>
      </w:r>
      <w:bookmarkEnd w:id="19"/>
    </w:p>
    <w:p w14:paraId="041BD519" w14:textId="19BC471A" w:rsidR="00AC43EA" w:rsidRPr="001D5D94" w:rsidRDefault="00AC43EA" w:rsidP="001D5D94">
      <w:pPr>
        <w:rPr>
          <w:lang w:eastAsia="en-AU"/>
        </w:rPr>
      </w:pPr>
      <w:r w:rsidRPr="001D5D94">
        <w:rPr>
          <w:lang w:eastAsia="en-AU"/>
        </w:rPr>
        <w:t xml:space="preserve">In our </w:t>
      </w:r>
      <w:r w:rsidR="00F07505" w:rsidRPr="001D5D94">
        <w:rPr>
          <w:lang w:eastAsia="en-AU"/>
        </w:rPr>
        <w:t>e</w:t>
      </w:r>
      <w:r w:rsidRPr="001D5D94">
        <w:rPr>
          <w:lang w:eastAsia="en-AU"/>
        </w:rPr>
        <w:t xml:space="preserve">xperience, Centrelink’s outgoing communications do not specify the particular legal basis for the data-matching </w:t>
      </w:r>
      <w:r w:rsidR="00782E5E">
        <w:rPr>
          <w:lang w:eastAsia="en-AU"/>
        </w:rPr>
        <w:t>exercised in an individual’s case</w:t>
      </w:r>
      <w:r w:rsidR="004A2CDA">
        <w:rPr>
          <w:lang w:eastAsia="en-AU"/>
        </w:rPr>
        <w:t>.</w:t>
      </w:r>
      <w:r w:rsidRPr="001D5D94">
        <w:rPr>
          <w:lang w:eastAsia="en-AU"/>
        </w:rPr>
        <w:t xml:space="preserve"> Rather, they often cite a range of general powers under </w:t>
      </w:r>
      <w:r w:rsidR="00EC1756" w:rsidRPr="001D5D94">
        <w:rPr>
          <w:lang w:eastAsia="en-AU"/>
        </w:rPr>
        <w:t>which data-matching may occur</w:t>
      </w:r>
      <w:r w:rsidR="00782E5E">
        <w:rPr>
          <w:lang w:eastAsia="en-AU"/>
        </w:rPr>
        <w:t xml:space="preserve"> without specifying what, in fact, occurred.</w:t>
      </w:r>
    </w:p>
    <w:p w14:paraId="3ACAC5C6" w14:textId="28CF822D" w:rsidR="00AC43EA" w:rsidRPr="001D5D94" w:rsidRDefault="00EC1756" w:rsidP="001D5D94">
      <w:pPr>
        <w:rPr>
          <w:lang w:eastAsia="en-AU"/>
        </w:rPr>
      </w:pPr>
      <w:r w:rsidRPr="001D5D94">
        <w:rPr>
          <w:lang w:eastAsia="en-AU"/>
        </w:rPr>
        <w:t xml:space="preserve">We speak with clients who have been unable, from the correspondence or information provided to them by Centrelink, to appreciate the legal basis for the sharing </w:t>
      </w:r>
      <w:r w:rsidR="00FC4460">
        <w:rPr>
          <w:lang w:eastAsia="en-AU"/>
        </w:rPr>
        <w:t xml:space="preserve">of their personal information. </w:t>
      </w:r>
      <w:r w:rsidR="00AC43EA" w:rsidRPr="001D5D94">
        <w:rPr>
          <w:lang w:eastAsia="en-AU"/>
        </w:rPr>
        <w:t>For example</w:t>
      </w:r>
      <w:r w:rsidRPr="001D5D94">
        <w:rPr>
          <w:lang w:eastAsia="en-AU"/>
        </w:rPr>
        <w:t>,</w:t>
      </w:r>
      <w:r w:rsidR="00AC43EA" w:rsidRPr="001D5D94">
        <w:rPr>
          <w:lang w:eastAsia="en-AU"/>
        </w:rPr>
        <w:t xml:space="preserve"> we have been provided with letters that state</w:t>
      </w:r>
      <w:r w:rsidRPr="001D5D94">
        <w:rPr>
          <w:lang w:eastAsia="en-AU"/>
        </w:rPr>
        <w:t>, by way of explanation to clients</w:t>
      </w:r>
      <w:r w:rsidR="00AC43EA" w:rsidRPr="001D5D94">
        <w:rPr>
          <w:lang w:eastAsia="en-AU"/>
        </w:rPr>
        <w:t>:</w:t>
      </w:r>
    </w:p>
    <w:p w14:paraId="1011FE6C" w14:textId="77777777" w:rsidR="00EC1756" w:rsidRPr="00FC4460" w:rsidRDefault="00EC1756" w:rsidP="00414F73">
      <w:pPr>
        <w:pStyle w:val="VLAquotation"/>
        <w:rPr>
          <w:b/>
          <w:lang w:eastAsia="en-AU"/>
        </w:rPr>
      </w:pPr>
      <w:bookmarkStart w:id="20" w:name="datamatchinginitiatives"/>
      <w:bookmarkEnd w:id="20"/>
      <w:r w:rsidRPr="00FC4460">
        <w:rPr>
          <w:b/>
          <w:lang w:eastAsia="en-AU"/>
        </w:rPr>
        <w:t>Data matching initiatives</w:t>
      </w:r>
    </w:p>
    <w:p w14:paraId="1D5A1F46" w14:textId="77777777" w:rsidR="00EC1756" w:rsidRDefault="00EC1756" w:rsidP="00414F73">
      <w:pPr>
        <w:pStyle w:val="VLAquotation"/>
        <w:rPr>
          <w:b/>
          <w:lang w:eastAsia="en-AU"/>
        </w:rPr>
      </w:pPr>
      <w:r>
        <w:rPr>
          <w:lang w:eastAsia="en-AU"/>
        </w:rPr>
        <w:t>The Department of Human Services undertake</w:t>
      </w:r>
      <w:r w:rsidR="001D5D94">
        <w:rPr>
          <w:lang w:eastAsia="en-AU"/>
        </w:rPr>
        <w:t>s</w:t>
      </w:r>
      <w:r>
        <w:rPr>
          <w:lang w:eastAsia="en-AU"/>
        </w:rPr>
        <w:t xml:space="preserve"> regular data-matching activities in line with the </w:t>
      </w:r>
      <w:r w:rsidRPr="00414F73">
        <w:rPr>
          <w:i w:val="0"/>
          <w:lang w:eastAsia="en-AU"/>
        </w:rPr>
        <w:t>Data-matching Program (Assistance and Tax) Act 1990</w:t>
      </w:r>
      <w:r>
        <w:rPr>
          <w:lang w:eastAsia="en-AU"/>
        </w:rPr>
        <w:t xml:space="preserve"> and the Office of the Australian Information Commissioner’s </w:t>
      </w:r>
      <w:r w:rsidRPr="00414F73">
        <w:rPr>
          <w:i w:val="0"/>
          <w:lang w:eastAsia="en-AU"/>
        </w:rPr>
        <w:t>Guidelines on Data Matching in Australian Government Administration and social security law</w:t>
      </w:r>
      <w:r>
        <w:rPr>
          <w:lang w:eastAsia="en-AU"/>
        </w:rPr>
        <w:t>.</w:t>
      </w:r>
    </w:p>
    <w:p w14:paraId="256E7016" w14:textId="6F52DB5F" w:rsidR="00EC1756" w:rsidRDefault="00414F73" w:rsidP="00414F73">
      <w:pPr>
        <w:pStyle w:val="VLAquotation"/>
        <w:rPr>
          <w:b/>
          <w:lang w:eastAsia="en-AU"/>
        </w:rPr>
      </w:pPr>
      <w:r>
        <w:rPr>
          <w:lang w:eastAsia="en-AU"/>
        </w:rPr>
        <w:t>This includes matching with the:</w:t>
      </w:r>
    </w:p>
    <w:p w14:paraId="18CEC38D" w14:textId="77777777" w:rsidR="00EC1756" w:rsidRDefault="00EC1756" w:rsidP="00414F73">
      <w:pPr>
        <w:pStyle w:val="VLAquotation"/>
        <w:numPr>
          <w:ilvl w:val="0"/>
          <w:numId w:val="30"/>
        </w:numPr>
        <w:rPr>
          <w:b/>
          <w:lang w:eastAsia="en-AU"/>
        </w:rPr>
      </w:pPr>
      <w:r>
        <w:rPr>
          <w:lang w:eastAsia="en-AU"/>
        </w:rPr>
        <w:t>Australian Securities and Investments Commission</w:t>
      </w:r>
    </w:p>
    <w:p w14:paraId="4F30BD9B" w14:textId="77777777" w:rsidR="00EC1756" w:rsidRDefault="00EC1756" w:rsidP="00414F73">
      <w:pPr>
        <w:pStyle w:val="VLAquotation"/>
        <w:numPr>
          <w:ilvl w:val="0"/>
          <w:numId w:val="30"/>
        </w:numPr>
        <w:rPr>
          <w:b/>
          <w:lang w:eastAsia="en-AU"/>
        </w:rPr>
      </w:pPr>
      <w:r>
        <w:rPr>
          <w:lang w:eastAsia="en-AU"/>
        </w:rPr>
        <w:t>Australian Taxation Office</w:t>
      </w:r>
    </w:p>
    <w:p w14:paraId="1BE6C4CB" w14:textId="77777777" w:rsidR="00EC1756" w:rsidRDefault="00EC1756" w:rsidP="00414F73">
      <w:pPr>
        <w:pStyle w:val="VLAquotation"/>
        <w:numPr>
          <w:ilvl w:val="0"/>
          <w:numId w:val="30"/>
        </w:numPr>
        <w:rPr>
          <w:b/>
          <w:lang w:eastAsia="en-AU"/>
        </w:rPr>
      </w:pPr>
      <w:r>
        <w:rPr>
          <w:lang w:eastAsia="en-AU"/>
        </w:rPr>
        <w:t>ComSuper</w:t>
      </w:r>
    </w:p>
    <w:p w14:paraId="7F185F48" w14:textId="77777777" w:rsidR="00EC1756" w:rsidRDefault="00EC1756" w:rsidP="00414F73">
      <w:pPr>
        <w:pStyle w:val="VLAquotation"/>
        <w:numPr>
          <w:ilvl w:val="0"/>
          <w:numId w:val="30"/>
        </w:numPr>
        <w:rPr>
          <w:b/>
          <w:lang w:eastAsia="en-AU"/>
        </w:rPr>
      </w:pPr>
      <w:r>
        <w:rPr>
          <w:lang w:eastAsia="en-AU"/>
        </w:rPr>
        <w:t>Department of Employment</w:t>
      </w:r>
    </w:p>
    <w:p w14:paraId="650C4E8E" w14:textId="77777777" w:rsidR="00EC1756" w:rsidRDefault="00EC1756" w:rsidP="00414F73">
      <w:pPr>
        <w:pStyle w:val="VLAquotation"/>
        <w:numPr>
          <w:ilvl w:val="0"/>
          <w:numId w:val="30"/>
        </w:numPr>
        <w:rPr>
          <w:b/>
          <w:lang w:eastAsia="en-AU"/>
        </w:rPr>
      </w:pPr>
      <w:r>
        <w:rPr>
          <w:lang w:eastAsia="en-AU"/>
        </w:rPr>
        <w:t xml:space="preserve">Department of Health </w:t>
      </w:r>
    </w:p>
    <w:p w14:paraId="242E921A" w14:textId="77777777" w:rsidR="00EC1756" w:rsidRDefault="00EC1756" w:rsidP="00414F73">
      <w:pPr>
        <w:pStyle w:val="VLAquotation"/>
        <w:numPr>
          <w:ilvl w:val="0"/>
          <w:numId w:val="30"/>
        </w:numPr>
        <w:rPr>
          <w:b/>
          <w:lang w:eastAsia="en-AU"/>
        </w:rPr>
      </w:pPr>
      <w:r>
        <w:rPr>
          <w:lang w:eastAsia="en-AU"/>
        </w:rPr>
        <w:t>Department of Social Services</w:t>
      </w:r>
    </w:p>
    <w:p w14:paraId="29A7B43B" w14:textId="77777777" w:rsidR="00EC1756" w:rsidRDefault="00EC1756" w:rsidP="00414F73">
      <w:pPr>
        <w:pStyle w:val="VLAquotation"/>
        <w:numPr>
          <w:ilvl w:val="0"/>
          <w:numId w:val="30"/>
        </w:numPr>
        <w:rPr>
          <w:b/>
          <w:lang w:eastAsia="en-AU"/>
        </w:rPr>
      </w:pPr>
      <w:r>
        <w:rPr>
          <w:lang w:eastAsia="en-AU"/>
        </w:rPr>
        <w:t>Department of Immigration and Border Protection</w:t>
      </w:r>
    </w:p>
    <w:p w14:paraId="21BA0B89" w14:textId="77777777" w:rsidR="00EC1756" w:rsidRDefault="00EC1756" w:rsidP="00414F73">
      <w:pPr>
        <w:pStyle w:val="VLAquotation"/>
        <w:numPr>
          <w:ilvl w:val="0"/>
          <w:numId w:val="30"/>
        </w:numPr>
        <w:rPr>
          <w:b/>
          <w:lang w:eastAsia="en-AU"/>
        </w:rPr>
      </w:pPr>
      <w:r>
        <w:rPr>
          <w:lang w:eastAsia="en-AU"/>
        </w:rPr>
        <w:t>Defence Housing Authority</w:t>
      </w:r>
    </w:p>
    <w:p w14:paraId="795940E9" w14:textId="77777777" w:rsidR="00EC1756" w:rsidRDefault="00EC1756" w:rsidP="00414F73">
      <w:pPr>
        <w:pStyle w:val="VLAquotation"/>
        <w:numPr>
          <w:ilvl w:val="0"/>
          <w:numId w:val="30"/>
        </w:numPr>
        <w:rPr>
          <w:b/>
          <w:lang w:eastAsia="en-AU"/>
        </w:rPr>
      </w:pPr>
      <w:r>
        <w:rPr>
          <w:lang w:eastAsia="en-AU"/>
        </w:rPr>
        <w:t>Department of Corrective Services in each state and territory</w:t>
      </w:r>
    </w:p>
    <w:p w14:paraId="701C290C" w14:textId="77777777" w:rsidR="00EC1756" w:rsidRDefault="00EC1756" w:rsidP="00414F73">
      <w:pPr>
        <w:pStyle w:val="VLAquotation"/>
        <w:numPr>
          <w:ilvl w:val="0"/>
          <w:numId w:val="30"/>
        </w:numPr>
        <w:rPr>
          <w:b/>
          <w:lang w:eastAsia="en-AU"/>
        </w:rPr>
      </w:pPr>
      <w:r>
        <w:rPr>
          <w:lang w:eastAsia="en-AU"/>
        </w:rPr>
        <w:t>Registrar of Births, Deaths and Marriages in each state and territory</w:t>
      </w:r>
    </w:p>
    <w:p w14:paraId="035F9BB0" w14:textId="77777777" w:rsidR="00EC1756" w:rsidRDefault="00EC1756" w:rsidP="00414F73">
      <w:pPr>
        <w:pStyle w:val="VLAquotation"/>
        <w:numPr>
          <w:ilvl w:val="0"/>
          <w:numId w:val="30"/>
        </w:numPr>
        <w:rPr>
          <w:b/>
          <w:lang w:eastAsia="en-AU"/>
        </w:rPr>
      </w:pPr>
      <w:r>
        <w:rPr>
          <w:lang w:eastAsia="en-AU"/>
        </w:rPr>
        <w:t>Public and Private education provider in each state and territory.</w:t>
      </w:r>
    </w:p>
    <w:p w14:paraId="05E458D4" w14:textId="1335633A" w:rsidR="006F186D" w:rsidRDefault="00685504" w:rsidP="00685504">
      <w:pPr>
        <w:rPr>
          <w:lang w:eastAsia="en-AU"/>
        </w:rPr>
      </w:pPr>
      <w:r w:rsidRPr="00685504">
        <w:rPr>
          <w:lang w:eastAsia="en-AU"/>
        </w:rPr>
        <w:t xml:space="preserve">It is </w:t>
      </w:r>
      <w:r>
        <w:rPr>
          <w:lang w:eastAsia="en-AU"/>
        </w:rPr>
        <w:t xml:space="preserve">not possible for a client to discern </w:t>
      </w:r>
      <w:r w:rsidRPr="00685504">
        <w:rPr>
          <w:lang w:eastAsia="en-AU"/>
        </w:rPr>
        <w:t xml:space="preserve">from a statement </w:t>
      </w:r>
      <w:r w:rsidR="00FC4460">
        <w:rPr>
          <w:lang w:eastAsia="en-AU"/>
        </w:rPr>
        <w:t xml:space="preserve">(like </w:t>
      </w:r>
      <w:hyperlink w:anchor="datamatchinginitiatives" w:history="1">
        <w:r w:rsidR="00FC4460" w:rsidRPr="00FC4460">
          <w:rPr>
            <w:rStyle w:val="Hyperlink"/>
            <w:lang w:eastAsia="en-AU"/>
          </w:rPr>
          <w:t>Data matching initiatives</w:t>
        </w:r>
      </w:hyperlink>
      <w:r w:rsidR="00FC4460">
        <w:rPr>
          <w:lang w:eastAsia="en-AU"/>
        </w:rPr>
        <w:t>)</w:t>
      </w:r>
      <w:r w:rsidRPr="00685504">
        <w:rPr>
          <w:lang w:eastAsia="en-AU"/>
        </w:rPr>
        <w:t xml:space="preserve"> </w:t>
      </w:r>
      <w:r w:rsidR="00360AB0">
        <w:rPr>
          <w:lang w:eastAsia="en-AU"/>
        </w:rPr>
        <w:t>what</w:t>
      </w:r>
      <w:r w:rsidRPr="00685504">
        <w:rPr>
          <w:lang w:eastAsia="en-AU"/>
        </w:rPr>
        <w:t xml:space="preserve"> lawful means </w:t>
      </w:r>
      <w:r w:rsidR="00B44BFB">
        <w:rPr>
          <w:lang w:eastAsia="en-AU"/>
        </w:rPr>
        <w:t xml:space="preserve">of data-matching </w:t>
      </w:r>
      <w:r w:rsidRPr="00685504">
        <w:rPr>
          <w:lang w:eastAsia="en-AU"/>
        </w:rPr>
        <w:t>has occurred</w:t>
      </w:r>
      <w:r w:rsidR="00B44BFB">
        <w:rPr>
          <w:lang w:eastAsia="en-AU"/>
        </w:rPr>
        <w:t xml:space="preserve"> (or, potentially, has not occurred)</w:t>
      </w:r>
      <w:r w:rsidR="004A2CDA">
        <w:rPr>
          <w:lang w:eastAsia="en-AU"/>
        </w:rPr>
        <w:t xml:space="preserve"> in an individual case. </w:t>
      </w:r>
      <w:r>
        <w:rPr>
          <w:lang w:eastAsia="en-AU"/>
        </w:rPr>
        <w:t xml:space="preserve">Accordingly, we have spoken with clients </w:t>
      </w:r>
      <w:r w:rsidR="006F186D">
        <w:rPr>
          <w:lang w:eastAsia="en-AU"/>
        </w:rPr>
        <w:t xml:space="preserve">who, as a result of not being able to understand </w:t>
      </w:r>
      <w:r w:rsidR="006F186D">
        <w:rPr>
          <w:i/>
          <w:lang w:eastAsia="en-AU"/>
        </w:rPr>
        <w:t xml:space="preserve">how </w:t>
      </w:r>
      <w:r w:rsidR="006F186D">
        <w:rPr>
          <w:lang w:eastAsia="en-AU"/>
        </w:rPr>
        <w:t xml:space="preserve">the data-matching is legal or </w:t>
      </w:r>
      <w:r w:rsidR="006F186D">
        <w:rPr>
          <w:i/>
          <w:lang w:eastAsia="en-AU"/>
        </w:rPr>
        <w:t xml:space="preserve">how </w:t>
      </w:r>
      <w:r w:rsidR="006F186D">
        <w:rPr>
          <w:lang w:eastAsia="en-AU"/>
        </w:rPr>
        <w:t>it worked in their case, express feelings of deep vulnerability</w:t>
      </w:r>
      <w:r w:rsidR="002209F3">
        <w:rPr>
          <w:lang w:eastAsia="en-AU"/>
        </w:rPr>
        <w:t xml:space="preserve"> and anger</w:t>
      </w:r>
      <w:r w:rsidR="006F186D">
        <w:rPr>
          <w:lang w:eastAsia="en-AU"/>
        </w:rPr>
        <w:t xml:space="preserve"> </w:t>
      </w:r>
      <w:r w:rsidR="002209F3">
        <w:rPr>
          <w:lang w:eastAsia="en-AU"/>
        </w:rPr>
        <w:t xml:space="preserve">in response to their perceived </w:t>
      </w:r>
      <w:r w:rsidR="00414F73">
        <w:rPr>
          <w:lang w:eastAsia="en-AU"/>
        </w:rPr>
        <w:t xml:space="preserve">loss of privacy. </w:t>
      </w:r>
      <w:r w:rsidR="002209F3">
        <w:rPr>
          <w:lang w:eastAsia="en-AU"/>
        </w:rPr>
        <w:t>In addition,</w:t>
      </w:r>
      <w:r w:rsidR="00B326FA">
        <w:rPr>
          <w:lang w:eastAsia="en-AU"/>
        </w:rPr>
        <w:t xml:space="preserve"> lack of information </w:t>
      </w:r>
      <w:r w:rsidR="002209F3">
        <w:rPr>
          <w:lang w:eastAsia="en-AU"/>
        </w:rPr>
        <w:t xml:space="preserve">inhibits </w:t>
      </w:r>
      <w:r w:rsidR="00576A20">
        <w:rPr>
          <w:lang w:eastAsia="en-AU"/>
        </w:rPr>
        <w:t xml:space="preserve">a client’s </w:t>
      </w:r>
      <w:r w:rsidR="002209F3">
        <w:rPr>
          <w:lang w:eastAsia="en-AU"/>
        </w:rPr>
        <w:t xml:space="preserve">ability to responsibly and legitimately consider </w:t>
      </w:r>
      <w:r w:rsidR="00576A20">
        <w:rPr>
          <w:lang w:eastAsia="en-AU"/>
        </w:rPr>
        <w:t>a legal response to the matching of their data, including by concluding that they wish to take no action beca</w:t>
      </w:r>
      <w:r w:rsidR="004A2CDA">
        <w:rPr>
          <w:lang w:eastAsia="en-AU"/>
        </w:rPr>
        <w:t xml:space="preserve">use the data-match was lawful. </w:t>
      </w:r>
      <w:r w:rsidR="00576A20">
        <w:rPr>
          <w:lang w:eastAsia="en-AU"/>
        </w:rPr>
        <w:t>This is inefficient and necessarily whittles away public trust in data-matching and automat</w:t>
      </w:r>
      <w:r w:rsidR="00E25DAE">
        <w:rPr>
          <w:lang w:eastAsia="en-AU"/>
        </w:rPr>
        <w:t>ed compliance systems generally</w:t>
      </w:r>
      <w:r w:rsidR="00643109">
        <w:rPr>
          <w:lang w:eastAsia="en-AU"/>
        </w:rPr>
        <w:t>.</w:t>
      </w:r>
    </w:p>
    <w:p w14:paraId="6EAF2218" w14:textId="40EAB8F2" w:rsidR="00685504" w:rsidRPr="00414F73" w:rsidRDefault="002209F3" w:rsidP="00414F73">
      <w:pPr>
        <w:rPr>
          <w:lang w:eastAsia="en-AU"/>
        </w:rPr>
      </w:pPr>
      <w:r>
        <w:rPr>
          <w:lang w:eastAsia="en-AU"/>
        </w:rPr>
        <w:lastRenderedPageBreak/>
        <w:t>It also not possible for a lawyer attempting to assist a client</w:t>
      </w:r>
      <w:r w:rsidR="00B1402A">
        <w:rPr>
          <w:lang w:eastAsia="en-AU"/>
        </w:rPr>
        <w:t>,</w:t>
      </w:r>
      <w:r>
        <w:rPr>
          <w:lang w:eastAsia="en-AU"/>
        </w:rPr>
        <w:t xml:space="preserve"> to discer</w:t>
      </w:r>
      <w:r w:rsidR="00FC4460">
        <w:rPr>
          <w:lang w:eastAsia="en-AU"/>
        </w:rPr>
        <w:t xml:space="preserve">n from a statement (like </w:t>
      </w:r>
      <w:hyperlink w:anchor="datamatchinginitiatives" w:history="1">
        <w:r w:rsidR="00FC4460" w:rsidRPr="00FC4460">
          <w:rPr>
            <w:rStyle w:val="Hyperlink"/>
            <w:lang w:eastAsia="en-AU"/>
          </w:rPr>
          <w:t>Data matching initiatives</w:t>
        </w:r>
      </w:hyperlink>
      <w:r w:rsidR="00FC4460">
        <w:rPr>
          <w:lang w:eastAsia="en-AU"/>
        </w:rPr>
        <w:t xml:space="preserve">) </w:t>
      </w:r>
      <w:r>
        <w:rPr>
          <w:lang w:eastAsia="en-AU"/>
        </w:rPr>
        <w:t xml:space="preserve">what the lawful authority the Commonwealth had for the relevant data-match. </w:t>
      </w:r>
      <w:r w:rsidR="006F186D">
        <w:rPr>
          <w:lang w:eastAsia="en-AU"/>
        </w:rPr>
        <w:t>From a legal perspective, the poor transparency in correspondence with individual Centrelink customers about their debts is also an impediment to the proper scrutiny of the Department’s compliance with privacy and data-matching law in executing the Initi</w:t>
      </w:r>
      <w:r w:rsidR="00B44BFB">
        <w:rPr>
          <w:lang w:eastAsia="en-AU"/>
        </w:rPr>
        <w:t>ative in an individual case.</w:t>
      </w:r>
    </w:p>
    <w:p w14:paraId="4FBBDDB7" w14:textId="77777777" w:rsidR="00E00306" w:rsidRPr="00414F73" w:rsidRDefault="00E00306" w:rsidP="00414F73">
      <w:r w:rsidRPr="00414F73">
        <w:rPr>
          <w:b/>
        </w:rPr>
        <w:t>Recommendation 11:</w:t>
      </w:r>
      <w:r w:rsidRPr="00414F73">
        <w:t xml:space="preserve"> Every letter sent to a Centrelink customer asserting a discrepancy or debt which has relied on some form of data-matching should state clearly in the body of the letter (a) the specific legal authority relied on to conduct the relevant data-match and (b) the available public information setting out the data-matching exercise.</w:t>
      </w:r>
    </w:p>
    <w:p w14:paraId="75359E01" w14:textId="77777777" w:rsidR="00AC43EA" w:rsidRPr="00374F56" w:rsidRDefault="00AC43EA" w:rsidP="00414F73">
      <w:pPr>
        <w:pStyle w:val="Heading2"/>
      </w:pPr>
      <w:bookmarkStart w:id="21" w:name="_Toc479316962"/>
      <w:r w:rsidRPr="00374F56">
        <w:t xml:space="preserve">Lack of </w:t>
      </w:r>
      <w:r w:rsidR="00460748" w:rsidRPr="00374F56">
        <w:t>transparency</w:t>
      </w:r>
      <w:r w:rsidR="00777FB1" w:rsidRPr="00374F56">
        <w:t>, clarity and</w:t>
      </w:r>
      <w:r w:rsidR="00460748" w:rsidRPr="00374F56">
        <w:t xml:space="preserve"> </w:t>
      </w:r>
      <w:r w:rsidRPr="00374F56">
        <w:t>specificity about the way the debt is calculated</w:t>
      </w:r>
      <w:bookmarkEnd w:id="21"/>
    </w:p>
    <w:p w14:paraId="24FB751D" w14:textId="69F523BA" w:rsidR="00CE744C" w:rsidRDefault="002209F3" w:rsidP="00CE744C">
      <w:pPr>
        <w:rPr>
          <w:lang w:eastAsia="en-AU"/>
        </w:rPr>
      </w:pPr>
      <w:r>
        <w:rPr>
          <w:lang w:eastAsia="en-AU"/>
        </w:rPr>
        <w:t>In</w:t>
      </w:r>
      <w:r w:rsidR="006F186D">
        <w:rPr>
          <w:lang w:eastAsia="en-AU"/>
        </w:rPr>
        <w:t xml:space="preserve"> an overwhelming number of cases, clients describe a </w:t>
      </w:r>
      <w:r w:rsidR="00CE744C" w:rsidRPr="00080080">
        <w:rPr>
          <w:lang w:eastAsia="en-AU"/>
        </w:rPr>
        <w:t xml:space="preserve">paucity of information provided </w:t>
      </w:r>
      <w:r w:rsidR="006F186D">
        <w:rPr>
          <w:lang w:eastAsia="en-AU"/>
        </w:rPr>
        <w:t xml:space="preserve">to them by Centrelink about the way in which their particular </w:t>
      </w:r>
      <w:r w:rsidR="00B1402A">
        <w:rPr>
          <w:lang w:eastAsia="en-AU"/>
        </w:rPr>
        <w:t xml:space="preserve">alleged </w:t>
      </w:r>
      <w:r w:rsidR="00414F73">
        <w:rPr>
          <w:lang w:eastAsia="en-AU"/>
        </w:rPr>
        <w:t xml:space="preserve">debt was calculated. </w:t>
      </w:r>
      <w:r w:rsidR="006F186D">
        <w:rPr>
          <w:lang w:eastAsia="en-AU"/>
        </w:rPr>
        <w:t xml:space="preserve">Often, when </w:t>
      </w:r>
      <w:r w:rsidR="00B1402A">
        <w:rPr>
          <w:lang w:eastAsia="en-AU"/>
        </w:rPr>
        <w:t xml:space="preserve">our </w:t>
      </w:r>
      <w:r w:rsidR="006F186D">
        <w:rPr>
          <w:lang w:eastAsia="en-AU"/>
        </w:rPr>
        <w:t>clients have called Centrelink</w:t>
      </w:r>
      <w:r w:rsidR="00113537">
        <w:rPr>
          <w:lang w:eastAsia="en-AU"/>
        </w:rPr>
        <w:t>,</w:t>
      </w:r>
      <w:r w:rsidR="006F186D">
        <w:rPr>
          <w:lang w:eastAsia="en-AU"/>
        </w:rPr>
        <w:t xml:space="preserve"> the person they </w:t>
      </w:r>
      <w:r>
        <w:rPr>
          <w:lang w:eastAsia="en-AU"/>
        </w:rPr>
        <w:t xml:space="preserve">speak with </w:t>
      </w:r>
      <w:r w:rsidR="00B1402A">
        <w:rPr>
          <w:lang w:eastAsia="en-AU"/>
        </w:rPr>
        <w:t>ha</w:t>
      </w:r>
      <w:r>
        <w:rPr>
          <w:lang w:eastAsia="en-AU"/>
        </w:rPr>
        <w:t>s</w:t>
      </w:r>
      <w:r w:rsidR="00B1402A">
        <w:rPr>
          <w:lang w:eastAsia="en-AU"/>
        </w:rPr>
        <w:t xml:space="preserve"> been</w:t>
      </w:r>
      <w:r>
        <w:rPr>
          <w:lang w:eastAsia="en-AU"/>
        </w:rPr>
        <w:t xml:space="preserve"> simply unable </w:t>
      </w:r>
      <w:r w:rsidR="00460748">
        <w:rPr>
          <w:lang w:eastAsia="en-AU"/>
        </w:rPr>
        <w:t>or</w:t>
      </w:r>
      <w:r>
        <w:rPr>
          <w:lang w:eastAsia="en-AU"/>
        </w:rPr>
        <w:t xml:space="preserve"> unwilling to </w:t>
      </w:r>
      <w:r w:rsidR="004A2CDA">
        <w:rPr>
          <w:lang w:eastAsia="en-AU"/>
        </w:rPr>
        <w:t>discuss the basis for the debt.</w:t>
      </w:r>
      <w:r>
        <w:rPr>
          <w:lang w:eastAsia="en-AU"/>
        </w:rPr>
        <w:t xml:space="preserve"> In addition to </w:t>
      </w:r>
      <w:r w:rsidR="00414F73">
        <w:rPr>
          <w:lang w:eastAsia="en-AU"/>
        </w:rPr>
        <w:t>‘</w:t>
      </w:r>
      <w:r w:rsidR="003C46EE">
        <w:rPr>
          <w:lang w:eastAsia="en-AU"/>
        </w:rPr>
        <w:t>June</w:t>
      </w:r>
      <w:r w:rsidR="00414F73">
        <w:rPr>
          <w:lang w:eastAsia="en-AU"/>
        </w:rPr>
        <w:t>’</w:t>
      </w:r>
      <w:r w:rsidR="00645648">
        <w:rPr>
          <w:lang w:eastAsia="en-AU"/>
        </w:rPr>
        <w:t xml:space="preserve"> </w:t>
      </w:r>
      <w:r w:rsidR="00782E5E">
        <w:rPr>
          <w:lang w:eastAsia="en-AU"/>
        </w:rPr>
        <w:t xml:space="preserve">(see </w:t>
      </w:r>
      <w:hyperlink w:anchor="June" w:history="1">
        <w:r w:rsidR="00782E5E" w:rsidRPr="00FC4460">
          <w:rPr>
            <w:rStyle w:val="Hyperlink"/>
            <w:lang w:eastAsia="en-AU"/>
          </w:rPr>
          <w:t>Case S</w:t>
        </w:r>
        <w:r w:rsidR="00414F73" w:rsidRPr="00FC4460">
          <w:rPr>
            <w:rStyle w:val="Hyperlink"/>
            <w:lang w:eastAsia="en-AU"/>
          </w:rPr>
          <w:t>tudy 1</w:t>
        </w:r>
      </w:hyperlink>
      <w:r w:rsidR="00777FB1">
        <w:rPr>
          <w:lang w:eastAsia="en-AU"/>
        </w:rPr>
        <w:t xml:space="preserve">) </w:t>
      </w:r>
      <w:r w:rsidR="00414F73">
        <w:rPr>
          <w:lang w:eastAsia="en-AU"/>
        </w:rPr>
        <w:t>who was simply told it was ‘up to her to correct the record’</w:t>
      </w:r>
      <w:r>
        <w:rPr>
          <w:lang w:eastAsia="en-AU"/>
        </w:rPr>
        <w:t xml:space="preserve">, we </w:t>
      </w:r>
      <w:r w:rsidR="004F038C">
        <w:rPr>
          <w:lang w:eastAsia="en-AU"/>
        </w:rPr>
        <w:t>have often spoken</w:t>
      </w:r>
      <w:r>
        <w:rPr>
          <w:lang w:eastAsia="en-AU"/>
        </w:rPr>
        <w:t xml:space="preserve"> with clients who </w:t>
      </w:r>
      <w:r w:rsidR="00460748">
        <w:rPr>
          <w:lang w:eastAsia="en-AU"/>
        </w:rPr>
        <w:t>have received conflicting advice abo</w:t>
      </w:r>
      <w:r w:rsidR="00FC4460">
        <w:rPr>
          <w:lang w:eastAsia="en-AU"/>
        </w:rPr>
        <w:t xml:space="preserve">ut how the debt was generated. </w:t>
      </w:r>
      <w:r w:rsidR="00460748">
        <w:rPr>
          <w:lang w:eastAsia="en-AU"/>
        </w:rPr>
        <w:t>Terry’s story</w:t>
      </w:r>
      <w:r w:rsidR="00E530FD">
        <w:rPr>
          <w:lang w:eastAsia="en-AU"/>
        </w:rPr>
        <w:t xml:space="preserve"> represents many of t</w:t>
      </w:r>
      <w:r w:rsidR="00FC4460">
        <w:rPr>
          <w:lang w:eastAsia="en-AU"/>
        </w:rPr>
        <w:t>he client stories we have heard:</w:t>
      </w:r>
    </w:p>
    <w:p w14:paraId="5DC8B0FA" w14:textId="77777777" w:rsidR="00AC43EA" w:rsidRPr="00414F73" w:rsidRDefault="00777FB1" w:rsidP="00414F73">
      <w:pPr>
        <w:pStyle w:val="Casestudy"/>
        <w:rPr>
          <w:b/>
        </w:rPr>
      </w:pPr>
      <w:bookmarkStart w:id="22" w:name="Terry"/>
      <w:bookmarkEnd w:id="22"/>
      <w:r w:rsidRPr="00414F73">
        <w:rPr>
          <w:b/>
        </w:rPr>
        <w:t xml:space="preserve">Case study 3: </w:t>
      </w:r>
      <w:r w:rsidR="00AC43EA" w:rsidRPr="00414F73">
        <w:rPr>
          <w:b/>
        </w:rPr>
        <w:t>Terry’s story</w:t>
      </w:r>
    </w:p>
    <w:p w14:paraId="773A3FAF" w14:textId="0A7C89C5" w:rsidR="00460748" w:rsidRPr="00414F73" w:rsidRDefault="00460748" w:rsidP="00414F73">
      <w:pPr>
        <w:pStyle w:val="Casestudy"/>
      </w:pPr>
      <w:r w:rsidRPr="00414F73">
        <w:t>During 2014, Terry re</w:t>
      </w:r>
      <w:r w:rsidR="00414F73" w:rsidRPr="00414F73">
        <w:t xml:space="preserve">ceived the Newstart Allowance. She reported fortnightly. </w:t>
      </w:r>
      <w:r w:rsidRPr="00414F73">
        <w:t>Where she was able to, Terry took casual work</w:t>
      </w:r>
      <w:r w:rsidR="00B326FA" w:rsidRPr="00414F73">
        <w:t xml:space="preserve"> in the period </w:t>
      </w:r>
      <w:r w:rsidRPr="00414F73">
        <w:t>and was concerned to work wit</w:t>
      </w:r>
      <w:r w:rsidR="00414F73">
        <w:t>h Centrelink in this period to ‘get things right’</w:t>
      </w:r>
      <w:r w:rsidRPr="00414F73">
        <w:t xml:space="preserve"> so that she wasn’t paid more than she was entitled.</w:t>
      </w:r>
      <w:r w:rsidR="00414F73">
        <w:t xml:space="preserve"> </w:t>
      </w:r>
      <w:r w:rsidR="004239C7" w:rsidRPr="00414F73">
        <w:t>Terry now receives the aged pension.</w:t>
      </w:r>
    </w:p>
    <w:p w14:paraId="10AA06C0" w14:textId="1C615BA5" w:rsidR="004239C7" w:rsidRPr="00414F73" w:rsidRDefault="00460748" w:rsidP="00414F73">
      <w:pPr>
        <w:pStyle w:val="Casestudy"/>
      </w:pPr>
      <w:r w:rsidRPr="00414F73">
        <w:t xml:space="preserve">In late 2016, just before the Christmas period, Terry received a letter from Centrelink alleging </w:t>
      </w:r>
      <w:r w:rsidR="00360AB0" w:rsidRPr="00414F73">
        <w:t xml:space="preserve">that the data-match had identified a discrepancy leading to an overpayment of </w:t>
      </w:r>
      <w:r w:rsidR="00E530FD" w:rsidRPr="00414F73">
        <w:t xml:space="preserve">over $10,000 </w:t>
      </w:r>
      <w:r w:rsidR="00360AB0" w:rsidRPr="00414F73">
        <w:t xml:space="preserve">in respect of her </w:t>
      </w:r>
      <w:r w:rsidR="00643109" w:rsidRPr="00414F73">
        <w:t>Newstart payments</w:t>
      </w:r>
      <w:r w:rsidR="00414F73">
        <w:t xml:space="preserve">. </w:t>
      </w:r>
      <w:r w:rsidR="00B326FA" w:rsidRPr="00414F73">
        <w:t>This amount reflected, as far as she understood,</w:t>
      </w:r>
      <w:r w:rsidR="00645648" w:rsidRPr="00414F73">
        <w:t xml:space="preserve"> more than</w:t>
      </w:r>
      <w:r w:rsidR="00B326FA" w:rsidRPr="00414F73">
        <w:t xml:space="preserve"> the entirety </w:t>
      </w:r>
      <w:r w:rsidR="00414F73">
        <w:t>of her payments in this period.</w:t>
      </w:r>
      <w:r w:rsidR="00B326FA" w:rsidRPr="00414F73">
        <w:t xml:space="preserve"> </w:t>
      </w:r>
      <w:r w:rsidR="004239C7" w:rsidRPr="00414F73">
        <w:t>She was shocked.</w:t>
      </w:r>
      <w:r w:rsidR="00645648" w:rsidRPr="00414F73">
        <w:t xml:space="preserve"> </w:t>
      </w:r>
    </w:p>
    <w:p w14:paraId="65D1B60F" w14:textId="678462DE" w:rsidR="00B326FA" w:rsidRPr="00414F73" w:rsidRDefault="00B326FA" w:rsidP="00414F73">
      <w:pPr>
        <w:pStyle w:val="Casestudy"/>
      </w:pPr>
      <w:r w:rsidRPr="00414F73">
        <w:t xml:space="preserve">When Terry received the </w:t>
      </w:r>
      <w:r w:rsidR="00CA6B46" w:rsidRPr="00414F73">
        <w:t>letter,</w:t>
      </w:r>
      <w:r w:rsidRPr="00414F73">
        <w:t xml:space="preserve"> she contacted Centrelink because she was confused about how she could have a debt for every do</w:t>
      </w:r>
      <w:r w:rsidR="00414F73">
        <w:t>llar paid to her in the period. The person she spoke with ‘talked over her’</w:t>
      </w:r>
      <w:r w:rsidRPr="00414F73">
        <w:t xml:space="preserve"> and</w:t>
      </w:r>
      <w:r w:rsidR="00CA6B46" w:rsidRPr="00414F73">
        <w:t xml:space="preserve"> Terry had the impression that </w:t>
      </w:r>
      <w:r w:rsidR="00414F73">
        <w:t>‘</w:t>
      </w:r>
      <w:r w:rsidR="00CA6B46" w:rsidRPr="00414F73">
        <w:t>she didn’t seem to think she had to give me an explanatio</w:t>
      </w:r>
      <w:r w:rsidR="00414F73">
        <w:t>n for [the alleged discrepancy]’.</w:t>
      </w:r>
      <w:r w:rsidR="00CA6B46" w:rsidRPr="00414F73">
        <w:t xml:space="preserve"> D</w:t>
      </w:r>
      <w:r w:rsidRPr="00414F73">
        <w:t xml:space="preserve">espite </w:t>
      </w:r>
      <w:r w:rsidR="00645648" w:rsidRPr="00414F73">
        <w:t>the fact Terry said sh</w:t>
      </w:r>
      <w:r w:rsidRPr="00414F73">
        <w:t>e didn’t accept the amount of the debt, she later learnt (</w:t>
      </w:r>
      <w:r w:rsidR="004239C7" w:rsidRPr="00414F73">
        <w:t>when attending a Centrelink office to attempt to upload her payslips from that period</w:t>
      </w:r>
      <w:r w:rsidRPr="00414F73">
        <w:t xml:space="preserve">) that she had been recorded </w:t>
      </w:r>
      <w:r w:rsidR="004239C7" w:rsidRPr="00414F73">
        <w:t xml:space="preserve">by that officer </w:t>
      </w:r>
      <w:r w:rsidR="00414F73">
        <w:t xml:space="preserve">as accepting the debt. </w:t>
      </w:r>
      <w:r w:rsidR="00B44BFB" w:rsidRPr="00414F73">
        <w:t>She also later learned a penalty had also been automatically impos</w:t>
      </w:r>
      <w:r w:rsidR="00414F73">
        <w:t>ed on her, increasing the debt.</w:t>
      </w:r>
      <w:r w:rsidR="00B44BFB" w:rsidRPr="00414F73">
        <w:t xml:space="preserve"> </w:t>
      </w:r>
      <w:r w:rsidR="004239C7" w:rsidRPr="00414F73">
        <w:t>Centrelink commenced deducting a portion of the alleged debt from Terry’s current aged pension.</w:t>
      </w:r>
      <w:r w:rsidR="00CA6B46" w:rsidRPr="00414F73">
        <w:t xml:space="preserve"> </w:t>
      </w:r>
    </w:p>
    <w:p w14:paraId="39425423" w14:textId="6926CC00" w:rsidR="00CA6B46" w:rsidRPr="00414F73" w:rsidRDefault="004239C7" w:rsidP="00414F73">
      <w:pPr>
        <w:pStyle w:val="Casestudy"/>
      </w:pPr>
      <w:r w:rsidRPr="00414F73">
        <w:t>During her contact with Centrelink, she continually asked the staff to te</w:t>
      </w:r>
      <w:r w:rsidR="00414F73">
        <w:t>ll her what the amount owing ‘was made up of’.</w:t>
      </w:r>
      <w:r w:rsidRPr="00414F73">
        <w:t xml:space="preserve"> </w:t>
      </w:r>
      <w:r w:rsidR="00B44BFB" w:rsidRPr="00414F73">
        <w:t xml:space="preserve">One Centrelink staff member said to her </w:t>
      </w:r>
      <w:r w:rsidR="00414F73">
        <w:t>‘</w:t>
      </w:r>
      <w:r w:rsidRPr="00414F73">
        <w:t>I don’t know</w:t>
      </w:r>
      <w:r w:rsidR="00414F73">
        <w:t>’.</w:t>
      </w:r>
      <w:r w:rsidRPr="00414F73">
        <w:t xml:space="preserve"> </w:t>
      </w:r>
      <w:r w:rsidR="00643109" w:rsidRPr="00414F73">
        <w:t>In</w:t>
      </w:r>
      <w:r w:rsidRPr="00414F73">
        <w:t xml:space="preserve"> subsequent contact with Centrelink, </w:t>
      </w:r>
      <w:r w:rsidR="00643109" w:rsidRPr="00414F73">
        <w:t>Terry</w:t>
      </w:r>
      <w:r w:rsidRPr="00414F73">
        <w:t xml:space="preserve"> was given conflicting information about the amount of</w:t>
      </w:r>
      <w:r w:rsidR="00B44BFB" w:rsidRPr="00414F73">
        <w:t xml:space="preserve"> the debt and the relevant dates</w:t>
      </w:r>
      <w:r w:rsidR="0071348E">
        <w:t>. Terry spent ‘just about every day’</w:t>
      </w:r>
      <w:r w:rsidR="00CA6B46" w:rsidRPr="00414F73">
        <w:t xml:space="preserve"> between December and February attempting to understand the basis for the debt and how she</w:t>
      </w:r>
      <w:r w:rsidR="0071348E">
        <w:t xml:space="preserve"> could show she did not owe it. It was, for her, like ‘</w:t>
      </w:r>
      <w:r w:rsidR="00CA6B46" w:rsidRPr="00414F73">
        <w:t>tr</w:t>
      </w:r>
      <w:r w:rsidR="0071348E">
        <w:t>ying to take a stab in the dark’</w:t>
      </w:r>
      <w:r w:rsidR="00ED5F06" w:rsidRPr="00414F73">
        <w:t>.</w:t>
      </w:r>
    </w:p>
    <w:p w14:paraId="40A291C4" w14:textId="7A961E87" w:rsidR="00AC43EA" w:rsidRPr="00414F73" w:rsidRDefault="004239C7" w:rsidP="00414F73">
      <w:pPr>
        <w:pStyle w:val="Casestudy"/>
      </w:pPr>
      <w:r w:rsidRPr="00414F73">
        <w:lastRenderedPageBreak/>
        <w:t>Ultima</w:t>
      </w:r>
      <w:r w:rsidR="00CA6B46" w:rsidRPr="00414F73">
        <w:t xml:space="preserve">tely, when she set out for a Centrelink officer why the amounts which were being suggested as wrongly reported were </w:t>
      </w:r>
      <w:r w:rsidR="00645648" w:rsidRPr="00414F73">
        <w:t xml:space="preserve">themselves </w:t>
      </w:r>
      <w:r w:rsidR="0071348E">
        <w:t>wrong, the officer replied ‘yeah, but it’s close enough’</w:t>
      </w:r>
      <w:r w:rsidR="00CA6B46" w:rsidRPr="00414F73">
        <w:t>.</w:t>
      </w:r>
    </w:p>
    <w:p w14:paraId="37BED7E2" w14:textId="21D9D2E0" w:rsidR="00AC43EA" w:rsidRPr="00414F73" w:rsidRDefault="00645648" w:rsidP="00414F73">
      <w:pPr>
        <w:pStyle w:val="Casestudy"/>
      </w:pPr>
      <w:r w:rsidRPr="00414F73">
        <w:t>Terry’s debt was recently recalculated</w:t>
      </w:r>
      <w:r w:rsidR="004F038C" w:rsidRPr="00414F73">
        <w:t xml:space="preserve"> by Centrelink</w:t>
      </w:r>
      <w:r w:rsidRPr="00414F73">
        <w:t xml:space="preserve"> </w:t>
      </w:r>
      <w:r w:rsidR="003C46EE" w:rsidRPr="00414F73">
        <w:t xml:space="preserve">(upon human consideration of her file) </w:t>
      </w:r>
      <w:r w:rsidRPr="00414F73">
        <w:t>to be under $900</w:t>
      </w:r>
      <w:r w:rsidR="001843D7" w:rsidRPr="00414F73">
        <w:t>.</w:t>
      </w:r>
      <w:r w:rsidRPr="00414F73">
        <w:t xml:space="preserve"> </w:t>
      </w:r>
      <w:r w:rsidR="00ED5F06" w:rsidRPr="00414F73">
        <w:t xml:space="preserve">She continues to dispute the </w:t>
      </w:r>
      <w:r w:rsidR="00643109" w:rsidRPr="00414F73">
        <w:t xml:space="preserve">remaining </w:t>
      </w:r>
      <w:r w:rsidR="00ED5F06" w:rsidRPr="00414F73">
        <w:t>amount.</w:t>
      </w:r>
    </w:p>
    <w:p w14:paraId="405A1B7E" w14:textId="0A9198EB" w:rsidR="00777FB1" w:rsidRDefault="00777FB1" w:rsidP="0071348E">
      <w:r w:rsidRPr="0071348E">
        <w:t>T</w:t>
      </w:r>
      <w:r w:rsidR="00B44BFB" w:rsidRPr="0071348E">
        <w:t>he lack of capacity or inclin</w:t>
      </w:r>
      <w:r w:rsidRPr="0071348E">
        <w:t>ation within Centrelink to explain the debts raised under the Initiative is in our view</w:t>
      </w:r>
      <w:r w:rsidR="00643109" w:rsidRPr="0071348E">
        <w:t>,</w:t>
      </w:r>
      <w:r w:rsidR="0071348E">
        <w:t xml:space="preserve"> unjustifiable. </w:t>
      </w:r>
      <w:r w:rsidRPr="0071348E">
        <w:t xml:space="preserve">Critically, in our experience, it: </w:t>
      </w:r>
    </w:p>
    <w:p w14:paraId="5BDD8A03" w14:textId="6B8D5573" w:rsidR="00777FB1" w:rsidRPr="00E942EA" w:rsidRDefault="004A2CDA" w:rsidP="0071348E">
      <w:pPr>
        <w:pStyle w:val="ListBullet"/>
      </w:pPr>
      <w:r>
        <w:t>i</w:t>
      </w:r>
      <w:r w:rsidR="00777FB1" w:rsidRPr="00E942EA">
        <w:t>mpe</w:t>
      </w:r>
      <w:r w:rsidR="0071348E">
        <w:t>des an individual’s ability to ‘correct the record’</w:t>
      </w:r>
      <w:r w:rsidR="00777FB1" w:rsidRPr="00E942EA">
        <w:t xml:space="preserve"> in circumstances where the Initiative effect</w:t>
      </w:r>
      <w:r>
        <w:t>ively requires it</w:t>
      </w:r>
    </w:p>
    <w:p w14:paraId="5D047BBD" w14:textId="6E24CBBA" w:rsidR="00E70491" w:rsidRPr="00E942EA" w:rsidRDefault="004A2CDA" w:rsidP="0071348E">
      <w:pPr>
        <w:pStyle w:val="ListBullet"/>
      </w:pPr>
      <w:r>
        <w:t>i</w:t>
      </w:r>
      <w:r w:rsidR="00E70491" w:rsidRPr="00E942EA">
        <w:t>mpedes an individual’s ability to seek legal advice about their best options, given that there is little basis for unpacki</w:t>
      </w:r>
      <w:r>
        <w:t>ng why the debt has been raised</w:t>
      </w:r>
    </w:p>
    <w:p w14:paraId="100BFC05" w14:textId="7CC4454E" w:rsidR="00643109" w:rsidRPr="00E942EA" w:rsidRDefault="004A2CDA" w:rsidP="0071348E">
      <w:pPr>
        <w:pStyle w:val="ListBullet"/>
      </w:pPr>
      <w:r>
        <w:t>e</w:t>
      </w:r>
      <w:r w:rsidR="00E70491" w:rsidRPr="00E942EA">
        <w:t>nlarges</w:t>
      </w:r>
      <w:r w:rsidR="00777FB1" w:rsidRPr="00E942EA">
        <w:t xml:space="preserve"> the personal burden imposed on individuals who seek to understand the debt and wh</w:t>
      </w:r>
      <w:r>
        <w:t>ether or not it is legitimate</w:t>
      </w:r>
    </w:p>
    <w:p w14:paraId="36D0170C" w14:textId="08E1DC7B" w:rsidR="00E70491" w:rsidRPr="00E942EA" w:rsidRDefault="004A2CDA" w:rsidP="0071348E">
      <w:pPr>
        <w:pStyle w:val="ListBullet"/>
      </w:pPr>
      <w:r>
        <w:t>c</w:t>
      </w:r>
      <w:r w:rsidR="00E70491" w:rsidRPr="00E942EA">
        <w:t xml:space="preserve">reates inefficient and unnecessary work for legal services who, faced with a dearth of necessary facts </w:t>
      </w:r>
      <w:r w:rsidR="00F035C1">
        <w:t xml:space="preserve">will need to make </w:t>
      </w:r>
      <w:r w:rsidR="00E70491" w:rsidRPr="00E942EA">
        <w:t>requests under the FOI Act for their clients</w:t>
      </w:r>
      <w:r w:rsidR="001843D7">
        <w:t>’</w:t>
      </w:r>
      <w:r w:rsidR="00E70491" w:rsidRPr="00E942EA">
        <w:t xml:space="preserve"> own files from Centrelink</w:t>
      </w:r>
      <w:r w:rsidR="00643109" w:rsidRPr="00E942EA">
        <w:t xml:space="preserve"> to try to unpack the</w:t>
      </w:r>
      <w:r>
        <w:t xml:space="preserve"> basis for the debt</w:t>
      </w:r>
    </w:p>
    <w:p w14:paraId="6BC47D19" w14:textId="0334F900" w:rsidR="00E70491" w:rsidRDefault="004A2CDA" w:rsidP="0071348E">
      <w:pPr>
        <w:pStyle w:val="ListBullet"/>
      </w:pPr>
      <w:r>
        <w:t>h</w:t>
      </w:r>
      <w:r w:rsidR="00E70491" w:rsidRPr="00E942EA">
        <w:t xml:space="preserve">as produced, and will continue to produce, delay in the system as people who may otherwise accept a properly justified debt seek a recalculation, authorised review or merits review (in the AAT) of the alleged debt in order to </w:t>
      </w:r>
      <w:r w:rsidR="00643109" w:rsidRPr="00E942EA">
        <w:t>bring about</w:t>
      </w:r>
      <w:r w:rsidR="00E70491" w:rsidRPr="00E942EA">
        <w:t xml:space="preserve"> a proper, human, consideration of their case and </w:t>
      </w:r>
      <w:r>
        <w:t>some justification for it</w:t>
      </w:r>
      <w:r w:rsidR="002D74B3">
        <w:t>.</w:t>
      </w:r>
    </w:p>
    <w:p w14:paraId="6C002057" w14:textId="4C707185" w:rsidR="00E00306" w:rsidRPr="0071348E" w:rsidRDefault="00E00306" w:rsidP="0071348E">
      <w:r w:rsidRPr="0071348E">
        <w:rPr>
          <w:b/>
        </w:rPr>
        <w:t>Recommendation 12:</w:t>
      </w:r>
      <w:r w:rsidRPr="0071348E">
        <w:t xml:space="preserve"> Centrelink staff must be in a position to understand and explain to its customers how an alleged debt has been calculated, the first time that an inquiry i</w:t>
      </w:r>
      <w:r w:rsidR="004A2CDA">
        <w:t>s made.</w:t>
      </w:r>
    </w:p>
    <w:p w14:paraId="5BE597F9" w14:textId="77777777" w:rsidR="002565A5" w:rsidRDefault="002565A5" w:rsidP="00BA3FA4">
      <w:pPr>
        <w:pBdr>
          <w:top w:val="single" w:sz="4" w:space="1" w:color="auto"/>
          <w:left w:val="single" w:sz="4" w:space="4" w:color="auto"/>
          <w:bottom w:val="single" w:sz="4" w:space="1" w:color="auto"/>
          <w:right w:val="single" w:sz="4" w:space="4" w:color="auto"/>
        </w:pBdr>
        <w:rPr>
          <w:rFonts w:cs="Arial"/>
          <w:b/>
          <w:bCs/>
          <w:color w:val="971A4B"/>
          <w:kern w:val="32"/>
          <w:sz w:val="32"/>
          <w:szCs w:val="32"/>
          <w:lang w:eastAsia="en-AU"/>
        </w:rPr>
      </w:pPr>
      <w:r>
        <w:br w:type="page"/>
      </w:r>
    </w:p>
    <w:p w14:paraId="12041ABB" w14:textId="77777777" w:rsidR="00BF3F3B" w:rsidRDefault="00BF3F3B" w:rsidP="00BF3F3B">
      <w:pPr>
        <w:pStyle w:val="Heading1"/>
      </w:pPr>
      <w:bookmarkStart w:id="23" w:name="_Toc479316963"/>
      <w:r>
        <w:lastRenderedPageBreak/>
        <w:t>The lawfulness and purported justification of the p</w:t>
      </w:r>
      <w:r w:rsidRPr="00E476B9">
        <w:t xml:space="preserve">ublic </w:t>
      </w:r>
      <w:r>
        <w:t>d</w:t>
      </w:r>
      <w:r w:rsidRPr="00E476B9">
        <w:t>isclosure of social security information in response to public criticism (TOR (h), (k))</w:t>
      </w:r>
      <w:bookmarkEnd w:id="23"/>
    </w:p>
    <w:p w14:paraId="4282214B" w14:textId="217E17B3" w:rsidR="00F34F86" w:rsidRPr="00D223EE" w:rsidRDefault="00BA3FA4" w:rsidP="00D223EE">
      <w:pPr>
        <w:rPr>
          <w:bCs/>
        </w:rPr>
      </w:pPr>
      <w:r w:rsidRPr="00D223EE">
        <w:rPr>
          <w:bCs/>
        </w:rPr>
        <w:t>VLA</w:t>
      </w:r>
      <w:r w:rsidR="00643109" w:rsidRPr="00D223EE">
        <w:rPr>
          <w:bCs/>
        </w:rPr>
        <w:t xml:space="preserve"> has serious concerns regarding the lawfulness and appropriateness of the release by officers of the Department </w:t>
      </w:r>
      <w:r w:rsidR="00866B70" w:rsidRPr="00D223EE">
        <w:rPr>
          <w:bCs/>
        </w:rPr>
        <w:t xml:space="preserve">of </w:t>
      </w:r>
      <w:r w:rsidR="00A2002E" w:rsidRPr="00D223EE">
        <w:rPr>
          <w:bCs/>
        </w:rPr>
        <w:t>individuals</w:t>
      </w:r>
      <w:r w:rsidR="001843D7">
        <w:rPr>
          <w:bCs/>
        </w:rPr>
        <w:t>’</w:t>
      </w:r>
      <w:r w:rsidR="00A2002E" w:rsidRPr="00D223EE">
        <w:rPr>
          <w:bCs/>
        </w:rPr>
        <w:t xml:space="preserve"> </w:t>
      </w:r>
      <w:r w:rsidR="00866B70" w:rsidRPr="00D223EE">
        <w:rPr>
          <w:bCs/>
        </w:rPr>
        <w:t>social security information in response to public criticism by people adverse</w:t>
      </w:r>
      <w:r w:rsidR="004A2CDA">
        <w:rPr>
          <w:bCs/>
        </w:rPr>
        <w:t>ly affected by the Initiative.</w:t>
      </w:r>
    </w:p>
    <w:p w14:paraId="15441E47" w14:textId="77777777" w:rsidR="00866B70" w:rsidRPr="00374F56" w:rsidRDefault="00866B70" w:rsidP="00E25DAE">
      <w:pPr>
        <w:pStyle w:val="Heading2"/>
      </w:pPr>
      <w:bookmarkStart w:id="24" w:name="_Toc479316964"/>
      <w:r w:rsidRPr="00374F56">
        <w:t>Lawfulness</w:t>
      </w:r>
      <w:bookmarkEnd w:id="24"/>
    </w:p>
    <w:p w14:paraId="714A5013" w14:textId="2D826EC4" w:rsidR="00C040AE" w:rsidRDefault="00113537" w:rsidP="00F34F86">
      <w:pPr>
        <w:rPr>
          <w:bCs/>
        </w:rPr>
      </w:pPr>
      <w:r>
        <w:rPr>
          <w:bCs/>
        </w:rPr>
        <w:t>Under</w:t>
      </w:r>
      <w:r w:rsidR="00BB01EC">
        <w:rPr>
          <w:bCs/>
        </w:rPr>
        <w:t xml:space="preserve"> s</w:t>
      </w:r>
      <w:r w:rsidR="00E25DAE">
        <w:rPr>
          <w:bCs/>
        </w:rPr>
        <w:t>.</w:t>
      </w:r>
      <w:r w:rsidR="00BB01EC">
        <w:rPr>
          <w:bCs/>
        </w:rPr>
        <w:t xml:space="preserve"> 204</w:t>
      </w:r>
      <w:r w:rsidR="001843D7">
        <w:rPr>
          <w:bCs/>
        </w:rPr>
        <w:t xml:space="preserve"> of the</w:t>
      </w:r>
      <w:r w:rsidR="00BB01EC">
        <w:rPr>
          <w:bCs/>
        </w:rPr>
        <w:t xml:space="preserve"> </w:t>
      </w:r>
      <w:r>
        <w:rPr>
          <w:bCs/>
          <w:i/>
        </w:rPr>
        <w:t xml:space="preserve">Social Security (Administration) Act 1999 </w:t>
      </w:r>
      <w:r>
        <w:rPr>
          <w:bCs/>
        </w:rPr>
        <w:t>(Cth)</w:t>
      </w:r>
      <w:r w:rsidR="00C040AE">
        <w:rPr>
          <w:bCs/>
        </w:rPr>
        <w:t xml:space="preserve"> (</w:t>
      </w:r>
      <w:r w:rsidR="00C040AE" w:rsidRPr="00E25DAE">
        <w:rPr>
          <w:bCs/>
        </w:rPr>
        <w:t>SSA Act</w:t>
      </w:r>
      <w:r w:rsidR="00C040AE">
        <w:rPr>
          <w:bCs/>
        </w:rPr>
        <w:t>)</w:t>
      </w:r>
      <w:r>
        <w:rPr>
          <w:bCs/>
        </w:rPr>
        <w:t xml:space="preserve"> and </w:t>
      </w:r>
      <w:r w:rsidR="001843D7">
        <w:rPr>
          <w:bCs/>
        </w:rPr>
        <w:t>s</w:t>
      </w:r>
      <w:r w:rsidR="00E25DAE">
        <w:rPr>
          <w:bCs/>
        </w:rPr>
        <w:t>.</w:t>
      </w:r>
      <w:r w:rsidR="001843D7">
        <w:rPr>
          <w:bCs/>
        </w:rPr>
        <w:t xml:space="preserve"> </w:t>
      </w:r>
      <w:r w:rsidR="00BB01EC">
        <w:rPr>
          <w:bCs/>
        </w:rPr>
        <w:t xml:space="preserve">164 of the </w:t>
      </w:r>
      <w:r>
        <w:rPr>
          <w:bCs/>
          <w:i/>
        </w:rPr>
        <w:t>New Tax System (Family Assistance) Administrat</w:t>
      </w:r>
      <w:r w:rsidR="00BB01EC">
        <w:rPr>
          <w:bCs/>
          <w:i/>
        </w:rPr>
        <w:t>i</w:t>
      </w:r>
      <w:r>
        <w:rPr>
          <w:bCs/>
          <w:i/>
        </w:rPr>
        <w:t>on</w:t>
      </w:r>
      <w:r w:rsidR="00BB01EC">
        <w:rPr>
          <w:bCs/>
          <w:i/>
        </w:rPr>
        <w:t xml:space="preserve"> 1999 </w:t>
      </w:r>
      <w:r w:rsidR="00BB01EC">
        <w:rPr>
          <w:bCs/>
        </w:rPr>
        <w:t>(Cth)</w:t>
      </w:r>
      <w:r w:rsidR="00CA3E00">
        <w:rPr>
          <w:bCs/>
        </w:rPr>
        <w:t xml:space="preserve"> (</w:t>
      </w:r>
      <w:r w:rsidR="00CA3E00" w:rsidRPr="00E25DAE">
        <w:rPr>
          <w:bCs/>
        </w:rPr>
        <w:t>FAA Act</w:t>
      </w:r>
      <w:r w:rsidR="00CA3E00">
        <w:rPr>
          <w:bCs/>
        </w:rPr>
        <w:t>)</w:t>
      </w:r>
      <w:r w:rsidR="00BB01EC">
        <w:rPr>
          <w:bCs/>
        </w:rPr>
        <w:t xml:space="preserve">, it </w:t>
      </w:r>
      <w:r w:rsidR="00C040AE">
        <w:rPr>
          <w:bCs/>
        </w:rPr>
        <w:t xml:space="preserve">is </w:t>
      </w:r>
      <w:r w:rsidR="00BB01EC">
        <w:rPr>
          <w:bCs/>
        </w:rPr>
        <w:t>an offence to d</w:t>
      </w:r>
      <w:r w:rsidR="00E25DAE">
        <w:rPr>
          <w:bCs/>
        </w:rPr>
        <w:t xml:space="preserve">isclose protected information. </w:t>
      </w:r>
      <w:r w:rsidR="00BB01EC">
        <w:rPr>
          <w:bCs/>
        </w:rPr>
        <w:t xml:space="preserve">Relevantly, </w:t>
      </w:r>
      <w:r w:rsidR="00E25DAE">
        <w:rPr>
          <w:bCs/>
        </w:rPr>
        <w:t>‘</w:t>
      </w:r>
      <w:r w:rsidR="00BB01EC">
        <w:rPr>
          <w:bCs/>
        </w:rPr>
        <w:t>protected information</w:t>
      </w:r>
      <w:r w:rsidR="00E25DAE">
        <w:rPr>
          <w:bCs/>
        </w:rPr>
        <w:t>’</w:t>
      </w:r>
      <w:r w:rsidR="00BB01EC">
        <w:rPr>
          <w:bCs/>
        </w:rPr>
        <w:t xml:space="preserve"> is</w:t>
      </w:r>
      <w:r w:rsidR="00323000">
        <w:rPr>
          <w:bCs/>
        </w:rPr>
        <w:t xml:space="preserve"> defined to include</w:t>
      </w:r>
      <w:r w:rsidR="00BB01EC">
        <w:rPr>
          <w:bCs/>
        </w:rPr>
        <w:t xml:space="preserve"> </w:t>
      </w:r>
      <w:r w:rsidR="00E25DAE">
        <w:rPr>
          <w:bCs/>
        </w:rPr>
        <w:t>‘</w:t>
      </w:r>
      <w:r w:rsidR="00C040AE">
        <w:rPr>
          <w:bCs/>
        </w:rPr>
        <w:t>information about a person that was obtained by an officer under social security</w:t>
      </w:r>
      <w:r w:rsidR="00E25DAE">
        <w:rPr>
          <w:bCs/>
        </w:rPr>
        <w:t xml:space="preserve"> law’</w:t>
      </w:r>
      <w:r w:rsidR="00C040AE" w:rsidRPr="00C040AE">
        <w:rPr>
          <w:rStyle w:val="FootnoteReference"/>
          <w:bCs/>
        </w:rPr>
        <w:t xml:space="preserve"> </w:t>
      </w:r>
      <w:r w:rsidR="00C040AE">
        <w:rPr>
          <w:rStyle w:val="FootnoteReference"/>
          <w:bCs/>
        </w:rPr>
        <w:footnoteReference w:id="21"/>
      </w:r>
      <w:r w:rsidR="00C040AE">
        <w:rPr>
          <w:bCs/>
        </w:rPr>
        <w:t xml:space="preserve"> or </w:t>
      </w:r>
      <w:r w:rsidR="00E25DAE">
        <w:rPr>
          <w:bCs/>
        </w:rPr>
        <w:t>‘</w:t>
      </w:r>
      <w:r w:rsidR="00C040AE">
        <w:rPr>
          <w:bCs/>
        </w:rPr>
        <w:t>under the family assistance law</w:t>
      </w:r>
      <w:r w:rsidR="00E25DAE">
        <w:rPr>
          <w:bCs/>
        </w:rPr>
        <w:t>’</w:t>
      </w:r>
      <w:r w:rsidR="00C040AE">
        <w:rPr>
          <w:bCs/>
        </w:rPr>
        <w:t>.</w:t>
      </w:r>
      <w:r w:rsidR="00C040AE">
        <w:rPr>
          <w:rStyle w:val="FootnoteReference"/>
          <w:bCs/>
        </w:rPr>
        <w:footnoteReference w:id="22"/>
      </w:r>
    </w:p>
    <w:p w14:paraId="4AEED147" w14:textId="0FFDC86A" w:rsidR="00C040AE" w:rsidRDefault="00C040AE" w:rsidP="00F34F86">
      <w:pPr>
        <w:rPr>
          <w:bCs/>
        </w:rPr>
      </w:pPr>
      <w:r>
        <w:rPr>
          <w:bCs/>
        </w:rPr>
        <w:t xml:space="preserve">We consider it very likely that when an officer of the Department disclosed select information about </w:t>
      </w:r>
      <w:r w:rsidR="00CA3E00">
        <w:rPr>
          <w:bCs/>
        </w:rPr>
        <w:t>the individual</w:t>
      </w:r>
      <w:r>
        <w:rPr>
          <w:bCs/>
        </w:rPr>
        <w:t xml:space="preserve"> circumstances of a former Centrelink customer it d</w:t>
      </w:r>
      <w:r w:rsidR="00E25DAE">
        <w:rPr>
          <w:bCs/>
        </w:rPr>
        <w:t>isclosed protected information.</w:t>
      </w:r>
      <w:r>
        <w:rPr>
          <w:bCs/>
        </w:rPr>
        <w:t xml:space="preserve"> </w:t>
      </w:r>
      <w:r w:rsidR="00CA3E00">
        <w:rPr>
          <w:bCs/>
        </w:rPr>
        <w:t>It appears uncontroversial that this</w:t>
      </w:r>
      <w:r>
        <w:rPr>
          <w:bCs/>
        </w:rPr>
        <w:t xml:space="preserve"> information was available to t</w:t>
      </w:r>
      <w:r w:rsidR="00E25DAE">
        <w:rPr>
          <w:bCs/>
        </w:rPr>
        <w:t>he officer because it had been ‘</w:t>
      </w:r>
      <w:r>
        <w:rPr>
          <w:bCs/>
        </w:rPr>
        <w:t>obtain</w:t>
      </w:r>
      <w:r w:rsidR="00E25DAE">
        <w:rPr>
          <w:bCs/>
        </w:rPr>
        <w:t>ed under social security law’</w:t>
      </w:r>
      <w:r w:rsidR="00CA3E00">
        <w:rPr>
          <w:bCs/>
        </w:rPr>
        <w:t>.</w:t>
      </w:r>
    </w:p>
    <w:p w14:paraId="46DF6BAE" w14:textId="27B1E79D" w:rsidR="00CA3E00" w:rsidRDefault="00CA3E00" w:rsidP="00F34F86">
      <w:pPr>
        <w:rPr>
          <w:shd w:val="clear" w:color="auto" w:fill="FFFFFF"/>
        </w:rPr>
      </w:pPr>
      <w:r>
        <w:rPr>
          <w:bCs/>
        </w:rPr>
        <w:t>We understand that, at the time of the disclosures, they were justified as a necessary measure to correct</w:t>
      </w:r>
      <w:r w:rsidR="00782E5E">
        <w:rPr>
          <w:shd w:val="clear" w:color="auto" w:fill="FFFFFF"/>
        </w:rPr>
        <w:t xml:space="preserve"> (so-called) </w:t>
      </w:r>
      <w:r w:rsidR="00E25DAE">
        <w:rPr>
          <w:shd w:val="clear" w:color="auto" w:fill="FFFFFF"/>
        </w:rPr>
        <w:t>‘</w:t>
      </w:r>
      <w:r w:rsidR="00782E5E">
        <w:rPr>
          <w:shd w:val="clear" w:color="auto" w:fill="FFFFFF"/>
        </w:rPr>
        <w:t>unfounded allegations</w:t>
      </w:r>
      <w:r w:rsidR="00E25DAE">
        <w:rPr>
          <w:shd w:val="clear" w:color="auto" w:fill="FFFFFF"/>
        </w:rPr>
        <w:t>’</w:t>
      </w:r>
      <w:r>
        <w:rPr>
          <w:shd w:val="clear" w:color="auto" w:fill="FFFFFF"/>
        </w:rPr>
        <w:t xml:space="preserve"> in order to (a) enhance public confid</w:t>
      </w:r>
      <w:r w:rsidR="00E25DAE">
        <w:rPr>
          <w:shd w:val="clear" w:color="auto" w:fill="FFFFFF"/>
        </w:rPr>
        <w:t>ence; or (b) avoid staff being ‘</w:t>
      </w:r>
      <w:r>
        <w:rPr>
          <w:shd w:val="clear" w:color="auto" w:fill="FFFFFF"/>
        </w:rPr>
        <w:t>taken away</w:t>
      </w:r>
      <w:r w:rsidR="00E25DAE">
        <w:rPr>
          <w:shd w:val="clear" w:color="auto" w:fill="FFFFFF"/>
        </w:rPr>
        <w:t xml:space="preserve"> from dealing with other claims’</w:t>
      </w:r>
      <w:r w:rsidR="004A2CDA">
        <w:rPr>
          <w:shd w:val="clear" w:color="auto" w:fill="FFFFFF"/>
        </w:rPr>
        <w:t>.</w:t>
      </w:r>
    </w:p>
    <w:p w14:paraId="0432D8B8" w14:textId="4D404BF0" w:rsidR="00782E5E" w:rsidRDefault="00CA3E00" w:rsidP="00F34F86">
      <w:pPr>
        <w:rPr>
          <w:shd w:val="clear" w:color="auto" w:fill="FFFFFF"/>
        </w:rPr>
      </w:pPr>
      <w:r>
        <w:rPr>
          <w:shd w:val="clear" w:color="auto" w:fill="FFFFFF"/>
        </w:rPr>
        <w:t>Both the SSA and FAA Acts provide a specif</w:t>
      </w:r>
      <w:r w:rsidR="00323000">
        <w:rPr>
          <w:shd w:val="clear" w:color="auto" w:fill="FFFFFF"/>
        </w:rPr>
        <w:t>ic</w:t>
      </w:r>
      <w:r>
        <w:rPr>
          <w:shd w:val="clear" w:color="auto" w:fill="FFFFFF"/>
        </w:rPr>
        <w:t xml:space="preserve">, legislated, and </w:t>
      </w:r>
      <w:r w:rsidR="00B0606A">
        <w:rPr>
          <w:shd w:val="clear" w:color="auto" w:fill="FFFFFF"/>
        </w:rPr>
        <w:t>appropriately regulated</w:t>
      </w:r>
      <w:r>
        <w:rPr>
          <w:shd w:val="clear" w:color="auto" w:fill="FFFFFF"/>
        </w:rPr>
        <w:t xml:space="preserve"> pathway for the Secretary of the Department to make disclosures of protected information </w:t>
      </w:r>
      <w:r w:rsidR="00C352AC">
        <w:rPr>
          <w:shd w:val="clear" w:color="auto" w:fill="FFFFFF"/>
        </w:rPr>
        <w:t xml:space="preserve">to </w:t>
      </w:r>
      <w:r w:rsidR="00782E5E">
        <w:rPr>
          <w:shd w:val="clear" w:color="auto" w:fill="FFFFFF"/>
        </w:rPr>
        <w:t xml:space="preserve">correct facts to protect the system’s integrity </w:t>
      </w:r>
      <w:r w:rsidR="00782E5E">
        <w:rPr>
          <w:b/>
          <w:shd w:val="clear" w:color="auto" w:fill="FFFFFF"/>
        </w:rPr>
        <w:t xml:space="preserve">if </w:t>
      </w:r>
      <w:r>
        <w:rPr>
          <w:shd w:val="clear" w:color="auto" w:fill="FFFFFF"/>
        </w:rPr>
        <w:t>a number of factors (including necessity)</w:t>
      </w:r>
      <w:r w:rsidR="00323000">
        <w:rPr>
          <w:shd w:val="clear" w:color="auto" w:fill="FFFFFF"/>
        </w:rPr>
        <w:t xml:space="preserve"> are satisfied</w:t>
      </w:r>
      <w:r>
        <w:rPr>
          <w:shd w:val="clear" w:color="auto" w:fill="FFFFFF"/>
        </w:rPr>
        <w:t>.</w:t>
      </w:r>
      <w:r>
        <w:rPr>
          <w:rStyle w:val="FootnoteReference"/>
          <w:shd w:val="clear" w:color="auto" w:fill="FFFFFF"/>
        </w:rPr>
        <w:footnoteReference w:id="23"/>
      </w:r>
      <w:r w:rsidR="00E25DAE">
        <w:rPr>
          <w:shd w:val="clear" w:color="auto" w:fill="FFFFFF"/>
        </w:rPr>
        <w:t xml:space="preserve"> </w:t>
      </w:r>
      <w:r>
        <w:rPr>
          <w:shd w:val="clear" w:color="auto" w:fill="FFFFFF"/>
        </w:rPr>
        <w:t xml:space="preserve">The </w:t>
      </w:r>
      <w:r w:rsidR="00323000">
        <w:rPr>
          <w:shd w:val="clear" w:color="auto" w:fill="FFFFFF"/>
        </w:rPr>
        <w:t>exercise of the Secretary’s power is subject to mandatory Guidelines,</w:t>
      </w:r>
      <w:r w:rsidR="00323000">
        <w:rPr>
          <w:rStyle w:val="FootnoteReference"/>
          <w:shd w:val="clear" w:color="auto" w:fill="FFFFFF"/>
        </w:rPr>
        <w:footnoteReference w:id="24"/>
      </w:r>
      <w:r w:rsidR="00E25DAE">
        <w:rPr>
          <w:shd w:val="clear" w:color="auto" w:fill="FFFFFF"/>
        </w:rPr>
        <w:t xml:space="preserve"> </w:t>
      </w:r>
      <w:r w:rsidR="00323000">
        <w:rPr>
          <w:shd w:val="clear" w:color="auto" w:fill="FFFFFF"/>
        </w:rPr>
        <w:t xml:space="preserve">which must be satisfied before the Secretary is permitted to issue a </w:t>
      </w:r>
      <w:r w:rsidR="00E25DAE">
        <w:rPr>
          <w:shd w:val="clear" w:color="auto" w:fill="FFFFFF"/>
        </w:rPr>
        <w:t xml:space="preserve">‘public interest certificate’. </w:t>
      </w:r>
      <w:r w:rsidR="00323000">
        <w:rPr>
          <w:shd w:val="clear" w:color="auto" w:fill="FFFFFF"/>
        </w:rPr>
        <w:t>Each of these steps provid</w:t>
      </w:r>
      <w:r w:rsidR="00A04585">
        <w:rPr>
          <w:shd w:val="clear" w:color="auto" w:fill="FFFFFF"/>
        </w:rPr>
        <w:t>e for and require a measure of restraint, caution a</w:t>
      </w:r>
      <w:r w:rsidR="00D223EE">
        <w:rPr>
          <w:shd w:val="clear" w:color="auto" w:fill="FFFFFF"/>
        </w:rPr>
        <w:t>nd accountability</w:t>
      </w:r>
      <w:r w:rsidR="00362324">
        <w:rPr>
          <w:shd w:val="clear" w:color="auto" w:fill="FFFFFF"/>
        </w:rPr>
        <w:t xml:space="preserve"> be</w:t>
      </w:r>
      <w:r w:rsidR="00E25DAE">
        <w:rPr>
          <w:shd w:val="clear" w:color="auto" w:fill="FFFFFF"/>
        </w:rPr>
        <w:t xml:space="preserve">fore a disclosure can be made. </w:t>
      </w:r>
      <w:r w:rsidR="00782E5E">
        <w:rPr>
          <w:shd w:val="clear" w:color="auto" w:fill="FFFFFF"/>
        </w:rPr>
        <w:t>This is entirely appropriate.</w:t>
      </w:r>
    </w:p>
    <w:p w14:paraId="2DB0AA8A" w14:textId="4B924633" w:rsidR="00CA3E00" w:rsidRPr="00CA3E00" w:rsidRDefault="00362324" w:rsidP="00F34F86">
      <w:pPr>
        <w:rPr>
          <w:shd w:val="clear" w:color="auto" w:fill="FFFFFF"/>
        </w:rPr>
      </w:pPr>
      <w:r>
        <w:rPr>
          <w:shd w:val="clear" w:color="auto" w:fill="FFFFFF"/>
        </w:rPr>
        <w:t xml:space="preserve">That the </w:t>
      </w:r>
      <w:r w:rsidR="00A04585">
        <w:rPr>
          <w:shd w:val="clear" w:color="auto" w:fill="FFFFFF"/>
        </w:rPr>
        <w:t xml:space="preserve">purpose of these provisions </w:t>
      </w:r>
      <w:r>
        <w:rPr>
          <w:shd w:val="clear" w:color="auto" w:fill="FFFFFF"/>
        </w:rPr>
        <w:t xml:space="preserve">is </w:t>
      </w:r>
      <w:r w:rsidR="00A04585">
        <w:rPr>
          <w:shd w:val="clear" w:color="auto" w:fill="FFFFFF"/>
        </w:rPr>
        <w:t>to provide exactly that restraint and accountability was recently relied on by both the Department of Veterans’ Affairs and the Senate Foreign Affairs, Defence and Trade Committee</w:t>
      </w:r>
      <w:r w:rsidR="00525B2A">
        <w:rPr>
          <w:shd w:val="clear" w:color="auto" w:fill="FFFFFF"/>
        </w:rPr>
        <w:t xml:space="preserve"> (subject to additional comments by Labor Senators)</w:t>
      </w:r>
      <w:r w:rsidR="00E25DAE">
        <w:rPr>
          <w:shd w:val="clear" w:color="auto" w:fill="FFFFFF"/>
        </w:rPr>
        <w:t xml:space="preserve">. </w:t>
      </w:r>
      <w:r w:rsidR="00782E5E">
        <w:rPr>
          <w:shd w:val="clear" w:color="auto" w:fill="FFFFFF"/>
        </w:rPr>
        <w:t>It was these key restraint, accountability and transparency features which led to the</w:t>
      </w:r>
      <w:r w:rsidR="00F035C1">
        <w:rPr>
          <w:shd w:val="clear" w:color="auto" w:fill="FFFFFF"/>
        </w:rPr>
        <w:t xml:space="preserve"> endorsement of the</w:t>
      </w:r>
      <w:r w:rsidR="00782E5E">
        <w:rPr>
          <w:shd w:val="clear" w:color="auto" w:fill="FFFFFF"/>
        </w:rPr>
        <w:t xml:space="preserve"> </w:t>
      </w:r>
      <w:r w:rsidR="00A04585">
        <w:rPr>
          <w:shd w:val="clear" w:color="auto" w:fill="FFFFFF"/>
        </w:rPr>
        <w:t xml:space="preserve">amendment of a </w:t>
      </w:r>
      <w:r w:rsidR="00F035C1">
        <w:rPr>
          <w:shd w:val="clear" w:color="auto" w:fill="FFFFFF"/>
        </w:rPr>
        <w:t>number of pieces of comparable v</w:t>
      </w:r>
      <w:r w:rsidR="00A04585">
        <w:rPr>
          <w:shd w:val="clear" w:color="auto" w:fill="FFFFFF"/>
        </w:rPr>
        <w:t>eterans’ affairs legislation to include a materially identical provision to the public interest disclosure provisions in the SSA and FFA Acts.</w:t>
      </w:r>
      <w:r w:rsidR="00A04585">
        <w:rPr>
          <w:rStyle w:val="FootnoteReference"/>
          <w:shd w:val="clear" w:color="auto" w:fill="FFFFFF"/>
        </w:rPr>
        <w:footnoteReference w:id="25"/>
      </w:r>
    </w:p>
    <w:p w14:paraId="6D8B439A" w14:textId="63E6FE4A" w:rsidR="00CA3E00" w:rsidRDefault="00525B2A" w:rsidP="00F34F86">
      <w:pPr>
        <w:rPr>
          <w:bCs/>
        </w:rPr>
      </w:pPr>
      <w:r>
        <w:rPr>
          <w:bCs/>
        </w:rPr>
        <w:lastRenderedPageBreak/>
        <w:t>The disclosure of information by an officer of the Department in response to public criticism of the Initiative did not comply with this specific, targeted and publicly recognised mechanism for making necessary corrections to mistakes of fact in publi</w:t>
      </w:r>
      <w:r w:rsidR="004A2CDA">
        <w:rPr>
          <w:bCs/>
        </w:rPr>
        <w:t xml:space="preserve">c discourse under the SSA Act. </w:t>
      </w:r>
      <w:r w:rsidR="00D223EE">
        <w:rPr>
          <w:bCs/>
        </w:rPr>
        <w:t>The Secretary had not turned her mind to the matters under s</w:t>
      </w:r>
      <w:r w:rsidR="004A2CDA">
        <w:rPr>
          <w:bCs/>
        </w:rPr>
        <w:t>.</w:t>
      </w:r>
      <w:r w:rsidR="00D223EE">
        <w:rPr>
          <w:bCs/>
        </w:rPr>
        <w:t xml:space="preserve"> 208 of the</w:t>
      </w:r>
      <w:r w:rsidR="004A2CDA">
        <w:rPr>
          <w:bCs/>
        </w:rPr>
        <w:t xml:space="preserve"> SSA Act or to the Guidelines. </w:t>
      </w:r>
      <w:r w:rsidR="00D223EE">
        <w:rPr>
          <w:bCs/>
        </w:rPr>
        <w:t xml:space="preserve">No public interest certificate was issued, nor was the Secretary required to consider whether, in her view, </w:t>
      </w:r>
      <w:r w:rsidR="004A2CDA">
        <w:rPr>
          <w:bCs/>
        </w:rPr>
        <w:t xml:space="preserve">the Guidelines were satisfied. </w:t>
      </w:r>
      <w:r w:rsidR="00A6198D">
        <w:rPr>
          <w:bCs/>
        </w:rPr>
        <w:t>Further, the Secretary, in this case did not, in</w:t>
      </w:r>
      <w:r w:rsidR="00362324">
        <w:rPr>
          <w:bCs/>
        </w:rPr>
        <w:t xml:space="preserve"> fact, authorise the disclosure at all.</w:t>
      </w:r>
    </w:p>
    <w:p w14:paraId="12AD5220" w14:textId="65C453C8" w:rsidR="00A6198D" w:rsidRDefault="00D223EE" w:rsidP="00323000">
      <w:pPr>
        <w:rPr>
          <w:bCs/>
        </w:rPr>
      </w:pPr>
      <w:r>
        <w:rPr>
          <w:bCs/>
        </w:rPr>
        <w:t xml:space="preserve">Instead, the Department and the Minister for Human Services </w:t>
      </w:r>
      <w:r w:rsidR="00A6198D">
        <w:rPr>
          <w:bCs/>
        </w:rPr>
        <w:t xml:space="preserve">assert that the SSA Act (and presumably, given </w:t>
      </w:r>
      <w:r w:rsidR="00362324">
        <w:rPr>
          <w:bCs/>
        </w:rPr>
        <w:t>its</w:t>
      </w:r>
      <w:r w:rsidR="00A6198D">
        <w:rPr>
          <w:bCs/>
        </w:rPr>
        <w:t xml:space="preserve"> identical phrasing, the FAA Act) </w:t>
      </w:r>
      <w:r w:rsidR="00A6198D">
        <w:rPr>
          <w:bCs/>
          <w:i/>
        </w:rPr>
        <w:t xml:space="preserve">also </w:t>
      </w:r>
      <w:r w:rsidR="00A6198D">
        <w:rPr>
          <w:bCs/>
        </w:rPr>
        <w:t xml:space="preserve">authorise the disclosure of protected information to correct </w:t>
      </w:r>
      <w:r w:rsidR="00782E5E">
        <w:rPr>
          <w:bCs/>
        </w:rPr>
        <w:t>public information</w:t>
      </w:r>
      <w:r w:rsidR="00A6198D">
        <w:rPr>
          <w:bCs/>
        </w:rPr>
        <w:t xml:space="preserve"> in the public interest </w:t>
      </w:r>
      <w:r w:rsidR="00A6198D" w:rsidRPr="00E25DAE">
        <w:rPr>
          <w:b/>
          <w:bCs/>
        </w:rPr>
        <w:t>without</w:t>
      </w:r>
      <w:r w:rsidR="00A6198D">
        <w:rPr>
          <w:bCs/>
          <w:i/>
        </w:rPr>
        <w:t xml:space="preserve"> </w:t>
      </w:r>
      <w:r w:rsidR="00A6198D">
        <w:rPr>
          <w:bCs/>
        </w:rPr>
        <w:t>complying with the pub</w:t>
      </w:r>
      <w:r w:rsidR="00E25DAE">
        <w:rPr>
          <w:bCs/>
        </w:rPr>
        <w:t>lic interest disclosure regime.</w:t>
      </w:r>
      <w:r w:rsidR="00A6198D">
        <w:rPr>
          <w:bCs/>
        </w:rPr>
        <w:t xml:space="preserve"> It is now asserted that these types of disclosure also fall within the general authority an office</w:t>
      </w:r>
      <w:r w:rsidR="00C352AC">
        <w:rPr>
          <w:bCs/>
        </w:rPr>
        <w:t>r</w:t>
      </w:r>
      <w:r w:rsidR="00A6198D">
        <w:rPr>
          <w:bCs/>
        </w:rPr>
        <w:t xml:space="preserve"> of the Department possesses to </w:t>
      </w:r>
      <w:r w:rsidR="00E25DAE">
        <w:rPr>
          <w:bCs/>
        </w:rPr>
        <w:t>disclose protected information ‘</w:t>
      </w:r>
      <w:r w:rsidR="00A6198D">
        <w:rPr>
          <w:bCs/>
        </w:rPr>
        <w:t>for the</w:t>
      </w:r>
      <w:r w:rsidR="00E25DAE">
        <w:rPr>
          <w:bCs/>
        </w:rPr>
        <w:t xml:space="preserve"> purpose of social security law’</w:t>
      </w:r>
      <w:r w:rsidR="00A6198D">
        <w:rPr>
          <w:bCs/>
        </w:rPr>
        <w:t xml:space="preserve"> or </w:t>
      </w:r>
      <w:r w:rsidR="00E25DAE">
        <w:rPr>
          <w:bCs/>
        </w:rPr>
        <w:t>‘family assistance law’</w:t>
      </w:r>
      <w:r w:rsidR="00A6198D">
        <w:rPr>
          <w:bCs/>
        </w:rPr>
        <w:t>.</w:t>
      </w:r>
      <w:r w:rsidR="00A6198D" w:rsidRPr="00A6198D">
        <w:rPr>
          <w:rStyle w:val="FootnoteReference"/>
          <w:bCs/>
        </w:rPr>
        <w:t xml:space="preserve"> </w:t>
      </w:r>
      <w:r w:rsidR="00A6198D">
        <w:rPr>
          <w:rStyle w:val="FootnoteReference"/>
          <w:bCs/>
        </w:rPr>
        <w:footnoteReference w:id="26"/>
      </w:r>
    </w:p>
    <w:p w14:paraId="1E344DC0" w14:textId="70D0F0E2" w:rsidR="00A6198D" w:rsidRDefault="00A6198D" w:rsidP="00323000">
      <w:pPr>
        <w:rPr>
          <w:bCs/>
        </w:rPr>
      </w:pPr>
      <w:r>
        <w:rPr>
          <w:bCs/>
        </w:rPr>
        <w:t>This ‘new basis’ for disclosing protected information is, at best, weak.</w:t>
      </w:r>
      <w:r w:rsidR="00E25DAE">
        <w:rPr>
          <w:bCs/>
        </w:rPr>
        <w:t xml:space="preserve"> </w:t>
      </w:r>
      <w:r>
        <w:rPr>
          <w:bCs/>
        </w:rPr>
        <w:t>It is:</w:t>
      </w:r>
    </w:p>
    <w:p w14:paraId="57977419" w14:textId="065C1A67" w:rsidR="00254123" w:rsidRDefault="002D74B3" w:rsidP="00E25DAE">
      <w:pPr>
        <w:pStyle w:val="ListBullet"/>
      </w:pPr>
      <w:r>
        <w:t>r</w:t>
      </w:r>
      <w:r w:rsidR="00254123">
        <w:t>eliant on an exceptionally flexible and broad in</w:t>
      </w:r>
      <w:r w:rsidR="00FC4460">
        <w:t>terpretation of the meaning of ‘</w:t>
      </w:r>
      <w:r w:rsidR="00254123">
        <w:t>for the</w:t>
      </w:r>
      <w:r w:rsidR="00FC4460">
        <w:t xml:space="preserve"> purpose of social security law’</w:t>
      </w:r>
    </w:p>
    <w:p w14:paraId="684DC982" w14:textId="3D94AC9D" w:rsidR="00254123" w:rsidRDefault="002D74B3" w:rsidP="00E25DAE">
      <w:pPr>
        <w:pStyle w:val="ListBullet"/>
      </w:pPr>
      <w:r>
        <w:t>a</w:t>
      </w:r>
      <w:r w:rsidR="00254123">
        <w:t xml:space="preserve">t odds with fundamental legal principle and High Court authority regarding the proper interpretation of legislation which contains a specific regime for exercising government power </w:t>
      </w:r>
      <w:r w:rsidR="00782E5E">
        <w:t>which provides that:</w:t>
      </w:r>
    </w:p>
    <w:p w14:paraId="0B3865AF" w14:textId="77777777" w:rsidR="00254123" w:rsidRPr="00254123" w:rsidRDefault="00254123" w:rsidP="00E25DAE">
      <w:pPr>
        <w:pStyle w:val="VLAquotation"/>
        <w:ind w:left="1440"/>
      </w:pPr>
      <w:r w:rsidRPr="00254123">
        <w:t>Where the legislature explicitly gives a power by a particular provision which prescribes the mode in which it shall be exercised and the conditions and restrictions which must be observed, it excludes the operation of general expressions in the same instrument which might otherwise have been relied upon for the same power.</w:t>
      </w:r>
      <w:r>
        <w:rPr>
          <w:rStyle w:val="FootnoteReference"/>
          <w:bCs/>
          <w:szCs w:val="20"/>
        </w:rPr>
        <w:footnoteReference w:id="27"/>
      </w:r>
    </w:p>
    <w:p w14:paraId="0DA19BCE" w14:textId="45B9D9B4" w:rsidR="00A6198D" w:rsidRPr="00A6198D" w:rsidRDefault="002D74B3" w:rsidP="00E25DAE">
      <w:pPr>
        <w:pStyle w:val="ListBullet"/>
        <w:rPr>
          <w:bCs/>
        </w:rPr>
      </w:pPr>
      <w:r>
        <w:t>c</w:t>
      </w:r>
      <w:r w:rsidR="00A6198D">
        <w:t>on</w:t>
      </w:r>
      <w:r w:rsidR="00782E5E">
        <w:t>trary entirely to the Department’s</w:t>
      </w:r>
      <w:r w:rsidR="00A6198D">
        <w:t xml:space="preserve"> previous conduct which has been to properly comply with the Public Interest provisions under the relevant Acts</w:t>
      </w:r>
      <w:r w:rsidR="00782E5E">
        <w:t>, if it wishes to correct facts in public discourse</w:t>
      </w:r>
      <w:r w:rsidR="00254123">
        <w:rPr>
          <w:rStyle w:val="FootnoteReference"/>
        </w:rPr>
        <w:footnoteReference w:id="28"/>
      </w:r>
    </w:p>
    <w:p w14:paraId="0BE2EE47" w14:textId="30B9E10E" w:rsidR="00362324" w:rsidRPr="00362324" w:rsidRDefault="002D74B3" w:rsidP="00E25DAE">
      <w:pPr>
        <w:pStyle w:val="ListBullet"/>
        <w:rPr>
          <w:bCs/>
        </w:rPr>
      </w:pPr>
      <w:r>
        <w:t>c</w:t>
      </w:r>
      <w:r w:rsidR="00A6198D">
        <w:t xml:space="preserve">ontrary to the submissions of the Commonwealth on 25 January 2017 this year in support of the </w:t>
      </w:r>
      <w:r w:rsidR="00A6198D" w:rsidRPr="00362324">
        <w:t>Veterans’ Affairs Legislation Amendment (Digital Readiness and Other Measures) Bill 201</w:t>
      </w:r>
      <w:r>
        <w:t>6</w:t>
      </w:r>
      <w:r w:rsidR="00362324">
        <w:rPr>
          <w:rStyle w:val="FootnoteReference"/>
        </w:rPr>
        <w:footnoteReference w:id="29"/>
      </w:r>
    </w:p>
    <w:p w14:paraId="1BDBD55D" w14:textId="2639D347" w:rsidR="00362324" w:rsidRPr="00362324" w:rsidRDefault="002D74B3" w:rsidP="00E25DAE">
      <w:pPr>
        <w:pStyle w:val="ListBullet"/>
        <w:rPr>
          <w:b/>
          <w:i/>
        </w:rPr>
      </w:pPr>
      <w:r>
        <w:t>u</w:t>
      </w:r>
      <w:r w:rsidR="00362324">
        <w:t>nsupported by any case law within our knowledge.</w:t>
      </w:r>
    </w:p>
    <w:p w14:paraId="5B9513C5" w14:textId="77777777" w:rsidR="00F34F86" w:rsidRPr="00374F56" w:rsidRDefault="00866B70" w:rsidP="00E25DAE">
      <w:pPr>
        <w:pStyle w:val="Heading2"/>
      </w:pPr>
      <w:bookmarkStart w:id="25" w:name="_Toc479316965"/>
      <w:r w:rsidRPr="00374F56">
        <w:t>Appropriateness</w:t>
      </w:r>
      <w:bookmarkEnd w:id="25"/>
    </w:p>
    <w:p w14:paraId="0124553F" w14:textId="6DCCA28F" w:rsidR="00D87F9D" w:rsidRDefault="00CC6B8A" w:rsidP="00E942EA">
      <w:r>
        <w:t xml:space="preserve">In addition to our concerns regarding the lawfulness of the Department’s disclosures, </w:t>
      </w:r>
      <w:r w:rsidR="00B0606A">
        <w:t xml:space="preserve">we consider that it is wholly inappropriate that the Department make </w:t>
      </w:r>
      <w:r w:rsidR="00E25DAE">
        <w:t>‘</w:t>
      </w:r>
      <w:r w:rsidR="00876671">
        <w:t>public in</w:t>
      </w:r>
      <w:r w:rsidR="00E25DAE">
        <w:t>terest’</w:t>
      </w:r>
      <w:r w:rsidR="00876671">
        <w:t xml:space="preserve"> </w:t>
      </w:r>
      <w:r w:rsidR="00B0606A">
        <w:t>disclosures outside the specified publi</w:t>
      </w:r>
      <w:r w:rsidR="004A2CDA">
        <w:t>c interest disclosures regime.</w:t>
      </w:r>
    </w:p>
    <w:p w14:paraId="69E6FBD8" w14:textId="646B6DFA" w:rsidR="00B0606A" w:rsidRPr="00D87F9D" w:rsidRDefault="00E942EA" w:rsidP="00E942EA">
      <w:r>
        <w:t xml:space="preserve">In particular, we are concerned that the Department, by </w:t>
      </w:r>
      <w:r w:rsidR="00B0606A">
        <w:t>side-stepping the public interest disclo</w:t>
      </w:r>
      <w:r>
        <w:t>sure regime, has a</w:t>
      </w:r>
      <w:r w:rsidR="00B0606A">
        <w:t>voided the recognised, essential, specific safeguards set out in the SSA Act to protect social security information held by the Department.</w:t>
      </w:r>
      <w:r>
        <w:t xml:space="preserve"> </w:t>
      </w:r>
      <w:r w:rsidR="00D87F9D">
        <w:t xml:space="preserve">Taken to its logical conclusion, if the Department </w:t>
      </w:r>
      <w:r w:rsidR="00D87F9D">
        <w:lastRenderedPageBreak/>
        <w:t xml:space="preserve">is permitted to continue this practice, it will permit the disclosure of protected information in circumstances where the Secretary has </w:t>
      </w:r>
      <w:r w:rsidR="00D87F9D">
        <w:rPr>
          <w:b/>
        </w:rPr>
        <w:t xml:space="preserve">refused </w:t>
      </w:r>
      <w:r w:rsidR="00D87F9D">
        <w:t>to issue a public interest disclosure (but where another officer has a different view about whether the information should be released).</w:t>
      </w:r>
    </w:p>
    <w:p w14:paraId="5D5882E2" w14:textId="4179339F" w:rsidR="00D87F9D" w:rsidRDefault="00E942EA" w:rsidP="00E942EA">
      <w:r>
        <w:t xml:space="preserve">Further, contrary to the Department’s current actions, we consider that if a disclosure is </w:t>
      </w:r>
      <w:r>
        <w:rPr>
          <w:b/>
        </w:rPr>
        <w:t xml:space="preserve">necessary, </w:t>
      </w:r>
      <w:r>
        <w:t xml:space="preserve">the disclosure itself must be completed in a </w:t>
      </w:r>
      <w:r w:rsidR="00E25DAE">
        <w:t>responsible and respectful way.</w:t>
      </w:r>
      <w:r>
        <w:t xml:space="preserve"> If the aim is simply to </w:t>
      </w:r>
      <w:r w:rsidR="00E25DAE">
        <w:t>‘</w:t>
      </w:r>
      <w:r>
        <w:t>correct the record</w:t>
      </w:r>
      <w:r w:rsidR="00E25DAE">
        <w:t>’</w:t>
      </w:r>
      <w:r w:rsidR="00CC6B8A">
        <w:t xml:space="preserve">, it appears to us that the disclosure could be properly made via a Departmental media release, rather than by select provision of </w:t>
      </w:r>
      <w:r w:rsidR="00D87F9D">
        <w:t xml:space="preserve">information to a </w:t>
      </w:r>
      <w:r w:rsidR="00876671">
        <w:t xml:space="preserve">selected </w:t>
      </w:r>
      <w:r w:rsidR="00D87F9D">
        <w:t>journalist.</w:t>
      </w:r>
    </w:p>
    <w:p w14:paraId="27A1EF3F" w14:textId="395CE907" w:rsidR="00E942EA" w:rsidRPr="0076778C" w:rsidRDefault="00E942EA" w:rsidP="00E942EA">
      <w:pPr>
        <w:rPr>
          <w:b/>
        </w:rPr>
      </w:pPr>
      <w:r>
        <w:t xml:space="preserve">Moreover, the timing and acuteness of the Department’s actions in releasing </w:t>
      </w:r>
      <w:r w:rsidR="00782E5E">
        <w:t>protected</w:t>
      </w:r>
      <w:r>
        <w:t xml:space="preserve"> information, has, in our experience, had a real impact on the preparedness of</w:t>
      </w:r>
      <w:r w:rsidR="00D87F9D">
        <w:t xml:space="preserve"> some</w:t>
      </w:r>
      <w:r>
        <w:t xml:space="preserve"> individuals adversely affected by the Initiate to </w:t>
      </w:r>
      <w:r w:rsidR="00D87F9D">
        <w:t xml:space="preserve">freely </w:t>
      </w:r>
      <w:r w:rsidR="00E25DAE">
        <w:t xml:space="preserve">speak about their experiences. </w:t>
      </w:r>
      <w:r w:rsidR="00D87F9D">
        <w:t xml:space="preserve">We are concerned about the chilling effect that the perceived rapid and aggressive disclosure of information </w:t>
      </w:r>
      <w:r w:rsidR="0076778C">
        <w:t>will have on vulnerable individuals seeking to challenge an alleged debt, including through formal appeal avenues.</w:t>
      </w:r>
    </w:p>
    <w:p w14:paraId="0A6400E2" w14:textId="15838B21" w:rsidR="00E00306" w:rsidRPr="00E25DAE" w:rsidRDefault="00E00306" w:rsidP="00E25DAE">
      <w:r w:rsidRPr="00E25DAE">
        <w:rPr>
          <w:b/>
        </w:rPr>
        <w:t>Recommendation 13:</w:t>
      </w:r>
      <w:r w:rsidRPr="00E25DAE">
        <w:t xml:space="preserve"> The Department or Minister (whichever is the true client of the advice) should release, publicly, its advice stating that the disclosures were authorised.</w:t>
      </w:r>
    </w:p>
    <w:p w14:paraId="39828C09" w14:textId="6D0A5AD6" w:rsidR="00E00306" w:rsidRPr="00E25DAE" w:rsidRDefault="00E00306" w:rsidP="00E25DAE">
      <w:r w:rsidRPr="00E25DAE">
        <w:rPr>
          <w:b/>
        </w:rPr>
        <w:t>Recommendation 14:</w:t>
      </w:r>
      <w:r w:rsidRPr="00E25DAE">
        <w:t xml:space="preserve"> The Department should cease disclosing protected social security information in purported reliance on s</w:t>
      </w:r>
      <w:r w:rsidR="00E25DAE">
        <w:t>.</w:t>
      </w:r>
      <w:r w:rsidRPr="00E25DAE">
        <w:t xml:space="preserve"> 204 of the </w:t>
      </w:r>
      <w:r w:rsidRPr="00E25DAE">
        <w:rPr>
          <w:i/>
        </w:rPr>
        <w:t>Social Security (Administration) Act 1999</w:t>
      </w:r>
      <w:r w:rsidRPr="00E25DAE">
        <w:t xml:space="preserve"> (Cth) (SSA Act) or s</w:t>
      </w:r>
      <w:r w:rsidR="00E25DAE">
        <w:t>.</w:t>
      </w:r>
      <w:r w:rsidRPr="00E25DAE">
        <w:t xml:space="preserve"> 164 of the </w:t>
      </w:r>
      <w:r w:rsidRPr="00E25DAE">
        <w:rPr>
          <w:i/>
        </w:rPr>
        <w:t>New Tax System (Family Assistance) Administration Act 1999</w:t>
      </w:r>
      <w:r w:rsidRPr="00E25DAE">
        <w:t xml:space="preserve"> (Cth) (FAA Act</w:t>
      </w:r>
      <w:r w:rsidR="00E25DAE">
        <w:t xml:space="preserve">). </w:t>
      </w:r>
      <w:r w:rsidRPr="00E25DAE">
        <w:t>All purported ‘public interest’ disclosures must accord with the specific provisions and Guidelines for public interest disclosures already established under s</w:t>
      </w:r>
      <w:r w:rsidR="00E25DAE">
        <w:t>.</w:t>
      </w:r>
      <w:r w:rsidRPr="00E25DAE">
        <w:t xml:space="preserve"> 208 of the SSA</w:t>
      </w:r>
      <w:r w:rsidR="00E25DAE">
        <w:t xml:space="preserve"> Act and s. 168 of the FAA Act.</w:t>
      </w:r>
    </w:p>
    <w:p w14:paraId="6042F602" w14:textId="5AEA582F" w:rsidR="00E00306" w:rsidRPr="00E25DAE" w:rsidRDefault="00E00306" w:rsidP="00E25DAE">
      <w:r w:rsidRPr="00E25DAE">
        <w:rPr>
          <w:b/>
        </w:rPr>
        <w:t>Recommendation 15:</w:t>
      </w:r>
      <w:r w:rsidRPr="00E25DAE">
        <w:t xml:space="preserve"> Any future disclosure of information by the Department under the formal public interest disclosure regime should be effected only by a media statement issued by the Department disclosing the bare facts necessary to correct the record.</w:t>
      </w:r>
    </w:p>
    <w:p w14:paraId="03E4822C" w14:textId="77777777" w:rsidR="007F505B" w:rsidRDefault="007F505B">
      <w:pPr>
        <w:spacing w:after="0" w:line="240" w:lineRule="auto"/>
        <w:rPr>
          <w:lang w:eastAsia="en-AU"/>
        </w:rPr>
      </w:pPr>
      <w:r>
        <w:rPr>
          <w:lang w:eastAsia="en-AU"/>
        </w:rPr>
        <w:br w:type="page"/>
      </w:r>
    </w:p>
    <w:p w14:paraId="2A437406" w14:textId="0D1DA6CE" w:rsidR="004D3C64" w:rsidRDefault="00280673" w:rsidP="004D3C64">
      <w:pPr>
        <w:pStyle w:val="Heading1"/>
      </w:pPr>
      <w:bookmarkStart w:id="26" w:name="_Appendix_1:_NEIDM"/>
      <w:bookmarkStart w:id="27" w:name="_Toc479316966"/>
      <w:bookmarkEnd w:id="26"/>
      <w:r>
        <w:lastRenderedPageBreak/>
        <w:t>A</w:t>
      </w:r>
      <w:r w:rsidR="00EE167C">
        <w:t>ppendix</w:t>
      </w:r>
      <w:r>
        <w:t xml:space="preserve"> 1: NEIDM Project Gazette </w:t>
      </w:r>
      <w:r w:rsidR="007F505B">
        <w:t>Notice</w:t>
      </w:r>
      <w:bookmarkEnd w:id="27"/>
    </w:p>
    <w:p w14:paraId="4594E4F5" w14:textId="18A0C5BB" w:rsidR="00333A00" w:rsidRPr="00333A00" w:rsidRDefault="00333A00" w:rsidP="00333A00">
      <w:pPr>
        <w:rPr>
          <w:lang w:eastAsia="en-AU"/>
        </w:rPr>
      </w:pPr>
      <w:r>
        <w:rPr>
          <w:lang w:eastAsia="en-AU"/>
        </w:rPr>
        <w:t xml:space="preserve">To read the Gazette Notice of Data Matching Project, see the </w:t>
      </w:r>
      <w:hyperlink r:id="rId19" w:history="1">
        <w:r w:rsidRPr="00333A00">
          <w:rPr>
            <w:rStyle w:val="Hyperlink"/>
            <w:lang w:eastAsia="en-AU"/>
          </w:rPr>
          <w:t>Federal Register of Legislation</w:t>
        </w:r>
      </w:hyperlink>
      <w:r>
        <w:rPr>
          <w:lang w:eastAsia="en-AU"/>
        </w:rPr>
        <w:t xml:space="preserve"> website.</w:t>
      </w:r>
    </w:p>
    <w:sectPr w:rsidR="00333A00" w:rsidRPr="00333A00" w:rsidSect="00DA29C4">
      <w:headerReference w:type="even" r:id="rId20"/>
      <w:headerReference w:type="first" r:id="rId21"/>
      <w:footerReference w:type="first" r:id="rId22"/>
      <w:pgSz w:w="11906" w:h="16838" w:code="9"/>
      <w:pgMar w:top="1418" w:right="992" w:bottom="1134" w:left="1134" w:header="851" w:footer="284" w:gutter="0"/>
      <w:paperSrc w:first="7" w:other="7"/>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B8C2BA" w14:textId="77777777" w:rsidR="00414F73" w:rsidRDefault="00414F73">
      <w:r>
        <w:separator/>
      </w:r>
    </w:p>
    <w:p w14:paraId="40135D38" w14:textId="77777777" w:rsidR="00414F73" w:rsidRDefault="00414F73"/>
    <w:p w14:paraId="41EC0CBA" w14:textId="77777777" w:rsidR="00414F73" w:rsidRDefault="00414F73"/>
  </w:endnote>
  <w:endnote w:type="continuationSeparator" w:id="0">
    <w:p w14:paraId="00DF7FB0" w14:textId="77777777" w:rsidR="00414F73" w:rsidRDefault="00414F73">
      <w:r>
        <w:continuationSeparator/>
      </w:r>
    </w:p>
    <w:p w14:paraId="19324687" w14:textId="77777777" w:rsidR="00414F73" w:rsidRDefault="00414F73"/>
    <w:p w14:paraId="38C85660" w14:textId="77777777" w:rsidR="00414F73" w:rsidRDefault="00414F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E366A" w14:textId="77777777" w:rsidR="00414F73" w:rsidRDefault="00414F73" w:rsidP="004E0688">
    <w:pPr>
      <w:pBdr>
        <w:top w:val="single" w:sz="12" w:space="1"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EB32C" w14:textId="77777777" w:rsidR="00414F73" w:rsidRDefault="00414F73" w:rsidP="00E6688C">
    <w:pPr>
      <w:pStyle w:val="VLAdivision"/>
    </w:pPr>
    <w:r>
      <w:t>Victoria Legal Aid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700C0" w14:textId="77777777" w:rsidR="00414F73" w:rsidRPr="00C97428" w:rsidRDefault="00414F73" w:rsidP="005375A4">
    <w:pPr>
      <w:rPr>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CB5FA" w14:textId="77777777" w:rsidR="00414F73" w:rsidRDefault="00414F73" w:rsidP="00696BA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2BFFE" w14:textId="01393A12" w:rsidR="00414F73" w:rsidRDefault="00414F73" w:rsidP="00161EEF">
    <w:pPr>
      <w:pStyle w:val="Filename"/>
      <w:tabs>
        <w:tab w:val="clear" w:pos="9240"/>
      </w:tabs>
    </w:pPr>
    <w:r>
      <w:t xml:space="preserve">Victoria Legal Aid – </w:t>
    </w:r>
    <w:r w:rsidRPr="003B70E2">
      <w:t>Design, scope, cost-benefit analysis, contracts awarded and implementation associated with the Better Management of the Social Welfare System initiative</w:t>
    </w:r>
  </w:p>
  <w:p w14:paraId="017C49AB" w14:textId="57A7721F" w:rsidR="00414F73" w:rsidRPr="002B4970" w:rsidRDefault="00414F73" w:rsidP="00161EEF">
    <w:pPr>
      <w:pStyle w:val="Filename"/>
      <w:pBdr>
        <w:top w:val="none" w:sz="0" w:space="0" w:color="auto"/>
      </w:pBdr>
      <w:tabs>
        <w:tab w:val="clear" w:pos="9240"/>
      </w:tabs>
      <w:jc w:val="center"/>
      <w:rPr>
        <w:szCs w:val="18"/>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177249">
      <w:rPr>
        <w:rStyle w:val="PageNumber"/>
        <w:noProof/>
      </w:rPr>
      <w:t>17</w:t>
    </w:r>
    <w:r>
      <w:rPr>
        <w:rStyle w:val="PageNumber"/>
      </w:rPr>
      <w:fldChar w:fldCharType="end"/>
    </w:r>
    <w:r>
      <w:rPr>
        <w:rStyle w:val="PageNumber"/>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82009" w14:textId="0A8C67FE" w:rsidR="00414F73" w:rsidRDefault="00414F73" w:rsidP="003B70E2">
    <w:pPr>
      <w:pStyle w:val="Filename"/>
      <w:tabs>
        <w:tab w:val="clear" w:pos="9240"/>
      </w:tabs>
    </w:pPr>
    <w:r>
      <w:t xml:space="preserve">Victoria Legal Aid – </w:t>
    </w:r>
    <w:r w:rsidRPr="003B70E2">
      <w:t>Design, scope, cost-benefit analysis, contracts awarded and implementation associated with the Better Management of the Social Welfare System initiative</w:t>
    </w:r>
  </w:p>
  <w:p w14:paraId="3C31B969" w14:textId="401E3159" w:rsidR="00414F73" w:rsidRPr="002B4970" w:rsidRDefault="00414F73" w:rsidP="00161EEF">
    <w:pPr>
      <w:pStyle w:val="Filename"/>
      <w:pBdr>
        <w:top w:val="none" w:sz="0" w:space="0" w:color="auto"/>
      </w:pBdr>
      <w:tabs>
        <w:tab w:val="clear" w:pos="9240"/>
      </w:tabs>
      <w:jc w:val="center"/>
      <w:rPr>
        <w:szCs w:val="18"/>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177249">
      <w:rPr>
        <w:rStyle w:val="PageNumber"/>
        <w:noProof/>
      </w:rPr>
      <w:t>1</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DDC588" w14:textId="77777777" w:rsidR="00414F73" w:rsidRPr="00E9228F" w:rsidRDefault="00414F73" w:rsidP="00E9228F">
      <w:pPr>
        <w:rPr>
          <w:sz w:val="18"/>
          <w:szCs w:val="18"/>
        </w:rPr>
      </w:pPr>
      <w:r w:rsidRPr="006831FC">
        <w:rPr>
          <w:sz w:val="18"/>
        </w:rPr>
        <w:separator/>
      </w:r>
    </w:p>
  </w:footnote>
  <w:footnote w:type="continuationSeparator" w:id="0">
    <w:p w14:paraId="189A2F34" w14:textId="77777777" w:rsidR="00414F73" w:rsidRDefault="00414F73">
      <w:r>
        <w:continuationSeparator/>
      </w:r>
    </w:p>
    <w:p w14:paraId="6E11976F" w14:textId="77777777" w:rsidR="00414F73" w:rsidRDefault="00414F73"/>
    <w:p w14:paraId="33EB6A59" w14:textId="77777777" w:rsidR="00414F73" w:rsidRDefault="00414F73"/>
  </w:footnote>
  <w:footnote w:id="1">
    <w:p w14:paraId="42E2AE08" w14:textId="77777777" w:rsidR="00414F73" w:rsidRPr="00891949" w:rsidRDefault="00414F73">
      <w:pPr>
        <w:pStyle w:val="FootnoteText"/>
        <w:rPr>
          <w:lang w:val="en-US"/>
        </w:rPr>
      </w:pPr>
      <w:r>
        <w:rPr>
          <w:rStyle w:val="FootnoteReference"/>
        </w:rPr>
        <w:footnoteRef/>
      </w:r>
      <w:r>
        <w:t xml:space="preserve"> </w:t>
      </w:r>
      <w:r>
        <w:rPr>
          <w:lang w:val="en-US"/>
        </w:rPr>
        <w:t>Please see our concerns in relation to transparency around the data-matching exercise set out in detail below.</w:t>
      </w:r>
    </w:p>
  </w:footnote>
  <w:footnote w:id="2">
    <w:p w14:paraId="0D3B3EB4" w14:textId="77777777" w:rsidR="00414F73" w:rsidRPr="0095388B" w:rsidRDefault="00414F73" w:rsidP="00501B72">
      <w:pPr>
        <w:pStyle w:val="FootnoteText"/>
        <w:spacing w:after="0" w:line="240" w:lineRule="auto"/>
        <w:ind w:left="187" w:hanging="187"/>
        <w:contextualSpacing/>
        <w:rPr>
          <w:lang w:val="en-US"/>
        </w:rPr>
      </w:pPr>
      <w:r>
        <w:rPr>
          <w:rStyle w:val="FootnoteReference"/>
        </w:rPr>
        <w:footnoteRef/>
      </w:r>
      <w:r>
        <w:t xml:space="preserve"> </w:t>
      </w:r>
      <w:r>
        <w:rPr>
          <w:lang w:val="en-US"/>
        </w:rPr>
        <w:t>See Chapter 5 of the SS Act.</w:t>
      </w:r>
    </w:p>
  </w:footnote>
  <w:footnote w:id="3">
    <w:p w14:paraId="34E1320B" w14:textId="3CB06EA2" w:rsidR="00414F73" w:rsidRPr="00A66E6A" w:rsidRDefault="00414F73" w:rsidP="00501B72">
      <w:pPr>
        <w:pStyle w:val="FootnoteText"/>
        <w:spacing w:after="0" w:line="240" w:lineRule="auto"/>
        <w:ind w:left="187" w:hanging="187"/>
        <w:contextualSpacing/>
        <w:rPr>
          <w:lang w:val="en-US"/>
        </w:rPr>
      </w:pPr>
      <w:r>
        <w:rPr>
          <w:rStyle w:val="FootnoteReference"/>
        </w:rPr>
        <w:footnoteRef/>
      </w:r>
      <w:r>
        <w:t xml:space="preserve"> </w:t>
      </w:r>
      <w:r>
        <w:rPr>
          <w:lang w:val="en-US"/>
        </w:rPr>
        <w:t>See, s</w:t>
      </w:r>
      <w:r w:rsidR="004A2CDA">
        <w:rPr>
          <w:lang w:val="en-US"/>
        </w:rPr>
        <w:t>.</w:t>
      </w:r>
      <w:r>
        <w:rPr>
          <w:lang w:val="en-US"/>
        </w:rPr>
        <w:t xml:space="preserve"> 1222A of the SSA Act.</w:t>
      </w:r>
    </w:p>
  </w:footnote>
  <w:footnote w:id="4">
    <w:p w14:paraId="3E49A1BE" w14:textId="77777777" w:rsidR="00414F73" w:rsidRPr="00A66E6A" w:rsidRDefault="00414F73" w:rsidP="00501B72">
      <w:pPr>
        <w:pStyle w:val="FootnoteText"/>
        <w:spacing w:after="0" w:line="240" w:lineRule="auto"/>
        <w:ind w:left="187" w:hanging="187"/>
        <w:contextualSpacing/>
        <w:rPr>
          <w:i/>
          <w:lang w:val="en-US"/>
        </w:rPr>
      </w:pPr>
      <w:r>
        <w:rPr>
          <w:rStyle w:val="FootnoteReference"/>
        </w:rPr>
        <w:footnoteRef/>
      </w:r>
      <w:r>
        <w:t xml:space="preserve"> </w:t>
      </w:r>
      <w:r>
        <w:rPr>
          <w:lang w:val="en-US"/>
        </w:rPr>
        <w:t xml:space="preserve">Given that we understand the data-matching and debt recovery processes in relation to ‘robo-debt’ were </w:t>
      </w:r>
      <w:r>
        <w:rPr>
          <w:b/>
          <w:lang w:val="en-US"/>
        </w:rPr>
        <w:t xml:space="preserve">not </w:t>
      </w:r>
      <w:r>
        <w:rPr>
          <w:lang w:val="en-US"/>
        </w:rPr>
        <w:t xml:space="preserve">undertaken by way of the </w:t>
      </w:r>
      <w:r w:rsidRPr="00A66E6A">
        <w:rPr>
          <w:i/>
          <w:lang w:val="en-US"/>
        </w:rPr>
        <w:t>Data-matching</w:t>
      </w:r>
      <w:r w:rsidRPr="00A66E6A">
        <w:rPr>
          <w:i/>
          <w:iCs/>
          <w:color w:val="000000"/>
          <w:szCs w:val="18"/>
        </w:rPr>
        <w:t xml:space="preserve"> Program (Assistance and Tax) Act 1990</w:t>
      </w:r>
      <w:r>
        <w:rPr>
          <w:iCs/>
          <w:color w:val="000000"/>
          <w:szCs w:val="18"/>
        </w:rPr>
        <w:t xml:space="preserve"> (Cth) we do not discuss it here.</w:t>
      </w:r>
    </w:p>
  </w:footnote>
  <w:footnote w:id="5">
    <w:p w14:paraId="29CED662" w14:textId="77777777" w:rsidR="00414F73" w:rsidRPr="009A6950" w:rsidRDefault="00414F73" w:rsidP="00501B72">
      <w:pPr>
        <w:pStyle w:val="FootnoteText"/>
        <w:spacing w:after="0" w:line="240" w:lineRule="auto"/>
        <w:ind w:left="187" w:hanging="187"/>
        <w:contextualSpacing/>
        <w:rPr>
          <w:lang w:val="en-US"/>
        </w:rPr>
      </w:pPr>
      <w:r>
        <w:rPr>
          <w:rStyle w:val="FootnoteReference"/>
        </w:rPr>
        <w:footnoteRef/>
      </w:r>
      <w:r>
        <w:t xml:space="preserve"> </w:t>
      </w:r>
      <w:r>
        <w:rPr>
          <w:lang w:val="en-US"/>
        </w:rPr>
        <w:t xml:space="preserve">See, ss 1068 and 1073 of the SS Act. </w:t>
      </w:r>
    </w:p>
  </w:footnote>
  <w:footnote w:id="6">
    <w:p w14:paraId="7F0337B4" w14:textId="77777777" w:rsidR="00414F73" w:rsidRPr="00501B72" w:rsidRDefault="00414F73" w:rsidP="00501B72">
      <w:pPr>
        <w:pStyle w:val="FootnoteText"/>
        <w:spacing w:after="0" w:line="240" w:lineRule="auto"/>
        <w:ind w:left="187" w:hanging="187"/>
        <w:contextualSpacing/>
        <w:rPr>
          <w:lang w:val="en-US"/>
        </w:rPr>
      </w:pPr>
      <w:r>
        <w:rPr>
          <w:rStyle w:val="FootnoteReference"/>
        </w:rPr>
        <w:footnoteRef/>
      </w:r>
      <w:r>
        <w:t xml:space="preserve"> </w:t>
      </w:r>
      <w:r>
        <w:rPr>
          <w:lang w:val="en-US"/>
        </w:rPr>
        <w:t xml:space="preserve">While we are not able to quantify the error rate, we refer the Committee to public commentary which deduces that the error rate must be upwards of 20%. See, eg, Peter Martin, ‘How the Centrelink debt debacle failure rate is much worse than we all thought’, </w:t>
      </w:r>
      <w:r>
        <w:rPr>
          <w:i/>
          <w:lang w:val="en-US"/>
        </w:rPr>
        <w:t>Sydney Morning Herald</w:t>
      </w:r>
      <w:r>
        <w:rPr>
          <w:lang w:val="en-US"/>
        </w:rPr>
        <w:t>, 25 January 2017.</w:t>
      </w:r>
    </w:p>
  </w:footnote>
  <w:footnote w:id="7">
    <w:p w14:paraId="397CE6E2" w14:textId="77777777" w:rsidR="00414F73" w:rsidRPr="00B94104" w:rsidRDefault="00414F73" w:rsidP="00501B72">
      <w:pPr>
        <w:pStyle w:val="FootnoteText"/>
        <w:spacing w:after="0" w:line="240" w:lineRule="auto"/>
        <w:ind w:left="187" w:hanging="187"/>
        <w:contextualSpacing/>
        <w:rPr>
          <w:lang w:val="en-US"/>
        </w:rPr>
      </w:pPr>
      <w:r>
        <w:rPr>
          <w:rStyle w:val="FootnoteReference"/>
        </w:rPr>
        <w:footnoteRef/>
      </w:r>
      <w:r>
        <w:t xml:space="preserve"> </w:t>
      </w:r>
      <w:r>
        <w:rPr>
          <w:lang w:val="en-US"/>
        </w:rPr>
        <w:t xml:space="preserve">Available online at: </w:t>
      </w:r>
      <w:r w:rsidRPr="00B94104">
        <w:rPr>
          <w:lang w:val="en-US"/>
        </w:rPr>
        <w:t>http://operational.humanservices.gov.au/public/Pages/debts/107-02040020-01.html</w:t>
      </w:r>
      <w:r>
        <w:rPr>
          <w:lang w:val="en-US"/>
        </w:rPr>
        <w:t>.</w:t>
      </w:r>
    </w:p>
  </w:footnote>
  <w:footnote w:id="8">
    <w:p w14:paraId="07B23490" w14:textId="77777777" w:rsidR="00414F73" w:rsidRPr="0074648C" w:rsidRDefault="00414F73" w:rsidP="0074648C">
      <w:pPr>
        <w:pStyle w:val="FootnoteText"/>
        <w:spacing w:after="0" w:line="240" w:lineRule="auto"/>
        <w:ind w:left="0" w:firstLine="0"/>
        <w:contextualSpacing/>
        <w:rPr>
          <w:lang w:val="en-US"/>
        </w:rPr>
      </w:pPr>
      <w:r>
        <w:rPr>
          <w:rStyle w:val="FootnoteReference"/>
        </w:rPr>
        <w:footnoteRef/>
      </w:r>
      <w:r>
        <w:t xml:space="preserve"> </w:t>
      </w:r>
      <w:r>
        <w:rPr>
          <w:lang w:val="en-US"/>
        </w:rPr>
        <w:t xml:space="preserve">See, for example, Valerie Braithwaite, ‘Closing the gap between regulation and the community’ in Peter Drahos (ed) </w:t>
      </w:r>
      <w:r>
        <w:rPr>
          <w:i/>
          <w:lang w:val="en-US"/>
        </w:rPr>
        <w:t xml:space="preserve">Regulatory Theory </w:t>
      </w:r>
      <w:r>
        <w:rPr>
          <w:lang w:val="en-US"/>
        </w:rPr>
        <w:t>(2017, ANU Press) at 34 (</w:t>
      </w:r>
      <w:r>
        <w:rPr>
          <w:b/>
          <w:lang w:val="en-US"/>
        </w:rPr>
        <w:t>Closing the gap between regulation the community</w:t>
      </w:r>
      <w:r>
        <w:rPr>
          <w:lang w:val="en-US"/>
        </w:rPr>
        <w:t xml:space="preserve">); TR Tyler, </w:t>
      </w:r>
      <w:r>
        <w:rPr>
          <w:i/>
          <w:lang w:val="en-US"/>
        </w:rPr>
        <w:t xml:space="preserve">Why People Obey the Law </w:t>
      </w:r>
      <w:r>
        <w:rPr>
          <w:lang w:val="en-US"/>
        </w:rPr>
        <w:t>(2006, Princeton University Press) (</w:t>
      </w:r>
      <w:r w:rsidRPr="0074648C">
        <w:rPr>
          <w:b/>
          <w:lang w:val="en-US"/>
        </w:rPr>
        <w:t>Why People Obey the Law</w:t>
      </w:r>
      <w:r>
        <w:rPr>
          <w:lang w:val="en-US"/>
        </w:rPr>
        <w:t>).</w:t>
      </w:r>
    </w:p>
  </w:footnote>
  <w:footnote w:id="9">
    <w:p w14:paraId="5A971E3A" w14:textId="77777777" w:rsidR="00414F73" w:rsidRPr="006B796E" w:rsidRDefault="00414F73" w:rsidP="0074648C">
      <w:pPr>
        <w:pStyle w:val="FootnoteText"/>
        <w:spacing w:after="0" w:line="240" w:lineRule="auto"/>
        <w:ind w:left="0" w:firstLine="0"/>
        <w:contextualSpacing/>
        <w:rPr>
          <w:lang w:val="en-US"/>
        </w:rPr>
      </w:pPr>
      <w:r>
        <w:rPr>
          <w:rStyle w:val="FootnoteReference"/>
        </w:rPr>
        <w:footnoteRef/>
      </w:r>
      <w:r>
        <w:t xml:space="preserve"> </w:t>
      </w:r>
      <w:r>
        <w:rPr>
          <w:lang w:val="en-US"/>
        </w:rPr>
        <w:t xml:space="preserve">See, </w:t>
      </w:r>
      <w:r>
        <w:rPr>
          <w:i/>
          <w:lang w:val="en-US"/>
        </w:rPr>
        <w:t xml:space="preserve">Auckland Harbour Board v The King </w:t>
      </w:r>
      <w:r>
        <w:rPr>
          <w:lang w:val="en-US"/>
        </w:rPr>
        <w:t xml:space="preserve">[1924] AC 318 at 326; </w:t>
      </w:r>
      <w:r>
        <w:rPr>
          <w:i/>
          <w:lang w:val="en-US"/>
        </w:rPr>
        <w:t xml:space="preserve">Commonwealth v Burns </w:t>
      </w:r>
      <w:r>
        <w:rPr>
          <w:lang w:val="en-US"/>
        </w:rPr>
        <w:t>[1971] VR 825.</w:t>
      </w:r>
    </w:p>
  </w:footnote>
  <w:footnote w:id="10">
    <w:p w14:paraId="726F6D76" w14:textId="6527115C" w:rsidR="00414F73" w:rsidRPr="00F44DD7" w:rsidRDefault="00414F73" w:rsidP="0094625D">
      <w:pPr>
        <w:pStyle w:val="FootnoteText"/>
        <w:spacing w:after="0" w:line="240" w:lineRule="auto"/>
        <w:ind w:left="90" w:hanging="90"/>
        <w:contextualSpacing/>
        <w:rPr>
          <w:lang w:val="en-US"/>
        </w:rPr>
      </w:pPr>
      <w:r>
        <w:rPr>
          <w:rStyle w:val="FootnoteReference"/>
        </w:rPr>
        <w:footnoteRef/>
      </w:r>
      <w:r>
        <w:t xml:space="preserve"> </w:t>
      </w:r>
      <w:r>
        <w:rPr>
          <w:lang w:val="en-US"/>
        </w:rPr>
        <w:t xml:space="preserve">See, for example, Why People Obey the Law; Closing the gap between regulation and the community, Kristina Murphy, ‘Procedural justice and its role in promoting voluntary compliance’ in Peter Drahos (ed) </w:t>
      </w:r>
      <w:r>
        <w:rPr>
          <w:i/>
          <w:lang w:val="en-US"/>
        </w:rPr>
        <w:t xml:space="preserve">Regulatory Theory </w:t>
      </w:r>
      <w:r>
        <w:rPr>
          <w:lang w:val="en-US"/>
        </w:rPr>
        <w:t xml:space="preserve">(2017, ANU Press) at 43; Kristina Murphy, ‘Procedural Justice and the Australian Taxation Office: A study of scheme investors’ </w:t>
      </w:r>
      <w:r>
        <w:rPr>
          <w:i/>
          <w:lang w:val="en-US"/>
        </w:rPr>
        <w:t xml:space="preserve">Centre for Tax System Integrity Working Paper No 35 </w:t>
      </w:r>
      <w:r>
        <w:rPr>
          <w:lang w:val="en-US"/>
        </w:rPr>
        <w:t>(October 2002) (</w:t>
      </w:r>
      <w:r>
        <w:rPr>
          <w:b/>
          <w:lang w:val="en-US"/>
        </w:rPr>
        <w:t>Murphy working paper no 35</w:t>
      </w:r>
      <w:r w:rsidR="004A2CDA">
        <w:rPr>
          <w:lang w:val="en-US"/>
        </w:rPr>
        <w:t>).</w:t>
      </w:r>
      <w:r>
        <w:rPr>
          <w:lang w:val="en-US"/>
        </w:rPr>
        <w:t xml:space="preserve"> See generally, the voluminous work of the Centre for Tax System Integrity (a joint research centre established by the Australian National University and the Australian Taxation Office) at </w:t>
      </w:r>
      <w:r w:rsidRPr="00F44DD7">
        <w:rPr>
          <w:lang w:val="en-US"/>
        </w:rPr>
        <w:t>http://www.ctsi.org.au/index.html</w:t>
      </w:r>
      <w:r>
        <w:rPr>
          <w:lang w:val="en-US"/>
        </w:rPr>
        <w:t>.</w:t>
      </w:r>
    </w:p>
  </w:footnote>
  <w:footnote w:id="11">
    <w:p w14:paraId="37C73244" w14:textId="77777777" w:rsidR="00414F73" w:rsidRPr="00770BDB" w:rsidRDefault="00414F73" w:rsidP="00770BDB">
      <w:pPr>
        <w:pStyle w:val="FootnoteText"/>
        <w:spacing w:after="0" w:line="240" w:lineRule="auto"/>
        <w:rPr>
          <w:lang w:val="en-US"/>
        </w:rPr>
      </w:pPr>
      <w:r>
        <w:rPr>
          <w:rStyle w:val="FootnoteReference"/>
        </w:rPr>
        <w:footnoteRef/>
      </w:r>
      <w:r>
        <w:t xml:space="preserve"> </w:t>
      </w:r>
      <w:r>
        <w:rPr>
          <w:lang w:val="en-US"/>
        </w:rPr>
        <w:t xml:space="preserve">See, Valerie Braithwaite, ‘Ten things you need to know about regulation and never wanted to ask’ in </w:t>
      </w:r>
      <w:r>
        <w:rPr>
          <w:i/>
          <w:lang w:val="en-US"/>
        </w:rPr>
        <w:t xml:space="preserve">Australian Law Librarian </w:t>
      </w:r>
      <w:r>
        <w:rPr>
          <w:lang w:val="en-US"/>
        </w:rPr>
        <w:t>(2006) 14(3) at 10.</w:t>
      </w:r>
    </w:p>
  </w:footnote>
  <w:footnote w:id="12">
    <w:p w14:paraId="6FE031D8" w14:textId="77777777" w:rsidR="00414F73" w:rsidRPr="0094625D" w:rsidRDefault="00414F73" w:rsidP="00770BDB">
      <w:pPr>
        <w:pStyle w:val="FootnoteText"/>
        <w:spacing w:after="0" w:line="240" w:lineRule="auto"/>
        <w:contextualSpacing/>
        <w:rPr>
          <w:lang w:val="en-US"/>
        </w:rPr>
      </w:pPr>
      <w:r>
        <w:rPr>
          <w:rStyle w:val="FootnoteReference"/>
        </w:rPr>
        <w:footnoteRef/>
      </w:r>
      <w:r>
        <w:t xml:space="preserve"> </w:t>
      </w:r>
      <w:r>
        <w:rPr>
          <w:lang w:val="en-US"/>
        </w:rPr>
        <w:t>See, eg, Murphy working paper no 35, esp at 15-19.</w:t>
      </w:r>
    </w:p>
  </w:footnote>
  <w:footnote w:id="13">
    <w:p w14:paraId="06E50ED4" w14:textId="77777777" w:rsidR="00414F73" w:rsidRPr="0094625D" w:rsidRDefault="00414F73" w:rsidP="00770BDB">
      <w:pPr>
        <w:pStyle w:val="FootnoteText"/>
        <w:spacing w:after="0" w:line="240" w:lineRule="auto"/>
        <w:rPr>
          <w:lang w:val="en-US"/>
        </w:rPr>
      </w:pPr>
      <w:r>
        <w:rPr>
          <w:rStyle w:val="FootnoteReference"/>
        </w:rPr>
        <w:footnoteRef/>
      </w:r>
      <w:r>
        <w:t xml:space="preserve"> </w:t>
      </w:r>
      <w:r>
        <w:rPr>
          <w:lang w:val="en-US"/>
        </w:rPr>
        <w:t>Ibid at 17, fn 12.</w:t>
      </w:r>
    </w:p>
  </w:footnote>
  <w:footnote w:id="14">
    <w:p w14:paraId="1C768919" w14:textId="77777777" w:rsidR="00414F73" w:rsidRPr="009F7E61" w:rsidRDefault="00414F73" w:rsidP="00085742">
      <w:pPr>
        <w:pStyle w:val="FootnoteText"/>
        <w:spacing w:after="0" w:line="240" w:lineRule="auto"/>
        <w:ind w:left="90" w:hanging="90"/>
        <w:contextualSpacing/>
        <w:rPr>
          <w:lang w:val="en-US"/>
        </w:rPr>
      </w:pPr>
      <w:r>
        <w:rPr>
          <w:rStyle w:val="FootnoteReference"/>
        </w:rPr>
        <w:footnoteRef/>
      </w:r>
      <w:r>
        <w:t xml:space="preserve"> See, Commonwealth Ombudsman, </w:t>
      </w:r>
      <w:r>
        <w:rPr>
          <w:i/>
        </w:rPr>
        <w:t>Falling through the Cracks: Centrelink DEEWR and FAHCSIA – Engaging with customers with a mental illness in the social security system</w:t>
      </w:r>
      <w:r>
        <w:t xml:space="preserve"> (September 2010).</w:t>
      </w:r>
    </w:p>
  </w:footnote>
  <w:footnote w:id="15">
    <w:p w14:paraId="0A7652C3" w14:textId="77777777" w:rsidR="00414F73" w:rsidRPr="00F10C5A" w:rsidRDefault="00414F73" w:rsidP="00085742">
      <w:pPr>
        <w:pStyle w:val="FootnoteText"/>
        <w:spacing w:after="0" w:line="240" w:lineRule="auto"/>
        <w:ind w:left="90" w:hanging="90"/>
        <w:contextualSpacing/>
        <w:rPr>
          <w:lang w:val="en-US"/>
        </w:rPr>
      </w:pPr>
      <w:r>
        <w:rPr>
          <w:rStyle w:val="FootnoteReference"/>
        </w:rPr>
        <w:footnoteRef/>
      </w:r>
      <w:r>
        <w:t xml:space="preserve"> </w:t>
      </w:r>
      <w:r>
        <w:rPr>
          <w:lang w:val="en-US"/>
        </w:rPr>
        <w:t>Ibid at 16.</w:t>
      </w:r>
    </w:p>
  </w:footnote>
  <w:footnote w:id="16">
    <w:p w14:paraId="7851ABAC" w14:textId="77777777" w:rsidR="00414F73" w:rsidRPr="00CA0D04" w:rsidRDefault="00414F73" w:rsidP="00085742">
      <w:pPr>
        <w:pStyle w:val="FootnoteText"/>
        <w:spacing w:line="240" w:lineRule="auto"/>
        <w:contextualSpacing/>
        <w:rPr>
          <w:lang w:val="en-US"/>
        </w:rPr>
      </w:pPr>
      <w:r>
        <w:rPr>
          <w:rStyle w:val="FootnoteReference"/>
        </w:rPr>
        <w:footnoteRef/>
      </w:r>
      <w:r>
        <w:t xml:space="preserve"> </w:t>
      </w:r>
      <w:r>
        <w:rPr>
          <w:lang w:val="en-US"/>
        </w:rPr>
        <w:t>See Recommendations 1, 3 and 6.</w:t>
      </w:r>
    </w:p>
  </w:footnote>
  <w:footnote w:id="17">
    <w:p w14:paraId="7033E576" w14:textId="77777777" w:rsidR="00414F73" w:rsidRPr="009F7E61" w:rsidRDefault="00414F73" w:rsidP="00085742">
      <w:pPr>
        <w:pStyle w:val="FootnoteText"/>
        <w:spacing w:line="240" w:lineRule="auto"/>
        <w:contextualSpacing/>
        <w:rPr>
          <w:lang w:val="en-US"/>
        </w:rPr>
      </w:pPr>
      <w:r>
        <w:rPr>
          <w:rStyle w:val="FootnoteReference"/>
        </w:rPr>
        <w:footnoteRef/>
      </w:r>
      <w:r>
        <w:t xml:space="preserve"> </w:t>
      </w:r>
      <w:r>
        <w:rPr>
          <w:lang w:val="en-US"/>
        </w:rPr>
        <w:t>Ibid at 25.</w:t>
      </w:r>
    </w:p>
  </w:footnote>
  <w:footnote w:id="18">
    <w:p w14:paraId="11F6C300" w14:textId="0F458979" w:rsidR="00414F73" w:rsidRPr="004001DA" w:rsidRDefault="00414F73" w:rsidP="00A549D1">
      <w:pPr>
        <w:pStyle w:val="FootnoteText"/>
        <w:spacing w:after="0" w:line="240" w:lineRule="auto"/>
        <w:ind w:left="90" w:hanging="90"/>
        <w:rPr>
          <w:lang w:val="en-US"/>
        </w:rPr>
      </w:pPr>
      <w:r>
        <w:rPr>
          <w:rStyle w:val="FootnoteReference"/>
        </w:rPr>
        <w:footnoteRef/>
      </w:r>
      <w:r>
        <w:t xml:space="preserve"> </w:t>
      </w:r>
      <w:r>
        <w:rPr>
          <w:lang w:val="en-US"/>
        </w:rPr>
        <w:t xml:space="preserve">Ordinarily, and as suggested by Guideline 3.7 of the OAIC Guidelines, these documents are published online to provide easy public access. </w:t>
      </w:r>
    </w:p>
  </w:footnote>
  <w:footnote w:id="19">
    <w:p w14:paraId="42A39677" w14:textId="77777777" w:rsidR="00414F73" w:rsidRPr="00A549D1" w:rsidRDefault="00414F73" w:rsidP="00A549D1">
      <w:pPr>
        <w:pStyle w:val="FootnoteText"/>
        <w:spacing w:after="0" w:line="240" w:lineRule="auto"/>
        <w:ind w:left="90" w:hanging="90"/>
        <w:rPr>
          <w:lang w:val="en-US"/>
        </w:rPr>
      </w:pPr>
      <w:r>
        <w:rPr>
          <w:rStyle w:val="FootnoteReference"/>
        </w:rPr>
        <w:footnoteRef/>
      </w:r>
      <w:r>
        <w:t xml:space="preserve"> </w:t>
      </w:r>
      <w:r>
        <w:rPr>
          <w:lang w:eastAsia="en-AU"/>
        </w:rPr>
        <w:t>VLA’s requests for copies of the relevant policies and protocol to the Initiative for the purpose of advising our clients from the Honourable Minister Tudge (on 25 January 2017) and the Secretary of the Department of Human Services (on 29 March 2017) have also had no reply.</w:t>
      </w:r>
    </w:p>
  </w:footnote>
  <w:footnote w:id="20">
    <w:p w14:paraId="18D0274D" w14:textId="77777777" w:rsidR="00414F73" w:rsidRPr="00447C83" w:rsidRDefault="00414F73" w:rsidP="00A549D1">
      <w:pPr>
        <w:pStyle w:val="FootnoteText"/>
        <w:spacing w:after="0" w:line="240" w:lineRule="auto"/>
        <w:ind w:left="90" w:hanging="90"/>
        <w:rPr>
          <w:lang w:val="en-US"/>
        </w:rPr>
      </w:pPr>
      <w:r>
        <w:rPr>
          <w:rStyle w:val="FootnoteReference"/>
        </w:rPr>
        <w:footnoteRef/>
      </w:r>
      <w:r>
        <w:t xml:space="preserve"> </w:t>
      </w:r>
      <w:r>
        <w:rPr>
          <w:lang w:val="en-US"/>
        </w:rPr>
        <w:t>See, ss 8(2)(j) and 8A of the FOI Act.</w:t>
      </w:r>
    </w:p>
  </w:footnote>
  <w:footnote w:id="21">
    <w:p w14:paraId="0480872C" w14:textId="04DFDE14" w:rsidR="00414F73" w:rsidRPr="00C040AE" w:rsidRDefault="00414F73" w:rsidP="00CA3E00">
      <w:pPr>
        <w:pStyle w:val="FootnoteText"/>
        <w:spacing w:line="240" w:lineRule="auto"/>
        <w:ind w:left="288" w:hanging="288"/>
        <w:contextualSpacing/>
        <w:rPr>
          <w:lang w:val="en-US"/>
        </w:rPr>
      </w:pPr>
      <w:r>
        <w:rPr>
          <w:rStyle w:val="FootnoteReference"/>
        </w:rPr>
        <w:footnoteRef/>
      </w:r>
      <w:r>
        <w:t xml:space="preserve"> </w:t>
      </w:r>
      <w:r>
        <w:rPr>
          <w:lang w:val="en-US"/>
        </w:rPr>
        <w:t>See, s</w:t>
      </w:r>
      <w:r w:rsidR="004A2CDA">
        <w:rPr>
          <w:lang w:val="en-US"/>
        </w:rPr>
        <w:t>.</w:t>
      </w:r>
      <w:r>
        <w:rPr>
          <w:lang w:val="en-US"/>
        </w:rPr>
        <w:t xml:space="preserve"> 3 of the SSA Act and s</w:t>
      </w:r>
      <w:r w:rsidR="004A2CDA">
        <w:rPr>
          <w:lang w:val="en-US"/>
        </w:rPr>
        <w:t>.</w:t>
      </w:r>
      <w:r>
        <w:rPr>
          <w:lang w:val="en-US"/>
        </w:rPr>
        <w:t xml:space="preserve"> 23 of the </w:t>
      </w:r>
      <w:r>
        <w:rPr>
          <w:i/>
          <w:lang w:val="en-US"/>
        </w:rPr>
        <w:t xml:space="preserve">Social Security Act 1991 </w:t>
      </w:r>
      <w:r>
        <w:rPr>
          <w:lang w:val="en-US"/>
        </w:rPr>
        <w:t>(Cth).</w:t>
      </w:r>
    </w:p>
  </w:footnote>
  <w:footnote w:id="22">
    <w:p w14:paraId="51CE606D" w14:textId="3CD39A9E" w:rsidR="00414F73" w:rsidRPr="00C040AE" w:rsidRDefault="00414F73" w:rsidP="00CA3E00">
      <w:pPr>
        <w:pStyle w:val="FootnoteText"/>
        <w:spacing w:line="240" w:lineRule="auto"/>
        <w:ind w:left="288" w:hanging="288"/>
        <w:contextualSpacing/>
        <w:rPr>
          <w:lang w:val="en-US"/>
        </w:rPr>
      </w:pPr>
      <w:r>
        <w:rPr>
          <w:rStyle w:val="FootnoteReference"/>
        </w:rPr>
        <w:footnoteRef/>
      </w:r>
      <w:r>
        <w:t xml:space="preserve"> </w:t>
      </w:r>
      <w:r>
        <w:rPr>
          <w:lang w:val="en-US"/>
        </w:rPr>
        <w:t>See, s</w:t>
      </w:r>
      <w:r w:rsidR="004A2CDA">
        <w:rPr>
          <w:lang w:val="en-US"/>
        </w:rPr>
        <w:t>.</w:t>
      </w:r>
      <w:r>
        <w:rPr>
          <w:lang w:val="en-US"/>
        </w:rPr>
        <w:t xml:space="preserve"> 3 of the FAA Act.</w:t>
      </w:r>
    </w:p>
  </w:footnote>
  <w:footnote w:id="23">
    <w:p w14:paraId="75560D56" w14:textId="2A3EBB15" w:rsidR="00414F73" w:rsidRPr="00CA3E00" w:rsidRDefault="00414F73" w:rsidP="00D223EE">
      <w:pPr>
        <w:pStyle w:val="FootnoteText"/>
        <w:spacing w:after="0" w:line="240" w:lineRule="auto"/>
        <w:ind w:left="86" w:hanging="86"/>
        <w:contextualSpacing/>
        <w:rPr>
          <w:lang w:val="en-US"/>
        </w:rPr>
      </w:pPr>
      <w:r>
        <w:rPr>
          <w:rStyle w:val="FootnoteReference"/>
        </w:rPr>
        <w:footnoteRef/>
      </w:r>
      <w:r>
        <w:t xml:space="preserve"> </w:t>
      </w:r>
      <w:r>
        <w:rPr>
          <w:lang w:val="en-US"/>
        </w:rPr>
        <w:t>See, s</w:t>
      </w:r>
      <w:r w:rsidR="004A2CDA">
        <w:rPr>
          <w:lang w:val="en-US"/>
        </w:rPr>
        <w:t>.</w:t>
      </w:r>
      <w:r>
        <w:rPr>
          <w:lang w:val="en-US"/>
        </w:rPr>
        <w:t xml:space="preserve"> 208 of the SSA Act and 168 of the FAA Act.</w:t>
      </w:r>
    </w:p>
  </w:footnote>
  <w:footnote w:id="24">
    <w:p w14:paraId="014A90FC" w14:textId="77777777" w:rsidR="00414F73" w:rsidRPr="00323000" w:rsidRDefault="00414F73" w:rsidP="00D223EE">
      <w:pPr>
        <w:pStyle w:val="FootnoteText"/>
        <w:spacing w:after="0" w:line="240" w:lineRule="auto"/>
        <w:ind w:left="86" w:hanging="86"/>
        <w:contextualSpacing/>
        <w:rPr>
          <w:lang w:val="en-US"/>
        </w:rPr>
      </w:pPr>
      <w:r w:rsidRPr="006E5A29">
        <w:rPr>
          <w:rStyle w:val="FootnoteReference"/>
        </w:rPr>
        <w:footnoteRef/>
      </w:r>
      <w:r w:rsidRPr="00A04585">
        <w:rPr>
          <w:lang w:val="en-US"/>
        </w:rPr>
        <w:t xml:space="preserve"> See, ‘A New Tax System (Family Assistance) (Administration) (Public Interest Certificate Guidelines)</w:t>
      </w:r>
      <w:r>
        <w:rPr>
          <w:lang w:val="en-US"/>
        </w:rPr>
        <w:t xml:space="preserve"> </w:t>
      </w:r>
      <w:r w:rsidRPr="00A04585">
        <w:rPr>
          <w:lang w:val="en-US"/>
        </w:rPr>
        <w:t>(DEEWR) Determination 2010, dated 12 December 2010; Social Security (Administration) (Public Interest Certificate Guidelines) (DEEWR) Determination 2013, dated 5 August 2013.</w:t>
      </w:r>
    </w:p>
  </w:footnote>
  <w:footnote w:id="25">
    <w:p w14:paraId="24A8C706" w14:textId="1DAA2CBA" w:rsidR="00414F73" w:rsidRPr="00525B2A" w:rsidRDefault="00414F73" w:rsidP="00D223EE">
      <w:pPr>
        <w:pStyle w:val="FootnoteText"/>
        <w:spacing w:after="0" w:line="240" w:lineRule="auto"/>
        <w:ind w:left="86" w:hanging="86"/>
        <w:contextualSpacing/>
        <w:rPr>
          <w:lang w:val="en-US"/>
        </w:rPr>
      </w:pPr>
      <w:r>
        <w:rPr>
          <w:rStyle w:val="FootnoteReference"/>
        </w:rPr>
        <w:footnoteRef/>
      </w:r>
      <w:r>
        <w:t xml:space="preserve"> </w:t>
      </w:r>
      <w:r>
        <w:rPr>
          <w:lang w:val="en-US"/>
        </w:rPr>
        <w:t>See, Department of Veterans’ Affairs, Submission 2, Veterans’ Affairs Legislation Amendment (Digital Readiness and Other Measures) Bill 2016 [provisions] (</w:t>
      </w:r>
      <w:r>
        <w:rPr>
          <w:b/>
          <w:lang w:val="en-US"/>
        </w:rPr>
        <w:t>Department of Veterans’ Affairs Submission</w:t>
      </w:r>
      <w:r>
        <w:rPr>
          <w:lang w:val="en-US"/>
        </w:rPr>
        <w:t xml:space="preserve"> </w:t>
      </w:r>
      <w:r>
        <w:rPr>
          <w:b/>
          <w:lang w:val="en-US"/>
        </w:rPr>
        <w:t>to Digital Readiness Inquiry</w:t>
      </w:r>
      <w:r>
        <w:rPr>
          <w:lang w:val="en-US"/>
        </w:rPr>
        <w:t xml:space="preserve">) at p 9-10; Senate Standing Committee on Foreign Affairs and Trade, </w:t>
      </w:r>
      <w:r>
        <w:rPr>
          <w:i/>
          <w:lang w:val="en-US"/>
        </w:rPr>
        <w:t xml:space="preserve">Report re Veterans’ Affairs Legislation Amendment (Digital Readiness and Other Measures) Bill 2016 [Provisions] </w:t>
      </w:r>
      <w:r>
        <w:rPr>
          <w:lang w:val="en-US"/>
        </w:rPr>
        <w:t>(February 2016) (</w:t>
      </w:r>
      <w:r>
        <w:rPr>
          <w:b/>
          <w:lang w:val="en-US"/>
        </w:rPr>
        <w:t xml:space="preserve">Senate Committee Digital Readiness </w:t>
      </w:r>
      <w:r w:rsidRPr="00362324">
        <w:rPr>
          <w:b/>
          <w:lang w:val="en-US"/>
        </w:rPr>
        <w:t>Report</w:t>
      </w:r>
      <w:r>
        <w:rPr>
          <w:lang w:val="en-US"/>
        </w:rPr>
        <w:t xml:space="preserve">) </w:t>
      </w:r>
      <w:r w:rsidRPr="00362324">
        <w:rPr>
          <w:lang w:val="en-US"/>
        </w:rPr>
        <w:t>at</w:t>
      </w:r>
      <w:r>
        <w:rPr>
          <w:lang w:val="en-US"/>
        </w:rPr>
        <w:t xml:space="preserve"> p 13-15; 18.</w:t>
      </w:r>
    </w:p>
  </w:footnote>
  <w:footnote w:id="26">
    <w:p w14:paraId="79E802D9" w14:textId="5755EDC3" w:rsidR="00414F73" w:rsidRPr="00362324" w:rsidRDefault="00414F73" w:rsidP="0076778C">
      <w:pPr>
        <w:pStyle w:val="FootnoteText"/>
        <w:spacing w:after="0" w:line="240" w:lineRule="auto"/>
        <w:ind w:left="288" w:hanging="288"/>
        <w:contextualSpacing/>
        <w:rPr>
          <w:lang w:val="en-US"/>
        </w:rPr>
      </w:pPr>
      <w:r w:rsidRPr="00362324">
        <w:rPr>
          <w:rStyle w:val="FootnoteReference"/>
        </w:rPr>
        <w:footnoteRef/>
      </w:r>
      <w:r w:rsidRPr="00362324">
        <w:t xml:space="preserve"> </w:t>
      </w:r>
      <w:r w:rsidRPr="00362324">
        <w:rPr>
          <w:lang w:val="en-US"/>
        </w:rPr>
        <w:t xml:space="preserve">Specifically, </w:t>
      </w:r>
      <w:r w:rsidRPr="00362324">
        <w:rPr>
          <w:shd w:val="clear" w:color="auto" w:fill="FFFFFF"/>
        </w:rPr>
        <w:t>s</w:t>
      </w:r>
      <w:r w:rsidR="004A2CDA">
        <w:rPr>
          <w:shd w:val="clear" w:color="auto" w:fill="FFFFFF"/>
        </w:rPr>
        <w:t>.</w:t>
      </w:r>
      <w:r w:rsidRPr="00362324">
        <w:rPr>
          <w:shd w:val="clear" w:color="auto" w:fill="FFFFFF"/>
        </w:rPr>
        <w:t xml:space="preserve"> 202(2)(d) of the SSA Act and s</w:t>
      </w:r>
      <w:r w:rsidR="004A2CDA">
        <w:rPr>
          <w:shd w:val="clear" w:color="auto" w:fill="FFFFFF"/>
        </w:rPr>
        <w:t>.</w:t>
      </w:r>
      <w:r w:rsidRPr="00362324">
        <w:rPr>
          <w:shd w:val="clear" w:color="auto" w:fill="FFFFFF"/>
        </w:rPr>
        <w:t xml:space="preserve"> 162(2</w:t>
      </w:r>
      <w:r w:rsidRPr="006E5A29">
        <w:rPr>
          <w:shd w:val="clear" w:color="auto" w:fill="FFFFFF"/>
        </w:rPr>
        <w:t>)(dab)</w:t>
      </w:r>
      <w:r w:rsidRPr="00362324">
        <w:rPr>
          <w:shd w:val="clear" w:color="auto" w:fill="FFFFFF"/>
        </w:rPr>
        <w:t xml:space="preserve"> of the FAA Act.</w:t>
      </w:r>
    </w:p>
  </w:footnote>
  <w:footnote w:id="27">
    <w:p w14:paraId="54C24A16" w14:textId="77777777" w:rsidR="00414F73" w:rsidRPr="00362324" w:rsidRDefault="00414F73" w:rsidP="0076778C">
      <w:pPr>
        <w:pStyle w:val="FootnoteText"/>
        <w:spacing w:after="0" w:line="240" w:lineRule="auto"/>
        <w:ind w:left="288" w:hanging="288"/>
        <w:contextualSpacing/>
        <w:rPr>
          <w:lang w:val="en-US"/>
        </w:rPr>
      </w:pPr>
      <w:r w:rsidRPr="00362324">
        <w:rPr>
          <w:rStyle w:val="FootnoteReference"/>
        </w:rPr>
        <w:footnoteRef/>
      </w:r>
      <w:r w:rsidRPr="00362324">
        <w:t xml:space="preserve"> </w:t>
      </w:r>
      <w:r w:rsidRPr="00362324">
        <w:rPr>
          <w:i/>
          <w:lang w:val="en-US"/>
        </w:rPr>
        <w:t>Anthony Horden and Sons v Amalgamated Clothing and Allied Trades Union</w:t>
      </w:r>
      <w:r w:rsidRPr="00362324">
        <w:rPr>
          <w:lang w:val="en-US"/>
        </w:rPr>
        <w:t xml:space="preserve"> (1932) 47 CLR 1 at 7.</w:t>
      </w:r>
    </w:p>
  </w:footnote>
  <w:footnote w:id="28">
    <w:p w14:paraId="3CA10AFB" w14:textId="77777777" w:rsidR="00414F73" w:rsidRPr="00362324" w:rsidRDefault="00414F73" w:rsidP="0076778C">
      <w:pPr>
        <w:pStyle w:val="FootnoteText"/>
        <w:spacing w:after="0" w:line="240" w:lineRule="auto"/>
        <w:ind w:left="288" w:hanging="288"/>
        <w:contextualSpacing/>
        <w:rPr>
          <w:lang w:val="en-US"/>
        </w:rPr>
      </w:pPr>
      <w:r w:rsidRPr="00362324">
        <w:rPr>
          <w:rStyle w:val="FootnoteReference"/>
        </w:rPr>
        <w:footnoteRef/>
      </w:r>
      <w:r w:rsidRPr="00362324">
        <w:t xml:space="preserve"> </w:t>
      </w:r>
      <w:r w:rsidRPr="00362324">
        <w:rPr>
          <w:lang w:val="en-US"/>
        </w:rPr>
        <w:t>See, most recently, Senate Committee Digital Readiness Report at 18.</w:t>
      </w:r>
    </w:p>
  </w:footnote>
  <w:footnote w:id="29">
    <w:p w14:paraId="092F029F" w14:textId="77777777" w:rsidR="00414F73" w:rsidRPr="00362324" w:rsidRDefault="00414F73" w:rsidP="0076778C">
      <w:pPr>
        <w:pStyle w:val="FootnoteText"/>
        <w:spacing w:after="0" w:line="240" w:lineRule="auto"/>
        <w:ind w:left="288" w:hanging="288"/>
        <w:contextualSpacing/>
        <w:rPr>
          <w:lang w:val="en-US"/>
        </w:rPr>
      </w:pPr>
      <w:r w:rsidRPr="00362324">
        <w:rPr>
          <w:rStyle w:val="FootnoteReference"/>
        </w:rPr>
        <w:footnoteRef/>
      </w:r>
      <w:r w:rsidRPr="00362324">
        <w:t xml:space="preserve"> </w:t>
      </w:r>
      <w:r w:rsidRPr="00362324">
        <w:rPr>
          <w:lang w:val="en-US"/>
        </w:rPr>
        <w:t>See, Department of Veterans’ Affairs Submission to Digital Readiness Inquiry at 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6602C" w14:textId="77777777" w:rsidR="00414F73" w:rsidRDefault="00414F73">
    <w:pPr>
      <w:pStyle w:val="Header"/>
    </w:pPr>
    <w:r>
      <w:rPr>
        <w:noProof/>
        <w:lang w:eastAsia="en-AU"/>
      </w:rPr>
      <mc:AlternateContent>
        <mc:Choice Requires="wps">
          <w:drawing>
            <wp:anchor distT="0" distB="0" distL="114300" distR="114300" simplePos="0" relativeHeight="251658752" behindDoc="1" locked="0" layoutInCell="0" allowOverlap="1" wp14:anchorId="54E8C599" wp14:editId="00F15CFF">
              <wp:simplePos x="0" y="0"/>
              <wp:positionH relativeFrom="margin">
                <wp:align>center</wp:align>
              </wp:positionH>
              <wp:positionV relativeFrom="margin">
                <wp:align>center</wp:align>
              </wp:positionV>
              <wp:extent cx="1085850" cy="714375"/>
              <wp:effectExtent l="38100" t="200025" r="0" b="1524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1085850" cy="7143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E84F347" w14:textId="77777777" w:rsidR="00414F73" w:rsidRDefault="00414F73" w:rsidP="009E3C5B">
                          <w:pPr>
                            <w:pStyle w:val="NormalWeb"/>
                            <w:spacing w:before="0" w:beforeAutospacing="0" w:after="0" w:afterAutospacing="0"/>
                            <w:jc w:val="center"/>
                          </w:pPr>
                          <w:r>
                            <w:rPr>
                              <w:rFonts w:ascii="Arial Narrow" w:hAnsi="Arial Narrow"/>
                              <w:color w:val="C0C0C0"/>
                              <w:sz w:val="96"/>
                              <w:szCs w:val="96"/>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4E8C599" id="_x0000_t202" coordsize="21600,21600" o:spt="202" path="m,l,21600r21600,l21600,xe">
              <v:stroke joinstyle="miter"/>
              <v:path gradientshapeok="t" o:connecttype="rect"/>
            </v:shapetype>
            <v:shape id="Text Box 4" o:spid="_x0000_s1026" type="#_x0000_t202" style="position:absolute;margin-left:0;margin-top:0;width:85.5pt;height:56.25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" o:allowincell="f" filled="f" stroked="f">
              <v:stroke joinstyle="round"/>
              <o:lock v:ext="edit" shapetype="t"/>
              <v:textbox style="mso-fit-shape-to-text:t">
                <w:txbxContent>
                  <w:p w14:paraId="4E84F347" w14:textId="77777777" w:rsidR="00414F73" w:rsidRDefault="00414F73" w:rsidP="009E3C5B">
                    <w:pPr>
                      <w:pStyle w:val="NormalWeb"/>
                      <w:spacing w:before="0" w:beforeAutospacing="0" w:after="0" w:afterAutospacing="0"/>
                      <w:jc w:val="center"/>
                    </w:pPr>
                    <w:r>
                      <w:rPr>
                        <w:rFonts w:ascii="Arial Narrow" w:hAnsi="Arial Narrow"/>
                        <w:color w:val="C0C0C0"/>
                        <w:sz w:val="96"/>
                        <w:szCs w:val="96"/>
                        <w14:textFill>
                          <w14:solidFill>
                            <w14:srgbClr w14:val="C0C0C0">
                              <w14:alpha w14:val="50000"/>
                            </w14:srgbClr>
                          </w14:solidFill>
                        </w14:textFill>
                      </w:rPr>
                      <w:t>Draft</w:t>
                    </w:r>
                  </w:p>
                </w:txbxContent>
              </v:textbox>
              <w10:wrap anchorx="margin" anchory="margin"/>
            </v:shape>
          </w:pict>
        </mc:Fallback>
      </mc:AlternateContent>
    </w:r>
    <w:r w:rsidR="00177249">
      <w:rPr>
        <w:noProof/>
        <w:lang w:eastAsia="en-AU"/>
      </w:rPr>
      <w:pict w14:anchorId="468951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margin-left:0;margin-top:0;width:377.3pt;height:22in;rotation:300;z-index:251657728;mso-position-horizontal:center;mso-position-horizontal-relative:margin;mso-position-vertical:center;mso-position-vertical-relative:margin" fillcolor="#c8c8c8" stroked="f">
          <v:fill opacity="52429f"/>
          <v:shadow color="#868686"/>
          <v:textpath style="font-family:&quot;Arial&quot;;font-size:54pt;font-weight:bold;v-text-kern:t" trim="t" fitpath="t" string=" "/>
          <o:lock v:ext="edit" aspectratio="t"/>
          <w10:wrap side="largest"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7AB8C" w14:textId="77777777" w:rsidR="00414F73" w:rsidRPr="009F7B2D" w:rsidRDefault="00414F73" w:rsidP="004E0688">
    <w:pPr>
      <w:pStyle w:val="Header"/>
      <w:jc w:val="right"/>
    </w:pPr>
    <w:r>
      <w:rPr>
        <w:noProof/>
        <w:lang w:eastAsia="en-AU"/>
      </w:rPr>
      <w:drawing>
        <wp:inline distT="0" distB="0" distL="0" distR="0" wp14:anchorId="1CF5F101" wp14:editId="222B7D8B">
          <wp:extent cx="1806575" cy="1445260"/>
          <wp:effectExtent l="0" t="0" r="3175" b="2540"/>
          <wp:docPr id="1" name="Picture 1" descr="vl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6575" cy="14452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BE9A3" w14:textId="77777777" w:rsidR="00414F73" w:rsidRDefault="00414F73" w:rsidP="006E2882">
    <w:pPr>
      <w:spacing w:before="400"/>
      <w:jc w:val="right"/>
    </w:pPr>
    <w:r>
      <w:rPr>
        <w:noProof/>
        <w:lang w:eastAsia="en-AU"/>
      </w:rPr>
      <w:drawing>
        <wp:inline distT="0" distB="0" distL="0" distR="0" wp14:anchorId="797C1097" wp14:editId="27955B8E">
          <wp:extent cx="2706370" cy="434975"/>
          <wp:effectExtent l="0" t="0" r="0" b="3175"/>
          <wp:docPr id="2" name="Picture 2" descr="vla_logo_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la_logo_h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6370" cy="434975"/>
                  </a:xfrm>
                  <a:prstGeom prst="rect">
                    <a:avLst/>
                  </a:prstGeom>
                  <a:noFill/>
                  <a:ln>
                    <a:noFill/>
                  </a:ln>
                </pic:spPr>
              </pic:pic>
            </a:graphicData>
          </a:graphic>
        </wp:inline>
      </w:drawing>
    </w:r>
    <w:r w:rsidR="00177249">
      <w:rPr>
        <w:noProof/>
        <w:lang w:eastAsia="en-AU"/>
      </w:rPr>
      <w:pict w14:anchorId="27E623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left:0;text-align:left;margin-left:0;margin-top:0;width:377.3pt;height:22in;rotation:300;z-index:251656704;mso-position-horizontal:center;mso-position-horizontal-relative:margin;mso-position-vertical:center;mso-position-vertical-relative:margin" fillcolor="#c8c8c8" stroked="f">
          <v:fill opacity="52429f"/>
          <v:shadow color="#868686"/>
          <v:textpath style="font-family:&quot;Arial&quot;;font-size:54pt;font-weight:bold;v-text-kern:t" trim="t" fitpath="t" string=" "/>
          <o:lock v:ext="edit" aspectratio="t"/>
          <w10:wrap side="largest"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EB47B" w14:textId="77777777" w:rsidR="00414F73" w:rsidRPr="009F7B2D" w:rsidRDefault="00414F73" w:rsidP="005375A4"/>
  <w:p w14:paraId="334EC4A7" w14:textId="77777777" w:rsidR="00414F73" w:rsidRDefault="00414F7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4471D" w14:textId="77777777" w:rsidR="00414F73" w:rsidRPr="009F7B2D" w:rsidRDefault="00414F73" w:rsidP="007538CC"/>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50C86" w14:textId="77777777" w:rsidR="00414F73" w:rsidRPr="009F7B2D" w:rsidRDefault="00414F73" w:rsidP="005D5637">
    <w:pPr>
      <w:pStyle w:val="Header"/>
      <w:tabs>
        <w:tab w:val="clear" w:pos="4604"/>
        <w:tab w:val="clear" w:pos="9214"/>
      </w:tabs>
      <w:jc w:val="cen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77AAD" w14:textId="77777777" w:rsidR="00414F73" w:rsidRDefault="00414F73"/>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8778D" w14:textId="77777777" w:rsidR="00414F73" w:rsidRPr="00665568" w:rsidRDefault="00414F73" w:rsidP="00161EEF">
    <w:pPr>
      <w:pStyle w:val="Header"/>
      <w:tabs>
        <w:tab w:val="clear" w:pos="4604"/>
        <w:tab w:val="clear" w:pos="921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5D6D6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0C872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834C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EE99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6FEF2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D84A0E3C"/>
    <w:lvl w:ilvl="0">
      <w:start w:val="1"/>
      <w:numFmt w:val="decimal"/>
      <w:lvlText w:val="%1."/>
      <w:lvlJc w:val="left"/>
      <w:pPr>
        <w:tabs>
          <w:tab w:val="num" w:pos="360"/>
        </w:tabs>
        <w:ind w:left="360" w:hanging="360"/>
      </w:pPr>
    </w:lvl>
  </w:abstractNum>
  <w:abstractNum w:abstractNumId="6" w15:restartNumberingAfterBreak="0">
    <w:nsid w:val="01CF0039"/>
    <w:multiLevelType w:val="hybridMultilevel"/>
    <w:tmpl w:val="7AAA4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2657FA2"/>
    <w:multiLevelType w:val="hybridMultilevel"/>
    <w:tmpl w:val="61B82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46679E8"/>
    <w:multiLevelType w:val="hybridMultilevel"/>
    <w:tmpl w:val="F6941428"/>
    <w:lvl w:ilvl="0" w:tplc="0C090001">
      <w:start w:val="1"/>
      <w:numFmt w:val="bullet"/>
      <w:lvlText w:val=""/>
      <w:lvlJc w:val="left"/>
      <w:pPr>
        <w:ind w:left="779" w:hanging="360"/>
      </w:pPr>
      <w:rPr>
        <w:rFonts w:ascii="Symbol" w:hAnsi="Symbol" w:hint="default"/>
      </w:rPr>
    </w:lvl>
    <w:lvl w:ilvl="1" w:tplc="0C090003" w:tentative="1">
      <w:start w:val="1"/>
      <w:numFmt w:val="bullet"/>
      <w:lvlText w:val="o"/>
      <w:lvlJc w:val="left"/>
      <w:pPr>
        <w:ind w:left="1499" w:hanging="360"/>
      </w:pPr>
      <w:rPr>
        <w:rFonts w:ascii="Courier New" w:hAnsi="Courier New" w:cs="Courier New" w:hint="default"/>
      </w:rPr>
    </w:lvl>
    <w:lvl w:ilvl="2" w:tplc="0C090005" w:tentative="1">
      <w:start w:val="1"/>
      <w:numFmt w:val="bullet"/>
      <w:lvlText w:val=""/>
      <w:lvlJc w:val="left"/>
      <w:pPr>
        <w:ind w:left="2219" w:hanging="360"/>
      </w:pPr>
      <w:rPr>
        <w:rFonts w:ascii="Wingdings" w:hAnsi="Wingdings" w:hint="default"/>
      </w:rPr>
    </w:lvl>
    <w:lvl w:ilvl="3" w:tplc="0C090001" w:tentative="1">
      <w:start w:val="1"/>
      <w:numFmt w:val="bullet"/>
      <w:lvlText w:val=""/>
      <w:lvlJc w:val="left"/>
      <w:pPr>
        <w:ind w:left="2939" w:hanging="360"/>
      </w:pPr>
      <w:rPr>
        <w:rFonts w:ascii="Symbol" w:hAnsi="Symbol" w:hint="default"/>
      </w:rPr>
    </w:lvl>
    <w:lvl w:ilvl="4" w:tplc="0C090003" w:tentative="1">
      <w:start w:val="1"/>
      <w:numFmt w:val="bullet"/>
      <w:lvlText w:val="o"/>
      <w:lvlJc w:val="left"/>
      <w:pPr>
        <w:ind w:left="3659" w:hanging="360"/>
      </w:pPr>
      <w:rPr>
        <w:rFonts w:ascii="Courier New" w:hAnsi="Courier New" w:cs="Courier New" w:hint="default"/>
      </w:rPr>
    </w:lvl>
    <w:lvl w:ilvl="5" w:tplc="0C090005" w:tentative="1">
      <w:start w:val="1"/>
      <w:numFmt w:val="bullet"/>
      <w:lvlText w:val=""/>
      <w:lvlJc w:val="left"/>
      <w:pPr>
        <w:ind w:left="4379" w:hanging="360"/>
      </w:pPr>
      <w:rPr>
        <w:rFonts w:ascii="Wingdings" w:hAnsi="Wingdings" w:hint="default"/>
      </w:rPr>
    </w:lvl>
    <w:lvl w:ilvl="6" w:tplc="0C090001" w:tentative="1">
      <w:start w:val="1"/>
      <w:numFmt w:val="bullet"/>
      <w:lvlText w:val=""/>
      <w:lvlJc w:val="left"/>
      <w:pPr>
        <w:ind w:left="5099" w:hanging="360"/>
      </w:pPr>
      <w:rPr>
        <w:rFonts w:ascii="Symbol" w:hAnsi="Symbol" w:hint="default"/>
      </w:rPr>
    </w:lvl>
    <w:lvl w:ilvl="7" w:tplc="0C090003" w:tentative="1">
      <w:start w:val="1"/>
      <w:numFmt w:val="bullet"/>
      <w:lvlText w:val="o"/>
      <w:lvlJc w:val="left"/>
      <w:pPr>
        <w:ind w:left="5819" w:hanging="360"/>
      </w:pPr>
      <w:rPr>
        <w:rFonts w:ascii="Courier New" w:hAnsi="Courier New" w:cs="Courier New" w:hint="default"/>
      </w:rPr>
    </w:lvl>
    <w:lvl w:ilvl="8" w:tplc="0C090005" w:tentative="1">
      <w:start w:val="1"/>
      <w:numFmt w:val="bullet"/>
      <w:lvlText w:val=""/>
      <w:lvlJc w:val="left"/>
      <w:pPr>
        <w:ind w:left="6539" w:hanging="360"/>
      </w:pPr>
      <w:rPr>
        <w:rFonts w:ascii="Wingdings" w:hAnsi="Wingdings" w:hint="default"/>
      </w:rPr>
    </w:lvl>
  </w:abstractNum>
  <w:abstractNum w:abstractNumId="9" w15:restartNumberingAfterBreak="0">
    <w:nsid w:val="066165AE"/>
    <w:multiLevelType w:val="hybridMultilevel"/>
    <w:tmpl w:val="359E6EC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07EE68EB"/>
    <w:multiLevelType w:val="hybridMultilevel"/>
    <w:tmpl w:val="79E26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91939FE"/>
    <w:multiLevelType w:val="hybridMultilevel"/>
    <w:tmpl w:val="2B327B52"/>
    <w:lvl w:ilvl="0" w:tplc="0C090001">
      <w:start w:val="1"/>
      <w:numFmt w:val="bullet"/>
      <w:lvlText w:val=""/>
      <w:lvlJc w:val="left"/>
      <w:pPr>
        <w:ind w:left="907" w:hanging="360"/>
      </w:pPr>
      <w:rPr>
        <w:rFonts w:ascii="Symbol" w:hAnsi="Symbol" w:hint="default"/>
      </w:rPr>
    </w:lvl>
    <w:lvl w:ilvl="1" w:tplc="0C090003" w:tentative="1">
      <w:start w:val="1"/>
      <w:numFmt w:val="bullet"/>
      <w:lvlText w:val="o"/>
      <w:lvlJc w:val="left"/>
      <w:pPr>
        <w:ind w:left="1627" w:hanging="360"/>
      </w:pPr>
      <w:rPr>
        <w:rFonts w:ascii="Courier New" w:hAnsi="Courier New" w:cs="Courier New" w:hint="default"/>
      </w:rPr>
    </w:lvl>
    <w:lvl w:ilvl="2" w:tplc="0C090005" w:tentative="1">
      <w:start w:val="1"/>
      <w:numFmt w:val="bullet"/>
      <w:lvlText w:val=""/>
      <w:lvlJc w:val="left"/>
      <w:pPr>
        <w:ind w:left="2347" w:hanging="360"/>
      </w:pPr>
      <w:rPr>
        <w:rFonts w:ascii="Wingdings" w:hAnsi="Wingdings" w:hint="default"/>
      </w:rPr>
    </w:lvl>
    <w:lvl w:ilvl="3" w:tplc="0C090001" w:tentative="1">
      <w:start w:val="1"/>
      <w:numFmt w:val="bullet"/>
      <w:lvlText w:val=""/>
      <w:lvlJc w:val="left"/>
      <w:pPr>
        <w:ind w:left="3067" w:hanging="360"/>
      </w:pPr>
      <w:rPr>
        <w:rFonts w:ascii="Symbol" w:hAnsi="Symbol" w:hint="default"/>
      </w:rPr>
    </w:lvl>
    <w:lvl w:ilvl="4" w:tplc="0C090003" w:tentative="1">
      <w:start w:val="1"/>
      <w:numFmt w:val="bullet"/>
      <w:lvlText w:val="o"/>
      <w:lvlJc w:val="left"/>
      <w:pPr>
        <w:ind w:left="3787" w:hanging="360"/>
      </w:pPr>
      <w:rPr>
        <w:rFonts w:ascii="Courier New" w:hAnsi="Courier New" w:cs="Courier New" w:hint="default"/>
      </w:rPr>
    </w:lvl>
    <w:lvl w:ilvl="5" w:tplc="0C090005" w:tentative="1">
      <w:start w:val="1"/>
      <w:numFmt w:val="bullet"/>
      <w:lvlText w:val=""/>
      <w:lvlJc w:val="left"/>
      <w:pPr>
        <w:ind w:left="4507" w:hanging="360"/>
      </w:pPr>
      <w:rPr>
        <w:rFonts w:ascii="Wingdings" w:hAnsi="Wingdings" w:hint="default"/>
      </w:rPr>
    </w:lvl>
    <w:lvl w:ilvl="6" w:tplc="0C090001" w:tentative="1">
      <w:start w:val="1"/>
      <w:numFmt w:val="bullet"/>
      <w:lvlText w:val=""/>
      <w:lvlJc w:val="left"/>
      <w:pPr>
        <w:ind w:left="5227" w:hanging="360"/>
      </w:pPr>
      <w:rPr>
        <w:rFonts w:ascii="Symbol" w:hAnsi="Symbol" w:hint="default"/>
      </w:rPr>
    </w:lvl>
    <w:lvl w:ilvl="7" w:tplc="0C090003" w:tentative="1">
      <w:start w:val="1"/>
      <w:numFmt w:val="bullet"/>
      <w:lvlText w:val="o"/>
      <w:lvlJc w:val="left"/>
      <w:pPr>
        <w:ind w:left="5947" w:hanging="360"/>
      </w:pPr>
      <w:rPr>
        <w:rFonts w:ascii="Courier New" w:hAnsi="Courier New" w:cs="Courier New" w:hint="default"/>
      </w:rPr>
    </w:lvl>
    <w:lvl w:ilvl="8" w:tplc="0C090005" w:tentative="1">
      <w:start w:val="1"/>
      <w:numFmt w:val="bullet"/>
      <w:lvlText w:val=""/>
      <w:lvlJc w:val="left"/>
      <w:pPr>
        <w:ind w:left="6667" w:hanging="360"/>
      </w:pPr>
      <w:rPr>
        <w:rFonts w:ascii="Wingdings" w:hAnsi="Wingdings" w:hint="default"/>
      </w:rPr>
    </w:lvl>
  </w:abstractNum>
  <w:abstractNum w:abstractNumId="12" w15:restartNumberingAfterBreak="0">
    <w:nsid w:val="0A3E0BA6"/>
    <w:multiLevelType w:val="hybridMultilevel"/>
    <w:tmpl w:val="1FAEA3F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128706E1"/>
    <w:multiLevelType w:val="multilevel"/>
    <w:tmpl w:val="0B38D6A2"/>
    <w:name w:val="VLA Bullet Lis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14" w15:restartNumberingAfterBreak="0">
    <w:nsid w:val="174F705C"/>
    <w:multiLevelType w:val="hybridMultilevel"/>
    <w:tmpl w:val="A074F1D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1A887748"/>
    <w:multiLevelType w:val="hybridMultilevel"/>
    <w:tmpl w:val="D41820D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2510163D"/>
    <w:multiLevelType w:val="multilevel"/>
    <w:tmpl w:val="0B38D6A2"/>
    <w:name w:val="VLA List Bulle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17" w15:restartNumberingAfterBreak="0">
    <w:nsid w:val="30167822"/>
    <w:multiLevelType w:val="hybridMultilevel"/>
    <w:tmpl w:val="20104E9E"/>
    <w:lvl w:ilvl="0" w:tplc="0C090001">
      <w:start w:val="1"/>
      <w:numFmt w:val="bullet"/>
      <w:lvlText w:val=""/>
      <w:lvlJc w:val="left"/>
      <w:pPr>
        <w:ind w:left="781" w:hanging="360"/>
      </w:pPr>
      <w:rPr>
        <w:rFonts w:ascii="Symbol" w:hAnsi="Symbol" w:hint="default"/>
      </w:rPr>
    </w:lvl>
    <w:lvl w:ilvl="1" w:tplc="0C090003" w:tentative="1">
      <w:start w:val="1"/>
      <w:numFmt w:val="bullet"/>
      <w:lvlText w:val="o"/>
      <w:lvlJc w:val="left"/>
      <w:pPr>
        <w:ind w:left="1501" w:hanging="360"/>
      </w:pPr>
      <w:rPr>
        <w:rFonts w:ascii="Courier New" w:hAnsi="Courier New" w:cs="Courier New" w:hint="default"/>
      </w:rPr>
    </w:lvl>
    <w:lvl w:ilvl="2" w:tplc="0C090005" w:tentative="1">
      <w:start w:val="1"/>
      <w:numFmt w:val="bullet"/>
      <w:lvlText w:val=""/>
      <w:lvlJc w:val="left"/>
      <w:pPr>
        <w:ind w:left="2221" w:hanging="360"/>
      </w:pPr>
      <w:rPr>
        <w:rFonts w:ascii="Wingdings" w:hAnsi="Wingdings" w:hint="default"/>
      </w:rPr>
    </w:lvl>
    <w:lvl w:ilvl="3" w:tplc="0C090001" w:tentative="1">
      <w:start w:val="1"/>
      <w:numFmt w:val="bullet"/>
      <w:lvlText w:val=""/>
      <w:lvlJc w:val="left"/>
      <w:pPr>
        <w:ind w:left="2941" w:hanging="360"/>
      </w:pPr>
      <w:rPr>
        <w:rFonts w:ascii="Symbol" w:hAnsi="Symbol" w:hint="default"/>
      </w:rPr>
    </w:lvl>
    <w:lvl w:ilvl="4" w:tplc="0C090003" w:tentative="1">
      <w:start w:val="1"/>
      <w:numFmt w:val="bullet"/>
      <w:lvlText w:val="o"/>
      <w:lvlJc w:val="left"/>
      <w:pPr>
        <w:ind w:left="3661" w:hanging="360"/>
      </w:pPr>
      <w:rPr>
        <w:rFonts w:ascii="Courier New" w:hAnsi="Courier New" w:cs="Courier New" w:hint="default"/>
      </w:rPr>
    </w:lvl>
    <w:lvl w:ilvl="5" w:tplc="0C090005" w:tentative="1">
      <w:start w:val="1"/>
      <w:numFmt w:val="bullet"/>
      <w:lvlText w:val=""/>
      <w:lvlJc w:val="left"/>
      <w:pPr>
        <w:ind w:left="4381" w:hanging="360"/>
      </w:pPr>
      <w:rPr>
        <w:rFonts w:ascii="Wingdings" w:hAnsi="Wingdings" w:hint="default"/>
      </w:rPr>
    </w:lvl>
    <w:lvl w:ilvl="6" w:tplc="0C090001" w:tentative="1">
      <w:start w:val="1"/>
      <w:numFmt w:val="bullet"/>
      <w:lvlText w:val=""/>
      <w:lvlJc w:val="left"/>
      <w:pPr>
        <w:ind w:left="5101" w:hanging="360"/>
      </w:pPr>
      <w:rPr>
        <w:rFonts w:ascii="Symbol" w:hAnsi="Symbol" w:hint="default"/>
      </w:rPr>
    </w:lvl>
    <w:lvl w:ilvl="7" w:tplc="0C090003" w:tentative="1">
      <w:start w:val="1"/>
      <w:numFmt w:val="bullet"/>
      <w:lvlText w:val="o"/>
      <w:lvlJc w:val="left"/>
      <w:pPr>
        <w:ind w:left="5821" w:hanging="360"/>
      </w:pPr>
      <w:rPr>
        <w:rFonts w:ascii="Courier New" w:hAnsi="Courier New" w:cs="Courier New" w:hint="default"/>
      </w:rPr>
    </w:lvl>
    <w:lvl w:ilvl="8" w:tplc="0C090005" w:tentative="1">
      <w:start w:val="1"/>
      <w:numFmt w:val="bullet"/>
      <w:lvlText w:val=""/>
      <w:lvlJc w:val="left"/>
      <w:pPr>
        <w:ind w:left="6541" w:hanging="360"/>
      </w:pPr>
      <w:rPr>
        <w:rFonts w:ascii="Wingdings" w:hAnsi="Wingdings" w:hint="default"/>
      </w:rPr>
    </w:lvl>
  </w:abstractNum>
  <w:abstractNum w:abstractNumId="18"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9" w15:restartNumberingAfterBreak="0">
    <w:nsid w:val="377D646B"/>
    <w:multiLevelType w:val="multilevel"/>
    <w:tmpl w:val="AE5458BA"/>
    <w:name w:val="VLA_numbering"/>
    <w:lvl w:ilvl="0">
      <w:start w:val="1"/>
      <w:numFmt w:val="decimal"/>
      <w:lvlText w:val="%1."/>
      <w:lvlJc w:val="left"/>
      <w:pPr>
        <w:tabs>
          <w:tab w:val="num" w:pos="357"/>
        </w:tabs>
        <w:ind w:left="357" w:hanging="357"/>
      </w:pPr>
      <w:rPr>
        <w:rFonts w:ascii="Arial" w:hAnsi="Arial" w:hint="default"/>
        <w:sz w:val="21"/>
      </w:rPr>
    </w:lvl>
    <w:lvl w:ilvl="1">
      <w:start w:val="1"/>
      <w:numFmt w:val="lowerLetter"/>
      <w:lvlText w:val="%2."/>
      <w:lvlJc w:val="left"/>
      <w:pPr>
        <w:tabs>
          <w:tab w:val="num" w:pos="714"/>
        </w:tabs>
        <w:ind w:left="714" w:hanging="357"/>
      </w:pPr>
      <w:rPr>
        <w:rFonts w:hint="default"/>
      </w:rPr>
    </w:lvl>
    <w:lvl w:ilvl="2">
      <w:start w:val="1"/>
      <w:numFmt w:val="lowerRoman"/>
      <w:lvlText w:val="%3."/>
      <w:lvlJc w:val="right"/>
      <w:pPr>
        <w:tabs>
          <w:tab w:val="num" w:pos="1072"/>
        </w:tabs>
        <w:ind w:left="1072" w:hanging="358"/>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38914F2D"/>
    <w:multiLevelType w:val="hybridMultilevel"/>
    <w:tmpl w:val="57F6DD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01D5607"/>
    <w:multiLevelType w:val="hybridMultilevel"/>
    <w:tmpl w:val="40429D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AD06338"/>
    <w:multiLevelType w:val="multilevel"/>
    <w:tmpl w:val="08CCF84C"/>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a"/>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24"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25" w15:restartNumberingAfterBreak="0">
    <w:nsid w:val="59FE3B98"/>
    <w:multiLevelType w:val="hybridMultilevel"/>
    <w:tmpl w:val="F5DC82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DDE6AFA"/>
    <w:multiLevelType w:val="hybridMultilevel"/>
    <w:tmpl w:val="36C80D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F1C6CC5"/>
    <w:multiLevelType w:val="multilevel"/>
    <w:tmpl w:val="FAA40654"/>
    <w:name w:val="VLA Bullet List3"/>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28" w15:restartNumberingAfterBreak="0">
    <w:nsid w:val="62191EA0"/>
    <w:multiLevelType w:val="hybridMultilevel"/>
    <w:tmpl w:val="1D22FCE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63DA6185"/>
    <w:multiLevelType w:val="hybridMultilevel"/>
    <w:tmpl w:val="0284CA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438121D"/>
    <w:multiLevelType w:val="multilevel"/>
    <w:tmpl w:val="5616E46E"/>
    <w:name w:val="VLA Bullet List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31" w15:restartNumberingAfterBreak="0">
    <w:nsid w:val="6B5D0BD4"/>
    <w:multiLevelType w:val="hybridMultilevel"/>
    <w:tmpl w:val="CDC453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0554E29"/>
    <w:multiLevelType w:val="hybridMultilevel"/>
    <w:tmpl w:val="23FCD2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9465803"/>
    <w:multiLevelType w:val="multilevel"/>
    <w:tmpl w:val="590EFE08"/>
    <w:name w:val="VLA Bullet List2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34" w15:restartNumberingAfterBreak="0">
    <w:nsid w:val="7A513A35"/>
    <w:multiLevelType w:val="hybridMultilevel"/>
    <w:tmpl w:val="77601F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DBD1FDB"/>
    <w:multiLevelType w:val="hybridMultilevel"/>
    <w:tmpl w:val="8D80DBB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22"/>
  </w:num>
  <w:num w:numId="2">
    <w:abstractNumId w:val="18"/>
  </w:num>
  <w:num w:numId="3">
    <w:abstractNumId w:val="24"/>
  </w:num>
  <w:num w:numId="4">
    <w:abstractNumId w:val="23"/>
  </w:num>
  <w:num w:numId="5">
    <w:abstractNumId w:val="26"/>
  </w:num>
  <w:num w:numId="6">
    <w:abstractNumId w:val="32"/>
  </w:num>
  <w:num w:numId="7">
    <w:abstractNumId w:val="7"/>
  </w:num>
  <w:num w:numId="8">
    <w:abstractNumId w:val="31"/>
  </w:num>
  <w:num w:numId="9">
    <w:abstractNumId w:val="20"/>
  </w:num>
  <w:num w:numId="10">
    <w:abstractNumId w:val="17"/>
  </w:num>
  <w:num w:numId="11">
    <w:abstractNumId w:val="9"/>
  </w:num>
  <w:num w:numId="12">
    <w:abstractNumId w:val="25"/>
  </w:num>
  <w:num w:numId="13">
    <w:abstractNumId w:val="10"/>
  </w:num>
  <w:num w:numId="14">
    <w:abstractNumId w:val="8"/>
  </w:num>
  <w:num w:numId="15">
    <w:abstractNumId w:val="15"/>
  </w:num>
  <w:num w:numId="16">
    <w:abstractNumId w:val="12"/>
  </w:num>
  <w:num w:numId="17">
    <w:abstractNumId w:val="6"/>
  </w:num>
  <w:num w:numId="18">
    <w:abstractNumId w:val="21"/>
  </w:num>
  <w:num w:numId="19">
    <w:abstractNumId w:val="34"/>
  </w:num>
  <w:num w:numId="20">
    <w:abstractNumId w:val="29"/>
  </w:num>
  <w:num w:numId="21">
    <w:abstractNumId w:val="11"/>
  </w:num>
  <w:num w:numId="22">
    <w:abstractNumId w:val="4"/>
  </w:num>
  <w:num w:numId="23">
    <w:abstractNumId w:val="5"/>
  </w:num>
  <w:num w:numId="24">
    <w:abstractNumId w:val="3"/>
  </w:num>
  <w:num w:numId="25">
    <w:abstractNumId w:val="2"/>
  </w:num>
  <w:num w:numId="26">
    <w:abstractNumId w:val="1"/>
  </w:num>
  <w:num w:numId="27">
    <w:abstractNumId w:val="0"/>
  </w:num>
  <w:num w:numId="28">
    <w:abstractNumId w:val="28"/>
  </w:num>
  <w:num w:numId="29">
    <w:abstractNumId w:val="35"/>
  </w:num>
  <w:num w:numId="30">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en-AU" w:vendorID="64" w:dllVersion="0" w:nlCheck="1" w:checkStyle="1"/>
  <w:activeWritingStyle w:appName="MSWord" w:lang="en-US" w:vendorID="64" w:dllVersion="0" w:nlCheck="1" w:checkStyle="1"/>
  <w:defaultTabStop w:val="720"/>
  <w:drawingGridHorizontalSpacing w:val="11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C5B"/>
    <w:rsid w:val="0000389D"/>
    <w:rsid w:val="00007914"/>
    <w:rsid w:val="000155A6"/>
    <w:rsid w:val="00015FA8"/>
    <w:rsid w:val="00022C70"/>
    <w:rsid w:val="00022C83"/>
    <w:rsid w:val="00022F0E"/>
    <w:rsid w:val="00022F62"/>
    <w:rsid w:val="000240FD"/>
    <w:rsid w:val="00032AF3"/>
    <w:rsid w:val="000417F4"/>
    <w:rsid w:val="0005492F"/>
    <w:rsid w:val="00055B69"/>
    <w:rsid w:val="00056D16"/>
    <w:rsid w:val="000578D9"/>
    <w:rsid w:val="000579AC"/>
    <w:rsid w:val="00057D39"/>
    <w:rsid w:val="000610FC"/>
    <w:rsid w:val="00061235"/>
    <w:rsid w:val="00062699"/>
    <w:rsid w:val="00063D36"/>
    <w:rsid w:val="00064301"/>
    <w:rsid w:val="00064B2A"/>
    <w:rsid w:val="00080080"/>
    <w:rsid w:val="00084C6C"/>
    <w:rsid w:val="00085742"/>
    <w:rsid w:val="000936FC"/>
    <w:rsid w:val="000A711A"/>
    <w:rsid w:val="000B02D8"/>
    <w:rsid w:val="000B0AB6"/>
    <w:rsid w:val="000B278C"/>
    <w:rsid w:val="000B6A07"/>
    <w:rsid w:val="000C0B84"/>
    <w:rsid w:val="000D09E2"/>
    <w:rsid w:val="000D41D7"/>
    <w:rsid w:val="000D4F97"/>
    <w:rsid w:val="000E0695"/>
    <w:rsid w:val="000E4B9B"/>
    <w:rsid w:val="000E7142"/>
    <w:rsid w:val="00100DE3"/>
    <w:rsid w:val="00101CBD"/>
    <w:rsid w:val="00113537"/>
    <w:rsid w:val="0011475E"/>
    <w:rsid w:val="00114C38"/>
    <w:rsid w:val="00114EE2"/>
    <w:rsid w:val="0011572E"/>
    <w:rsid w:val="0011793B"/>
    <w:rsid w:val="00124D25"/>
    <w:rsid w:val="00130286"/>
    <w:rsid w:val="00131862"/>
    <w:rsid w:val="0014270F"/>
    <w:rsid w:val="001479F2"/>
    <w:rsid w:val="0015447C"/>
    <w:rsid w:val="00157046"/>
    <w:rsid w:val="00161EEF"/>
    <w:rsid w:val="0017198B"/>
    <w:rsid w:val="00175D56"/>
    <w:rsid w:val="00177249"/>
    <w:rsid w:val="001816E4"/>
    <w:rsid w:val="001843D7"/>
    <w:rsid w:val="0019339A"/>
    <w:rsid w:val="001A17AA"/>
    <w:rsid w:val="001A38DD"/>
    <w:rsid w:val="001A6D47"/>
    <w:rsid w:val="001B270D"/>
    <w:rsid w:val="001B3947"/>
    <w:rsid w:val="001C4BC6"/>
    <w:rsid w:val="001D5D94"/>
    <w:rsid w:val="001E0A52"/>
    <w:rsid w:val="001E400F"/>
    <w:rsid w:val="001E5143"/>
    <w:rsid w:val="001E6956"/>
    <w:rsid w:val="001E730B"/>
    <w:rsid w:val="001F5717"/>
    <w:rsid w:val="001F6FFA"/>
    <w:rsid w:val="001F7353"/>
    <w:rsid w:val="0021585A"/>
    <w:rsid w:val="0021747A"/>
    <w:rsid w:val="002209F3"/>
    <w:rsid w:val="002228E1"/>
    <w:rsid w:val="00240901"/>
    <w:rsid w:val="00241612"/>
    <w:rsid w:val="00241904"/>
    <w:rsid w:val="002435C9"/>
    <w:rsid w:val="00243AE8"/>
    <w:rsid w:val="00254123"/>
    <w:rsid w:val="002565A5"/>
    <w:rsid w:val="002574E0"/>
    <w:rsid w:val="00262D02"/>
    <w:rsid w:val="0026649B"/>
    <w:rsid w:val="002769FB"/>
    <w:rsid w:val="00280673"/>
    <w:rsid w:val="00285AD4"/>
    <w:rsid w:val="0029348C"/>
    <w:rsid w:val="00294136"/>
    <w:rsid w:val="0029727E"/>
    <w:rsid w:val="002A3D1D"/>
    <w:rsid w:val="002A7402"/>
    <w:rsid w:val="002B4970"/>
    <w:rsid w:val="002D25F1"/>
    <w:rsid w:val="002D74B3"/>
    <w:rsid w:val="002E64B6"/>
    <w:rsid w:val="0030591D"/>
    <w:rsid w:val="00305D85"/>
    <w:rsid w:val="00307C02"/>
    <w:rsid w:val="00310AB6"/>
    <w:rsid w:val="003124DA"/>
    <w:rsid w:val="00323000"/>
    <w:rsid w:val="00333A00"/>
    <w:rsid w:val="00336950"/>
    <w:rsid w:val="0034118D"/>
    <w:rsid w:val="00343DAA"/>
    <w:rsid w:val="00353D80"/>
    <w:rsid w:val="00357A85"/>
    <w:rsid w:val="00360AB0"/>
    <w:rsid w:val="00362324"/>
    <w:rsid w:val="0036511B"/>
    <w:rsid w:val="00371282"/>
    <w:rsid w:val="00372327"/>
    <w:rsid w:val="00374F56"/>
    <w:rsid w:val="00376112"/>
    <w:rsid w:val="003775EB"/>
    <w:rsid w:val="00383710"/>
    <w:rsid w:val="00384660"/>
    <w:rsid w:val="0039357C"/>
    <w:rsid w:val="003A13F2"/>
    <w:rsid w:val="003A2302"/>
    <w:rsid w:val="003A4E0A"/>
    <w:rsid w:val="003A5726"/>
    <w:rsid w:val="003B6366"/>
    <w:rsid w:val="003B70E2"/>
    <w:rsid w:val="003C0DF7"/>
    <w:rsid w:val="003C2F49"/>
    <w:rsid w:val="003C46EE"/>
    <w:rsid w:val="003C4A7F"/>
    <w:rsid w:val="003C7A7F"/>
    <w:rsid w:val="003D29C2"/>
    <w:rsid w:val="003E17D1"/>
    <w:rsid w:val="003E38DD"/>
    <w:rsid w:val="003E3B9E"/>
    <w:rsid w:val="003E409C"/>
    <w:rsid w:val="003E5D82"/>
    <w:rsid w:val="003F1C1E"/>
    <w:rsid w:val="003F48A9"/>
    <w:rsid w:val="003F501A"/>
    <w:rsid w:val="003F55A5"/>
    <w:rsid w:val="003F6005"/>
    <w:rsid w:val="003F6B50"/>
    <w:rsid w:val="0040008B"/>
    <w:rsid w:val="004001DA"/>
    <w:rsid w:val="00403CB1"/>
    <w:rsid w:val="00404428"/>
    <w:rsid w:val="0041181E"/>
    <w:rsid w:val="00412463"/>
    <w:rsid w:val="00414946"/>
    <w:rsid w:val="00414F73"/>
    <w:rsid w:val="004239C7"/>
    <w:rsid w:val="00423CC7"/>
    <w:rsid w:val="00423DE6"/>
    <w:rsid w:val="00424B79"/>
    <w:rsid w:val="004365C6"/>
    <w:rsid w:val="00442077"/>
    <w:rsid w:val="00442DBC"/>
    <w:rsid w:val="00447C83"/>
    <w:rsid w:val="0045435F"/>
    <w:rsid w:val="004557BA"/>
    <w:rsid w:val="00460748"/>
    <w:rsid w:val="00461AE2"/>
    <w:rsid w:val="00462BA5"/>
    <w:rsid w:val="00462C13"/>
    <w:rsid w:val="004637BC"/>
    <w:rsid w:val="0046548B"/>
    <w:rsid w:val="0048037C"/>
    <w:rsid w:val="00481371"/>
    <w:rsid w:val="00486AFA"/>
    <w:rsid w:val="00493B23"/>
    <w:rsid w:val="00495490"/>
    <w:rsid w:val="00496242"/>
    <w:rsid w:val="004A2CDA"/>
    <w:rsid w:val="004B12B4"/>
    <w:rsid w:val="004C5033"/>
    <w:rsid w:val="004C5733"/>
    <w:rsid w:val="004D3864"/>
    <w:rsid w:val="004D3B12"/>
    <w:rsid w:val="004D3C64"/>
    <w:rsid w:val="004D7ABB"/>
    <w:rsid w:val="004E0688"/>
    <w:rsid w:val="004E2C5B"/>
    <w:rsid w:val="004E511B"/>
    <w:rsid w:val="004F038C"/>
    <w:rsid w:val="004F1880"/>
    <w:rsid w:val="004F2CD9"/>
    <w:rsid w:val="00501B72"/>
    <w:rsid w:val="00520FB3"/>
    <w:rsid w:val="00521801"/>
    <w:rsid w:val="00525B2A"/>
    <w:rsid w:val="005272D5"/>
    <w:rsid w:val="005314CA"/>
    <w:rsid w:val="00531FD9"/>
    <w:rsid w:val="00536988"/>
    <w:rsid w:val="0053740A"/>
    <w:rsid w:val="005375A4"/>
    <w:rsid w:val="00541DAD"/>
    <w:rsid w:val="0054738D"/>
    <w:rsid w:val="00551636"/>
    <w:rsid w:val="00551D70"/>
    <w:rsid w:val="00556A24"/>
    <w:rsid w:val="0056148F"/>
    <w:rsid w:val="00561788"/>
    <w:rsid w:val="0056464E"/>
    <w:rsid w:val="00564F86"/>
    <w:rsid w:val="00567614"/>
    <w:rsid w:val="0057176B"/>
    <w:rsid w:val="005731B6"/>
    <w:rsid w:val="005758F2"/>
    <w:rsid w:val="00576A20"/>
    <w:rsid w:val="0058545E"/>
    <w:rsid w:val="00585ADB"/>
    <w:rsid w:val="005A01BE"/>
    <w:rsid w:val="005A1447"/>
    <w:rsid w:val="005A7F72"/>
    <w:rsid w:val="005B0509"/>
    <w:rsid w:val="005B2676"/>
    <w:rsid w:val="005B4BAD"/>
    <w:rsid w:val="005C28CD"/>
    <w:rsid w:val="005C6A6F"/>
    <w:rsid w:val="005D103A"/>
    <w:rsid w:val="005D1354"/>
    <w:rsid w:val="005D5637"/>
    <w:rsid w:val="005E248A"/>
    <w:rsid w:val="005E3CA0"/>
    <w:rsid w:val="005F193F"/>
    <w:rsid w:val="005F7D8E"/>
    <w:rsid w:val="0060449D"/>
    <w:rsid w:val="00604558"/>
    <w:rsid w:val="00604D69"/>
    <w:rsid w:val="00605673"/>
    <w:rsid w:val="00605C95"/>
    <w:rsid w:val="00611992"/>
    <w:rsid w:val="006151E7"/>
    <w:rsid w:val="00616450"/>
    <w:rsid w:val="006260BB"/>
    <w:rsid w:val="00640994"/>
    <w:rsid w:val="00643109"/>
    <w:rsid w:val="00645648"/>
    <w:rsid w:val="00653753"/>
    <w:rsid w:val="00653D29"/>
    <w:rsid w:val="00653DD4"/>
    <w:rsid w:val="00657BC3"/>
    <w:rsid w:val="0066180F"/>
    <w:rsid w:val="00665568"/>
    <w:rsid w:val="00672AF9"/>
    <w:rsid w:val="00673EDA"/>
    <w:rsid w:val="00675BF8"/>
    <w:rsid w:val="00677EB3"/>
    <w:rsid w:val="006819A3"/>
    <w:rsid w:val="006831FC"/>
    <w:rsid w:val="00683F81"/>
    <w:rsid w:val="00685504"/>
    <w:rsid w:val="00687605"/>
    <w:rsid w:val="00696BAC"/>
    <w:rsid w:val="006A5F7D"/>
    <w:rsid w:val="006A6A7D"/>
    <w:rsid w:val="006B2384"/>
    <w:rsid w:val="006B4E7A"/>
    <w:rsid w:val="006B796E"/>
    <w:rsid w:val="006B7DD2"/>
    <w:rsid w:val="006C1FB0"/>
    <w:rsid w:val="006C3D4C"/>
    <w:rsid w:val="006C4CA7"/>
    <w:rsid w:val="006D532E"/>
    <w:rsid w:val="006E2882"/>
    <w:rsid w:val="006E2AD6"/>
    <w:rsid w:val="006E2FA2"/>
    <w:rsid w:val="006E3195"/>
    <w:rsid w:val="006E5A29"/>
    <w:rsid w:val="006F186D"/>
    <w:rsid w:val="006F5186"/>
    <w:rsid w:val="00704E50"/>
    <w:rsid w:val="007070A8"/>
    <w:rsid w:val="00707B1D"/>
    <w:rsid w:val="0071324F"/>
    <w:rsid w:val="0071348E"/>
    <w:rsid w:val="00714771"/>
    <w:rsid w:val="00716188"/>
    <w:rsid w:val="00721798"/>
    <w:rsid w:val="00723E63"/>
    <w:rsid w:val="00733602"/>
    <w:rsid w:val="00736267"/>
    <w:rsid w:val="0074648C"/>
    <w:rsid w:val="0075285A"/>
    <w:rsid w:val="007538CC"/>
    <w:rsid w:val="007550FB"/>
    <w:rsid w:val="00756788"/>
    <w:rsid w:val="007600C3"/>
    <w:rsid w:val="007602FD"/>
    <w:rsid w:val="0076778C"/>
    <w:rsid w:val="00770BDB"/>
    <w:rsid w:val="00774F94"/>
    <w:rsid w:val="007767BD"/>
    <w:rsid w:val="00777FB1"/>
    <w:rsid w:val="0078022B"/>
    <w:rsid w:val="007825F3"/>
    <w:rsid w:val="00782E5E"/>
    <w:rsid w:val="00783185"/>
    <w:rsid w:val="007933F4"/>
    <w:rsid w:val="007966A5"/>
    <w:rsid w:val="007A212B"/>
    <w:rsid w:val="007B485F"/>
    <w:rsid w:val="007B6D12"/>
    <w:rsid w:val="007D08B2"/>
    <w:rsid w:val="007D2242"/>
    <w:rsid w:val="007D7535"/>
    <w:rsid w:val="007E4154"/>
    <w:rsid w:val="007E4CB8"/>
    <w:rsid w:val="007E54F6"/>
    <w:rsid w:val="007E76DB"/>
    <w:rsid w:val="007F505B"/>
    <w:rsid w:val="007F52A9"/>
    <w:rsid w:val="007F5ABB"/>
    <w:rsid w:val="00800301"/>
    <w:rsid w:val="008035E7"/>
    <w:rsid w:val="00811FE7"/>
    <w:rsid w:val="00827C8B"/>
    <w:rsid w:val="0083009F"/>
    <w:rsid w:val="00835928"/>
    <w:rsid w:val="00835DCC"/>
    <w:rsid w:val="008377A1"/>
    <w:rsid w:val="00840D25"/>
    <w:rsid w:val="008425B2"/>
    <w:rsid w:val="008450E7"/>
    <w:rsid w:val="00850401"/>
    <w:rsid w:val="00853BDA"/>
    <w:rsid w:val="00855D9B"/>
    <w:rsid w:val="0085710F"/>
    <w:rsid w:val="00860AEE"/>
    <w:rsid w:val="008636CA"/>
    <w:rsid w:val="00866B70"/>
    <w:rsid w:val="008763EE"/>
    <w:rsid w:val="00876671"/>
    <w:rsid w:val="00880A46"/>
    <w:rsid w:val="00885238"/>
    <w:rsid w:val="00885371"/>
    <w:rsid w:val="00890925"/>
    <w:rsid w:val="00891949"/>
    <w:rsid w:val="008A067C"/>
    <w:rsid w:val="008B6507"/>
    <w:rsid w:val="008B6EEB"/>
    <w:rsid w:val="008C072E"/>
    <w:rsid w:val="008C4E01"/>
    <w:rsid w:val="008F0579"/>
    <w:rsid w:val="008F057C"/>
    <w:rsid w:val="008F12E0"/>
    <w:rsid w:val="008F1F0B"/>
    <w:rsid w:val="008F36EC"/>
    <w:rsid w:val="008F726E"/>
    <w:rsid w:val="008F750B"/>
    <w:rsid w:val="00911151"/>
    <w:rsid w:val="00917CD4"/>
    <w:rsid w:val="00917DE9"/>
    <w:rsid w:val="00925672"/>
    <w:rsid w:val="00926DAA"/>
    <w:rsid w:val="0093361D"/>
    <w:rsid w:val="00933D41"/>
    <w:rsid w:val="0094252E"/>
    <w:rsid w:val="00944DBA"/>
    <w:rsid w:val="00945E43"/>
    <w:rsid w:val="0094625D"/>
    <w:rsid w:val="00946548"/>
    <w:rsid w:val="00951752"/>
    <w:rsid w:val="0095388B"/>
    <w:rsid w:val="00953ADC"/>
    <w:rsid w:val="0095636C"/>
    <w:rsid w:val="00957221"/>
    <w:rsid w:val="009642AF"/>
    <w:rsid w:val="00981EB4"/>
    <w:rsid w:val="0098606E"/>
    <w:rsid w:val="009922E5"/>
    <w:rsid w:val="009A227B"/>
    <w:rsid w:val="009A23DB"/>
    <w:rsid w:val="009A2930"/>
    <w:rsid w:val="009A5164"/>
    <w:rsid w:val="009A6950"/>
    <w:rsid w:val="009B6FE8"/>
    <w:rsid w:val="009C1230"/>
    <w:rsid w:val="009C12DD"/>
    <w:rsid w:val="009D0F76"/>
    <w:rsid w:val="009D3968"/>
    <w:rsid w:val="009E36DF"/>
    <w:rsid w:val="009E3C5B"/>
    <w:rsid w:val="009F2795"/>
    <w:rsid w:val="009F2F9E"/>
    <w:rsid w:val="009F7A4E"/>
    <w:rsid w:val="009F7A60"/>
    <w:rsid w:val="009F7E61"/>
    <w:rsid w:val="00A04585"/>
    <w:rsid w:val="00A134FD"/>
    <w:rsid w:val="00A171DA"/>
    <w:rsid w:val="00A2002E"/>
    <w:rsid w:val="00A25235"/>
    <w:rsid w:val="00A30C8A"/>
    <w:rsid w:val="00A31347"/>
    <w:rsid w:val="00A448DA"/>
    <w:rsid w:val="00A549D1"/>
    <w:rsid w:val="00A551BE"/>
    <w:rsid w:val="00A6198D"/>
    <w:rsid w:val="00A61C83"/>
    <w:rsid w:val="00A63371"/>
    <w:rsid w:val="00A64C07"/>
    <w:rsid w:val="00A66E6A"/>
    <w:rsid w:val="00A712DE"/>
    <w:rsid w:val="00A804C6"/>
    <w:rsid w:val="00A80FFC"/>
    <w:rsid w:val="00A82893"/>
    <w:rsid w:val="00A940C0"/>
    <w:rsid w:val="00A94752"/>
    <w:rsid w:val="00AA2CCE"/>
    <w:rsid w:val="00AA5335"/>
    <w:rsid w:val="00AA770B"/>
    <w:rsid w:val="00AB6BFF"/>
    <w:rsid w:val="00AC1D04"/>
    <w:rsid w:val="00AC2B72"/>
    <w:rsid w:val="00AC43EA"/>
    <w:rsid w:val="00AC464A"/>
    <w:rsid w:val="00AD2906"/>
    <w:rsid w:val="00AE146B"/>
    <w:rsid w:val="00AE1D8D"/>
    <w:rsid w:val="00AF001C"/>
    <w:rsid w:val="00AF56AB"/>
    <w:rsid w:val="00AF5D4C"/>
    <w:rsid w:val="00B0000B"/>
    <w:rsid w:val="00B01519"/>
    <w:rsid w:val="00B0606A"/>
    <w:rsid w:val="00B07747"/>
    <w:rsid w:val="00B10A7F"/>
    <w:rsid w:val="00B10F93"/>
    <w:rsid w:val="00B1402A"/>
    <w:rsid w:val="00B15325"/>
    <w:rsid w:val="00B1619F"/>
    <w:rsid w:val="00B22672"/>
    <w:rsid w:val="00B23F19"/>
    <w:rsid w:val="00B26D62"/>
    <w:rsid w:val="00B3125C"/>
    <w:rsid w:val="00B326FA"/>
    <w:rsid w:val="00B36563"/>
    <w:rsid w:val="00B37955"/>
    <w:rsid w:val="00B41378"/>
    <w:rsid w:val="00B44BFB"/>
    <w:rsid w:val="00B475A8"/>
    <w:rsid w:val="00B556D7"/>
    <w:rsid w:val="00B56F07"/>
    <w:rsid w:val="00B60A4B"/>
    <w:rsid w:val="00B616D2"/>
    <w:rsid w:val="00B647BB"/>
    <w:rsid w:val="00B70E99"/>
    <w:rsid w:val="00B71CCD"/>
    <w:rsid w:val="00B726F1"/>
    <w:rsid w:val="00B72806"/>
    <w:rsid w:val="00B728AE"/>
    <w:rsid w:val="00B74D66"/>
    <w:rsid w:val="00B8316F"/>
    <w:rsid w:val="00B921BF"/>
    <w:rsid w:val="00B9248C"/>
    <w:rsid w:val="00B93DDD"/>
    <w:rsid w:val="00B94104"/>
    <w:rsid w:val="00B97EFB"/>
    <w:rsid w:val="00B97EFF"/>
    <w:rsid w:val="00BA222F"/>
    <w:rsid w:val="00BA3FA4"/>
    <w:rsid w:val="00BA4488"/>
    <w:rsid w:val="00BA6D49"/>
    <w:rsid w:val="00BB01EC"/>
    <w:rsid w:val="00BB1F72"/>
    <w:rsid w:val="00BB2E00"/>
    <w:rsid w:val="00BB352E"/>
    <w:rsid w:val="00BB55D9"/>
    <w:rsid w:val="00BC4D4B"/>
    <w:rsid w:val="00BD1123"/>
    <w:rsid w:val="00BE0E09"/>
    <w:rsid w:val="00BE0E40"/>
    <w:rsid w:val="00BE25A1"/>
    <w:rsid w:val="00BE63A6"/>
    <w:rsid w:val="00BE7FD7"/>
    <w:rsid w:val="00BF073A"/>
    <w:rsid w:val="00BF13C6"/>
    <w:rsid w:val="00BF1BDA"/>
    <w:rsid w:val="00BF3F3B"/>
    <w:rsid w:val="00C01D35"/>
    <w:rsid w:val="00C03A1C"/>
    <w:rsid w:val="00C040AE"/>
    <w:rsid w:val="00C05543"/>
    <w:rsid w:val="00C07422"/>
    <w:rsid w:val="00C148F9"/>
    <w:rsid w:val="00C16A13"/>
    <w:rsid w:val="00C16A43"/>
    <w:rsid w:val="00C171FB"/>
    <w:rsid w:val="00C20338"/>
    <w:rsid w:val="00C22FC4"/>
    <w:rsid w:val="00C27D47"/>
    <w:rsid w:val="00C349DD"/>
    <w:rsid w:val="00C352AC"/>
    <w:rsid w:val="00C4614D"/>
    <w:rsid w:val="00C5490E"/>
    <w:rsid w:val="00C564C2"/>
    <w:rsid w:val="00C568E5"/>
    <w:rsid w:val="00C578A3"/>
    <w:rsid w:val="00C613D3"/>
    <w:rsid w:val="00C627F5"/>
    <w:rsid w:val="00C70818"/>
    <w:rsid w:val="00C74608"/>
    <w:rsid w:val="00C74806"/>
    <w:rsid w:val="00C76860"/>
    <w:rsid w:val="00C76ACB"/>
    <w:rsid w:val="00C77E6E"/>
    <w:rsid w:val="00C85211"/>
    <w:rsid w:val="00C915FE"/>
    <w:rsid w:val="00C96248"/>
    <w:rsid w:val="00C96789"/>
    <w:rsid w:val="00CA0D04"/>
    <w:rsid w:val="00CA228A"/>
    <w:rsid w:val="00CA3E00"/>
    <w:rsid w:val="00CA4F9B"/>
    <w:rsid w:val="00CA5BC6"/>
    <w:rsid w:val="00CA6B46"/>
    <w:rsid w:val="00CA7422"/>
    <w:rsid w:val="00CB5042"/>
    <w:rsid w:val="00CB6506"/>
    <w:rsid w:val="00CC0C03"/>
    <w:rsid w:val="00CC6B8A"/>
    <w:rsid w:val="00CC77B0"/>
    <w:rsid w:val="00CD1FDE"/>
    <w:rsid w:val="00CE29C1"/>
    <w:rsid w:val="00CE4C2F"/>
    <w:rsid w:val="00CE52ED"/>
    <w:rsid w:val="00CE5D1C"/>
    <w:rsid w:val="00CE744C"/>
    <w:rsid w:val="00CF1809"/>
    <w:rsid w:val="00CF1AC5"/>
    <w:rsid w:val="00CF7865"/>
    <w:rsid w:val="00D2112B"/>
    <w:rsid w:val="00D223EE"/>
    <w:rsid w:val="00D3446D"/>
    <w:rsid w:val="00D364CA"/>
    <w:rsid w:val="00D40369"/>
    <w:rsid w:val="00D43920"/>
    <w:rsid w:val="00D47B4C"/>
    <w:rsid w:val="00D51B10"/>
    <w:rsid w:val="00D540C1"/>
    <w:rsid w:val="00D60A46"/>
    <w:rsid w:val="00D622EF"/>
    <w:rsid w:val="00D64351"/>
    <w:rsid w:val="00D7143E"/>
    <w:rsid w:val="00D77FC5"/>
    <w:rsid w:val="00D86BA1"/>
    <w:rsid w:val="00D86C2C"/>
    <w:rsid w:val="00D87556"/>
    <w:rsid w:val="00D87E39"/>
    <w:rsid w:val="00D87F9D"/>
    <w:rsid w:val="00D917C3"/>
    <w:rsid w:val="00DA29C4"/>
    <w:rsid w:val="00DA7AB8"/>
    <w:rsid w:val="00DB3599"/>
    <w:rsid w:val="00DB51EF"/>
    <w:rsid w:val="00DB7701"/>
    <w:rsid w:val="00DC2052"/>
    <w:rsid w:val="00DC3C22"/>
    <w:rsid w:val="00DD6C7D"/>
    <w:rsid w:val="00DD721D"/>
    <w:rsid w:val="00DF1BAE"/>
    <w:rsid w:val="00DF4036"/>
    <w:rsid w:val="00E00306"/>
    <w:rsid w:val="00E004C5"/>
    <w:rsid w:val="00E00F9A"/>
    <w:rsid w:val="00E1488D"/>
    <w:rsid w:val="00E15C73"/>
    <w:rsid w:val="00E15F96"/>
    <w:rsid w:val="00E24A08"/>
    <w:rsid w:val="00E25DAE"/>
    <w:rsid w:val="00E2766E"/>
    <w:rsid w:val="00E30944"/>
    <w:rsid w:val="00E36631"/>
    <w:rsid w:val="00E36CAF"/>
    <w:rsid w:val="00E42BB4"/>
    <w:rsid w:val="00E444E9"/>
    <w:rsid w:val="00E476B9"/>
    <w:rsid w:val="00E524B4"/>
    <w:rsid w:val="00E52D83"/>
    <w:rsid w:val="00E530FD"/>
    <w:rsid w:val="00E54597"/>
    <w:rsid w:val="00E61A54"/>
    <w:rsid w:val="00E61E27"/>
    <w:rsid w:val="00E6688C"/>
    <w:rsid w:val="00E67CD3"/>
    <w:rsid w:val="00E70491"/>
    <w:rsid w:val="00E72E37"/>
    <w:rsid w:val="00E83176"/>
    <w:rsid w:val="00E8483F"/>
    <w:rsid w:val="00E8705C"/>
    <w:rsid w:val="00E9228F"/>
    <w:rsid w:val="00E942EA"/>
    <w:rsid w:val="00E96F91"/>
    <w:rsid w:val="00EA1560"/>
    <w:rsid w:val="00EA164B"/>
    <w:rsid w:val="00EB1B22"/>
    <w:rsid w:val="00EB6A0B"/>
    <w:rsid w:val="00EC1756"/>
    <w:rsid w:val="00EC1FF1"/>
    <w:rsid w:val="00EC3306"/>
    <w:rsid w:val="00EC541B"/>
    <w:rsid w:val="00EC6B29"/>
    <w:rsid w:val="00ED5F06"/>
    <w:rsid w:val="00ED5FF7"/>
    <w:rsid w:val="00EE1259"/>
    <w:rsid w:val="00EE167C"/>
    <w:rsid w:val="00EE34C6"/>
    <w:rsid w:val="00EE5DC2"/>
    <w:rsid w:val="00EE5F5D"/>
    <w:rsid w:val="00EE685D"/>
    <w:rsid w:val="00EE70DD"/>
    <w:rsid w:val="00EF0EE1"/>
    <w:rsid w:val="00EF7DDD"/>
    <w:rsid w:val="00F017E3"/>
    <w:rsid w:val="00F03063"/>
    <w:rsid w:val="00F035C1"/>
    <w:rsid w:val="00F07505"/>
    <w:rsid w:val="00F10C5A"/>
    <w:rsid w:val="00F116E5"/>
    <w:rsid w:val="00F125E0"/>
    <w:rsid w:val="00F244BF"/>
    <w:rsid w:val="00F2554F"/>
    <w:rsid w:val="00F25B9E"/>
    <w:rsid w:val="00F31F4C"/>
    <w:rsid w:val="00F320FD"/>
    <w:rsid w:val="00F34F86"/>
    <w:rsid w:val="00F3505A"/>
    <w:rsid w:val="00F37804"/>
    <w:rsid w:val="00F44DD7"/>
    <w:rsid w:val="00F470AF"/>
    <w:rsid w:val="00F51532"/>
    <w:rsid w:val="00F526FE"/>
    <w:rsid w:val="00F6591A"/>
    <w:rsid w:val="00F667C0"/>
    <w:rsid w:val="00F70A61"/>
    <w:rsid w:val="00F773E8"/>
    <w:rsid w:val="00F82AB6"/>
    <w:rsid w:val="00F8381F"/>
    <w:rsid w:val="00F83EC1"/>
    <w:rsid w:val="00F84688"/>
    <w:rsid w:val="00F87059"/>
    <w:rsid w:val="00F92EA5"/>
    <w:rsid w:val="00F93E0C"/>
    <w:rsid w:val="00F96C67"/>
    <w:rsid w:val="00FB110A"/>
    <w:rsid w:val="00FB7C15"/>
    <w:rsid w:val="00FC2237"/>
    <w:rsid w:val="00FC4460"/>
    <w:rsid w:val="00FC7073"/>
    <w:rsid w:val="00FE24F9"/>
    <w:rsid w:val="00FF311E"/>
    <w:rsid w:val="00FF47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33B8C0D"/>
  <w15:chartTrackingRefBased/>
  <w15:docId w15:val="{B594B4D0-0289-49B0-A3FB-0C8DFA59E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E76DB"/>
    <w:pPr>
      <w:spacing w:after="120" w:line="300" w:lineRule="atLeast"/>
    </w:pPr>
    <w:rPr>
      <w:rFonts w:ascii="Arial" w:hAnsi="Arial"/>
      <w:sz w:val="22"/>
      <w:szCs w:val="24"/>
      <w:lang w:eastAsia="en-US"/>
    </w:rPr>
  </w:style>
  <w:style w:type="paragraph" w:styleId="Heading1">
    <w:name w:val="heading 1"/>
    <w:next w:val="Normal"/>
    <w:qFormat/>
    <w:rsid w:val="0094252E"/>
    <w:pPr>
      <w:keepNext/>
      <w:spacing w:before="240" w:after="120" w:line="300" w:lineRule="atLeast"/>
      <w:outlineLvl w:val="0"/>
    </w:pPr>
    <w:rPr>
      <w:rFonts w:ascii="Arial" w:hAnsi="Arial" w:cs="Arial"/>
      <w:b/>
      <w:bCs/>
      <w:color w:val="971A4B"/>
      <w:kern w:val="32"/>
      <w:sz w:val="32"/>
      <w:szCs w:val="32"/>
    </w:rPr>
  </w:style>
  <w:style w:type="paragraph" w:styleId="Heading2">
    <w:name w:val="heading 2"/>
    <w:next w:val="Normal"/>
    <w:qFormat/>
    <w:rsid w:val="0094252E"/>
    <w:pPr>
      <w:keepNext/>
      <w:spacing w:before="240" w:after="120" w:line="300" w:lineRule="atLeast"/>
      <w:outlineLvl w:val="1"/>
    </w:pPr>
    <w:rPr>
      <w:rFonts w:ascii="Arial" w:hAnsi="Arial" w:cs="Arial"/>
      <w:b/>
      <w:bCs/>
      <w:iCs/>
      <w:color w:val="971A4B"/>
      <w:sz w:val="28"/>
      <w:szCs w:val="28"/>
    </w:rPr>
  </w:style>
  <w:style w:type="paragraph" w:styleId="Heading3">
    <w:name w:val="heading 3"/>
    <w:next w:val="Normal"/>
    <w:qFormat/>
    <w:rsid w:val="007E76DB"/>
    <w:pPr>
      <w:keepNext/>
      <w:spacing w:before="240" w:after="120" w:line="300" w:lineRule="atLeast"/>
      <w:outlineLvl w:val="2"/>
    </w:pPr>
    <w:rPr>
      <w:rFonts w:ascii="Arial" w:hAnsi="Arial" w:cs="Arial"/>
      <w:b/>
      <w:bCs/>
      <w:sz w:val="26"/>
      <w:szCs w:val="26"/>
    </w:rPr>
  </w:style>
  <w:style w:type="paragraph" w:styleId="Heading4">
    <w:name w:val="heading 4"/>
    <w:basedOn w:val="Heading3"/>
    <w:qFormat/>
    <w:rsid w:val="007E76DB"/>
    <w:pPr>
      <w:outlineLvl w:val="3"/>
    </w:pPr>
    <w:rPr>
      <w:sz w:val="24"/>
      <w:szCs w:val="24"/>
    </w:rPr>
  </w:style>
  <w:style w:type="paragraph" w:styleId="Heading5">
    <w:name w:val="heading 5"/>
    <w:basedOn w:val="Normal"/>
    <w:qFormat/>
    <w:rsid w:val="007E76DB"/>
    <w:pPr>
      <w:spacing w:before="240"/>
      <w:outlineLvl w:val="4"/>
    </w:pPr>
    <w:rPr>
      <w:b/>
    </w:rPr>
  </w:style>
  <w:style w:type="paragraph" w:styleId="Heading6">
    <w:name w:val="heading 6"/>
    <w:basedOn w:val="Heading5"/>
    <w:next w:val="Normal"/>
    <w:qFormat/>
    <w:rsid w:val="007E76DB"/>
    <w:pPr>
      <w:outlineLvl w:val="5"/>
    </w:pPr>
  </w:style>
  <w:style w:type="paragraph" w:styleId="Heading7">
    <w:name w:val="heading 7"/>
    <w:basedOn w:val="Heading6"/>
    <w:next w:val="Normal"/>
    <w:qFormat/>
    <w:rsid w:val="007E76DB"/>
    <w:pPr>
      <w:outlineLvl w:val="6"/>
    </w:pPr>
  </w:style>
  <w:style w:type="paragraph" w:styleId="Heading8">
    <w:name w:val="heading 8"/>
    <w:basedOn w:val="Heading7"/>
    <w:next w:val="Normal"/>
    <w:qFormat/>
    <w:rsid w:val="007E76DB"/>
    <w:pPr>
      <w:outlineLvl w:val="7"/>
    </w:pPr>
  </w:style>
  <w:style w:type="paragraph" w:styleId="Heading9">
    <w:name w:val="heading 9"/>
    <w:basedOn w:val="Heading8"/>
    <w:next w:val="Normal"/>
    <w:qFormat/>
    <w:rsid w:val="007E7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Apicture">
    <w:name w:val="VLA picture"/>
    <w:next w:val="Normal"/>
    <w:rsid w:val="007E76DB"/>
    <w:pPr>
      <w:spacing w:after="120" w:line="300" w:lineRule="atLeast"/>
    </w:pPr>
    <w:rPr>
      <w:rFonts w:ascii="Arial" w:hAnsi="Arial"/>
      <w:sz w:val="22"/>
      <w:szCs w:val="24"/>
      <w:lang w:eastAsia="en-US"/>
    </w:rPr>
  </w:style>
  <w:style w:type="paragraph" w:styleId="ListBullet">
    <w:name w:val="List Bullet"/>
    <w:rsid w:val="00414F73"/>
    <w:pPr>
      <w:numPr>
        <w:numId w:val="2"/>
      </w:numPr>
      <w:spacing w:after="120" w:line="300" w:lineRule="atLeast"/>
      <w:ind w:left="850" w:hanging="340"/>
    </w:pPr>
    <w:rPr>
      <w:rFonts w:ascii="Arial" w:hAnsi="Arial"/>
      <w:sz w:val="22"/>
      <w:szCs w:val="24"/>
      <w:lang w:eastAsia="en-US"/>
    </w:rPr>
  </w:style>
  <w:style w:type="paragraph" w:styleId="ListBullet2">
    <w:name w:val="List Bullet 2"/>
    <w:rsid w:val="007E76DB"/>
    <w:pPr>
      <w:numPr>
        <w:ilvl w:val="1"/>
        <w:numId w:val="3"/>
      </w:numPr>
      <w:spacing w:after="120" w:line="300" w:lineRule="atLeast"/>
    </w:pPr>
    <w:rPr>
      <w:rFonts w:ascii="Arial" w:hAnsi="Arial"/>
      <w:sz w:val="22"/>
      <w:szCs w:val="24"/>
      <w:lang w:eastAsia="en-US"/>
    </w:rPr>
  </w:style>
  <w:style w:type="paragraph" w:styleId="ListBullet3">
    <w:name w:val="List Bullet 3"/>
    <w:rsid w:val="007E76DB"/>
    <w:pPr>
      <w:numPr>
        <w:ilvl w:val="2"/>
        <w:numId w:val="3"/>
      </w:numPr>
      <w:spacing w:after="120" w:line="300" w:lineRule="atLeast"/>
    </w:pPr>
    <w:rPr>
      <w:rFonts w:ascii="Arial" w:hAnsi="Arial"/>
      <w:sz w:val="22"/>
      <w:szCs w:val="24"/>
      <w:lang w:eastAsia="en-US"/>
    </w:rPr>
  </w:style>
  <w:style w:type="paragraph" w:customStyle="1" w:styleId="VLA1">
    <w:name w:val="VLA 1."/>
    <w:aliases w:val="2.,3."/>
    <w:rsid w:val="007E76DB"/>
    <w:pPr>
      <w:numPr>
        <w:numId w:val="4"/>
      </w:numPr>
      <w:spacing w:after="120" w:line="300" w:lineRule="atLeast"/>
    </w:pPr>
    <w:rPr>
      <w:rFonts w:ascii="Arial" w:hAnsi="Arial"/>
      <w:sz w:val="22"/>
      <w:szCs w:val="24"/>
      <w:lang w:eastAsia="en-US"/>
    </w:rPr>
  </w:style>
  <w:style w:type="paragraph" w:customStyle="1" w:styleId="VLAa">
    <w:name w:val="VLA a."/>
    <w:aliases w:val="b.,c."/>
    <w:rsid w:val="007E76DB"/>
    <w:pPr>
      <w:numPr>
        <w:ilvl w:val="1"/>
        <w:numId w:val="4"/>
      </w:numPr>
      <w:spacing w:after="120" w:line="300" w:lineRule="atLeast"/>
    </w:pPr>
    <w:rPr>
      <w:rFonts w:ascii="Arial" w:hAnsi="Arial"/>
      <w:sz w:val="22"/>
      <w:szCs w:val="24"/>
      <w:lang w:eastAsia="en-US"/>
    </w:rPr>
  </w:style>
  <w:style w:type="paragraph" w:customStyle="1" w:styleId="VLAi">
    <w:name w:val="VLA i."/>
    <w:aliases w:val="ii.,iii."/>
    <w:rsid w:val="007E76DB"/>
    <w:pPr>
      <w:numPr>
        <w:ilvl w:val="2"/>
        <w:numId w:val="4"/>
      </w:numPr>
      <w:spacing w:after="120" w:line="300" w:lineRule="atLeast"/>
    </w:pPr>
    <w:rPr>
      <w:rFonts w:ascii="Arial" w:hAnsi="Arial"/>
      <w:sz w:val="22"/>
      <w:szCs w:val="24"/>
      <w:lang w:eastAsia="en-US"/>
    </w:rPr>
  </w:style>
  <w:style w:type="paragraph" w:customStyle="1" w:styleId="VLAdate">
    <w:name w:val="VLA date"/>
    <w:basedOn w:val="VLAsubtitle"/>
    <w:qFormat/>
    <w:rsid w:val="007E76DB"/>
    <w:rPr>
      <w:b w:val="0"/>
      <w:sz w:val="24"/>
    </w:rPr>
  </w:style>
  <w:style w:type="paragraph" w:styleId="FootnoteText">
    <w:name w:val="footnote text"/>
    <w:basedOn w:val="Normal"/>
    <w:rsid w:val="007E76DB"/>
    <w:pPr>
      <w:ind w:left="284" w:hanging="284"/>
    </w:pPr>
    <w:rPr>
      <w:sz w:val="18"/>
      <w:szCs w:val="20"/>
    </w:rPr>
  </w:style>
  <w:style w:type="paragraph" w:styleId="Header">
    <w:name w:val="header"/>
    <w:rsid w:val="0094252E"/>
    <w:pPr>
      <w:pBdr>
        <w:bottom w:val="single" w:sz="4" w:space="1" w:color="971A4B"/>
      </w:pBdr>
      <w:tabs>
        <w:tab w:val="center" w:pos="4604"/>
        <w:tab w:val="right" w:pos="9214"/>
      </w:tabs>
      <w:spacing w:line="240" w:lineRule="atLeast"/>
    </w:pPr>
    <w:rPr>
      <w:rFonts w:ascii="Arial" w:hAnsi="Arial"/>
      <w:sz w:val="22"/>
      <w:szCs w:val="24"/>
      <w:lang w:eastAsia="en-US"/>
    </w:rPr>
  </w:style>
  <w:style w:type="paragraph" w:customStyle="1" w:styleId="Contents">
    <w:name w:val="Contents"/>
    <w:basedOn w:val="VLAdivision"/>
    <w:next w:val="Normal"/>
    <w:rsid w:val="0094252E"/>
  </w:style>
  <w:style w:type="character" w:styleId="Hyperlink">
    <w:name w:val="Hyperlink"/>
    <w:uiPriority w:val="99"/>
    <w:rsid w:val="007E76DB"/>
    <w:rPr>
      <w:rFonts w:ascii="Arial" w:hAnsi="Arial"/>
      <w:color w:val="0000FF"/>
      <w:u w:val="single"/>
      <w:lang w:val="en-AU"/>
    </w:rPr>
  </w:style>
  <w:style w:type="paragraph" w:styleId="Title">
    <w:name w:val="Title"/>
    <w:qFormat/>
    <w:rsid w:val="0094252E"/>
    <w:pPr>
      <w:spacing w:before="2000" w:after="240" w:line="400" w:lineRule="exact"/>
      <w:outlineLvl w:val="0"/>
    </w:pPr>
    <w:rPr>
      <w:rFonts w:ascii="Arial Bold" w:hAnsi="Arial Bold" w:cs="Arial"/>
      <w:b/>
      <w:bCs/>
      <w:color w:val="971A4B"/>
      <w:kern w:val="28"/>
      <w:sz w:val="36"/>
      <w:szCs w:val="32"/>
      <w:lang w:eastAsia="en-US"/>
    </w:rPr>
  </w:style>
  <w:style w:type="table" w:styleId="TableGrid">
    <w:name w:val="Table Grid"/>
    <w:basedOn w:val="TableNormal"/>
    <w:rsid w:val="007E76DB"/>
    <w:pPr>
      <w:spacing w:before="60" w:after="60"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39"/>
    <w:rsid w:val="007E76DB"/>
    <w:pPr>
      <w:tabs>
        <w:tab w:val="right" w:leader="dot" w:pos="9790"/>
      </w:tabs>
      <w:spacing w:before="60" w:after="60"/>
      <w:ind w:left="567" w:right="760" w:hanging="567"/>
    </w:pPr>
    <w:rPr>
      <w:rFonts w:ascii="Arial" w:hAnsi="Arial"/>
      <w:b/>
      <w:szCs w:val="24"/>
      <w:lang w:eastAsia="en-US"/>
    </w:rPr>
  </w:style>
  <w:style w:type="paragraph" w:styleId="ListBullet4">
    <w:name w:val="List Bullet 4"/>
    <w:basedOn w:val="Normal"/>
    <w:semiHidden/>
    <w:rsid w:val="007E76DB"/>
    <w:pPr>
      <w:spacing w:after="80"/>
    </w:pPr>
  </w:style>
  <w:style w:type="character" w:styleId="PageNumber">
    <w:name w:val="page number"/>
    <w:semiHidden/>
    <w:rsid w:val="007E76DB"/>
    <w:rPr>
      <w:rFonts w:ascii="Arial" w:hAnsi="Arial"/>
      <w:sz w:val="18"/>
    </w:rPr>
  </w:style>
  <w:style w:type="paragraph" w:customStyle="1" w:styleId="Appendix">
    <w:name w:val="Appendix"/>
    <w:next w:val="Normal"/>
    <w:rsid w:val="0094252E"/>
    <w:pPr>
      <w:numPr>
        <w:numId w:val="1"/>
      </w:numPr>
      <w:spacing w:before="240" w:after="240" w:line="280" w:lineRule="exact"/>
    </w:pPr>
    <w:rPr>
      <w:rFonts w:ascii="Arial" w:hAnsi="Arial" w:cs="Arial"/>
      <w:b/>
      <w:bCs/>
      <w:color w:val="971A4B"/>
      <w:kern w:val="32"/>
      <w:sz w:val="28"/>
      <w:szCs w:val="32"/>
    </w:rPr>
  </w:style>
  <w:style w:type="paragraph" w:customStyle="1" w:styleId="VLAtitle">
    <w:name w:val="VLA title"/>
    <w:basedOn w:val="Title"/>
    <w:rsid w:val="0094252E"/>
    <w:rPr>
      <w:rFonts w:ascii="Arial" w:hAnsi="Arial"/>
    </w:rPr>
  </w:style>
  <w:style w:type="paragraph" w:customStyle="1" w:styleId="VLAsubtitle">
    <w:name w:val="VLA subtitle"/>
    <w:basedOn w:val="Normal"/>
    <w:rsid w:val="007E76DB"/>
    <w:pPr>
      <w:spacing w:before="240" w:after="240" w:line="240" w:lineRule="atLeast"/>
    </w:pPr>
    <w:rPr>
      <w:b/>
      <w:bCs/>
      <w:sz w:val="28"/>
      <w:szCs w:val="28"/>
    </w:rPr>
  </w:style>
  <w:style w:type="paragraph" w:customStyle="1" w:styleId="VLAauthor">
    <w:name w:val="VLA author"/>
    <w:basedOn w:val="Normal"/>
    <w:next w:val="VLAdivision"/>
    <w:rsid w:val="0094252E"/>
    <w:pPr>
      <w:spacing w:before="240" w:after="60"/>
    </w:pPr>
    <w:rPr>
      <w:b/>
      <w:color w:val="971A4B"/>
      <w:sz w:val="28"/>
      <w:szCs w:val="28"/>
      <w:lang w:eastAsia="en-AU"/>
    </w:rPr>
  </w:style>
  <w:style w:type="paragraph" w:customStyle="1" w:styleId="VLAdivision">
    <w:name w:val="VLA division"/>
    <w:basedOn w:val="Normal"/>
    <w:next w:val="VLAauthor"/>
    <w:rsid w:val="0094252E"/>
    <w:pPr>
      <w:spacing w:before="60" w:after="240"/>
    </w:pPr>
    <w:rPr>
      <w:b/>
      <w:color w:val="971A4B"/>
      <w:sz w:val="28"/>
      <w:szCs w:val="28"/>
      <w:lang w:eastAsia="en-AU"/>
    </w:rPr>
  </w:style>
  <w:style w:type="paragraph" w:customStyle="1" w:styleId="VLApublicationdate">
    <w:name w:val="VLA publication date"/>
    <w:basedOn w:val="Normal"/>
    <w:rsid w:val="007E76DB"/>
    <w:pPr>
      <w:spacing w:before="1000"/>
    </w:pPr>
    <w:rPr>
      <w:b/>
      <w:sz w:val="28"/>
      <w:szCs w:val="20"/>
      <w:lang w:eastAsia="en-AU"/>
    </w:rPr>
  </w:style>
  <w:style w:type="paragraph" w:customStyle="1" w:styleId="VLAcaption">
    <w:name w:val="VLA caption"/>
    <w:basedOn w:val="Normal"/>
    <w:next w:val="Normal"/>
    <w:rsid w:val="007E76DB"/>
    <w:rPr>
      <w:i/>
      <w:sz w:val="20"/>
    </w:rPr>
  </w:style>
  <w:style w:type="paragraph" w:customStyle="1" w:styleId="Confidentialityclause">
    <w:name w:val="Confidentiality clause"/>
    <w:rsid w:val="007E76DB"/>
    <w:pPr>
      <w:spacing w:after="120"/>
    </w:pPr>
    <w:rPr>
      <w:rFonts w:ascii="Arial" w:hAnsi="Arial"/>
      <w:bCs/>
      <w:kern w:val="28"/>
      <w:sz w:val="18"/>
      <w:lang w:eastAsia="en-US"/>
    </w:rPr>
  </w:style>
  <w:style w:type="character" w:styleId="FootnoteReference">
    <w:name w:val="footnote reference"/>
    <w:rsid w:val="007E76DB"/>
    <w:rPr>
      <w:rFonts w:ascii="Arial" w:hAnsi="Arial"/>
      <w:sz w:val="18"/>
      <w:vertAlign w:val="superscript"/>
    </w:rPr>
  </w:style>
  <w:style w:type="paragraph" w:customStyle="1" w:styleId="Filename">
    <w:name w:val="Filename"/>
    <w:basedOn w:val="Normal"/>
    <w:rsid w:val="0094252E"/>
    <w:pPr>
      <w:pBdr>
        <w:top w:val="single" w:sz="4" w:space="1" w:color="971A4B"/>
      </w:pBdr>
      <w:tabs>
        <w:tab w:val="right" w:pos="9240"/>
      </w:tabs>
    </w:pPr>
    <w:rPr>
      <w:sz w:val="18"/>
    </w:rPr>
  </w:style>
  <w:style w:type="paragraph" w:styleId="TOC2">
    <w:name w:val="toc 2"/>
    <w:basedOn w:val="Normal"/>
    <w:next w:val="Normal"/>
    <w:rsid w:val="007E76DB"/>
    <w:pPr>
      <w:tabs>
        <w:tab w:val="right" w:leader="dot" w:pos="9790"/>
      </w:tabs>
      <w:spacing w:before="60" w:after="60"/>
      <w:ind w:left="330" w:right="650"/>
    </w:pPr>
    <w:rPr>
      <w:noProof/>
      <w:sz w:val="20"/>
    </w:rPr>
  </w:style>
  <w:style w:type="paragraph" w:styleId="TOC3">
    <w:name w:val="toc 3"/>
    <w:basedOn w:val="Normal"/>
    <w:next w:val="Normal"/>
    <w:uiPriority w:val="39"/>
    <w:rsid w:val="007E76DB"/>
    <w:pPr>
      <w:tabs>
        <w:tab w:val="right" w:leader="dot" w:pos="9790"/>
      </w:tabs>
      <w:spacing w:before="60" w:after="60"/>
      <w:ind w:left="550" w:right="760"/>
    </w:pPr>
    <w:rPr>
      <w:noProof/>
      <w:sz w:val="20"/>
    </w:rPr>
  </w:style>
  <w:style w:type="paragraph" w:styleId="Footer">
    <w:name w:val="footer"/>
    <w:basedOn w:val="Normal"/>
    <w:rsid w:val="007E76DB"/>
    <w:pPr>
      <w:tabs>
        <w:tab w:val="center" w:pos="4153"/>
        <w:tab w:val="right" w:pos="8306"/>
      </w:tabs>
    </w:pPr>
  </w:style>
  <w:style w:type="paragraph" w:customStyle="1" w:styleId="VLAquotation">
    <w:name w:val="VLA quotation"/>
    <w:basedOn w:val="VLApicture"/>
    <w:rsid w:val="007E76DB"/>
    <w:pPr>
      <w:ind w:left="720"/>
    </w:pPr>
    <w:rPr>
      <w:i/>
    </w:rPr>
  </w:style>
  <w:style w:type="paragraph" w:customStyle="1" w:styleId="VLAdefinition">
    <w:name w:val="VLA definition"/>
    <w:basedOn w:val="Normal"/>
    <w:rsid w:val="007E76DB"/>
    <w:pPr>
      <w:tabs>
        <w:tab w:val="left" w:pos="2268"/>
      </w:tabs>
      <w:spacing w:before="60"/>
      <w:ind w:left="2268" w:hanging="2268"/>
    </w:pPr>
    <w:rPr>
      <w:szCs w:val="22"/>
    </w:rPr>
  </w:style>
  <w:style w:type="character" w:styleId="Strong">
    <w:name w:val="Strong"/>
    <w:qFormat/>
    <w:rsid w:val="007E76DB"/>
    <w:rPr>
      <w:b/>
      <w:bCs/>
    </w:rPr>
  </w:style>
  <w:style w:type="paragraph" w:customStyle="1" w:styleId="NormalBold">
    <w:name w:val="Normal Bold"/>
    <w:basedOn w:val="Normal"/>
    <w:next w:val="Normal"/>
    <w:rsid w:val="00957221"/>
    <w:rPr>
      <w:b/>
      <w:lang w:eastAsia="en-AU"/>
    </w:rPr>
  </w:style>
  <w:style w:type="paragraph" w:customStyle="1" w:styleId="Normalbold0">
    <w:name w:val="Normal bold"/>
    <w:basedOn w:val="Normal"/>
    <w:next w:val="Normal"/>
    <w:rsid w:val="007E76DB"/>
    <w:rPr>
      <w:b/>
      <w:lang w:eastAsia="en-AU"/>
    </w:rPr>
  </w:style>
  <w:style w:type="paragraph" w:customStyle="1" w:styleId="Normalwithborder">
    <w:name w:val="Normal with border"/>
    <w:basedOn w:val="Heading5"/>
    <w:qFormat/>
    <w:rsid w:val="007E76DB"/>
  </w:style>
  <w:style w:type="paragraph" w:customStyle="1" w:styleId="AppendixH1">
    <w:name w:val="Appendix H1"/>
    <w:next w:val="Normal"/>
    <w:rsid w:val="0094252E"/>
    <w:pPr>
      <w:spacing w:before="240" w:after="240" w:line="300" w:lineRule="atLeast"/>
    </w:pPr>
    <w:rPr>
      <w:rFonts w:ascii="Arial" w:hAnsi="Arial" w:cs="Arial"/>
      <w:b/>
      <w:bCs/>
      <w:color w:val="971A4B"/>
      <w:kern w:val="32"/>
      <w:sz w:val="28"/>
      <w:szCs w:val="26"/>
    </w:rPr>
  </w:style>
  <w:style w:type="paragraph" w:customStyle="1" w:styleId="AppendixH2">
    <w:name w:val="Appendix H2"/>
    <w:next w:val="Normal"/>
    <w:rsid w:val="0094252E"/>
    <w:pPr>
      <w:spacing w:before="160" w:after="40" w:line="300" w:lineRule="atLeast"/>
    </w:pPr>
    <w:rPr>
      <w:rFonts w:ascii="Arial" w:hAnsi="Arial" w:cs="Arial"/>
      <w:b/>
      <w:bCs/>
      <w:iCs/>
      <w:color w:val="971A4B"/>
      <w:sz w:val="26"/>
      <w:szCs w:val="28"/>
    </w:rPr>
  </w:style>
  <w:style w:type="paragraph" w:customStyle="1" w:styleId="AppendixH3">
    <w:name w:val="Appendix H3"/>
    <w:next w:val="Normal"/>
    <w:rsid w:val="007E76DB"/>
    <w:pPr>
      <w:spacing w:before="120" w:after="40" w:line="300" w:lineRule="atLeast"/>
    </w:pPr>
    <w:rPr>
      <w:rFonts w:ascii="Arial" w:hAnsi="Arial" w:cs="Arial"/>
      <w:b/>
      <w:bCs/>
      <w:sz w:val="24"/>
      <w:szCs w:val="26"/>
    </w:rPr>
  </w:style>
  <w:style w:type="paragraph" w:customStyle="1" w:styleId="Normalwithgreyhighlightbox">
    <w:name w:val="Normal with grey highlight box"/>
    <w:basedOn w:val="Heading4"/>
    <w:qFormat/>
    <w:rsid w:val="007E76DB"/>
  </w:style>
  <w:style w:type="paragraph" w:styleId="NormalWeb">
    <w:name w:val="Normal (Web)"/>
    <w:basedOn w:val="Normal"/>
    <w:uiPriority w:val="99"/>
    <w:unhideWhenUsed/>
    <w:rsid w:val="009E3C5B"/>
    <w:pPr>
      <w:spacing w:before="100" w:beforeAutospacing="1" w:after="100" w:afterAutospacing="1" w:line="240" w:lineRule="auto"/>
    </w:pPr>
    <w:rPr>
      <w:rFonts w:ascii="Times New Roman" w:eastAsiaTheme="minorEastAsia" w:hAnsi="Times New Roman"/>
      <w:sz w:val="24"/>
      <w:lang w:eastAsia="en-AU"/>
    </w:rPr>
  </w:style>
  <w:style w:type="paragraph" w:customStyle="1" w:styleId="VLALetterText">
    <w:name w:val="VLA Letter Text"/>
    <w:uiPriority w:val="1"/>
    <w:qFormat/>
    <w:rsid w:val="0058545E"/>
    <w:pPr>
      <w:spacing w:after="120" w:line="300" w:lineRule="atLeast"/>
    </w:pPr>
    <w:rPr>
      <w:rFonts w:ascii="Arial" w:hAnsi="Arial"/>
      <w:sz w:val="22"/>
      <w:szCs w:val="24"/>
      <w:lang w:eastAsia="en-US"/>
    </w:rPr>
  </w:style>
  <w:style w:type="paragraph" w:styleId="ListParagraph">
    <w:name w:val="List Paragraph"/>
    <w:basedOn w:val="Normal"/>
    <w:uiPriority w:val="34"/>
    <w:qFormat/>
    <w:rsid w:val="003B70E2"/>
    <w:pPr>
      <w:ind w:left="720"/>
      <w:contextualSpacing/>
    </w:pPr>
  </w:style>
  <w:style w:type="character" w:customStyle="1" w:styleId="apple-converted-space">
    <w:name w:val="apple-converted-space"/>
    <w:basedOn w:val="DefaultParagraphFont"/>
    <w:rsid w:val="00F34F86"/>
  </w:style>
  <w:style w:type="character" w:styleId="FollowedHyperlink">
    <w:name w:val="FollowedHyperlink"/>
    <w:basedOn w:val="DefaultParagraphFont"/>
    <w:rsid w:val="00323000"/>
    <w:rPr>
      <w:color w:val="954F72" w:themeColor="followedHyperlink"/>
      <w:u w:val="single"/>
    </w:rPr>
  </w:style>
  <w:style w:type="paragraph" w:styleId="BalloonText">
    <w:name w:val="Balloon Text"/>
    <w:basedOn w:val="Normal"/>
    <w:link w:val="BalloonTextChar"/>
    <w:rsid w:val="00770B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770BDB"/>
    <w:rPr>
      <w:rFonts w:ascii="Segoe UI" w:hAnsi="Segoe UI" w:cs="Segoe UI"/>
      <w:sz w:val="18"/>
      <w:szCs w:val="18"/>
      <w:lang w:eastAsia="en-US"/>
    </w:rPr>
  </w:style>
  <w:style w:type="character" w:styleId="CommentReference">
    <w:name w:val="annotation reference"/>
    <w:basedOn w:val="DefaultParagraphFont"/>
    <w:rsid w:val="00C352AC"/>
    <w:rPr>
      <w:sz w:val="16"/>
      <w:szCs w:val="16"/>
    </w:rPr>
  </w:style>
  <w:style w:type="paragraph" w:styleId="CommentText">
    <w:name w:val="annotation text"/>
    <w:basedOn w:val="Normal"/>
    <w:link w:val="CommentTextChar"/>
    <w:rsid w:val="00C352AC"/>
    <w:pPr>
      <w:spacing w:line="240" w:lineRule="auto"/>
    </w:pPr>
    <w:rPr>
      <w:sz w:val="20"/>
      <w:szCs w:val="20"/>
    </w:rPr>
  </w:style>
  <w:style w:type="character" w:customStyle="1" w:styleId="CommentTextChar">
    <w:name w:val="Comment Text Char"/>
    <w:basedOn w:val="DefaultParagraphFont"/>
    <w:link w:val="CommentText"/>
    <w:rsid w:val="00C352AC"/>
    <w:rPr>
      <w:rFonts w:ascii="Arial" w:hAnsi="Arial"/>
      <w:lang w:eastAsia="en-US"/>
    </w:rPr>
  </w:style>
  <w:style w:type="paragraph" w:styleId="CommentSubject">
    <w:name w:val="annotation subject"/>
    <w:basedOn w:val="CommentText"/>
    <w:next w:val="CommentText"/>
    <w:link w:val="CommentSubjectChar"/>
    <w:rsid w:val="00C352AC"/>
    <w:rPr>
      <w:b/>
      <w:bCs/>
    </w:rPr>
  </w:style>
  <w:style w:type="character" w:customStyle="1" w:styleId="CommentSubjectChar">
    <w:name w:val="Comment Subject Char"/>
    <w:basedOn w:val="CommentTextChar"/>
    <w:link w:val="CommentSubject"/>
    <w:rsid w:val="00C352AC"/>
    <w:rPr>
      <w:rFonts w:ascii="Arial" w:hAnsi="Arial"/>
      <w:b/>
      <w:bCs/>
      <w:lang w:eastAsia="en-US"/>
    </w:rPr>
  </w:style>
  <w:style w:type="paragraph" w:customStyle="1" w:styleId="Casestudy">
    <w:name w:val="Case study"/>
    <w:basedOn w:val="Normal"/>
    <w:qFormat/>
    <w:rsid w:val="00414F73"/>
    <w:pPr>
      <w:shd w:val="clear" w:color="auto" w:fill="D9D9D9" w:themeFill="background1" w:themeFillShade="D9"/>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51445">
      <w:bodyDiv w:val="1"/>
      <w:marLeft w:val="0"/>
      <w:marRight w:val="0"/>
      <w:marTop w:val="0"/>
      <w:marBottom w:val="0"/>
      <w:divBdr>
        <w:top w:val="none" w:sz="0" w:space="0" w:color="auto"/>
        <w:left w:val="none" w:sz="0" w:space="0" w:color="auto"/>
        <w:bottom w:val="none" w:sz="0" w:space="0" w:color="auto"/>
        <w:right w:val="none" w:sz="0" w:space="0" w:color="auto"/>
      </w:divBdr>
    </w:div>
    <w:div w:id="24360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legislation.gov.au/Details/C2016G01112"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6.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AF0D7-D99C-42F1-A39A-FF985DAAF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9527</Words>
  <Characters>53707</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Submission to the Senate Community Affairs References Committee – Design, scope, cost-benefit analysis, contracts awarded and implementation associated with the Better Management of the Social Welfare System initiative</vt:lpstr>
    </vt:vector>
  </TitlesOfParts>
  <Company>Victoria Legal Aid</Company>
  <LinksUpToDate>false</LinksUpToDate>
  <CharactersWithSpaces>63108</CharactersWithSpaces>
  <SharedDoc>false</SharedDoc>
  <HLinks>
    <vt:vector size="30" baseType="variant">
      <vt:variant>
        <vt:i4>1376260</vt:i4>
      </vt:variant>
      <vt:variant>
        <vt:i4>29</vt:i4>
      </vt:variant>
      <vt:variant>
        <vt:i4>0</vt:i4>
      </vt:variant>
      <vt:variant>
        <vt:i4>5</vt:i4>
      </vt:variant>
      <vt:variant>
        <vt:lpwstr/>
      </vt:variant>
      <vt:variant>
        <vt:lpwstr>_Toc354042750</vt:lpwstr>
      </vt:variant>
      <vt:variant>
        <vt:i4>1310733</vt:i4>
      </vt:variant>
      <vt:variant>
        <vt:i4>23</vt:i4>
      </vt:variant>
      <vt:variant>
        <vt:i4>0</vt:i4>
      </vt:variant>
      <vt:variant>
        <vt:i4>5</vt:i4>
      </vt:variant>
      <vt:variant>
        <vt:lpwstr/>
      </vt:variant>
      <vt:variant>
        <vt:lpwstr>_Toc354042749</vt:lpwstr>
      </vt:variant>
      <vt:variant>
        <vt:i4>1310732</vt:i4>
      </vt:variant>
      <vt:variant>
        <vt:i4>17</vt:i4>
      </vt:variant>
      <vt:variant>
        <vt:i4>0</vt:i4>
      </vt:variant>
      <vt:variant>
        <vt:i4>5</vt:i4>
      </vt:variant>
      <vt:variant>
        <vt:lpwstr/>
      </vt:variant>
      <vt:variant>
        <vt:lpwstr>_Toc354042748</vt:lpwstr>
      </vt:variant>
      <vt:variant>
        <vt:i4>3342364</vt:i4>
      </vt:variant>
      <vt:variant>
        <vt:i4>2977</vt:i4>
      </vt:variant>
      <vt:variant>
        <vt:i4>1026</vt:i4>
      </vt:variant>
      <vt:variant>
        <vt:i4>1</vt:i4>
      </vt:variant>
      <vt:variant>
        <vt:lpwstr>vla_logo</vt:lpwstr>
      </vt:variant>
      <vt:variant>
        <vt:lpwstr/>
      </vt:variant>
      <vt:variant>
        <vt:i4>2687020</vt:i4>
      </vt:variant>
      <vt:variant>
        <vt:i4>2984</vt:i4>
      </vt:variant>
      <vt:variant>
        <vt:i4>1025</vt:i4>
      </vt:variant>
      <vt:variant>
        <vt:i4>1</vt:i4>
      </vt:variant>
      <vt:variant>
        <vt:lpwstr>vla_logo_hor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to the Senate Community Affairs References Committee – Design, scope, cost-benefit analysis, contracts awarded and implementation associated with the Better Management of the Social Welfare System initiative</dc:title>
  <dc:subject/>
  <dc:creator>Victoria Legal Aid</dc:creator>
  <cp:keywords/>
  <dc:description/>
  <cp:lastModifiedBy/>
  <cp:revision>1</cp:revision>
  <dcterms:created xsi:type="dcterms:W3CDTF">2021-04-30T00:08:00Z</dcterms:created>
  <dcterms:modified xsi:type="dcterms:W3CDTF">2021-04-30T00:08:00Z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Language">
    <vt:lpwstr>English</vt:lpwstr>
  </op:property>
  <op:property fmtid="{D5CDD505-2E9C-101B-9397-08002B2CF9AE}" pid="3" name="_MarkAsFinal">
    <vt:bool>true</vt:bool>
  </op:property>
</op:Properties>
</file>