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65A5" w14:textId="20BE9ACA" w:rsidR="00853BDA" w:rsidRDefault="00E3575F" w:rsidP="00DA409B">
      <w:pPr>
        <w:pStyle w:val="Heading1"/>
        <w:spacing w:before="6000"/>
        <w:rPr>
          <w:sz w:val="44"/>
          <w:szCs w:val="44"/>
        </w:rPr>
      </w:pPr>
      <w:bookmarkStart w:id="0" w:name="_Toc45545968"/>
      <w:bookmarkStart w:id="1" w:name="_Toc45698225"/>
      <w:bookmarkStart w:id="2" w:name="_Toc45698276"/>
      <w:bookmarkStart w:id="3" w:name="_Toc45724286"/>
      <w:bookmarkStart w:id="4" w:name="_Toc45970303"/>
      <w:bookmarkStart w:id="5" w:name="_Toc46146185"/>
      <w:r>
        <w:rPr>
          <w:sz w:val="44"/>
          <w:szCs w:val="44"/>
        </w:rPr>
        <w:t>Submission to the Family Violence Reform Implementation Monitor 2020</w:t>
      </w:r>
      <w:bookmarkEnd w:id="0"/>
      <w:bookmarkEnd w:id="1"/>
      <w:bookmarkEnd w:id="2"/>
      <w:bookmarkEnd w:id="3"/>
      <w:bookmarkEnd w:id="4"/>
      <w:bookmarkEnd w:id="5"/>
    </w:p>
    <w:p w14:paraId="3DDF3D4D" w14:textId="607CC41B" w:rsidR="00DB7CE4" w:rsidRDefault="00E3575F" w:rsidP="00DA409B">
      <w:pPr>
        <w:pStyle w:val="Heading2"/>
        <w:spacing w:after="2000"/>
      </w:pPr>
      <w:r>
        <w:t>A joint submission of Victoria Legal Aid</w:t>
      </w:r>
      <w:r w:rsidR="00043FD7">
        <w:t xml:space="preserve"> (VLA)</w:t>
      </w:r>
      <w:r>
        <w:t>, the Federation of Community Legal Centres (</w:t>
      </w:r>
      <w:r w:rsidR="5EE3A3B6" w:rsidRPr="65005A73">
        <w:t>Federation</w:t>
      </w:r>
      <w:r>
        <w:t xml:space="preserve">) and Women’s Legal Service Victoria (WLSV). </w:t>
      </w:r>
    </w:p>
    <w:p w14:paraId="2D7C1CA5" w14:textId="46B79B78" w:rsidR="000447FC" w:rsidRDefault="000447FC" w:rsidP="00DA409B">
      <w:pPr>
        <w:rPr>
          <w:lang w:eastAsia="en-AU"/>
        </w:rPr>
      </w:pPr>
      <w:r>
        <w:rPr>
          <w:noProof/>
          <w:color w:val="009DBD"/>
          <w:sz w:val="32"/>
          <w:szCs w:val="32"/>
          <w:lang w:eastAsia="en-AU"/>
        </w:rPr>
        <w:drawing>
          <wp:inline distT="0" distB="0" distL="0" distR="0" wp14:anchorId="0CD42C61" wp14:editId="42B73A4A">
            <wp:extent cx="2861945" cy="587375"/>
            <wp:effectExtent l="0" t="0" r="0" b="3175"/>
            <wp:docPr id="13" name="Picture 13" descr="Women's Legal Service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LSV high res logo.jpg"/>
                    <pic:cNvPicPr/>
                  </pic:nvPicPr>
                  <pic:blipFill>
                    <a:blip r:embed="rId8">
                      <a:extLst>
                        <a:ext uri="{28A0092B-C50C-407E-A947-70E740481C1C}">
                          <a14:useLocalDpi xmlns:a14="http://schemas.microsoft.com/office/drawing/2010/main" val="0"/>
                        </a:ext>
                      </a:extLst>
                    </a:blip>
                    <a:stretch>
                      <a:fillRect/>
                    </a:stretch>
                  </pic:blipFill>
                  <pic:spPr>
                    <a:xfrm>
                      <a:off x="0" y="0"/>
                      <a:ext cx="2861945" cy="587375"/>
                    </a:xfrm>
                    <a:prstGeom prst="rect">
                      <a:avLst/>
                    </a:prstGeom>
                  </pic:spPr>
                </pic:pic>
              </a:graphicData>
            </a:graphic>
          </wp:inline>
        </w:drawing>
      </w:r>
    </w:p>
    <w:p w14:paraId="470EC9D6" w14:textId="742DD948" w:rsidR="000447FC" w:rsidRDefault="000447FC" w:rsidP="00DA409B">
      <w:pPr>
        <w:rPr>
          <w:lang w:eastAsia="en-AU"/>
        </w:rPr>
      </w:pPr>
      <w:r>
        <w:rPr>
          <w:noProof/>
          <w:color w:val="009DBD"/>
          <w:sz w:val="32"/>
          <w:szCs w:val="32"/>
          <w:lang w:eastAsia="en-AU"/>
        </w:rPr>
        <w:drawing>
          <wp:inline distT="0" distB="0" distL="0" distR="0" wp14:anchorId="1DF596E5" wp14:editId="71AA8CDB">
            <wp:extent cx="2892108" cy="1067242"/>
            <wp:effectExtent l="0" t="0" r="3810" b="0"/>
            <wp:docPr id="1" name="Picture 1" descr="Federation of Community Legal Centr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LC_logo__master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2108" cy="1067242"/>
                    </a:xfrm>
                    <a:prstGeom prst="rect">
                      <a:avLst/>
                    </a:prstGeom>
                  </pic:spPr>
                </pic:pic>
              </a:graphicData>
            </a:graphic>
          </wp:inline>
        </w:drawing>
      </w:r>
    </w:p>
    <w:p w14:paraId="5EFF403C" w14:textId="7D8B26AF" w:rsidR="00DB7CE4" w:rsidRPr="000447FC" w:rsidRDefault="000447FC" w:rsidP="00DA409B">
      <w:pPr>
        <w:rPr>
          <w:lang w:eastAsia="en-AU"/>
        </w:rPr>
      </w:pPr>
      <w:r>
        <w:rPr>
          <w:noProof/>
          <w:color w:val="009DBD"/>
          <w:sz w:val="32"/>
          <w:szCs w:val="32"/>
          <w:lang w:eastAsia="en-AU"/>
        </w:rPr>
        <w:drawing>
          <wp:inline distT="0" distB="0" distL="0" distR="0" wp14:anchorId="22B9D5EB" wp14:editId="4E5066F8">
            <wp:extent cx="3389644" cy="538480"/>
            <wp:effectExtent l="0" t="0" r="1270" b="0"/>
            <wp:docPr id="4" name="Picture 4" descr="Victoria Legal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_logo_h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9644" cy="538480"/>
                    </a:xfrm>
                    <a:prstGeom prst="rect">
                      <a:avLst/>
                    </a:prstGeom>
                  </pic:spPr>
                </pic:pic>
              </a:graphicData>
            </a:graphic>
          </wp:inline>
        </w:drawing>
      </w:r>
    </w:p>
    <w:p w14:paraId="7B4EE4DD" w14:textId="284F874A" w:rsidR="00696BAC" w:rsidRPr="00E24A08" w:rsidRDefault="00696BAC" w:rsidP="00DA409B">
      <w:pPr>
        <w:pStyle w:val="Confidentialityclause"/>
        <w:rPr>
          <w:bCs w:val="0"/>
        </w:rPr>
      </w:pPr>
    </w:p>
    <w:p w14:paraId="1CAEF27D" w14:textId="7BD1BDF5" w:rsidR="00CE4C2F" w:rsidRPr="00CC0C03" w:rsidRDefault="00CE4C2F" w:rsidP="00DA409B">
      <w:pPr>
        <w:sectPr w:rsidR="00CE4C2F" w:rsidRPr="00CC0C03" w:rsidSect="0040537D">
          <w:footerReference w:type="default" r:id="rId11"/>
          <w:footerReference w:type="first" r:id="rId12"/>
          <w:pgSz w:w="11906" w:h="16838" w:code="9"/>
          <w:pgMar w:top="851" w:right="1021" w:bottom="851" w:left="1021" w:header="851" w:footer="284" w:gutter="0"/>
          <w:pgNumType w:start="1"/>
          <w:cols w:space="720"/>
          <w:titlePg/>
          <w:docGrid w:linePitch="299"/>
        </w:sectPr>
      </w:pPr>
    </w:p>
    <w:p w14:paraId="7E997727" w14:textId="77777777" w:rsidR="002B4970" w:rsidRPr="0056464E" w:rsidRDefault="002B4970" w:rsidP="00DA409B">
      <w:pPr>
        <w:pStyle w:val="Heading1"/>
      </w:pPr>
      <w:bookmarkStart w:id="6" w:name="_Toc45017183"/>
      <w:bookmarkStart w:id="7" w:name="_Toc45545969"/>
      <w:bookmarkStart w:id="8" w:name="_Toc45698226"/>
      <w:bookmarkStart w:id="9" w:name="_Toc45698277"/>
      <w:bookmarkStart w:id="10" w:name="_Toc45724287"/>
      <w:bookmarkStart w:id="11" w:name="_Toc45970304"/>
      <w:bookmarkStart w:id="12" w:name="_Toc46146186"/>
      <w:r w:rsidRPr="0056464E">
        <w:lastRenderedPageBreak/>
        <w:t>Contents</w:t>
      </w:r>
      <w:bookmarkEnd w:id="6"/>
      <w:bookmarkEnd w:id="7"/>
      <w:bookmarkEnd w:id="8"/>
      <w:bookmarkEnd w:id="9"/>
      <w:bookmarkEnd w:id="10"/>
      <w:bookmarkEnd w:id="11"/>
      <w:bookmarkEnd w:id="12"/>
    </w:p>
    <w:sdt>
      <w:sdtPr>
        <w:rPr>
          <w:b/>
          <w:bCs/>
        </w:rPr>
        <w:id w:val="1314448914"/>
        <w:docPartObj>
          <w:docPartGallery w:val="Table of Contents"/>
          <w:docPartUnique/>
        </w:docPartObj>
      </w:sdtPr>
      <w:sdtEndPr>
        <w:rPr>
          <w:b w:val="0"/>
          <w:bCs w:val="0"/>
        </w:rPr>
      </w:sdtEndPr>
      <w:sdtContent>
        <w:p w14:paraId="1EDA21C4" w14:textId="319919F3" w:rsidR="00526D9F" w:rsidRDefault="00823CE3" w:rsidP="00DA409B">
          <w:pPr>
            <w:pStyle w:val="TOC1"/>
            <w:ind w:left="0" w:firstLine="0"/>
            <w:rPr>
              <w:rFonts w:asciiTheme="minorHAnsi" w:eastAsiaTheme="minorEastAsia" w:hAnsiTheme="minorHAnsi" w:cstheme="minorBidi"/>
              <w:noProof/>
              <w:szCs w:val="22"/>
              <w:lang w:eastAsia="en-AU"/>
            </w:rPr>
          </w:pPr>
          <w:r>
            <w:rPr>
              <w:rFonts w:cs="Arial"/>
              <w:sz w:val="26"/>
              <w:szCs w:val="26"/>
              <w:lang w:eastAsia="en-AU"/>
            </w:rPr>
            <w:fldChar w:fldCharType="begin"/>
          </w:r>
          <w:r>
            <w:instrText xml:space="preserve"> TOC \o "1-3" \h \z \u </w:instrText>
          </w:r>
          <w:r>
            <w:rPr>
              <w:rFonts w:cs="Arial"/>
              <w:sz w:val="26"/>
              <w:szCs w:val="26"/>
              <w:lang w:eastAsia="en-AU"/>
            </w:rPr>
            <w:fldChar w:fldCharType="separate"/>
          </w:r>
          <w:hyperlink w:anchor="_Toc46146187" w:history="1">
            <w:r w:rsidR="00526D9F" w:rsidRPr="00087D5F">
              <w:rPr>
                <w:rStyle w:val="Hyperlink"/>
                <w:noProof/>
              </w:rPr>
              <w:t>Acknowledgement of Country</w:t>
            </w:r>
            <w:r w:rsidR="00526D9F">
              <w:rPr>
                <w:noProof/>
                <w:webHidden/>
              </w:rPr>
              <w:tab/>
            </w:r>
            <w:r w:rsidR="00526D9F">
              <w:rPr>
                <w:noProof/>
                <w:webHidden/>
              </w:rPr>
              <w:fldChar w:fldCharType="begin"/>
            </w:r>
            <w:r w:rsidR="00526D9F">
              <w:rPr>
                <w:noProof/>
                <w:webHidden/>
              </w:rPr>
              <w:instrText xml:space="preserve"> PAGEREF _Toc46146187 \h </w:instrText>
            </w:r>
            <w:r w:rsidR="00526D9F">
              <w:rPr>
                <w:noProof/>
                <w:webHidden/>
              </w:rPr>
            </w:r>
            <w:r w:rsidR="00526D9F">
              <w:rPr>
                <w:noProof/>
                <w:webHidden/>
              </w:rPr>
              <w:fldChar w:fldCharType="separate"/>
            </w:r>
            <w:r w:rsidR="00DA409B">
              <w:rPr>
                <w:noProof/>
                <w:webHidden/>
              </w:rPr>
              <w:t>2</w:t>
            </w:r>
            <w:r w:rsidR="00526D9F">
              <w:rPr>
                <w:noProof/>
                <w:webHidden/>
              </w:rPr>
              <w:fldChar w:fldCharType="end"/>
            </w:r>
          </w:hyperlink>
        </w:p>
        <w:p w14:paraId="314E27BB" w14:textId="6AD33CE8" w:rsidR="00526D9F" w:rsidRDefault="00976902" w:rsidP="00DA409B">
          <w:pPr>
            <w:pStyle w:val="TOC1"/>
            <w:rPr>
              <w:rFonts w:asciiTheme="minorHAnsi" w:eastAsiaTheme="minorEastAsia" w:hAnsiTheme="minorHAnsi" w:cstheme="minorBidi"/>
              <w:noProof/>
              <w:szCs w:val="22"/>
              <w:lang w:eastAsia="en-AU"/>
            </w:rPr>
          </w:pPr>
          <w:hyperlink w:anchor="_Toc46146188" w:history="1">
            <w:r w:rsidR="00526D9F" w:rsidRPr="00087D5F">
              <w:rPr>
                <w:rStyle w:val="Hyperlink"/>
                <w:noProof/>
              </w:rPr>
              <w:t>Executive Summary</w:t>
            </w:r>
            <w:r w:rsidR="00526D9F">
              <w:rPr>
                <w:noProof/>
                <w:webHidden/>
              </w:rPr>
              <w:tab/>
            </w:r>
            <w:r w:rsidR="00526D9F">
              <w:rPr>
                <w:noProof/>
                <w:webHidden/>
              </w:rPr>
              <w:fldChar w:fldCharType="begin"/>
            </w:r>
            <w:r w:rsidR="00526D9F">
              <w:rPr>
                <w:noProof/>
                <w:webHidden/>
              </w:rPr>
              <w:instrText xml:space="preserve"> PAGEREF _Toc46146188 \h </w:instrText>
            </w:r>
            <w:r w:rsidR="00526D9F">
              <w:rPr>
                <w:noProof/>
                <w:webHidden/>
              </w:rPr>
            </w:r>
            <w:r w:rsidR="00526D9F">
              <w:rPr>
                <w:noProof/>
                <w:webHidden/>
              </w:rPr>
              <w:fldChar w:fldCharType="separate"/>
            </w:r>
            <w:r w:rsidR="00DA409B">
              <w:rPr>
                <w:noProof/>
                <w:webHidden/>
              </w:rPr>
              <w:t>3</w:t>
            </w:r>
            <w:r w:rsidR="00526D9F">
              <w:rPr>
                <w:noProof/>
                <w:webHidden/>
              </w:rPr>
              <w:fldChar w:fldCharType="end"/>
            </w:r>
          </w:hyperlink>
        </w:p>
        <w:p w14:paraId="1E570E5F" w14:textId="29B6EC79" w:rsidR="00526D9F" w:rsidRDefault="00976902" w:rsidP="00DA409B">
          <w:pPr>
            <w:pStyle w:val="TOC1"/>
            <w:rPr>
              <w:rFonts w:asciiTheme="minorHAnsi" w:eastAsiaTheme="minorEastAsia" w:hAnsiTheme="minorHAnsi" w:cstheme="minorBidi"/>
              <w:noProof/>
              <w:szCs w:val="22"/>
              <w:lang w:eastAsia="en-AU"/>
            </w:rPr>
          </w:pPr>
          <w:hyperlink w:anchor="_Toc46146189" w:history="1">
            <w:r w:rsidR="00526D9F" w:rsidRPr="00087D5F">
              <w:rPr>
                <w:rStyle w:val="Hyperlink"/>
                <w:noProof/>
              </w:rPr>
              <w:t>Summary of recommendations</w:t>
            </w:r>
            <w:r w:rsidR="00526D9F">
              <w:rPr>
                <w:noProof/>
                <w:webHidden/>
              </w:rPr>
              <w:tab/>
            </w:r>
            <w:r w:rsidR="00526D9F">
              <w:rPr>
                <w:noProof/>
                <w:webHidden/>
              </w:rPr>
              <w:fldChar w:fldCharType="begin"/>
            </w:r>
            <w:r w:rsidR="00526D9F">
              <w:rPr>
                <w:noProof/>
                <w:webHidden/>
              </w:rPr>
              <w:instrText xml:space="preserve"> PAGEREF _Toc46146189 \h </w:instrText>
            </w:r>
            <w:r w:rsidR="00526D9F">
              <w:rPr>
                <w:noProof/>
                <w:webHidden/>
              </w:rPr>
            </w:r>
            <w:r w:rsidR="00526D9F">
              <w:rPr>
                <w:noProof/>
                <w:webHidden/>
              </w:rPr>
              <w:fldChar w:fldCharType="separate"/>
            </w:r>
            <w:r w:rsidR="00DA409B">
              <w:rPr>
                <w:noProof/>
                <w:webHidden/>
              </w:rPr>
              <w:t>4</w:t>
            </w:r>
            <w:r w:rsidR="00526D9F">
              <w:rPr>
                <w:noProof/>
                <w:webHidden/>
              </w:rPr>
              <w:fldChar w:fldCharType="end"/>
            </w:r>
          </w:hyperlink>
        </w:p>
        <w:p w14:paraId="0CCF1966" w14:textId="640DB6E3" w:rsidR="00526D9F" w:rsidRDefault="00976902" w:rsidP="00DA409B">
          <w:pPr>
            <w:pStyle w:val="TOC1"/>
            <w:rPr>
              <w:rFonts w:asciiTheme="minorHAnsi" w:eastAsiaTheme="minorEastAsia" w:hAnsiTheme="minorHAnsi" w:cstheme="minorBidi"/>
              <w:noProof/>
              <w:szCs w:val="22"/>
              <w:lang w:eastAsia="en-AU"/>
            </w:rPr>
          </w:pPr>
          <w:hyperlink w:anchor="_Toc46146190" w:history="1">
            <w:r w:rsidR="00526D9F" w:rsidRPr="00087D5F">
              <w:rPr>
                <w:rStyle w:val="Hyperlink"/>
                <w:noProof/>
              </w:rPr>
              <w:t>Recommendation 1 – holistic, systemic reform to family violence</w:t>
            </w:r>
            <w:r w:rsidR="00526D9F">
              <w:rPr>
                <w:noProof/>
                <w:webHidden/>
              </w:rPr>
              <w:tab/>
            </w:r>
            <w:r w:rsidR="00526D9F">
              <w:rPr>
                <w:noProof/>
                <w:webHidden/>
              </w:rPr>
              <w:fldChar w:fldCharType="begin"/>
            </w:r>
            <w:r w:rsidR="00526D9F">
              <w:rPr>
                <w:noProof/>
                <w:webHidden/>
              </w:rPr>
              <w:instrText xml:space="preserve"> PAGEREF _Toc46146190 \h </w:instrText>
            </w:r>
            <w:r w:rsidR="00526D9F">
              <w:rPr>
                <w:noProof/>
                <w:webHidden/>
              </w:rPr>
            </w:r>
            <w:r w:rsidR="00526D9F">
              <w:rPr>
                <w:noProof/>
                <w:webHidden/>
              </w:rPr>
              <w:fldChar w:fldCharType="separate"/>
            </w:r>
            <w:r w:rsidR="00DA409B">
              <w:rPr>
                <w:noProof/>
                <w:webHidden/>
              </w:rPr>
              <w:t>4</w:t>
            </w:r>
            <w:r w:rsidR="00526D9F">
              <w:rPr>
                <w:noProof/>
                <w:webHidden/>
              </w:rPr>
              <w:fldChar w:fldCharType="end"/>
            </w:r>
          </w:hyperlink>
        </w:p>
        <w:p w14:paraId="000E0B17" w14:textId="0D1D8B57" w:rsidR="00526D9F" w:rsidRDefault="00976902" w:rsidP="00DA409B">
          <w:pPr>
            <w:pStyle w:val="TOC1"/>
            <w:rPr>
              <w:rFonts w:asciiTheme="minorHAnsi" w:eastAsiaTheme="minorEastAsia" w:hAnsiTheme="minorHAnsi" w:cstheme="minorBidi"/>
              <w:noProof/>
              <w:szCs w:val="22"/>
              <w:lang w:eastAsia="en-AU"/>
            </w:rPr>
          </w:pPr>
          <w:hyperlink w:anchor="_Toc46146191" w:history="1">
            <w:r w:rsidR="00526D9F" w:rsidRPr="00087D5F">
              <w:rPr>
                <w:rStyle w:val="Hyperlink"/>
                <w:noProof/>
              </w:rPr>
              <w:t>Recommendation 2 – legal services are integral in responding to family violence</w:t>
            </w:r>
            <w:r w:rsidR="00526D9F">
              <w:rPr>
                <w:noProof/>
                <w:webHidden/>
              </w:rPr>
              <w:tab/>
            </w:r>
            <w:r w:rsidR="00526D9F">
              <w:rPr>
                <w:noProof/>
                <w:webHidden/>
              </w:rPr>
              <w:fldChar w:fldCharType="begin"/>
            </w:r>
            <w:r w:rsidR="00526D9F">
              <w:rPr>
                <w:noProof/>
                <w:webHidden/>
              </w:rPr>
              <w:instrText xml:space="preserve"> PAGEREF _Toc46146191 \h </w:instrText>
            </w:r>
            <w:r w:rsidR="00526D9F">
              <w:rPr>
                <w:noProof/>
                <w:webHidden/>
              </w:rPr>
            </w:r>
            <w:r w:rsidR="00526D9F">
              <w:rPr>
                <w:noProof/>
                <w:webHidden/>
              </w:rPr>
              <w:fldChar w:fldCharType="separate"/>
            </w:r>
            <w:r w:rsidR="00DA409B">
              <w:rPr>
                <w:noProof/>
                <w:webHidden/>
              </w:rPr>
              <w:t>4</w:t>
            </w:r>
            <w:r w:rsidR="00526D9F">
              <w:rPr>
                <w:noProof/>
                <w:webHidden/>
              </w:rPr>
              <w:fldChar w:fldCharType="end"/>
            </w:r>
          </w:hyperlink>
        </w:p>
        <w:p w14:paraId="35CC2B33" w14:textId="412E722E" w:rsidR="00526D9F" w:rsidRDefault="00976902" w:rsidP="00DA409B">
          <w:pPr>
            <w:pStyle w:val="TOC1"/>
            <w:rPr>
              <w:rFonts w:asciiTheme="minorHAnsi" w:eastAsiaTheme="minorEastAsia" w:hAnsiTheme="minorHAnsi" w:cstheme="minorBidi"/>
              <w:noProof/>
              <w:szCs w:val="22"/>
              <w:lang w:eastAsia="en-AU"/>
            </w:rPr>
          </w:pPr>
          <w:hyperlink w:anchor="_Toc46146192" w:history="1">
            <w:r w:rsidR="00526D9F" w:rsidRPr="00087D5F">
              <w:rPr>
                <w:rStyle w:val="Hyperlink"/>
                <w:noProof/>
              </w:rPr>
              <w:t>Recommendation 3 – a different response for particular communities</w:t>
            </w:r>
            <w:r w:rsidR="00526D9F">
              <w:rPr>
                <w:noProof/>
                <w:webHidden/>
              </w:rPr>
              <w:tab/>
            </w:r>
            <w:r w:rsidR="00526D9F">
              <w:rPr>
                <w:noProof/>
                <w:webHidden/>
              </w:rPr>
              <w:fldChar w:fldCharType="begin"/>
            </w:r>
            <w:r w:rsidR="00526D9F">
              <w:rPr>
                <w:noProof/>
                <w:webHidden/>
              </w:rPr>
              <w:instrText xml:space="preserve"> PAGEREF _Toc46146192 \h </w:instrText>
            </w:r>
            <w:r w:rsidR="00526D9F">
              <w:rPr>
                <w:noProof/>
                <w:webHidden/>
              </w:rPr>
            </w:r>
            <w:r w:rsidR="00526D9F">
              <w:rPr>
                <w:noProof/>
                <w:webHidden/>
              </w:rPr>
              <w:fldChar w:fldCharType="separate"/>
            </w:r>
            <w:r w:rsidR="00DA409B">
              <w:rPr>
                <w:noProof/>
                <w:webHidden/>
              </w:rPr>
              <w:t>5</w:t>
            </w:r>
            <w:r w:rsidR="00526D9F">
              <w:rPr>
                <w:noProof/>
                <w:webHidden/>
              </w:rPr>
              <w:fldChar w:fldCharType="end"/>
            </w:r>
          </w:hyperlink>
        </w:p>
        <w:p w14:paraId="74A2260E" w14:textId="0F42AE9A" w:rsidR="00526D9F" w:rsidRDefault="00976902" w:rsidP="00DA409B">
          <w:pPr>
            <w:pStyle w:val="TOC1"/>
            <w:rPr>
              <w:rFonts w:asciiTheme="minorHAnsi" w:eastAsiaTheme="minorEastAsia" w:hAnsiTheme="minorHAnsi" w:cstheme="minorBidi"/>
              <w:noProof/>
              <w:szCs w:val="22"/>
              <w:lang w:eastAsia="en-AU"/>
            </w:rPr>
          </w:pPr>
          <w:hyperlink w:anchor="_Toc46146193" w:history="1">
            <w:r w:rsidR="00526D9F" w:rsidRPr="00087D5F">
              <w:rPr>
                <w:rStyle w:val="Hyperlink"/>
                <w:noProof/>
              </w:rPr>
              <w:t>Recommendation 4 – improving the broader systems response</w:t>
            </w:r>
            <w:r w:rsidR="00526D9F">
              <w:rPr>
                <w:noProof/>
                <w:webHidden/>
              </w:rPr>
              <w:tab/>
            </w:r>
            <w:r w:rsidR="00526D9F">
              <w:rPr>
                <w:noProof/>
                <w:webHidden/>
              </w:rPr>
              <w:fldChar w:fldCharType="begin"/>
            </w:r>
            <w:r w:rsidR="00526D9F">
              <w:rPr>
                <w:noProof/>
                <w:webHidden/>
              </w:rPr>
              <w:instrText xml:space="preserve"> PAGEREF _Toc46146193 \h </w:instrText>
            </w:r>
            <w:r w:rsidR="00526D9F">
              <w:rPr>
                <w:noProof/>
                <w:webHidden/>
              </w:rPr>
            </w:r>
            <w:r w:rsidR="00526D9F">
              <w:rPr>
                <w:noProof/>
                <w:webHidden/>
              </w:rPr>
              <w:fldChar w:fldCharType="separate"/>
            </w:r>
            <w:r w:rsidR="00DA409B">
              <w:rPr>
                <w:noProof/>
                <w:webHidden/>
              </w:rPr>
              <w:t>5</w:t>
            </w:r>
            <w:r w:rsidR="00526D9F">
              <w:rPr>
                <w:noProof/>
                <w:webHidden/>
              </w:rPr>
              <w:fldChar w:fldCharType="end"/>
            </w:r>
          </w:hyperlink>
        </w:p>
        <w:p w14:paraId="0B9AEF75" w14:textId="38BB1FB6" w:rsidR="00526D9F" w:rsidRDefault="00976902" w:rsidP="00DA409B">
          <w:pPr>
            <w:pStyle w:val="TOC1"/>
            <w:rPr>
              <w:rFonts w:asciiTheme="minorHAnsi" w:eastAsiaTheme="minorEastAsia" w:hAnsiTheme="minorHAnsi" w:cstheme="minorBidi"/>
              <w:noProof/>
              <w:szCs w:val="22"/>
              <w:lang w:eastAsia="en-AU"/>
            </w:rPr>
          </w:pPr>
          <w:hyperlink w:anchor="_Toc46146194" w:history="1">
            <w:r w:rsidR="00526D9F" w:rsidRPr="00087D5F">
              <w:rPr>
                <w:rStyle w:val="Hyperlink"/>
                <w:noProof/>
              </w:rPr>
              <w:t>About Victoria Legal Aid</w:t>
            </w:r>
            <w:r w:rsidR="00526D9F">
              <w:rPr>
                <w:noProof/>
                <w:webHidden/>
              </w:rPr>
              <w:tab/>
            </w:r>
            <w:r w:rsidR="00526D9F">
              <w:rPr>
                <w:noProof/>
                <w:webHidden/>
              </w:rPr>
              <w:fldChar w:fldCharType="begin"/>
            </w:r>
            <w:r w:rsidR="00526D9F">
              <w:rPr>
                <w:noProof/>
                <w:webHidden/>
              </w:rPr>
              <w:instrText xml:space="preserve"> PAGEREF _Toc46146194 \h </w:instrText>
            </w:r>
            <w:r w:rsidR="00526D9F">
              <w:rPr>
                <w:noProof/>
                <w:webHidden/>
              </w:rPr>
            </w:r>
            <w:r w:rsidR="00526D9F">
              <w:rPr>
                <w:noProof/>
                <w:webHidden/>
              </w:rPr>
              <w:fldChar w:fldCharType="separate"/>
            </w:r>
            <w:r w:rsidR="00DA409B">
              <w:rPr>
                <w:noProof/>
                <w:webHidden/>
              </w:rPr>
              <w:t>6</w:t>
            </w:r>
            <w:r w:rsidR="00526D9F">
              <w:rPr>
                <w:noProof/>
                <w:webHidden/>
              </w:rPr>
              <w:fldChar w:fldCharType="end"/>
            </w:r>
          </w:hyperlink>
        </w:p>
        <w:p w14:paraId="51E12575" w14:textId="301CC46B" w:rsidR="00526D9F" w:rsidRDefault="00976902" w:rsidP="00DA409B">
          <w:pPr>
            <w:pStyle w:val="TOC1"/>
            <w:rPr>
              <w:rFonts w:asciiTheme="minorHAnsi" w:eastAsiaTheme="minorEastAsia" w:hAnsiTheme="minorHAnsi" w:cstheme="minorBidi"/>
              <w:noProof/>
              <w:szCs w:val="22"/>
              <w:lang w:eastAsia="en-AU"/>
            </w:rPr>
          </w:pPr>
          <w:hyperlink w:anchor="_Toc46146195" w:history="1">
            <w:r w:rsidR="00526D9F" w:rsidRPr="00087D5F">
              <w:rPr>
                <w:rStyle w:val="Hyperlink"/>
                <w:noProof/>
              </w:rPr>
              <w:t>About the Federation of Community Legal Centres</w:t>
            </w:r>
            <w:r w:rsidR="00526D9F">
              <w:rPr>
                <w:noProof/>
                <w:webHidden/>
              </w:rPr>
              <w:tab/>
            </w:r>
            <w:r w:rsidR="00526D9F">
              <w:rPr>
                <w:noProof/>
                <w:webHidden/>
              </w:rPr>
              <w:fldChar w:fldCharType="begin"/>
            </w:r>
            <w:r w:rsidR="00526D9F">
              <w:rPr>
                <w:noProof/>
                <w:webHidden/>
              </w:rPr>
              <w:instrText xml:space="preserve"> PAGEREF _Toc46146195 \h </w:instrText>
            </w:r>
            <w:r w:rsidR="00526D9F">
              <w:rPr>
                <w:noProof/>
                <w:webHidden/>
              </w:rPr>
            </w:r>
            <w:r w:rsidR="00526D9F">
              <w:rPr>
                <w:noProof/>
                <w:webHidden/>
              </w:rPr>
              <w:fldChar w:fldCharType="separate"/>
            </w:r>
            <w:r w:rsidR="00DA409B">
              <w:rPr>
                <w:noProof/>
                <w:webHidden/>
              </w:rPr>
              <w:t>6</w:t>
            </w:r>
            <w:r w:rsidR="00526D9F">
              <w:rPr>
                <w:noProof/>
                <w:webHidden/>
              </w:rPr>
              <w:fldChar w:fldCharType="end"/>
            </w:r>
          </w:hyperlink>
        </w:p>
        <w:p w14:paraId="4566DE0F" w14:textId="1CBA1718" w:rsidR="00526D9F" w:rsidRDefault="00976902" w:rsidP="00DA409B">
          <w:pPr>
            <w:pStyle w:val="TOC1"/>
            <w:rPr>
              <w:rFonts w:asciiTheme="minorHAnsi" w:eastAsiaTheme="minorEastAsia" w:hAnsiTheme="minorHAnsi" w:cstheme="minorBidi"/>
              <w:noProof/>
              <w:szCs w:val="22"/>
              <w:lang w:eastAsia="en-AU"/>
            </w:rPr>
          </w:pPr>
          <w:hyperlink w:anchor="_Toc46146196" w:history="1">
            <w:r w:rsidR="00526D9F" w:rsidRPr="00087D5F">
              <w:rPr>
                <w:rStyle w:val="Hyperlink"/>
                <w:noProof/>
              </w:rPr>
              <w:t>About Women’s Legal Service Victoria</w:t>
            </w:r>
            <w:r w:rsidR="00526D9F">
              <w:rPr>
                <w:noProof/>
                <w:webHidden/>
              </w:rPr>
              <w:tab/>
            </w:r>
            <w:r w:rsidR="00526D9F">
              <w:rPr>
                <w:noProof/>
                <w:webHidden/>
              </w:rPr>
              <w:fldChar w:fldCharType="begin"/>
            </w:r>
            <w:r w:rsidR="00526D9F">
              <w:rPr>
                <w:noProof/>
                <w:webHidden/>
              </w:rPr>
              <w:instrText xml:space="preserve"> PAGEREF _Toc46146196 \h </w:instrText>
            </w:r>
            <w:r w:rsidR="00526D9F">
              <w:rPr>
                <w:noProof/>
                <w:webHidden/>
              </w:rPr>
            </w:r>
            <w:r w:rsidR="00526D9F">
              <w:rPr>
                <w:noProof/>
                <w:webHidden/>
              </w:rPr>
              <w:fldChar w:fldCharType="separate"/>
            </w:r>
            <w:r w:rsidR="00DA409B">
              <w:rPr>
                <w:noProof/>
                <w:webHidden/>
              </w:rPr>
              <w:t>6</w:t>
            </w:r>
            <w:r w:rsidR="00526D9F">
              <w:rPr>
                <w:noProof/>
                <w:webHidden/>
              </w:rPr>
              <w:fldChar w:fldCharType="end"/>
            </w:r>
          </w:hyperlink>
        </w:p>
        <w:p w14:paraId="1661B626" w14:textId="18028086" w:rsidR="00526D9F" w:rsidRDefault="00976902" w:rsidP="00DA409B">
          <w:pPr>
            <w:pStyle w:val="TOC1"/>
            <w:rPr>
              <w:rFonts w:asciiTheme="minorHAnsi" w:eastAsiaTheme="minorEastAsia" w:hAnsiTheme="minorHAnsi" w:cstheme="minorBidi"/>
              <w:noProof/>
              <w:szCs w:val="22"/>
              <w:lang w:eastAsia="en-AU"/>
            </w:rPr>
          </w:pPr>
          <w:hyperlink w:anchor="_Toc46146197" w:history="1">
            <w:r w:rsidR="00526D9F" w:rsidRPr="00087D5F">
              <w:rPr>
                <w:rStyle w:val="Hyperlink"/>
                <w:noProof/>
              </w:rPr>
              <w:t>Our submission</w:t>
            </w:r>
            <w:r w:rsidR="00526D9F">
              <w:rPr>
                <w:noProof/>
                <w:webHidden/>
              </w:rPr>
              <w:tab/>
            </w:r>
            <w:r w:rsidR="00526D9F">
              <w:rPr>
                <w:noProof/>
                <w:webHidden/>
              </w:rPr>
              <w:fldChar w:fldCharType="begin"/>
            </w:r>
            <w:r w:rsidR="00526D9F">
              <w:rPr>
                <w:noProof/>
                <w:webHidden/>
              </w:rPr>
              <w:instrText xml:space="preserve"> PAGEREF _Toc46146197 \h </w:instrText>
            </w:r>
            <w:r w:rsidR="00526D9F">
              <w:rPr>
                <w:noProof/>
                <w:webHidden/>
              </w:rPr>
            </w:r>
            <w:r w:rsidR="00526D9F">
              <w:rPr>
                <w:noProof/>
                <w:webHidden/>
              </w:rPr>
              <w:fldChar w:fldCharType="separate"/>
            </w:r>
            <w:r w:rsidR="00DA409B">
              <w:rPr>
                <w:noProof/>
                <w:webHidden/>
              </w:rPr>
              <w:t>8</w:t>
            </w:r>
            <w:r w:rsidR="00526D9F">
              <w:rPr>
                <w:noProof/>
                <w:webHidden/>
              </w:rPr>
              <w:fldChar w:fldCharType="end"/>
            </w:r>
          </w:hyperlink>
        </w:p>
        <w:p w14:paraId="3D959B55" w14:textId="24808204" w:rsidR="00526D9F" w:rsidRDefault="00976902" w:rsidP="00DA409B">
          <w:pPr>
            <w:pStyle w:val="TOC3"/>
            <w:rPr>
              <w:rFonts w:asciiTheme="minorHAnsi" w:eastAsiaTheme="minorEastAsia" w:hAnsiTheme="minorHAnsi" w:cstheme="minorBidi"/>
              <w:szCs w:val="22"/>
              <w:lang w:eastAsia="en-AU"/>
            </w:rPr>
          </w:pPr>
          <w:hyperlink w:anchor="_Toc46146198" w:history="1">
            <w:r w:rsidR="00526D9F" w:rsidRPr="00087D5F">
              <w:rPr>
                <w:rStyle w:val="Hyperlink"/>
                <w:rFonts w:eastAsia="Arial"/>
              </w:rPr>
              <w:t>Governance</w:t>
            </w:r>
            <w:r w:rsidR="00526D9F">
              <w:rPr>
                <w:webHidden/>
              </w:rPr>
              <w:tab/>
            </w:r>
            <w:r w:rsidR="00526D9F">
              <w:rPr>
                <w:webHidden/>
              </w:rPr>
              <w:fldChar w:fldCharType="begin"/>
            </w:r>
            <w:r w:rsidR="00526D9F">
              <w:rPr>
                <w:webHidden/>
              </w:rPr>
              <w:instrText xml:space="preserve"> PAGEREF _Toc46146198 \h </w:instrText>
            </w:r>
            <w:r w:rsidR="00526D9F">
              <w:rPr>
                <w:webHidden/>
              </w:rPr>
            </w:r>
            <w:r w:rsidR="00526D9F">
              <w:rPr>
                <w:webHidden/>
              </w:rPr>
              <w:fldChar w:fldCharType="separate"/>
            </w:r>
            <w:r w:rsidR="00DA409B">
              <w:rPr>
                <w:webHidden/>
              </w:rPr>
              <w:t>8</w:t>
            </w:r>
            <w:r w:rsidR="00526D9F">
              <w:rPr>
                <w:webHidden/>
              </w:rPr>
              <w:fldChar w:fldCharType="end"/>
            </w:r>
          </w:hyperlink>
        </w:p>
        <w:p w14:paraId="2F74E951" w14:textId="1CF09B5E" w:rsidR="00526D9F" w:rsidRDefault="00976902" w:rsidP="00DA409B">
          <w:pPr>
            <w:pStyle w:val="TOC3"/>
            <w:rPr>
              <w:rFonts w:asciiTheme="minorHAnsi" w:eastAsiaTheme="minorEastAsia" w:hAnsiTheme="minorHAnsi" w:cstheme="minorBidi"/>
              <w:szCs w:val="22"/>
              <w:lang w:eastAsia="en-AU"/>
            </w:rPr>
          </w:pPr>
          <w:hyperlink w:anchor="_Toc46146199" w:history="1">
            <w:r w:rsidR="00526D9F" w:rsidRPr="00087D5F">
              <w:rPr>
                <w:rStyle w:val="Hyperlink"/>
                <w:rFonts w:eastAsia="Arial"/>
              </w:rPr>
              <w:t>The Specialist Family Violence Courts (SFVC)</w:t>
            </w:r>
            <w:r w:rsidR="00526D9F">
              <w:rPr>
                <w:webHidden/>
              </w:rPr>
              <w:tab/>
            </w:r>
            <w:r w:rsidR="00526D9F">
              <w:rPr>
                <w:webHidden/>
              </w:rPr>
              <w:fldChar w:fldCharType="begin"/>
            </w:r>
            <w:r w:rsidR="00526D9F">
              <w:rPr>
                <w:webHidden/>
              </w:rPr>
              <w:instrText xml:space="preserve"> PAGEREF _Toc46146199 \h </w:instrText>
            </w:r>
            <w:r w:rsidR="00526D9F">
              <w:rPr>
                <w:webHidden/>
              </w:rPr>
            </w:r>
            <w:r w:rsidR="00526D9F">
              <w:rPr>
                <w:webHidden/>
              </w:rPr>
              <w:fldChar w:fldCharType="separate"/>
            </w:r>
            <w:r w:rsidR="00DA409B">
              <w:rPr>
                <w:webHidden/>
              </w:rPr>
              <w:t>9</w:t>
            </w:r>
            <w:r w:rsidR="00526D9F">
              <w:rPr>
                <w:webHidden/>
              </w:rPr>
              <w:fldChar w:fldCharType="end"/>
            </w:r>
          </w:hyperlink>
        </w:p>
        <w:p w14:paraId="33278F4F" w14:textId="0A3FCCEB" w:rsidR="00526D9F" w:rsidRDefault="00976902" w:rsidP="00DA409B">
          <w:pPr>
            <w:pStyle w:val="TOC3"/>
            <w:rPr>
              <w:rFonts w:asciiTheme="minorHAnsi" w:eastAsiaTheme="minorEastAsia" w:hAnsiTheme="minorHAnsi" w:cstheme="minorBidi"/>
              <w:szCs w:val="22"/>
              <w:lang w:eastAsia="en-AU"/>
            </w:rPr>
          </w:pPr>
          <w:hyperlink w:anchor="_Toc46146200" w:history="1">
            <w:r w:rsidR="00526D9F" w:rsidRPr="00087D5F">
              <w:rPr>
                <w:rStyle w:val="Hyperlink"/>
              </w:rPr>
              <w:t>Legal assistance for people who experience and use family violence</w:t>
            </w:r>
            <w:r w:rsidR="00526D9F">
              <w:rPr>
                <w:webHidden/>
              </w:rPr>
              <w:tab/>
            </w:r>
            <w:r w:rsidR="00526D9F">
              <w:rPr>
                <w:webHidden/>
              </w:rPr>
              <w:fldChar w:fldCharType="begin"/>
            </w:r>
            <w:r w:rsidR="00526D9F">
              <w:rPr>
                <w:webHidden/>
              </w:rPr>
              <w:instrText xml:space="preserve"> PAGEREF _Toc46146200 \h </w:instrText>
            </w:r>
            <w:r w:rsidR="00526D9F">
              <w:rPr>
                <w:webHidden/>
              </w:rPr>
            </w:r>
            <w:r w:rsidR="00526D9F">
              <w:rPr>
                <w:webHidden/>
              </w:rPr>
              <w:fldChar w:fldCharType="separate"/>
            </w:r>
            <w:r w:rsidR="00DA409B">
              <w:rPr>
                <w:webHidden/>
              </w:rPr>
              <w:t>11</w:t>
            </w:r>
            <w:r w:rsidR="00526D9F">
              <w:rPr>
                <w:webHidden/>
              </w:rPr>
              <w:fldChar w:fldCharType="end"/>
            </w:r>
          </w:hyperlink>
        </w:p>
        <w:p w14:paraId="0FB19D19" w14:textId="4028D321" w:rsidR="00526D9F" w:rsidRDefault="00976902" w:rsidP="00DA409B">
          <w:pPr>
            <w:pStyle w:val="TOC3"/>
            <w:rPr>
              <w:rFonts w:asciiTheme="minorHAnsi" w:eastAsiaTheme="minorEastAsia" w:hAnsiTheme="minorHAnsi" w:cstheme="minorBidi"/>
              <w:szCs w:val="22"/>
              <w:lang w:eastAsia="en-AU"/>
            </w:rPr>
          </w:pPr>
          <w:hyperlink w:anchor="_Toc46146201" w:history="1">
            <w:r w:rsidR="00526D9F" w:rsidRPr="00087D5F">
              <w:rPr>
                <w:rStyle w:val="Hyperlink"/>
                <w:rFonts w:eastAsia="Arial"/>
              </w:rPr>
              <w:t>The Support and Safety Hubs (The Orange Door)</w:t>
            </w:r>
            <w:r w:rsidR="00526D9F">
              <w:rPr>
                <w:webHidden/>
              </w:rPr>
              <w:tab/>
            </w:r>
            <w:r w:rsidR="00526D9F">
              <w:rPr>
                <w:webHidden/>
              </w:rPr>
              <w:fldChar w:fldCharType="begin"/>
            </w:r>
            <w:r w:rsidR="00526D9F">
              <w:rPr>
                <w:webHidden/>
              </w:rPr>
              <w:instrText xml:space="preserve"> PAGEREF _Toc46146201 \h </w:instrText>
            </w:r>
            <w:r w:rsidR="00526D9F">
              <w:rPr>
                <w:webHidden/>
              </w:rPr>
            </w:r>
            <w:r w:rsidR="00526D9F">
              <w:rPr>
                <w:webHidden/>
              </w:rPr>
              <w:fldChar w:fldCharType="separate"/>
            </w:r>
            <w:r w:rsidR="00DA409B">
              <w:rPr>
                <w:webHidden/>
              </w:rPr>
              <w:t>12</w:t>
            </w:r>
            <w:r w:rsidR="00526D9F">
              <w:rPr>
                <w:webHidden/>
              </w:rPr>
              <w:fldChar w:fldCharType="end"/>
            </w:r>
          </w:hyperlink>
        </w:p>
        <w:p w14:paraId="2BE481EE" w14:textId="6EBCFA89" w:rsidR="00526D9F" w:rsidRDefault="00976902" w:rsidP="00DA409B">
          <w:pPr>
            <w:pStyle w:val="TOC3"/>
            <w:rPr>
              <w:rFonts w:asciiTheme="minorHAnsi" w:eastAsiaTheme="minorEastAsia" w:hAnsiTheme="minorHAnsi" w:cstheme="minorBidi"/>
              <w:szCs w:val="22"/>
              <w:lang w:eastAsia="en-AU"/>
            </w:rPr>
          </w:pPr>
          <w:hyperlink w:anchor="_Toc46146202" w:history="1">
            <w:r w:rsidR="00526D9F" w:rsidRPr="00087D5F">
              <w:rPr>
                <w:rStyle w:val="Hyperlink"/>
                <w:rFonts w:eastAsia="Arial"/>
              </w:rPr>
              <w:t xml:space="preserve"> Family Violence Safety Notices (FVSNs)</w:t>
            </w:r>
            <w:r w:rsidR="00526D9F">
              <w:rPr>
                <w:webHidden/>
              </w:rPr>
              <w:tab/>
            </w:r>
            <w:r w:rsidR="00526D9F">
              <w:rPr>
                <w:webHidden/>
              </w:rPr>
              <w:fldChar w:fldCharType="begin"/>
            </w:r>
            <w:r w:rsidR="00526D9F">
              <w:rPr>
                <w:webHidden/>
              </w:rPr>
              <w:instrText xml:space="preserve"> PAGEREF _Toc46146202 \h </w:instrText>
            </w:r>
            <w:r w:rsidR="00526D9F">
              <w:rPr>
                <w:webHidden/>
              </w:rPr>
            </w:r>
            <w:r w:rsidR="00526D9F">
              <w:rPr>
                <w:webHidden/>
              </w:rPr>
              <w:fldChar w:fldCharType="separate"/>
            </w:r>
            <w:r w:rsidR="00DA409B">
              <w:rPr>
                <w:webHidden/>
              </w:rPr>
              <w:t>13</w:t>
            </w:r>
            <w:r w:rsidR="00526D9F">
              <w:rPr>
                <w:webHidden/>
              </w:rPr>
              <w:fldChar w:fldCharType="end"/>
            </w:r>
          </w:hyperlink>
        </w:p>
        <w:p w14:paraId="785943A0" w14:textId="0D90FF2A" w:rsidR="00526D9F" w:rsidRDefault="00976902" w:rsidP="00DA409B">
          <w:pPr>
            <w:pStyle w:val="TOC3"/>
            <w:rPr>
              <w:rFonts w:asciiTheme="minorHAnsi" w:eastAsiaTheme="minorEastAsia" w:hAnsiTheme="minorHAnsi" w:cstheme="minorBidi"/>
              <w:szCs w:val="22"/>
              <w:lang w:eastAsia="en-AU"/>
            </w:rPr>
          </w:pPr>
          <w:hyperlink w:anchor="_Toc46146203" w:history="1">
            <w:r w:rsidR="00526D9F" w:rsidRPr="00087D5F">
              <w:rPr>
                <w:rStyle w:val="Hyperlink"/>
                <w:rFonts w:eastAsia="Arial"/>
              </w:rPr>
              <w:t>Family violence and young people including adolescents who use violence in the home (AVITH)</w:t>
            </w:r>
            <w:r w:rsidR="00526D9F">
              <w:rPr>
                <w:webHidden/>
              </w:rPr>
              <w:tab/>
            </w:r>
            <w:r w:rsidR="00526D9F">
              <w:rPr>
                <w:webHidden/>
              </w:rPr>
              <w:fldChar w:fldCharType="begin"/>
            </w:r>
            <w:r w:rsidR="00526D9F">
              <w:rPr>
                <w:webHidden/>
              </w:rPr>
              <w:instrText xml:space="preserve"> PAGEREF _Toc46146203 \h </w:instrText>
            </w:r>
            <w:r w:rsidR="00526D9F">
              <w:rPr>
                <w:webHidden/>
              </w:rPr>
            </w:r>
            <w:r w:rsidR="00526D9F">
              <w:rPr>
                <w:webHidden/>
              </w:rPr>
              <w:fldChar w:fldCharType="separate"/>
            </w:r>
            <w:r w:rsidR="00DA409B">
              <w:rPr>
                <w:webHidden/>
              </w:rPr>
              <w:t>14</w:t>
            </w:r>
            <w:r w:rsidR="00526D9F">
              <w:rPr>
                <w:webHidden/>
              </w:rPr>
              <w:fldChar w:fldCharType="end"/>
            </w:r>
          </w:hyperlink>
        </w:p>
        <w:p w14:paraId="13844BDC" w14:textId="568A397E" w:rsidR="00526D9F" w:rsidRDefault="00976902" w:rsidP="00DA409B">
          <w:pPr>
            <w:pStyle w:val="TOC3"/>
            <w:rPr>
              <w:rFonts w:asciiTheme="minorHAnsi" w:eastAsiaTheme="minorEastAsia" w:hAnsiTheme="minorHAnsi" w:cstheme="minorBidi"/>
              <w:szCs w:val="22"/>
              <w:lang w:eastAsia="en-AU"/>
            </w:rPr>
          </w:pPr>
          <w:hyperlink w:anchor="_Toc46146204" w:history="1">
            <w:r w:rsidR="00526D9F" w:rsidRPr="00087D5F">
              <w:rPr>
                <w:rStyle w:val="Hyperlink"/>
                <w:rFonts w:eastAsia="Arial"/>
              </w:rPr>
              <w:t>Elder abuse as a form of family violence</w:t>
            </w:r>
            <w:r w:rsidR="00526D9F">
              <w:rPr>
                <w:webHidden/>
              </w:rPr>
              <w:tab/>
            </w:r>
            <w:r w:rsidR="00526D9F">
              <w:rPr>
                <w:webHidden/>
              </w:rPr>
              <w:fldChar w:fldCharType="begin"/>
            </w:r>
            <w:r w:rsidR="00526D9F">
              <w:rPr>
                <w:webHidden/>
              </w:rPr>
              <w:instrText xml:space="preserve"> PAGEREF _Toc46146204 \h </w:instrText>
            </w:r>
            <w:r w:rsidR="00526D9F">
              <w:rPr>
                <w:webHidden/>
              </w:rPr>
            </w:r>
            <w:r w:rsidR="00526D9F">
              <w:rPr>
                <w:webHidden/>
              </w:rPr>
              <w:fldChar w:fldCharType="separate"/>
            </w:r>
            <w:r w:rsidR="00DA409B">
              <w:rPr>
                <w:webHidden/>
              </w:rPr>
              <w:t>15</w:t>
            </w:r>
            <w:r w:rsidR="00526D9F">
              <w:rPr>
                <w:webHidden/>
              </w:rPr>
              <w:fldChar w:fldCharType="end"/>
            </w:r>
          </w:hyperlink>
        </w:p>
        <w:p w14:paraId="555EFEC7" w14:textId="4467A81A" w:rsidR="00526D9F" w:rsidRDefault="00976902" w:rsidP="00DA409B">
          <w:pPr>
            <w:pStyle w:val="TOC3"/>
            <w:rPr>
              <w:rFonts w:asciiTheme="minorHAnsi" w:eastAsiaTheme="minorEastAsia" w:hAnsiTheme="minorHAnsi" w:cstheme="minorBidi"/>
              <w:szCs w:val="22"/>
              <w:lang w:eastAsia="en-AU"/>
            </w:rPr>
          </w:pPr>
          <w:hyperlink w:anchor="_Toc46146205" w:history="1">
            <w:r w:rsidR="00526D9F" w:rsidRPr="00087D5F">
              <w:rPr>
                <w:rStyle w:val="Hyperlink"/>
                <w:rFonts w:eastAsia="Arial"/>
              </w:rPr>
              <w:t>Infringements</w:t>
            </w:r>
            <w:r w:rsidR="00526D9F">
              <w:rPr>
                <w:webHidden/>
              </w:rPr>
              <w:tab/>
            </w:r>
            <w:r w:rsidR="00526D9F">
              <w:rPr>
                <w:webHidden/>
              </w:rPr>
              <w:fldChar w:fldCharType="begin"/>
            </w:r>
            <w:r w:rsidR="00526D9F">
              <w:rPr>
                <w:webHidden/>
              </w:rPr>
              <w:instrText xml:space="preserve"> PAGEREF _Toc46146205 \h </w:instrText>
            </w:r>
            <w:r w:rsidR="00526D9F">
              <w:rPr>
                <w:webHidden/>
              </w:rPr>
            </w:r>
            <w:r w:rsidR="00526D9F">
              <w:rPr>
                <w:webHidden/>
              </w:rPr>
              <w:fldChar w:fldCharType="separate"/>
            </w:r>
            <w:r w:rsidR="00DA409B">
              <w:rPr>
                <w:webHidden/>
              </w:rPr>
              <w:t>16</w:t>
            </w:r>
            <w:r w:rsidR="00526D9F">
              <w:rPr>
                <w:webHidden/>
              </w:rPr>
              <w:fldChar w:fldCharType="end"/>
            </w:r>
          </w:hyperlink>
        </w:p>
        <w:p w14:paraId="3860F98D" w14:textId="1861E7E8" w:rsidR="00526D9F" w:rsidRDefault="00976902" w:rsidP="00DA409B">
          <w:pPr>
            <w:pStyle w:val="TOC3"/>
            <w:rPr>
              <w:rFonts w:asciiTheme="minorHAnsi" w:eastAsiaTheme="minorEastAsia" w:hAnsiTheme="minorHAnsi" w:cstheme="minorBidi"/>
              <w:szCs w:val="22"/>
              <w:lang w:eastAsia="en-AU"/>
            </w:rPr>
          </w:pPr>
          <w:hyperlink w:anchor="_Toc46146206" w:history="1">
            <w:r w:rsidR="00526D9F" w:rsidRPr="00087D5F">
              <w:rPr>
                <w:rStyle w:val="Hyperlink"/>
                <w:rFonts w:eastAsia="Arial"/>
              </w:rPr>
              <w:t>Tenancy</w:t>
            </w:r>
            <w:r w:rsidR="00526D9F">
              <w:rPr>
                <w:webHidden/>
              </w:rPr>
              <w:tab/>
            </w:r>
            <w:r w:rsidR="00526D9F">
              <w:rPr>
                <w:webHidden/>
              </w:rPr>
              <w:fldChar w:fldCharType="begin"/>
            </w:r>
            <w:r w:rsidR="00526D9F">
              <w:rPr>
                <w:webHidden/>
              </w:rPr>
              <w:instrText xml:space="preserve"> PAGEREF _Toc46146206 \h </w:instrText>
            </w:r>
            <w:r w:rsidR="00526D9F">
              <w:rPr>
                <w:webHidden/>
              </w:rPr>
            </w:r>
            <w:r w:rsidR="00526D9F">
              <w:rPr>
                <w:webHidden/>
              </w:rPr>
              <w:fldChar w:fldCharType="separate"/>
            </w:r>
            <w:r w:rsidR="00DA409B">
              <w:rPr>
                <w:webHidden/>
              </w:rPr>
              <w:t>17</w:t>
            </w:r>
            <w:r w:rsidR="00526D9F">
              <w:rPr>
                <w:webHidden/>
              </w:rPr>
              <w:fldChar w:fldCharType="end"/>
            </w:r>
          </w:hyperlink>
        </w:p>
        <w:p w14:paraId="7B526738" w14:textId="112422C9" w:rsidR="00526D9F" w:rsidRDefault="00976902" w:rsidP="00DA409B">
          <w:pPr>
            <w:pStyle w:val="TOC3"/>
            <w:rPr>
              <w:rFonts w:asciiTheme="minorHAnsi" w:eastAsiaTheme="minorEastAsia" w:hAnsiTheme="minorHAnsi" w:cstheme="minorBidi"/>
              <w:szCs w:val="22"/>
              <w:lang w:eastAsia="en-AU"/>
            </w:rPr>
          </w:pPr>
          <w:hyperlink w:anchor="_Toc46146207" w:history="1">
            <w:r w:rsidR="00526D9F" w:rsidRPr="00087D5F">
              <w:rPr>
                <w:rStyle w:val="Hyperlink"/>
                <w:rFonts w:eastAsia="Arial"/>
              </w:rPr>
              <w:t>The mental health system and family violence</w:t>
            </w:r>
            <w:r w:rsidR="00526D9F">
              <w:rPr>
                <w:webHidden/>
              </w:rPr>
              <w:tab/>
            </w:r>
            <w:r w:rsidR="00526D9F">
              <w:rPr>
                <w:webHidden/>
              </w:rPr>
              <w:fldChar w:fldCharType="begin"/>
            </w:r>
            <w:r w:rsidR="00526D9F">
              <w:rPr>
                <w:webHidden/>
              </w:rPr>
              <w:instrText xml:space="preserve"> PAGEREF _Toc46146207 \h </w:instrText>
            </w:r>
            <w:r w:rsidR="00526D9F">
              <w:rPr>
                <w:webHidden/>
              </w:rPr>
            </w:r>
            <w:r w:rsidR="00526D9F">
              <w:rPr>
                <w:webHidden/>
              </w:rPr>
              <w:fldChar w:fldCharType="separate"/>
            </w:r>
            <w:r w:rsidR="00DA409B">
              <w:rPr>
                <w:webHidden/>
              </w:rPr>
              <w:t>18</w:t>
            </w:r>
            <w:r w:rsidR="00526D9F">
              <w:rPr>
                <w:webHidden/>
              </w:rPr>
              <w:fldChar w:fldCharType="end"/>
            </w:r>
          </w:hyperlink>
        </w:p>
        <w:p w14:paraId="29CBD309" w14:textId="234EB6BF" w:rsidR="00823CE3" w:rsidRDefault="00823CE3" w:rsidP="00DA409B">
          <w:r>
            <w:rPr>
              <w:b/>
              <w:bCs/>
              <w:noProof/>
            </w:rPr>
            <w:fldChar w:fldCharType="end"/>
          </w:r>
        </w:p>
      </w:sdtContent>
    </w:sdt>
    <w:p w14:paraId="47ECD81E" w14:textId="77777777" w:rsidR="008A3264" w:rsidRDefault="008A3264" w:rsidP="00DA409B">
      <w:pPr>
        <w:pStyle w:val="Confidentialityclause"/>
        <w:spacing w:before="600"/>
        <w:rPr>
          <w:color w:val="216E96"/>
        </w:rPr>
      </w:pPr>
    </w:p>
    <w:p w14:paraId="7E5E6690" w14:textId="77777777" w:rsidR="008A3264" w:rsidRDefault="008A3264" w:rsidP="00DA409B">
      <w:pPr>
        <w:pStyle w:val="Confidentialityclause"/>
        <w:spacing w:before="600"/>
        <w:rPr>
          <w:color w:val="216E96"/>
        </w:rPr>
      </w:pPr>
    </w:p>
    <w:p w14:paraId="1CDACAB4" w14:textId="77777777" w:rsidR="008A3264" w:rsidRDefault="008A3264" w:rsidP="00DA409B">
      <w:pPr>
        <w:pStyle w:val="Confidentialityclause"/>
        <w:spacing w:before="600"/>
        <w:rPr>
          <w:color w:val="216E96"/>
        </w:rPr>
      </w:pPr>
    </w:p>
    <w:p w14:paraId="223CE971" w14:textId="77777777" w:rsidR="008C554E" w:rsidRPr="00847CDC" w:rsidRDefault="008C554E" w:rsidP="00DA409B">
      <w:pPr>
        <w:pStyle w:val="Confidentialityclause"/>
        <w:spacing w:before="600"/>
      </w:pPr>
      <w:r w:rsidRPr="008C554E">
        <w:rPr>
          <w:color w:val="216E96"/>
        </w:rPr>
        <w:t xml:space="preserve">© 2020 Victoria Legal Aid. </w:t>
      </w:r>
      <w:r w:rsidRPr="00847CDC">
        <w:t>Reproduction without express written permission is prohibited.</w:t>
      </w:r>
    </w:p>
    <w:p w14:paraId="15D463ED" w14:textId="77777777" w:rsidR="008C554E" w:rsidRPr="00847CDC" w:rsidRDefault="008C554E" w:rsidP="00DA409B">
      <w:pPr>
        <w:pStyle w:val="Confidentialityclause"/>
      </w:pPr>
      <w:r w:rsidRPr="00847CDC">
        <w:t>Written requests should be directed to Victoria Legal Aid, Strategic Communications, 570 Bourke St, Melbourne Vic 3000.</w:t>
      </w:r>
    </w:p>
    <w:p w14:paraId="34E6764A" w14:textId="047CC4B5" w:rsidR="007E68F8" w:rsidRDefault="007E68F8" w:rsidP="00DA409B">
      <w:pPr>
        <w:pStyle w:val="Heading1"/>
      </w:pPr>
      <w:bookmarkStart w:id="13" w:name="_Toc45698228"/>
      <w:bookmarkStart w:id="14" w:name="_Toc45698278"/>
      <w:bookmarkStart w:id="15" w:name="_Toc46146187"/>
      <w:r>
        <w:lastRenderedPageBreak/>
        <w:t>Acknowledgement of Country</w:t>
      </w:r>
      <w:bookmarkEnd w:id="13"/>
      <w:bookmarkEnd w:id="14"/>
      <w:bookmarkEnd w:id="15"/>
      <w:r>
        <w:t xml:space="preserve"> </w:t>
      </w:r>
    </w:p>
    <w:p w14:paraId="784BE480" w14:textId="6B26DD56" w:rsidR="002C2C8F" w:rsidRDefault="002C2C8F" w:rsidP="00DA409B">
      <w:pPr>
        <w:pStyle w:val="paragraph"/>
        <w:spacing w:before="0" w:beforeAutospacing="0" w:after="120" w:afterAutospacing="0" w:line="300" w:lineRule="atLeast"/>
        <w:textAlignment w:val="baseline"/>
        <w:rPr>
          <w:rStyle w:val="normaltextrun"/>
          <w:rFonts w:ascii="Arial" w:hAnsi="Arial" w:cs="Arial"/>
          <w:sz w:val="22"/>
          <w:szCs w:val="22"/>
        </w:rPr>
      </w:pPr>
      <w:r>
        <w:rPr>
          <w:rStyle w:val="normaltextrun"/>
          <w:rFonts w:ascii="Arial" w:hAnsi="Arial" w:cs="Arial"/>
          <w:sz w:val="22"/>
          <w:szCs w:val="22"/>
        </w:rPr>
        <w:t xml:space="preserve">Victoria Legal Aid, the Federation of Community Legal Centres and Women’s Legal Service Victoria acknowledge </w:t>
      </w:r>
      <w:r w:rsidR="005157AF">
        <w:rPr>
          <w:rStyle w:val="normaltextrun"/>
          <w:rFonts w:ascii="Arial" w:hAnsi="Arial" w:cs="Arial"/>
          <w:sz w:val="22"/>
          <w:szCs w:val="22"/>
        </w:rPr>
        <w:t xml:space="preserve">the Traditional Owners of the lands across Victoria and note </w:t>
      </w:r>
      <w:r>
        <w:rPr>
          <w:rStyle w:val="normaltextrun"/>
          <w:rFonts w:ascii="Arial" w:hAnsi="Arial" w:cs="Arial"/>
          <w:sz w:val="22"/>
          <w:szCs w:val="22"/>
        </w:rPr>
        <w:t>that this document was developed on the lands of the Wurundjeri people of the Kulin Nations. </w:t>
      </w:r>
    </w:p>
    <w:p w14:paraId="700796ED" w14:textId="6895451A" w:rsidR="002C2C8F" w:rsidRPr="00177639" w:rsidRDefault="002C2C8F" w:rsidP="00DA409B">
      <w:pPr>
        <w:pStyle w:val="paragraph"/>
        <w:spacing w:before="0" w:beforeAutospacing="0" w:after="120" w:afterAutospacing="0" w:line="300" w:lineRule="atLeast"/>
        <w:textAlignment w:val="baseline"/>
        <w:rPr>
          <w:rFonts w:ascii="Arial" w:hAnsi="Arial" w:cs="Arial"/>
          <w:sz w:val="22"/>
          <w:szCs w:val="22"/>
        </w:rPr>
      </w:pPr>
      <w:r>
        <w:rPr>
          <w:rStyle w:val="normaltextrun"/>
          <w:rFonts w:ascii="Arial" w:hAnsi="Arial" w:cs="Arial"/>
          <w:sz w:val="22"/>
          <w:szCs w:val="22"/>
        </w:rPr>
        <w:t xml:space="preserve">We recognise that the over-representation of Aboriginal and Torres Strait Islander families and children in the justice system, many of whom have experienced family violence, is in part a devastating consequence of colonisation, intergenerational </w:t>
      </w:r>
      <w:proofErr w:type="gramStart"/>
      <w:r>
        <w:rPr>
          <w:rStyle w:val="normaltextrun"/>
          <w:rFonts w:ascii="Arial" w:hAnsi="Arial" w:cs="Arial"/>
          <w:sz w:val="22"/>
          <w:szCs w:val="22"/>
        </w:rPr>
        <w:t>trauma</w:t>
      </w:r>
      <w:proofErr w:type="gramEnd"/>
      <w:r>
        <w:rPr>
          <w:rStyle w:val="normaltextrun"/>
          <w:rFonts w:ascii="Arial" w:hAnsi="Arial" w:cs="Arial"/>
          <w:sz w:val="22"/>
          <w:szCs w:val="22"/>
        </w:rPr>
        <w:t xml:space="preserve"> and ongoing experiences of systemic racism. </w:t>
      </w:r>
      <w:r>
        <w:rPr>
          <w:rStyle w:val="eop"/>
          <w:rFonts w:ascii="Arial" w:hAnsi="Arial" w:cs="Arial"/>
          <w:sz w:val="22"/>
          <w:szCs w:val="22"/>
        </w:rPr>
        <w:t> </w:t>
      </w:r>
    </w:p>
    <w:p w14:paraId="57865959" w14:textId="128A0208" w:rsidR="002C2C8F" w:rsidRDefault="002C2C8F" w:rsidP="00DA409B">
      <w:pPr>
        <w:pStyle w:val="paragraph"/>
        <w:spacing w:before="0" w:beforeAutospacing="0" w:after="120" w:afterAutospacing="0" w:line="300" w:lineRule="atLeast"/>
        <w:textAlignment w:val="baseline"/>
        <w:rPr>
          <w:rFonts w:ascii="Segoe UI" w:hAnsi="Segoe UI" w:cs="Segoe UI"/>
          <w:sz w:val="18"/>
          <w:szCs w:val="18"/>
        </w:rPr>
      </w:pPr>
      <w:r>
        <w:rPr>
          <w:rStyle w:val="normaltextrun"/>
          <w:rFonts w:ascii="Arial" w:hAnsi="Arial" w:cs="Arial"/>
          <w:sz w:val="22"/>
          <w:szCs w:val="22"/>
        </w:rPr>
        <w:t>We pay our respects to the strength and resilience of Aboriginal and Torres Strait Islander peoples and cultures and to all Elders past, present and emerging and recognise their unceded sovereignty.  </w:t>
      </w:r>
    </w:p>
    <w:p w14:paraId="397FB5E3" w14:textId="62B1612B" w:rsidR="007E68F8" w:rsidRDefault="007E68F8" w:rsidP="00DA409B">
      <w:pPr>
        <w:spacing w:after="0" w:line="240" w:lineRule="auto"/>
        <w:rPr>
          <w:rFonts w:cs="Arial"/>
          <w:b/>
          <w:bCs/>
          <w:color w:val="216E96"/>
          <w:kern w:val="32"/>
          <w:sz w:val="32"/>
          <w:szCs w:val="32"/>
          <w:lang w:eastAsia="en-AU"/>
        </w:rPr>
      </w:pPr>
      <w:r>
        <w:br w:type="page"/>
      </w:r>
    </w:p>
    <w:p w14:paraId="7B9F76A8" w14:textId="7BA7E965" w:rsidR="007825F3" w:rsidRPr="00DA0C0C" w:rsidRDefault="007825F3" w:rsidP="00DA409B">
      <w:pPr>
        <w:pStyle w:val="Heading1"/>
      </w:pPr>
      <w:bookmarkStart w:id="16" w:name="_Toc45698229"/>
      <w:bookmarkStart w:id="17" w:name="_Toc45698279"/>
      <w:bookmarkStart w:id="18" w:name="_Toc46146188"/>
      <w:r w:rsidRPr="00DA0C0C">
        <w:lastRenderedPageBreak/>
        <w:t>Executive Summary</w:t>
      </w:r>
      <w:bookmarkEnd w:id="16"/>
      <w:bookmarkEnd w:id="17"/>
      <w:bookmarkEnd w:id="18"/>
    </w:p>
    <w:p w14:paraId="2049FF2C" w14:textId="0D4077A3" w:rsidR="002C2C8F" w:rsidRPr="002C2C8F" w:rsidRDefault="002C2C8F" w:rsidP="00DA409B">
      <w:pPr>
        <w:rPr>
          <w:rFonts w:eastAsiaTheme="minorEastAsia" w:cs="Arial"/>
        </w:rPr>
      </w:pPr>
      <w:r w:rsidRPr="002C2C8F">
        <w:rPr>
          <w:rFonts w:eastAsiaTheme="minorEastAsia" w:cs="Arial"/>
        </w:rPr>
        <w:t xml:space="preserve">Victoria Legal Aid (VLA), the Federation </w:t>
      </w:r>
      <w:r w:rsidR="004A4A80">
        <w:rPr>
          <w:rFonts w:eastAsiaTheme="minorEastAsia" w:cs="Arial"/>
        </w:rPr>
        <w:t>of</w:t>
      </w:r>
      <w:r w:rsidRPr="002C2C8F">
        <w:rPr>
          <w:rFonts w:eastAsiaTheme="minorEastAsia" w:cs="Arial"/>
        </w:rPr>
        <w:t xml:space="preserve"> Community Legal Centres (the Federation) and Women’s Legal Service Victoria (WLSV) welcome the opportunity to provide comment on the implementation of the recommendations of the Royal Commission into Family Violence </w:t>
      </w:r>
      <w:r w:rsidR="008404C8" w:rsidRPr="002C2C8F">
        <w:rPr>
          <w:rFonts w:eastAsiaTheme="minorEastAsia" w:cs="Arial"/>
        </w:rPr>
        <w:t>(</w:t>
      </w:r>
      <w:r w:rsidR="008404C8">
        <w:rPr>
          <w:rFonts w:eastAsiaTheme="minorEastAsia" w:cs="Arial"/>
        </w:rPr>
        <w:t>‘Commission’ or ‘Royal Commission’</w:t>
      </w:r>
      <w:r w:rsidRPr="002C2C8F">
        <w:rPr>
          <w:rFonts w:eastAsiaTheme="minorEastAsia" w:cs="Arial"/>
        </w:rPr>
        <w:t xml:space="preserve">) in the four years since the Commission handed down its final report and recommendations. </w:t>
      </w:r>
    </w:p>
    <w:p w14:paraId="51CF017E" w14:textId="7402B202" w:rsidR="002C2C8F" w:rsidRPr="002C2C8F" w:rsidRDefault="002C2C8F" w:rsidP="00DA409B">
      <w:pPr>
        <w:rPr>
          <w:rFonts w:eastAsiaTheme="minorEastAsia" w:cs="Arial"/>
        </w:rPr>
      </w:pPr>
      <w:r w:rsidRPr="002C2C8F">
        <w:rPr>
          <w:rFonts w:eastAsiaTheme="minorEastAsia" w:cs="Arial"/>
        </w:rPr>
        <w:t>Victoria should be immensely proud of its</w:t>
      </w:r>
      <w:r w:rsidR="00C4093A">
        <w:rPr>
          <w:rFonts w:eastAsiaTheme="minorEastAsia" w:cs="Arial"/>
        </w:rPr>
        <w:t xml:space="preserve"> </w:t>
      </w:r>
      <w:r w:rsidRPr="002C2C8F">
        <w:rPr>
          <w:rFonts w:eastAsiaTheme="minorEastAsia" w:cs="Arial"/>
        </w:rPr>
        <w:t>world-leading Royal Commission into Family Violence and the opportunity it presented for improving the lives of people who experience family violence, predominantly women and children, whilst holding perpetrators to account.</w:t>
      </w:r>
    </w:p>
    <w:p w14:paraId="0D7915B2" w14:textId="73A1D58B" w:rsidR="002C2C8F" w:rsidRPr="002C2C8F" w:rsidRDefault="002C2C8F" w:rsidP="00DA409B">
      <w:pPr>
        <w:rPr>
          <w:rFonts w:eastAsiaTheme="minorEastAsia" w:cs="Arial"/>
        </w:rPr>
      </w:pPr>
      <w:r w:rsidRPr="002C2C8F">
        <w:rPr>
          <w:rFonts w:eastAsiaTheme="minorEastAsia" w:cs="Arial"/>
        </w:rPr>
        <w:t xml:space="preserve">However, it was clear from the time of the Commission that the scale of reform required was significant and that this would bring challenges. We share the concerns the Family Violence Reform Implementation Monitor (FVRIM) recognised in its first report to parliament (2017): that the Victorian government needs to invest more time in planning and coordinating the implementation of its family violence reform package – particularly in developing a more systemic approach to reform. </w:t>
      </w:r>
      <w:r w:rsidR="00EE4FDD">
        <w:rPr>
          <w:rFonts w:eastAsiaTheme="minorEastAsia"/>
        </w:rPr>
        <w:t>I</w:t>
      </w:r>
      <w:r w:rsidR="00EE4FDD" w:rsidRPr="002C2C8F">
        <w:rPr>
          <w:rFonts w:eastAsiaTheme="minorEastAsia" w:cs="Arial"/>
        </w:rPr>
        <w:t xml:space="preserve">mplementation has </w:t>
      </w:r>
      <w:r w:rsidR="00EE4FDD">
        <w:rPr>
          <w:rFonts w:eastAsiaTheme="minorEastAsia" w:cs="Arial"/>
        </w:rPr>
        <w:t>often</w:t>
      </w:r>
      <w:r w:rsidR="00EE4FDD" w:rsidRPr="002C2C8F">
        <w:rPr>
          <w:rFonts w:eastAsiaTheme="minorEastAsia" w:cs="Arial"/>
        </w:rPr>
        <w:t xml:space="preserve"> focused on ‘ticking-off’ each of the 227 recommendations at the cost of measuring whether broader outcomes in preventing or reducing family violence are occurring.</w:t>
      </w:r>
      <w:r w:rsidR="00EE4FDD">
        <w:rPr>
          <w:rFonts w:eastAsiaTheme="minorEastAsia" w:cs="Arial"/>
        </w:rPr>
        <w:t xml:space="preserve"> A</w:t>
      </w:r>
      <w:r w:rsidR="00EE4FDD" w:rsidRPr="002C2C8F">
        <w:rPr>
          <w:rFonts w:eastAsiaTheme="minorEastAsia" w:cs="Arial"/>
        </w:rPr>
        <w:t xml:space="preserve"> centralised governance structure </w:t>
      </w:r>
      <w:r w:rsidR="00EE4FDD">
        <w:rPr>
          <w:rFonts w:eastAsiaTheme="minorEastAsia" w:cs="Arial"/>
        </w:rPr>
        <w:t xml:space="preserve">is required </w:t>
      </w:r>
      <w:r w:rsidR="00EE4FDD" w:rsidRPr="002C2C8F">
        <w:rPr>
          <w:rFonts w:eastAsiaTheme="minorEastAsia" w:cs="Arial"/>
        </w:rPr>
        <w:t>to coordinate</w:t>
      </w:r>
      <w:r w:rsidR="00EE4FDD">
        <w:rPr>
          <w:rFonts w:eastAsiaTheme="minorEastAsia" w:cs="Arial"/>
        </w:rPr>
        <w:t xml:space="preserve"> </w:t>
      </w:r>
      <w:r w:rsidR="00EE4FDD" w:rsidRPr="002C2C8F">
        <w:rPr>
          <w:rFonts w:eastAsiaTheme="minorEastAsia" w:cs="Arial"/>
        </w:rPr>
        <w:t>a</w:t>
      </w:r>
      <w:r w:rsidR="00EE4FDD">
        <w:rPr>
          <w:rFonts w:eastAsiaTheme="minorEastAsia" w:cs="Arial"/>
        </w:rPr>
        <w:t>n inter-departmental</w:t>
      </w:r>
      <w:r w:rsidR="00EE4FDD" w:rsidRPr="002C2C8F">
        <w:rPr>
          <w:rFonts w:eastAsiaTheme="minorEastAsia" w:cs="Arial"/>
        </w:rPr>
        <w:t xml:space="preserve"> approach to reform</w:t>
      </w:r>
      <w:r w:rsidR="00EE4FDD">
        <w:rPr>
          <w:rFonts w:eastAsiaTheme="minorEastAsia" w:cs="Arial"/>
        </w:rPr>
        <w:t xml:space="preserve"> that plans for and monitors implementation relative to the Outcomes Framework outlined in the </w:t>
      </w:r>
      <w:r w:rsidR="00EE4FDD">
        <w:rPr>
          <w:rFonts w:eastAsiaTheme="minorEastAsia"/>
        </w:rPr>
        <w:t>Family Violence Rolling Action P</w:t>
      </w:r>
      <w:r w:rsidR="00EE4FDD" w:rsidRPr="000238D5">
        <w:rPr>
          <w:rFonts w:eastAsiaTheme="minorEastAsia"/>
        </w:rPr>
        <w:t>lan 2017-2020</w:t>
      </w:r>
      <w:r w:rsidR="00EE4FDD">
        <w:rPr>
          <w:rFonts w:eastAsiaTheme="minorEastAsia"/>
        </w:rPr>
        <w:t>.</w:t>
      </w:r>
    </w:p>
    <w:p w14:paraId="7941F5BF" w14:textId="3AAE5CE3" w:rsidR="002C2C8F" w:rsidRPr="002C2C8F" w:rsidRDefault="002C2C8F" w:rsidP="00DA409B">
      <w:pPr>
        <w:rPr>
          <w:rFonts w:eastAsiaTheme="minorEastAsia" w:cs="Arial"/>
        </w:rPr>
      </w:pPr>
      <w:r w:rsidRPr="002C2C8F">
        <w:rPr>
          <w:rFonts w:eastAsiaTheme="minorEastAsia" w:cs="Arial"/>
        </w:rPr>
        <w:t xml:space="preserve">For example, at the time of the </w:t>
      </w:r>
      <w:r w:rsidR="004661BF">
        <w:rPr>
          <w:rFonts w:eastAsiaTheme="minorEastAsia" w:cs="Arial"/>
        </w:rPr>
        <w:t>Royal Commission</w:t>
      </w:r>
      <w:r w:rsidRPr="002C2C8F">
        <w:rPr>
          <w:rFonts w:eastAsiaTheme="minorEastAsia" w:cs="Arial"/>
        </w:rPr>
        <w:t xml:space="preserve">, the Department of Justice </w:t>
      </w:r>
      <w:r w:rsidR="00C82B20">
        <w:rPr>
          <w:rFonts w:eastAsiaTheme="minorEastAsia" w:cs="Arial"/>
        </w:rPr>
        <w:t xml:space="preserve">also </w:t>
      </w:r>
      <w:r w:rsidRPr="002C2C8F">
        <w:rPr>
          <w:rFonts w:eastAsiaTheme="minorEastAsia" w:cs="Arial"/>
        </w:rPr>
        <w:t>released its Access to Justice report which made important recommendations for justice system reform that</w:t>
      </w:r>
      <w:r w:rsidR="00785958">
        <w:rPr>
          <w:rFonts w:eastAsiaTheme="minorEastAsia" w:cs="Arial"/>
        </w:rPr>
        <w:t>,</w:t>
      </w:r>
      <w:r w:rsidRPr="002C2C8F">
        <w:rPr>
          <w:rFonts w:eastAsiaTheme="minorEastAsia" w:cs="Arial"/>
        </w:rPr>
        <w:t xml:space="preserve"> together with the recommendations of the </w:t>
      </w:r>
      <w:r w:rsidR="004661BF">
        <w:rPr>
          <w:rFonts w:eastAsiaTheme="minorEastAsia" w:cs="Arial"/>
        </w:rPr>
        <w:t>Commission</w:t>
      </w:r>
      <w:r w:rsidR="00785958">
        <w:rPr>
          <w:rFonts w:eastAsiaTheme="minorEastAsia" w:cs="Arial"/>
        </w:rPr>
        <w:t>,</w:t>
      </w:r>
      <w:r w:rsidRPr="002C2C8F">
        <w:rPr>
          <w:rFonts w:eastAsiaTheme="minorEastAsia" w:cs="Arial"/>
        </w:rPr>
        <w:t xml:space="preserve"> would improve broader systemic approaches in responding to family violence. However, </w:t>
      </w:r>
      <w:r w:rsidR="00BB6EF0">
        <w:rPr>
          <w:rFonts w:eastAsiaTheme="minorEastAsia" w:cs="Arial"/>
        </w:rPr>
        <w:t xml:space="preserve">not </w:t>
      </w:r>
      <w:proofErr w:type="gramStart"/>
      <w:r w:rsidR="00BB6EF0">
        <w:rPr>
          <w:rFonts w:eastAsiaTheme="minorEastAsia" w:cs="Arial"/>
        </w:rPr>
        <w:t>all of</w:t>
      </w:r>
      <w:proofErr w:type="gramEnd"/>
      <w:r w:rsidRPr="002C2C8F">
        <w:rPr>
          <w:rFonts w:eastAsiaTheme="minorEastAsia" w:cs="Arial"/>
        </w:rPr>
        <w:t xml:space="preserve"> these recommendations have been implemented and the justice system has tended to be viewed as</w:t>
      </w:r>
      <w:r w:rsidR="001154DC">
        <w:rPr>
          <w:rFonts w:eastAsiaTheme="minorEastAsia" w:cs="Arial"/>
        </w:rPr>
        <w:t>, while</w:t>
      </w:r>
      <w:r w:rsidRPr="002C2C8F">
        <w:rPr>
          <w:rFonts w:eastAsiaTheme="minorEastAsia" w:cs="Arial"/>
        </w:rPr>
        <w:t xml:space="preserve"> </w:t>
      </w:r>
      <w:r w:rsidR="001154DC">
        <w:rPr>
          <w:rFonts w:eastAsiaTheme="minorEastAsia" w:cs="Arial"/>
        </w:rPr>
        <w:t xml:space="preserve">related, </w:t>
      </w:r>
      <w:r w:rsidRPr="002C2C8F">
        <w:rPr>
          <w:rFonts w:eastAsiaTheme="minorEastAsia" w:cs="Arial"/>
        </w:rPr>
        <w:t xml:space="preserve">outside of </w:t>
      </w:r>
      <w:r w:rsidR="001154DC">
        <w:rPr>
          <w:rFonts w:eastAsiaTheme="minorEastAsia" w:cs="Arial"/>
        </w:rPr>
        <w:t xml:space="preserve">other </w:t>
      </w:r>
      <w:r w:rsidRPr="002C2C8F">
        <w:rPr>
          <w:rFonts w:eastAsiaTheme="minorEastAsia" w:cs="Arial"/>
        </w:rPr>
        <w:t xml:space="preserve">family violence reforms. </w:t>
      </w:r>
    </w:p>
    <w:p w14:paraId="727DA768" w14:textId="268532CF" w:rsidR="002C2C8F" w:rsidRPr="002C2C8F" w:rsidRDefault="002C2C8F" w:rsidP="00DA409B">
      <w:pPr>
        <w:rPr>
          <w:rFonts w:eastAsiaTheme="minorEastAsia" w:cs="Arial"/>
        </w:rPr>
      </w:pPr>
      <w:r w:rsidRPr="002C2C8F">
        <w:rPr>
          <w:rFonts w:eastAsiaTheme="minorEastAsia" w:cs="Arial"/>
        </w:rPr>
        <w:t>A</w:t>
      </w:r>
      <w:r w:rsidR="00255EF9">
        <w:rPr>
          <w:rFonts w:eastAsiaTheme="minorEastAsia" w:cs="Arial"/>
        </w:rPr>
        <w:t xml:space="preserve"> </w:t>
      </w:r>
      <w:r w:rsidRPr="002C2C8F">
        <w:rPr>
          <w:rFonts w:eastAsiaTheme="minorEastAsia" w:cs="Arial"/>
        </w:rPr>
        <w:t xml:space="preserve">consequence of not having a </w:t>
      </w:r>
      <w:r w:rsidR="00D5340A">
        <w:rPr>
          <w:rFonts w:eastAsiaTheme="minorEastAsia" w:cs="Arial"/>
        </w:rPr>
        <w:t>strong</w:t>
      </w:r>
      <w:r w:rsidR="00D5340A" w:rsidRPr="002C2C8F">
        <w:rPr>
          <w:rFonts w:eastAsiaTheme="minorEastAsia" w:cs="Arial"/>
        </w:rPr>
        <w:t xml:space="preserve"> </w:t>
      </w:r>
      <w:r w:rsidRPr="002C2C8F">
        <w:rPr>
          <w:rFonts w:eastAsiaTheme="minorEastAsia" w:cs="Arial"/>
        </w:rPr>
        <w:t xml:space="preserve">centralised governance structure is that there is no structure or mechanism for adapting or coordinating </w:t>
      </w:r>
      <w:r w:rsidR="00B914AA">
        <w:rPr>
          <w:rFonts w:eastAsiaTheme="minorEastAsia" w:cs="Arial"/>
        </w:rPr>
        <w:t xml:space="preserve">the implementation of recommendations </w:t>
      </w:r>
      <w:r w:rsidR="00725011">
        <w:rPr>
          <w:rFonts w:eastAsiaTheme="minorEastAsia" w:cs="Arial"/>
        </w:rPr>
        <w:t xml:space="preserve">across the </w:t>
      </w:r>
      <w:r w:rsidR="00B914AA">
        <w:rPr>
          <w:rFonts w:eastAsiaTheme="minorEastAsia" w:cs="Arial"/>
        </w:rPr>
        <w:t xml:space="preserve">family violence service sector or </w:t>
      </w:r>
      <w:r w:rsidR="002472CB">
        <w:rPr>
          <w:rFonts w:eastAsiaTheme="minorEastAsia" w:cs="Arial"/>
        </w:rPr>
        <w:t>elevat</w:t>
      </w:r>
      <w:r w:rsidR="001154DC">
        <w:rPr>
          <w:rFonts w:eastAsiaTheme="minorEastAsia" w:cs="Arial"/>
        </w:rPr>
        <w:t>ing</w:t>
      </w:r>
      <w:r w:rsidR="002472CB">
        <w:rPr>
          <w:rFonts w:eastAsiaTheme="minorEastAsia" w:cs="Arial"/>
        </w:rPr>
        <w:t xml:space="preserve"> </w:t>
      </w:r>
      <w:r w:rsidR="005F37D9">
        <w:rPr>
          <w:rFonts w:eastAsiaTheme="minorEastAsia" w:cs="Arial"/>
        </w:rPr>
        <w:t>risks and</w:t>
      </w:r>
      <w:r w:rsidR="00480DC2">
        <w:rPr>
          <w:rFonts w:eastAsiaTheme="minorEastAsia" w:cs="Arial"/>
        </w:rPr>
        <w:t xml:space="preserve"> </w:t>
      </w:r>
      <w:r w:rsidR="005F37D9">
        <w:rPr>
          <w:rFonts w:eastAsiaTheme="minorEastAsia" w:cs="Arial"/>
        </w:rPr>
        <w:t xml:space="preserve">issues where </w:t>
      </w:r>
      <w:r w:rsidRPr="002C2C8F">
        <w:rPr>
          <w:rFonts w:eastAsiaTheme="minorEastAsia" w:cs="Arial"/>
        </w:rPr>
        <w:t>recommendations of the Commission have since become impractical or been surpassed by other changes.</w:t>
      </w:r>
    </w:p>
    <w:p w14:paraId="598C26E8" w14:textId="5EFAFDE9" w:rsidR="002C2C8F" w:rsidRPr="002C2C8F" w:rsidRDefault="002C2C8F" w:rsidP="00DA409B">
      <w:pPr>
        <w:rPr>
          <w:rFonts w:eastAsiaTheme="minorEastAsia" w:cs="Arial"/>
        </w:rPr>
      </w:pPr>
      <w:r w:rsidRPr="002C2C8F">
        <w:rPr>
          <w:rFonts w:eastAsiaTheme="minorEastAsia" w:cs="Arial"/>
        </w:rPr>
        <w:t xml:space="preserve">Given the scale of change envisioned by the Commission, there was unsurprisingly a gap in </w:t>
      </w:r>
      <w:r w:rsidR="00945C0D">
        <w:rPr>
          <w:rFonts w:eastAsiaTheme="minorEastAsia" w:cs="Arial"/>
        </w:rPr>
        <w:t>the</w:t>
      </w:r>
      <w:r w:rsidR="00C50B15">
        <w:rPr>
          <w:rFonts w:eastAsiaTheme="minorEastAsia" w:cs="Arial"/>
        </w:rPr>
        <w:t xml:space="preserve"> specialist </w:t>
      </w:r>
      <w:r w:rsidR="00945C0D">
        <w:rPr>
          <w:rFonts w:eastAsiaTheme="minorEastAsia" w:cs="Arial"/>
        </w:rPr>
        <w:t xml:space="preserve">family violence </w:t>
      </w:r>
      <w:r w:rsidRPr="002C2C8F">
        <w:rPr>
          <w:rFonts w:eastAsiaTheme="minorEastAsia" w:cs="Arial"/>
        </w:rPr>
        <w:t xml:space="preserve">workforce and </w:t>
      </w:r>
      <w:r w:rsidR="00330580">
        <w:rPr>
          <w:rFonts w:eastAsiaTheme="minorEastAsia" w:cs="Arial"/>
        </w:rPr>
        <w:t>the skills and expertise</w:t>
      </w:r>
      <w:r w:rsidR="00035BE9">
        <w:rPr>
          <w:rFonts w:eastAsiaTheme="minorEastAsia" w:cs="Arial"/>
        </w:rPr>
        <w:t xml:space="preserve"> required </w:t>
      </w:r>
      <w:r w:rsidRPr="002C2C8F">
        <w:rPr>
          <w:rFonts w:eastAsiaTheme="minorEastAsia" w:cs="Arial"/>
        </w:rPr>
        <w:t>to deliver the reforms</w:t>
      </w:r>
      <w:r w:rsidR="0016435D">
        <w:rPr>
          <w:rFonts w:eastAsiaTheme="minorEastAsia" w:cs="Arial"/>
        </w:rPr>
        <w:t xml:space="preserve"> both in terms of </w:t>
      </w:r>
      <w:r w:rsidR="001617A6">
        <w:rPr>
          <w:rFonts w:eastAsiaTheme="minorEastAsia" w:cs="Arial"/>
        </w:rPr>
        <w:t xml:space="preserve">frontline </w:t>
      </w:r>
      <w:r w:rsidR="0016435D">
        <w:rPr>
          <w:rFonts w:eastAsiaTheme="minorEastAsia" w:cs="Arial"/>
        </w:rPr>
        <w:t>service delivery and</w:t>
      </w:r>
      <w:r w:rsidR="001617A6">
        <w:rPr>
          <w:rFonts w:eastAsiaTheme="minorEastAsia" w:cs="Arial"/>
        </w:rPr>
        <w:t xml:space="preserve"> the</w:t>
      </w:r>
      <w:r w:rsidR="0016435D">
        <w:rPr>
          <w:rFonts w:eastAsiaTheme="minorEastAsia" w:cs="Arial"/>
        </w:rPr>
        <w:t xml:space="preserve"> management and coordination</w:t>
      </w:r>
      <w:r w:rsidR="001617A6">
        <w:rPr>
          <w:rFonts w:eastAsiaTheme="minorEastAsia" w:cs="Arial"/>
        </w:rPr>
        <w:t xml:space="preserve"> of reform</w:t>
      </w:r>
      <w:r w:rsidRPr="002C2C8F">
        <w:rPr>
          <w:rFonts w:eastAsiaTheme="minorEastAsia" w:cs="Arial"/>
        </w:rPr>
        <w:t xml:space="preserve">. It takes time to train and build </w:t>
      </w:r>
      <w:r w:rsidR="00F15856">
        <w:rPr>
          <w:rFonts w:eastAsiaTheme="minorEastAsia" w:cs="Arial"/>
        </w:rPr>
        <w:t xml:space="preserve">workforce </w:t>
      </w:r>
      <w:r w:rsidRPr="002C2C8F">
        <w:rPr>
          <w:rFonts w:eastAsiaTheme="minorEastAsia" w:cs="Arial"/>
        </w:rPr>
        <w:t xml:space="preserve">capacity to a point that cultural change has occurred, yet there has not been sufficient recognition of the impact </w:t>
      </w:r>
      <w:r w:rsidR="00B72AB2">
        <w:rPr>
          <w:rFonts w:eastAsiaTheme="minorEastAsia" w:cs="Arial"/>
        </w:rPr>
        <w:t xml:space="preserve">the workforce skills shortage </w:t>
      </w:r>
      <w:r w:rsidRPr="002C2C8F">
        <w:rPr>
          <w:rFonts w:eastAsiaTheme="minorEastAsia" w:cs="Arial"/>
        </w:rPr>
        <w:t xml:space="preserve">has (and will continue to have) on the ability </w:t>
      </w:r>
      <w:r w:rsidR="002A0353">
        <w:rPr>
          <w:rFonts w:eastAsiaTheme="minorEastAsia" w:cs="Arial"/>
        </w:rPr>
        <w:t xml:space="preserve">to </w:t>
      </w:r>
      <w:r w:rsidR="002140AC">
        <w:rPr>
          <w:rFonts w:eastAsiaTheme="minorEastAsia" w:cs="Arial"/>
        </w:rPr>
        <w:t xml:space="preserve">achieve </w:t>
      </w:r>
      <w:r w:rsidRPr="002C2C8F">
        <w:rPr>
          <w:rFonts w:eastAsiaTheme="minorEastAsia" w:cs="Arial"/>
        </w:rPr>
        <w:t xml:space="preserve">the desired outcome. </w:t>
      </w:r>
    </w:p>
    <w:p w14:paraId="70BD824C" w14:textId="163F7BDB" w:rsidR="002C2C8F" w:rsidRPr="002C2C8F" w:rsidRDefault="002C2C8F" w:rsidP="00DA409B">
      <w:pPr>
        <w:rPr>
          <w:rFonts w:eastAsiaTheme="minorEastAsia" w:cs="Arial"/>
        </w:rPr>
      </w:pPr>
      <w:r w:rsidRPr="002C2C8F">
        <w:rPr>
          <w:rFonts w:eastAsiaTheme="minorEastAsia" w:cs="Arial"/>
        </w:rPr>
        <w:t>This submission does not attempt to comment on all areas of family violence reform</w:t>
      </w:r>
      <w:r w:rsidR="006F648E">
        <w:rPr>
          <w:rFonts w:eastAsiaTheme="minorEastAsia" w:cs="Arial"/>
        </w:rPr>
        <w:t>.</w:t>
      </w:r>
      <w:r w:rsidRPr="002C2C8F">
        <w:rPr>
          <w:rFonts w:eastAsiaTheme="minorEastAsia" w:cs="Arial"/>
        </w:rPr>
        <w:t xml:space="preserve"> </w:t>
      </w:r>
      <w:r w:rsidR="006F648E">
        <w:rPr>
          <w:rFonts w:eastAsiaTheme="minorEastAsia" w:cs="Arial"/>
        </w:rPr>
        <w:t>W</w:t>
      </w:r>
      <w:r w:rsidRPr="002C2C8F">
        <w:rPr>
          <w:rFonts w:eastAsiaTheme="minorEastAsia" w:cs="Arial"/>
        </w:rPr>
        <w:t xml:space="preserve">e focus on the justice system response to family violence and seek to draw the FVRIM’s attention to some of the challenges and opportunities that we believe should be prioritised in the next stage of family violence reform including noting </w:t>
      </w:r>
      <w:r w:rsidRPr="002C2C8F">
        <w:rPr>
          <w:rStyle w:val="normaltextrun"/>
          <w:rFonts w:cs="Arial"/>
        </w:rPr>
        <w:t xml:space="preserve">the necessary time still required for implementation to continue and take effect. </w:t>
      </w:r>
      <w:r w:rsidR="00DB5F19">
        <w:rPr>
          <w:rStyle w:val="normaltextrun"/>
          <w:rFonts w:cs="Arial"/>
        </w:rPr>
        <w:t xml:space="preserve">We also provide our endorsement of submissions made by Aboriginal Legal Services. </w:t>
      </w:r>
    </w:p>
    <w:p w14:paraId="5F95AA9E" w14:textId="77777777" w:rsidR="00DA0C0C" w:rsidRPr="00DA0C0C" w:rsidRDefault="00DA0C0C" w:rsidP="00DA409B">
      <w:pPr>
        <w:rPr>
          <w:lang w:eastAsia="en-AU"/>
        </w:rPr>
      </w:pPr>
    </w:p>
    <w:p w14:paraId="4474FA51" w14:textId="7872314D" w:rsidR="007825F3" w:rsidRDefault="007825F3" w:rsidP="00DA409B">
      <w:pPr>
        <w:pStyle w:val="Heading1"/>
        <w:tabs>
          <w:tab w:val="left" w:pos="7863"/>
        </w:tabs>
      </w:pPr>
      <w:bookmarkStart w:id="19" w:name="_Toc45698230"/>
      <w:bookmarkStart w:id="20" w:name="_Toc45698280"/>
      <w:bookmarkStart w:id="21" w:name="_Toc46146189"/>
      <w:r>
        <w:lastRenderedPageBreak/>
        <w:t>Summary of recommendations</w:t>
      </w:r>
      <w:bookmarkEnd w:id="19"/>
      <w:bookmarkEnd w:id="20"/>
      <w:bookmarkEnd w:id="21"/>
      <w:r w:rsidR="00AB001E">
        <w:tab/>
      </w:r>
    </w:p>
    <w:p w14:paraId="3516D987" w14:textId="77777777" w:rsidR="00BB418B" w:rsidRPr="006B4441" w:rsidRDefault="00BB418B" w:rsidP="00DA409B">
      <w:pPr>
        <w:pStyle w:val="Recommendationheading"/>
      </w:pPr>
      <w:bookmarkStart w:id="22" w:name="_Toc45698231"/>
      <w:bookmarkStart w:id="23" w:name="_Toc45698281"/>
      <w:bookmarkStart w:id="24" w:name="_Toc46146190"/>
      <w:r w:rsidRPr="006B4441">
        <w:t>Recommendation 1</w:t>
      </w:r>
      <w:r w:rsidR="00F4287C">
        <w:t xml:space="preserve"> – holistic, systemic reform to family violence</w:t>
      </w:r>
      <w:bookmarkEnd w:id="22"/>
      <w:bookmarkEnd w:id="23"/>
      <w:bookmarkEnd w:id="24"/>
    </w:p>
    <w:p w14:paraId="48A3EA7B" w14:textId="77777777" w:rsidR="00BB418B" w:rsidRDefault="006F5B93" w:rsidP="00DA409B">
      <w:pPr>
        <w:pStyle w:val="Recommendationtext"/>
      </w:pPr>
      <w:r>
        <w:t>E</w:t>
      </w:r>
      <w:r w:rsidR="00BB418B">
        <w:t xml:space="preserve">nsure the </w:t>
      </w:r>
      <w:r w:rsidR="008F317D">
        <w:t xml:space="preserve">ambition </w:t>
      </w:r>
      <w:r>
        <w:t>for holistic,</w:t>
      </w:r>
      <w:r w:rsidR="008F317D">
        <w:t xml:space="preserve"> systemic reform to family violence occurs</w:t>
      </w:r>
      <w:r>
        <w:t xml:space="preserve"> by:</w:t>
      </w:r>
    </w:p>
    <w:p w14:paraId="262C9D2A" w14:textId="77777777" w:rsidR="00170A89" w:rsidRDefault="00170A89" w:rsidP="00DA409B">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sidRPr="007A24BC">
        <w:rPr>
          <w:rStyle w:val="normaltextrun"/>
          <w:rFonts w:ascii="Arial" w:hAnsi="Arial" w:cs="Arial"/>
          <w:sz w:val="22"/>
          <w:szCs w:val="22"/>
        </w:rPr>
        <w:t xml:space="preserve">Establishing a more coordinated, functioning </w:t>
      </w:r>
      <w:r>
        <w:rPr>
          <w:rStyle w:val="normaltextrun"/>
          <w:rFonts w:ascii="Arial" w:hAnsi="Arial" w:cs="Arial"/>
          <w:sz w:val="22"/>
          <w:szCs w:val="22"/>
        </w:rPr>
        <w:t xml:space="preserve">inter-departmental </w:t>
      </w:r>
      <w:r w:rsidRPr="007A24BC">
        <w:rPr>
          <w:rStyle w:val="normaltextrun"/>
          <w:rFonts w:ascii="Arial" w:hAnsi="Arial" w:cs="Arial"/>
          <w:sz w:val="22"/>
          <w:szCs w:val="22"/>
        </w:rPr>
        <w:t xml:space="preserve">governance structure that includes </w:t>
      </w:r>
      <w:r>
        <w:rPr>
          <w:rStyle w:val="normaltextrun"/>
          <w:rFonts w:ascii="Arial" w:hAnsi="Arial" w:cs="Arial"/>
          <w:sz w:val="22"/>
          <w:szCs w:val="22"/>
        </w:rPr>
        <w:t>key stakeholders</w:t>
      </w:r>
      <w:r w:rsidRPr="007A24BC">
        <w:rPr>
          <w:rStyle w:val="normaltextrun"/>
          <w:rFonts w:ascii="Arial" w:hAnsi="Arial" w:cs="Arial"/>
          <w:sz w:val="22"/>
          <w:szCs w:val="22"/>
        </w:rPr>
        <w:t xml:space="preserve"> from across the </w:t>
      </w:r>
      <w:r>
        <w:rPr>
          <w:rStyle w:val="normaltextrun"/>
          <w:rFonts w:ascii="Arial" w:hAnsi="Arial" w:cs="Arial"/>
          <w:sz w:val="22"/>
          <w:szCs w:val="22"/>
        </w:rPr>
        <w:t xml:space="preserve">family violence service </w:t>
      </w:r>
      <w:r w:rsidRPr="007A24BC">
        <w:rPr>
          <w:rStyle w:val="normaltextrun"/>
          <w:rFonts w:ascii="Arial" w:hAnsi="Arial" w:cs="Arial"/>
          <w:sz w:val="22"/>
          <w:szCs w:val="22"/>
        </w:rPr>
        <w:t xml:space="preserve">system </w:t>
      </w:r>
      <w:r>
        <w:rPr>
          <w:rStyle w:val="normaltextrun"/>
          <w:rFonts w:ascii="Arial" w:hAnsi="Arial" w:cs="Arial"/>
          <w:sz w:val="22"/>
          <w:szCs w:val="22"/>
        </w:rPr>
        <w:t>to:</w:t>
      </w:r>
    </w:p>
    <w:p w14:paraId="1896215D" w14:textId="77777777" w:rsidR="00170A89" w:rsidRDefault="00170A89" w:rsidP="00DA409B">
      <w:pPr>
        <w:pStyle w:val="paragraph"/>
        <w:numPr>
          <w:ilvl w:val="1"/>
          <w:numId w:val="16"/>
        </w:numPr>
        <w:spacing w:before="0" w:beforeAutospacing="0" w:after="0" w:afterAutospacing="0" w:line="300" w:lineRule="atLeast"/>
        <w:textAlignment w:val="baseline"/>
        <w:rPr>
          <w:rStyle w:val="normaltextrun"/>
          <w:rFonts w:ascii="Arial" w:hAnsi="Arial" w:cs="Arial"/>
          <w:sz w:val="22"/>
          <w:szCs w:val="22"/>
          <w:lang w:eastAsia="en-US"/>
        </w:rPr>
      </w:pPr>
      <w:r>
        <w:rPr>
          <w:rStyle w:val="normaltextrun"/>
          <w:rFonts w:ascii="Arial" w:hAnsi="Arial" w:cs="Arial"/>
          <w:sz w:val="22"/>
          <w:szCs w:val="22"/>
        </w:rPr>
        <w:t xml:space="preserve">coordinate implementation </w:t>
      </w:r>
      <w:r w:rsidRPr="00C058F6">
        <w:rPr>
          <w:rFonts w:ascii="Arial" w:hAnsi="Arial" w:cs="Arial"/>
          <w:sz w:val="22"/>
          <w:szCs w:val="22"/>
        </w:rPr>
        <w:t>relative to the Outcomes Framework in the Family Violence Rolling Action Plan 2017-2020</w:t>
      </w:r>
      <w:r>
        <w:rPr>
          <w:rFonts w:ascii="Arial" w:hAnsi="Arial" w:cs="Arial"/>
          <w:sz w:val="22"/>
          <w:szCs w:val="22"/>
        </w:rPr>
        <w:t xml:space="preserve"> </w:t>
      </w:r>
    </w:p>
    <w:p w14:paraId="528A9CBD" w14:textId="77777777" w:rsidR="00170A89" w:rsidRPr="007A24BC" w:rsidRDefault="00170A89" w:rsidP="00DA409B">
      <w:pPr>
        <w:pStyle w:val="paragraph"/>
        <w:numPr>
          <w:ilvl w:val="1"/>
          <w:numId w:val="16"/>
        </w:numPr>
        <w:spacing w:before="0" w:beforeAutospacing="0" w:after="0" w:afterAutospacing="0" w:line="300" w:lineRule="atLeast"/>
        <w:textAlignment w:val="baseline"/>
        <w:rPr>
          <w:rStyle w:val="normaltextrun"/>
          <w:rFonts w:ascii="Arial" w:hAnsi="Arial" w:cs="Arial"/>
          <w:sz w:val="22"/>
          <w:szCs w:val="22"/>
          <w:lang w:eastAsia="en-US"/>
        </w:rPr>
      </w:pPr>
      <w:r w:rsidRPr="007A24BC">
        <w:rPr>
          <w:rFonts w:ascii="Arial" w:hAnsi="Arial" w:cs="Arial"/>
          <w:sz w:val="22"/>
          <w:szCs w:val="22"/>
        </w:rPr>
        <w:t>provide the opportunity for a range of issues and risks to be raised for decision and determination.</w:t>
      </w:r>
    </w:p>
    <w:p w14:paraId="3E045872" w14:textId="77777777" w:rsidR="006F45C1" w:rsidRDefault="00343538" w:rsidP="00DA409B">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Pr>
          <w:rStyle w:val="normaltextrun"/>
          <w:rFonts w:ascii="Arial" w:hAnsi="Arial" w:cs="Arial"/>
          <w:sz w:val="22"/>
          <w:szCs w:val="22"/>
        </w:rPr>
        <w:t>This governance structure should</w:t>
      </w:r>
      <w:r w:rsidR="006F45C1">
        <w:rPr>
          <w:rStyle w:val="normaltextrun"/>
          <w:rFonts w:ascii="Arial" w:hAnsi="Arial" w:cs="Arial"/>
          <w:sz w:val="22"/>
          <w:szCs w:val="22"/>
        </w:rPr>
        <w:t>:</w:t>
      </w:r>
    </w:p>
    <w:p w14:paraId="47C1DEA3" w14:textId="77777777" w:rsidR="00E67C86" w:rsidRPr="006F45C1" w:rsidRDefault="006F45C1" w:rsidP="00DA409B">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facilitate the incorporation of</w:t>
      </w:r>
      <w:r w:rsidRPr="0034732F">
        <w:rPr>
          <w:rStyle w:val="normaltextrun"/>
          <w:rFonts w:ascii="Arial" w:hAnsi="Arial" w:cs="Arial"/>
          <w:sz w:val="22"/>
          <w:szCs w:val="22"/>
        </w:rPr>
        <w:t xml:space="preserve"> more and new information </w:t>
      </w:r>
      <w:r>
        <w:rPr>
          <w:rStyle w:val="normaltextrun"/>
          <w:rFonts w:ascii="Arial" w:hAnsi="Arial" w:cs="Arial"/>
          <w:sz w:val="22"/>
          <w:szCs w:val="22"/>
        </w:rPr>
        <w:t>as implementation occurs,</w:t>
      </w:r>
      <w:r w:rsidR="008A46EF" w:rsidRPr="006F45C1">
        <w:rPr>
          <w:rStyle w:val="normaltextrun"/>
          <w:rFonts w:ascii="Arial" w:hAnsi="Arial" w:cs="Arial"/>
          <w:sz w:val="22"/>
          <w:szCs w:val="22"/>
        </w:rPr>
        <w:t xml:space="preserve"> </w:t>
      </w:r>
      <w:r w:rsidR="00904A32" w:rsidRPr="006F45C1">
        <w:rPr>
          <w:rStyle w:val="normaltextrun"/>
          <w:rFonts w:ascii="Arial" w:hAnsi="Arial" w:cs="Arial"/>
          <w:sz w:val="22"/>
          <w:szCs w:val="22"/>
        </w:rPr>
        <w:t>includ</w:t>
      </w:r>
      <w:r>
        <w:rPr>
          <w:rStyle w:val="normaltextrun"/>
          <w:rFonts w:ascii="Arial" w:hAnsi="Arial" w:cs="Arial"/>
          <w:sz w:val="22"/>
          <w:szCs w:val="22"/>
        </w:rPr>
        <w:t>ing</w:t>
      </w:r>
      <w:r w:rsidR="00904A32" w:rsidRPr="006F45C1">
        <w:rPr>
          <w:rStyle w:val="normaltextrun"/>
          <w:rFonts w:ascii="Arial" w:hAnsi="Arial" w:cs="Arial"/>
          <w:sz w:val="22"/>
          <w:szCs w:val="22"/>
        </w:rPr>
        <w:t xml:space="preserve"> </w:t>
      </w:r>
      <w:r w:rsidR="005D3E2F" w:rsidRPr="006F45C1">
        <w:rPr>
          <w:rStyle w:val="normaltextrun"/>
          <w:rFonts w:ascii="Arial" w:hAnsi="Arial" w:cs="Arial"/>
          <w:sz w:val="22"/>
          <w:szCs w:val="22"/>
        </w:rPr>
        <w:t xml:space="preserve">recommendations for reform that may sit </w:t>
      </w:r>
      <w:r w:rsidR="00E67C86" w:rsidRPr="006F45C1">
        <w:rPr>
          <w:rStyle w:val="normaltextrun"/>
          <w:rFonts w:ascii="Arial" w:hAnsi="Arial" w:cs="Arial"/>
          <w:sz w:val="22"/>
          <w:szCs w:val="22"/>
        </w:rPr>
        <w:t xml:space="preserve">outside the </w:t>
      </w:r>
      <w:r w:rsidR="005D3E2F" w:rsidRPr="006F45C1">
        <w:rPr>
          <w:rStyle w:val="normaltextrun"/>
          <w:rFonts w:ascii="Arial" w:hAnsi="Arial" w:cs="Arial"/>
          <w:sz w:val="22"/>
          <w:szCs w:val="22"/>
        </w:rPr>
        <w:t>Royal Commission’s</w:t>
      </w:r>
      <w:r w:rsidR="00E67C86" w:rsidRPr="006F45C1">
        <w:rPr>
          <w:rStyle w:val="normaltextrun"/>
          <w:rFonts w:ascii="Arial" w:hAnsi="Arial" w:cs="Arial"/>
          <w:sz w:val="22"/>
          <w:szCs w:val="22"/>
        </w:rPr>
        <w:t xml:space="preserve"> recommendations (e.g. </w:t>
      </w:r>
      <w:r w:rsidR="005D3E2F" w:rsidRPr="006F45C1">
        <w:rPr>
          <w:rStyle w:val="normaltextrun"/>
          <w:rFonts w:ascii="Arial" w:hAnsi="Arial" w:cs="Arial"/>
          <w:sz w:val="22"/>
          <w:szCs w:val="22"/>
        </w:rPr>
        <w:t>the 2016</w:t>
      </w:r>
      <w:r w:rsidR="00E67C86" w:rsidRPr="006F45C1">
        <w:rPr>
          <w:rStyle w:val="normaltextrun"/>
          <w:rFonts w:ascii="Arial" w:hAnsi="Arial" w:cs="Arial"/>
          <w:sz w:val="22"/>
          <w:szCs w:val="22"/>
        </w:rPr>
        <w:t xml:space="preserve"> Access to Justice report and </w:t>
      </w:r>
      <w:r w:rsidR="005D3E2F" w:rsidRPr="006F45C1">
        <w:rPr>
          <w:rStyle w:val="normaltextrun"/>
          <w:rFonts w:ascii="Arial" w:hAnsi="Arial" w:cs="Arial"/>
          <w:sz w:val="22"/>
          <w:szCs w:val="22"/>
        </w:rPr>
        <w:t xml:space="preserve">2020 </w:t>
      </w:r>
      <w:r w:rsidR="007952AE" w:rsidRPr="006F45C1">
        <w:rPr>
          <w:rStyle w:val="normaltextrun"/>
          <w:rFonts w:ascii="Arial" w:hAnsi="Arial" w:cs="Arial"/>
          <w:sz w:val="22"/>
          <w:szCs w:val="22"/>
        </w:rPr>
        <w:t xml:space="preserve">Positive Interventions </w:t>
      </w:r>
      <w:r w:rsidR="000D2FB4" w:rsidRPr="006F45C1">
        <w:rPr>
          <w:rStyle w:val="normaltextrun"/>
          <w:rFonts w:ascii="Arial" w:hAnsi="Arial" w:cs="Arial"/>
          <w:sz w:val="22"/>
          <w:szCs w:val="22"/>
        </w:rPr>
        <w:t>for Perpetrators of Adolescent Violence in the Home (PIPA)</w:t>
      </w:r>
      <w:r w:rsidR="00E67C86" w:rsidRPr="006F45C1">
        <w:rPr>
          <w:rStyle w:val="normaltextrun"/>
          <w:rFonts w:ascii="Arial" w:hAnsi="Arial" w:cs="Arial"/>
          <w:sz w:val="22"/>
          <w:szCs w:val="22"/>
        </w:rPr>
        <w:t xml:space="preserve"> report)</w:t>
      </w:r>
    </w:p>
    <w:p w14:paraId="7386E928" w14:textId="77777777" w:rsidR="00BB418B" w:rsidRPr="0034732F" w:rsidRDefault="00FA2414" w:rsidP="00DA409B">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Fonts w:ascii="Arial" w:hAnsi="Arial" w:cs="Arial"/>
          <w:sz w:val="22"/>
          <w:szCs w:val="22"/>
        </w:rPr>
        <w:t>r</w:t>
      </w:r>
      <w:r w:rsidR="0092333D">
        <w:rPr>
          <w:rFonts w:ascii="Arial" w:hAnsi="Arial" w:cs="Arial"/>
          <w:sz w:val="22"/>
          <w:szCs w:val="22"/>
        </w:rPr>
        <w:t>ecognise</w:t>
      </w:r>
      <w:r w:rsidR="0092333D" w:rsidRPr="0034732F">
        <w:rPr>
          <w:rFonts w:ascii="Arial" w:eastAsiaTheme="minorEastAsia" w:hAnsi="Arial" w:cs="Arial"/>
          <w:sz w:val="22"/>
          <w:szCs w:val="22"/>
        </w:rPr>
        <w:t xml:space="preserve"> </w:t>
      </w:r>
      <w:r w:rsidR="00105178">
        <w:rPr>
          <w:rFonts w:ascii="Arial" w:eastAsiaTheme="minorEastAsia" w:hAnsi="Arial" w:cs="Arial"/>
          <w:sz w:val="22"/>
          <w:szCs w:val="22"/>
        </w:rPr>
        <w:t>t</w:t>
      </w:r>
      <w:r w:rsidR="00BB418B" w:rsidRPr="0034732F">
        <w:rPr>
          <w:rStyle w:val="normaltextrun"/>
          <w:rFonts w:ascii="Arial" w:hAnsi="Arial" w:cs="Arial"/>
          <w:sz w:val="22"/>
          <w:szCs w:val="22"/>
        </w:rPr>
        <w:t>he pace and scale of reform and workforce capacity to deliver the changes recommended</w:t>
      </w:r>
      <w:r w:rsidR="00AE3808">
        <w:rPr>
          <w:rStyle w:val="normaltextrun"/>
          <w:rFonts w:ascii="Arial" w:hAnsi="Arial" w:cs="Arial"/>
          <w:sz w:val="22"/>
          <w:szCs w:val="22"/>
        </w:rPr>
        <w:t>;</w:t>
      </w:r>
      <w:r w:rsidR="00145B27">
        <w:rPr>
          <w:rStyle w:val="normaltextrun"/>
          <w:rFonts w:ascii="Arial" w:hAnsi="Arial" w:cs="Arial"/>
          <w:sz w:val="22"/>
          <w:szCs w:val="22"/>
        </w:rPr>
        <w:t xml:space="preserve"> and</w:t>
      </w:r>
    </w:p>
    <w:p w14:paraId="19AB8A7C" w14:textId="77777777" w:rsidR="00BB418B" w:rsidRPr="0034732F" w:rsidRDefault="00145B27" w:rsidP="00DA409B">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r</w:t>
      </w:r>
      <w:r w:rsidR="00BB418B" w:rsidRPr="0034732F">
        <w:rPr>
          <w:rStyle w:val="normaltextrun"/>
          <w:rFonts w:ascii="Arial" w:hAnsi="Arial" w:cs="Arial"/>
          <w:sz w:val="22"/>
          <w:szCs w:val="22"/>
        </w:rPr>
        <w:t>ecognise the necessary time still required for implementation to continue and take effect. </w:t>
      </w:r>
      <w:r w:rsidR="00BB418B" w:rsidRPr="0034732F">
        <w:rPr>
          <w:rStyle w:val="eop"/>
          <w:rFonts w:ascii="Arial" w:hAnsi="Arial" w:cs="Arial"/>
          <w:sz w:val="22"/>
          <w:szCs w:val="22"/>
        </w:rPr>
        <w:t> </w:t>
      </w:r>
    </w:p>
    <w:p w14:paraId="64EC80B3" w14:textId="77777777" w:rsidR="009D0F76" w:rsidRPr="006B4441" w:rsidRDefault="00C06D1B" w:rsidP="00DA409B">
      <w:pPr>
        <w:pStyle w:val="Recommendationheading"/>
      </w:pPr>
      <w:bookmarkStart w:id="25" w:name="_Toc45698232"/>
      <w:bookmarkStart w:id="26" w:name="_Toc45698282"/>
      <w:bookmarkStart w:id="27" w:name="_Toc46146191"/>
      <w:r w:rsidRPr="006B4441">
        <w:t>Recommendation</w:t>
      </w:r>
      <w:r w:rsidR="00263885" w:rsidRPr="006B4441">
        <w:t xml:space="preserve"> </w:t>
      </w:r>
      <w:r w:rsidR="00BB418B">
        <w:t>2</w:t>
      </w:r>
      <w:r w:rsidR="00F4287C">
        <w:t xml:space="preserve"> – legal services are integral in responding to family violence</w:t>
      </w:r>
      <w:bookmarkEnd w:id="25"/>
      <w:bookmarkEnd w:id="26"/>
      <w:bookmarkEnd w:id="27"/>
    </w:p>
    <w:p w14:paraId="60124212" w14:textId="77777777" w:rsidR="00263885" w:rsidRDefault="0006088D" w:rsidP="00DA409B">
      <w:pPr>
        <w:pStyle w:val="Recommendationtext"/>
      </w:pPr>
      <w:r>
        <w:t xml:space="preserve">Recognise </w:t>
      </w:r>
      <w:r w:rsidR="001B1C9B">
        <w:t xml:space="preserve">legal services </w:t>
      </w:r>
      <w:r w:rsidR="007917B4">
        <w:t>are</w:t>
      </w:r>
      <w:r w:rsidR="001B1C9B">
        <w:t xml:space="preserve"> an integral part of responding to family violence by: </w:t>
      </w:r>
    </w:p>
    <w:p w14:paraId="377D8DB9" w14:textId="77777777" w:rsidR="00231143" w:rsidRDefault="00753864" w:rsidP="00DA409B">
      <w:pPr>
        <w:pStyle w:val="ListParagraph"/>
        <w:numPr>
          <w:ilvl w:val="0"/>
          <w:numId w:val="17"/>
        </w:numPr>
        <w:spacing w:after="0" w:line="300" w:lineRule="atLeast"/>
        <w:ind w:left="714" w:hanging="357"/>
        <w:rPr>
          <w:rFonts w:ascii="Arial" w:eastAsiaTheme="minorEastAsia" w:hAnsi="Arial" w:cs="Arial"/>
        </w:rPr>
      </w:pPr>
      <w:r>
        <w:rPr>
          <w:rFonts w:ascii="Arial" w:eastAsiaTheme="minorEastAsia" w:hAnsi="Arial" w:cs="Arial"/>
        </w:rPr>
        <w:t>d</w:t>
      </w:r>
      <w:r w:rsidR="007612A7">
        <w:rPr>
          <w:rFonts w:ascii="Arial" w:eastAsiaTheme="minorEastAsia" w:hAnsi="Arial" w:cs="Arial"/>
        </w:rPr>
        <w:t xml:space="preserve">eveloping a </w:t>
      </w:r>
      <w:r w:rsidR="009B6D40">
        <w:rPr>
          <w:rFonts w:ascii="Arial" w:eastAsiaTheme="minorEastAsia" w:hAnsi="Arial" w:cs="Arial"/>
        </w:rPr>
        <w:t xml:space="preserve">consistent </w:t>
      </w:r>
      <w:r w:rsidR="00395013">
        <w:rPr>
          <w:rFonts w:ascii="Arial" w:eastAsiaTheme="minorEastAsia" w:hAnsi="Arial" w:cs="Arial"/>
        </w:rPr>
        <w:t xml:space="preserve">model </w:t>
      </w:r>
      <w:r w:rsidR="00946120">
        <w:rPr>
          <w:rFonts w:ascii="Arial" w:eastAsiaTheme="minorEastAsia" w:hAnsi="Arial" w:cs="Arial"/>
        </w:rPr>
        <w:t xml:space="preserve">for the </w:t>
      </w:r>
      <w:r w:rsidR="005D7FB4">
        <w:rPr>
          <w:rFonts w:ascii="Arial" w:eastAsiaTheme="minorEastAsia" w:hAnsi="Arial" w:cs="Arial"/>
        </w:rPr>
        <w:t xml:space="preserve">state-wide </w:t>
      </w:r>
      <w:r w:rsidR="00946120">
        <w:rPr>
          <w:rFonts w:ascii="Arial" w:eastAsiaTheme="minorEastAsia" w:hAnsi="Arial" w:cs="Arial"/>
        </w:rPr>
        <w:t xml:space="preserve">integration and connection of </w:t>
      </w:r>
      <w:r w:rsidR="00977075" w:rsidRPr="001862D3">
        <w:rPr>
          <w:rFonts w:ascii="Arial" w:eastAsiaTheme="minorEastAsia" w:hAnsi="Arial" w:cs="Arial"/>
        </w:rPr>
        <w:t xml:space="preserve">legal services </w:t>
      </w:r>
      <w:r w:rsidR="006A7AC6" w:rsidRPr="001862D3">
        <w:rPr>
          <w:rFonts w:ascii="Arial" w:eastAsiaTheme="minorEastAsia" w:hAnsi="Arial" w:cs="Arial"/>
        </w:rPr>
        <w:t>to</w:t>
      </w:r>
      <w:r w:rsidR="00977075" w:rsidRPr="001862D3">
        <w:rPr>
          <w:rFonts w:ascii="Arial" w:eastAsiaTheme="minorEastAsia" w:hAnsi="Arial" w:cs="Arial"/>
        </w:rPr>
        <w:t xml:space="preserve"> </w:t>
      </w:r>
      <w:r w:rsidR="00AC7C1C">
        <w:rPr>
          <w:rFonts w:ascii="Arial" w:eastAsiaTheme="minorEastAsia" w:hAnsi="Arial" w:cs="Arial"/>
        </w:rPr>
        <w:t>T</w:t>
      </w:r>
      <w:r w:rsidR="00977075" w:rsidRPr="001862D3">
        <w:rPr>
          <w:rFonts w:ascii="Arial" w:eastAsiaTheme="minorEastAsia" w:hAnsi="Arial" w:cs="Arial"/>
        </w:rPr>
        <w:t xml:space="preserve">he </w:t>
      </w:r>
      <w:r w:rsidR="00F33DA2" w:rsidRPr="001862D3">
        <w:rPr>
          <w:rFonts w:ascii="Arial" w:eastAsiaTheme="minorEastAsia" w:hAnsi="Arial" w:cs="Arial"/>
        </w:rPr>
        <w:t>O</w:t>
      </w:r>
      <w:r w:rsidR="00977075" w:rsidRPr="001862D3">
        <w:rPr>
          <w:rFonts w:ascii="Arial" w:eastAsiaTheme="minorEastAsia" w:hAnsi="Arial" w:cs="Arial"/>
        </w:rPr>
        <w:t xml:space="preserve">range </w:t>
      </w:r>
      <w:r w:rsidR="00F33DA2" w:rsidRPr="001862D3">
        <w:rPr>
          <w:rFonts w:ascii="Arial" w:eastAsiaTheme="minorEastAsia" w:hAnsi="Arial" w:cs="Arial"/>
        </w:rPr>
        <w:t>D</w:t>
      </w:r>
      <w:r w:rsidR="00977075" w:rsidRPr="001862D3">
        <w:rPr>
          <w:rFonts w:ascii="Arial" w:eastAsiaTheme="minorEastAsia" w:hAnsi="Arial" w:cs="Arial"/>
        </w:rPr>
        <w:t xml:space="preserve">oor </w:t>
      </w:r>
      <w:r w:rsidR="006A7AC6" w:rsidRPr="00E762A0">
        <w:rPr>
          <w:rFonts w:ascii="Arial" w:eastAsiaTheme="minorEastAsia" w:hAnsi="Arial" w:cs="Arial"/>
        </w:rPr>
        <w:t>and specialist family violence services</w:t>
      </w:r>
      <w:r w:rsidR="00D36B0F">
        <w:rPr>
          <w:rFonts w:ascii="Arial" w:eastAsiaTheme="minorEastAsia" w:hAnsi="Arial" w:cs="Arial"/>
        </w:rPr>
        <w:t>.</w:t>
      </w:r>
      <w:r w:rsidR="00820442" w:rsidRPr="00E762A0">
        <w:rPr>
          <w:rFonts w:ascii="Arial" w:eastAsiaTheme="minorEastAsia" w:hAnsi="Arial" w:cs="Arial"/>
        </w:rPr>
        <w:t xml:space="preserve"> </w:t>
      </w:r>
    </w:p>
    <w:p w14:paraId="66B2BC3C" w14:textId="77777777" w:rsidR="00977075" w:rsidRPr="00E762A0" w:rsidRDefault="00753864" w:rsidP="00DA409B">
      <w:pPr>
        <w:pStyle w:val="ListParagraph"/>
        <w:numPr>
          <w:ilvl w:val="0"/>
          <w:numId w:val="17"/>
        </w:numPr>
        <w:spacing w:after="0" w:line="300" w:lineRule="atLeast"/>
        <w:ind w:left="714" w:hanging="357"/>
        <w:rPr>
          <w:rFonts w:ascii="Arial" w:eastAsiaTheme="minorEastAsia" w:hAnsi="Arial" w:cs="Arial"/>
        </w:rPr>
      </w:pPr>
      <w:r>
        <w:rPr>
          <w:rFonts w:ascii="Arial" w:hAnsi="Arial" w:cs="Arial"/>
        </w:rPr>
        <w:t>f</w:t>
      </w:r>
      <w:r w:rsidR="001E2D8B" w:rsidRPr="001E2D8B">
        <w:rPr>
          <w:rFonts w:ascii="Arial" w:hAnsi="Arial" w:cs="Arial"/>
        </w:rPr>
        <w:t>unding</w:t>
      </w:r>
      <w:r w:rsidR="006D73DB" w:rsidRPr="001E2D8B">
        <w:rPr>
          <w:rFonts w:ascii="Arial" w:hAnsi="Arial" w:cs="Arial"/>
        </w:rPr>
        <w:t xml:space="preserve"> </w:t>
      </w:r>
      <w:r w:rsidR="00181B7E" w:rsidRPr="001E2D8B">
        <w:rPr>
          <w:rFonts w:ascii="Arial" w:hAnsi="Arial" w:cs="Arial"/>
        </w:rPr>
        <w:t>legal services to</w:t>
      </w:r>
      <w:r w:rsidR="006D73DB" w:rsidRPr="001E2D8B">
        <w:rPr>
          <w:rFonts w:ascii="Arial" w:hAnsi="Arial" w:cs="Arial"/>
        </w:rPr>
        <w:t xml:space="preserve"> </w:t>
      </w:r>
      <w:r w:rsidR="00BA4983" w:rsidRPr="001E2D8B">
        <w:rPr>
          <w:rFonts w:ascii="Arial" w:hAnsi="Arial" w:cs="Arial"/>
        </w:rPr>
        <w:t xml:space="preserve">support </w:t>
      </w:r>
      <w:r w:rsidR="006D73DB" w:rsidRPr="001E2D8B">
        <w:rPr>
          <w:rFonts w:ascii="Arial" w:hAnsi="Arial" w:cs="Arial"/>
        </w:rPr>
        <w:t xml:space="preserve">family violence workers </w:t>
      </w:r>
      <w:r w:rsidR="00BA4983" w:rsidRPr="001E2D8B">
        <w:rPr>
          <w:rFonts w:ascii="Arial" w:hAnsi="Arial" w:cs="Arial"/>
        </w:rPr>
        <w:t xml:space="preserve">to </w:t>
      </w:r>
      <w:r w:rsidR="001E2D8B" w:rsidRPr="001E2D8B">
        <w:rPr>
          <w:rFonts w:ascii="Arial" w:hAnsi="Arial" w:cs="Arial"/>
        </w:rPr>
        <w:t xml:space="preserve">respond to </w:t>
      </w:r>
      <w:r w:rsidR="00BA4983" w:rsidRPr="001E2D8B">
        <w:rPr>
          <w:rFonts w:ascii="Arial" w:hAnsi="Arial" w:cs="Arial"/>
        </w:rPr>
        <w:t xml:space="preserve">legal </w:t>
      </w:r>
      <w:r w:rsidR="006D73DB" w:rsidRPr="001E2D8B">
        <w:rPr>
          <w:rFonts w:ascii="Arial" w:hAnsi="Arial" w:cs="Arial"/>
        </w:rPr>
        <w:t>needs</w:t>
      </w:r>
      <w:r w:rsidR="00FC43A9">
        <w:rPr>
          <w:rFonts w:ascii="Arial" w:eastAsiaTheme="minorEastAsia" w:hAnsi="Arial" w:cs="Arial"/>
        </w:rPr>
        <w:t>.</w:t>
      </w:r>
      <w:r w:rsidR="006D73DB" w:rsidRPr="00E762A0">
        <w:rPr>
          <w:rFonts w:ascii="Arial" w:eastAsiaTheme="minorEastAsia" w:hAnsi="Arial" w:cs="Arial"/>
        </w:rPr>
        <w:t xml:space="preserve"> </w:t>
      </w:r>
    </w:p>
    <w:p w14:paraId="71EC3551" w14:textId="77777777" w:rsidR="00977075" w:rsidRPr="00E762A0" w:rsidRDefault="006B04D9" w:rsidP="00DA409B">
      <w:pPr>
        <w:pStyle w:val="ListParagraph"/>
        <w:numPr>
          <w:ilvl w:val="0"/>
          <w:numId w:val="17"/>
        </w:numPr>
        <w:spacing w:after="0" w:line="300" w:lineRule="atLeast"/>
        <w:ind w:left="714" w:hanging="357"/>
        <w:rPr>
          <w:rFonts w:ascii="Arial" w:eastAsiaTheme="minorEastAsia" w:hAnsi="Arial" w:cs="Arial"/>
        </w:rPr>
      </w:pPr>
      <w:r>
        <w:rPr>
          <w:rFonts w:ascii="Arial" w:eastAsiaTheme="minorEastAsia" w:hAnsi="Arial" w:cs="Arial"/>
        </w:rPr>
        <w:t>m</w:t>
      </w:r>
      <w:r w:rsidRPr="00E762A0">
        <w:rPr>
          <w:rFonts w:ascii="Arial" w:eastAsiaTheme="minorEastAsia" w:hAnsi="Arial" w:cs="Arial"/>
        </w:rPr>
        <w:t>eeting</w:t>
      </w:r>
      <w:r w:rsidR="00F37E72" w:rsidRPr="00E762A0">
        <w:rPr>
          <w:rFonts w:ascii="Arial" w:eastAsiaTheme="minorEastAsia" w:hAnsi="Arial" w:cs="Arial"/>
        </w:rPr>
        <w:t xml:space="preserve"> the Royal Commission’s </w:t>
      </w:r>
      <w:r w:rsidR="00977075" w:rsidRPr="00E762A0">
        <w:rPr>
          <w:rFonts w:ascii="Arial" w:eastAsiaTheme="minorEastAsia" w:hAnsi="Arial" w:cs="Arial"/>
        </w:rPr>
        <w:t xml:space="preserve">intention of extending the </w:t>
      </w:r>
      <w:r w:rsidR="00063E7B">
        <w:rPr>
          <w:rFonts w:ascii="Arial" w:eastAsiaTheme="minorEastAsia" w:hAnsi="Arial" w:cs="Arial"/>
        </w:rPr>
        <w:t>Family Violence Safety Notice (</w:t>
      </w:r>
      <w:r w:rsidR="00977075" w:rsidRPr="00E762A0">
        <w:rPr>
          <w:rFonts w:ascii="Arial" w:eastAsiaTheme="minorEastAsia" w:hAnsi="Arial" w:cs="Arial"/>
        </w:rPr>
        <w:t>FVSN</w:t>
      </w:r>
      <w:r w:rsidR="00063E7B">
        <w:rPr>
          <w:rFonts w:ascii="Arial" w:eastAsiaTheme="minorEastAsia" w:hAnsi="Arial" w:cs="Arial"/>
        </w:rPr>
        <w:t>) period</w:t>
      </w:r>
      <w:r w:rsidR="00977075" w:rsidRPr="00E762A0">
        <w:rPr>
          <w:rFonts w:ascii="Arial" w:eastAsiaTheme="minorEastAsia" w:hAnsi="Arial" w:cs="Arial"/>
        </w:rPr>
        <w:t xml:space="preserve"> </w:t>
      </w:r>
      <w:r w:rsidR="00F37E72" w:rsidRPr="00E762A0">
        <w:rPr>
          <w:rFonts w:ascii="Arial" w:eastAsiaTheme="minorEastAsia" w:hAnsi="Arial" w:cs="Arial"/>
        </w:rPr>
        <w:t xml:space="preserve">from 5 </w:t>
      </w:r>
      <w:r w:rsidR="00977075" w:rsidRPr="00E762A0">
        <w:rPr>
          <w:rFonts w:ascii="Arial" w:eastAsiaTheme="minorEastAsia" w:hAnsi="Arial" w:cs="Arial"/>
        </w:rPr>
        <w:t>to 14 day</w:t>
      </w:r>
      <w:r w:rsidR="00977075" w:rsidRPr="00C97C9C">
        <w:rPr>
          <w:rFonts w:ascii="Arial" w:eastAsiaTheme="minorEastAsia" w:hAnsi="Arial" w:cs="Arial"/>
        </w:rPr>
        <w:t xml:space="preserve">s </w:t>
      </w:r>
      <w:r w:rsidR="00C97C9C" w:rsidRPr="00C97C9C">
        <w:rPr>
          <w:rFonts w:ascii="Arial" w:eastAsiaTheme="minorEastAsia" w:hAnsi="Arial" w:cs="Arial"/>
        </w:rPr>
        <w:t xml:space="preserve">by </w:t>
      </w:r>
      <w:r w:rsidR="00C97C9C" w:rsidRPr="00D362C3">
        <w:rPr>
          <w:rFonts w:ascii="Arial" w:eastAsiaTheme="minorEastAsia" w:hAnsi="Arial" w:cs="Arial"/>
        </w:rPr>
        <w:t>putting in place the necessary structure</w:t>
      </w:r>
      <w:r w:rsidR="0084756E">
        <w:rPr>
          <w:rFonts w:ascii="Arial" w:eastAsiaTheme="minorEastAsia" w:hAnsi="Arial" w:cs="Arial"/>
        </w:rPr>
        <w:t>s</w:t>
      </w:r>
      <w:r w:rsidR="00A061E2">
        <w:rPr>
          <w:rFonts w:ascii="Arial" w:eastAsiaTheme="minorEastAsia" w:hAnsi="Arial" w:cs="Arial"/>
        </w:rPr>
        <w:t xml:space="preserve"> and associated funding</w:t>
      </w:r>
      <w:r w:rsidR="00C97C9C" w:rsidRPr="00D362C3">
        <w:rPr>
          <w:rFonts w:ascii="Arial" w:eastAsiaTheme="minorEastAsia" w:hAnsi="Arial" w:cs="Arial"/>
        </w:rPr>
        <w:t xml:space="preserve"> to </w:t>
      </w:r>
      <w:r w:rsidR="00C97C9C" w:rsidRPr="00B50966">
        <w:rPr>
          <w:rFonts w:ascii="Arial" w:hAnsi="Arial" w:cs="Arial"/>
        </w:rPr>
        <w:t>support the pre-court legal assistance</w:t>
      </w:r>
      <w:r w:rsidR="005B2BCA">
        <w:rPr>
          <w:rFonts w:ascii="Arial" w:hAnsi="Arial" w:cs="Arial"/>
        </w:rPr>
        <w:t xml:space="preserve"> </w:t>
      </w:r>
      <w:r w:rsidR="00A061E2">
        <w:rPr>
          <w:rFonts w:ascii="Arial" w:hAnsi="Arial" w:cs="Arial"/>
        </w:rPr>
        <w:t>that was envisaged</w:t>
      </w:r>
      <w:r w:rsidR="00C97C9C" w:rsidRPr="00B50966">
        <w:rPr>
          <w:rFonts w:ascii="Arial" w:hAnsi="Arial" w:cs="Arial"/>
        </w:rPr>
        <w:t>.</w:t>
      </w:r>
      <w:r w:rsidR="00F37E72" w:rsidRPr="00B50966">
        <w:rPr>
          <w:rFonts w:ascii="Arial" w:eastAsiaTheme="minorEastAsia" w:hAnsi="Arial" w:cs="Arial"/>
        </w:rPr>
        <w:t xml:space="preserve"> </w:t>
      </w:r>
    </w:p>
    <w:p w14:paraId="0DC6575F" w14:textId="77777777" w:rsidR="00977075" w:rsidRPr="00E762A0" w:rsidRDefault="00753864" w:rsidP="00DA409B">
      <w:pPr>
        <w:pStyle w:val="ListParagraph"/>
        <w:numPr>
          <w:ilvl w:val="0"/>
          <w:numId w:val="17"/>
        </w:numPr>
        <w:spacing w:after="0" w:line="300" w:lineRule="atLeast"/>
        <w:ind w:left="714" w:hanging="357"/>
        <w:rPr>
          <w:rFonts w:ascii="Arial" w:eastAsiaTheme="minorEastAsia" w:hAnsi="Arial" w:cs="Arial"/>
        </w:rPr>
      </w:pPr>
      <w:r>
        <w:rPr>
          <w:rFonts w:ascii="Arial" w:eastAsiaTheme="minorEastAsia" w:hAnsi="Arial" w:cs="Arial"/>
        </w:rPr>
        <w:t>a</w:t>
      </w:r>
      <w:r w:rsidR="00BE63BE" w:rsidRPr="00E762A0">
        <w:rPr>
          <w:rFonts w:ascii="Arial" w:eastAsiaTheme="minorEastAsia" w:hAnsi="Arial" w:cs="Arial"/>
        </w:rPr>
        <w:t>dequately fund</w:t>
      </w:r>
      <w:r w:rsidR="00D36B0F">
        <w:rPr>
          <w:rFonts w:ascii="Arial" w:eastAsiaTheme="minorEastAsia" w:hAnsi="Arial" w:cs="Arial"/>
        </w:rPr>
        <w:t>ing</w:t>
      </w:r>
      <w:r w:rsidR="00BE63BE" w:rsidRPr="00E762A0">
        <w:rPr>
          <w:rFonts w:ascii="Arial" w:eastAsiaTheme="minorEastAsia" w:hAnsi="Arial" w:cs="Arial"/>
        </w:rPr>
        <w:t xml:space="preserve"> legal services</w:t>
      </w:r>
      <w:r w:rsidR="00C97C9C">
        <w:rPr>
          <w:rFonts w:ascii="Arial" w:eastAsiaTheme="minorEastAsia" w:hAnsi="Arial" w:cs="Arial"/>
        </w:rPr>
        <w:t xml:space="preserve"> to provide </w:t>
      </w:r>
      <w:r w:rsidR="00D362C3">
        <w:rPr>
          <w:rFonts w:ascii="Arial" w:eastAsiaTheme="minorEastAsia" w:hAnsi="Arial" w:cs="Arial"/>
        </w:rPr>
        <w:t>family violence legal assistance</w:t>
      </w:r>
      <w:r w:rsidR="00D36B0F">
        <w:rPr>
          <w:rFonts w:ascii="Arial" w:eastAsiaTheme="minorEastAsia" w:hAnsi="Arial" w:cs="Arial"/>
        </w:rPr>
        <w:t>.</w:t>
      </w:r>
      <w:r w:rsidR="00977075" w:rsidRPr="00E762A0">
        <w:rPr>
          <w:rFonts w:ascii="Arial" w:eastAsiaTheme="minorEastAsia" w:hAnsi="Arial" w:cs="Arial"/>
        </w:rPr>
        <w:t xml:space="preserve"> </w:t>
      </w:r>
    </w:p>
    <w:p w14:paraId="0D127D34" w14:textId="77777777" w:rsidR="00CE18A6" w:rsidRPr="00CE18A6" w:rsidRDefault="006B04D9" w:rsidP="00DA409B">
      <w:pPr>
        <w:pStyle w:val="ListParagraph"/>
        <w:numPr>
          <w:ilvl w:val="0"/>
          <w:numId w:val="17"/>
        </w:numPr>
        <w:spacing w:after="0" w:line="300" w:lineRule="atLeast"/>
        <w:ind w:left="714" w:hanging="357"/>
        <w:rPr>
          <w:rFonts w:ascii="Arial" w:eastAsiaTheme="minorEastAsia" w:hAnsi="Arial" w:cs="Arial"/>
        </w:rPr>
      </w:pPr>
      <w:r>
        <w:rPr>
          <w:rFonts w:ascii="Arial" w:eastAsiaTheme="minorEastAsia" w:hAnsi="Arial" w:cs="Arial"/>
        </w:rPr>
        <w:t>c</w:t>
      </w:r>
      <w:r w:rsidRPr="00E762A0">
        <w:rPr>
          <w:rFonts w:ascii="Arial" w:eastAsiaTheme="minorEastAsia" w:hAnsi="Arial" w:cs="Arial"/>
        </w:rPr>
        <w:t>ommitting</w:t>
      </w:r>
      <w:r w:rsidR="00CF3197" w:rsidRPr="00E762A0">
        <w:rPr>
          <w:rFonts w:ascii="Arial" w:eastAsiaTheme="minorEastAsia" w:hAnsi="Arial" w:cs="Arial"/>
        </w:rPr>
        <w:t xml:space="preserve"> to funding </w:t>
      </w:r>
      <w:r w:rsidR="00977075" w:rsidRPr="00E762A0">
        <w:rPr>
          <w:rFonts w:ascii="Arial" w:eastAsiaTheme="minorEastAsia" w:hAnsi="Arial" w:cs="Arial"/>
        </w:rPr>
        <w:t xml:space="preserve">for </w:t>
      </w:r>
      <w:r w:rsidR="001047BF" w:rsidRPr="00E762A0">
        <w:rPr>
          <w:rFonts w:ascii="Arial" w:eastAsiaTheme="minorEastAsia" w:hAnsi="Arial" w:cs="Arial"/>
        </w:rPr>
        <w:t xml:space="preserve">general demand in the </w:t>
      </w:r>
      <w:r w:rsidR="004E634E" w:rsidRPr="00E762A0">
        <w:rPr>
          <w:rFonts w:ascii="Arial" w:eastAsiaTheme="minorEastAsia" w:hAnsi="Arial" w:cs="Arial"/>
        </w:rPr>
        <w:t xml:space="preserve">court system including the rollout of </w:t>
      </w:r>
      <w:r w:rsidR="00977075" w:rsidRPr="00E762A0">
        <w:rPr>
          <w:rFonts w:ascii="Arial" w:eastAsiaTheme="minorEastAsia" w:hAnsi="Arial" w:cs="Arial"/>
        </w:rPr>
        <w:t>the remaining</w:t>
      </w:r>
      <w:r w:rsidR="00CF3197" w:rsidRPr="00E762A0">
        <w:rPr>
          <w:rFonts w:ascii="Arial" w:eastAsiaTheme="minorEastAsia" w:hAnsi="Arial" w:cs="Arial"/>
        </w:rPr>
        <w:t xml:space="preserve"> Specialist Family Violence </w:t>
      </w:r>
      <w:r w:rsidR="008D7B36" w:rsidRPr="00E762A0">
        <w:rPr>
          <w:rFonts w:ascii="Arial" w:eastAsiaTheme="minorEastAsia" w:hAnsi="Arial" w:cs="Arial"/>
        </w:rPr>
        <w:t>Courts</w:t>
      </w:r>
      <w:r w:rsidR="001134AE" w:rsidRPr="00E762A0">
        <w:rPr>
          <w:rFonts w:ascii="Arial" w:eastAsiaTheme="minorEastAsia" w:hAnsi="Arial" w:cs="Arial"/>
        </w:rPr>
        <w:t xml:space="preserve"> (</w:t>
      </w:r>
      <w:r w:rsidR="00977075" w:rsidRPr="00E762A0">
        <w:rPr>
          <w:rFonts w:ascii="Arial" w:eastAsiaTheme="minorEastAsia" w:hAnsi="Arial" w:cs="Arial"/>
        </w:rPr>
        <w:t>SFVCs</w:t>
      </w:r>
      <w:r w:rsidR="001134AE" w:rsidRPr="00E762A0">
        <w:rPr>
          <w:rFonts w:ascii="Arial" w:eastAsiaTheme="minorEastAsia" w:hAnsi="Arial" w:cs="Arial"/>
        </w:rPr>
        <w:t>)</w:t>
      </w:r>
      <w:r w:rsidR="00D36B0F">
        <w:rPr>
          <w:rFonts w:ascii="Arial" w:eastAsiaTheme="minorEastAsia" w:hAnsi="Arial" w:cs="Arial"/>
        </w:rPr>
        <w:t>.</w:t>
      </w:r>
    </w:p>
    <w:p w14:paraId="1959F561" w14:textId="77777777" w:rsidR="00F95D28" w:rsidRPr="00F95D28" w:rsidRDefault="00753864" w:rsidP="00DA409B">
      <w:pPr>
        <w:pStyle w:val="ListParagraph"/>
        <w:numPr>
          <w:ilvl w:val="0"/>
          <w:numId w:val="17"/>
        </w:numPr>
        <w:rPr>
          <w:rFonts w:ascii="Arial" w:hAnsi="Arial" w:cs="Arial"/>
        </w:rPr>
      </w:pPr>
      <w:r>
        <w:rPr>
          <w:rFonts w:ascii="Arial" w:hAnsi="Arial" w:cs="Arial"/>
        </w:rPr>
        <w:t>i</w:t>
      </w:r>
      <w:r w:rsidR="00F95D28" w:rsidRPr="00F95D28">
        <w:rPr>
          <w:rFonts w:ascii="Arial" w:hAnsi="Arial" w:cs="Arial"/>
        </w:rPr>
        <w:t>mplement</w:t>
      </w:r>
      <w:r w:rsidR="00AE00C2">
        <w:rPr>
          <w:rFonts w:ascii="Arial" w:hAnsi="Arial" w:cs="Arial"/>
        </w:rPr>
        <w:t>ing</w:t>
      </w:r>
      <w:r w:rsidR="00F95D28" w:rsidRPr="00F95D28">
        <w:rPr>
          <w:rFonts w:ascii="Arial" w:hAnsi="Arial" w:cs="Arial"/>
        </w:rPr>
        <w:t xml:space="preserve"> Recommendation 3.5 of the Access to Justice report: Include legal triage in the Support and Safety Hubs and family violence services and support all workers including child first/child welfare workers to know how to identify legal needs and make safe and effective referrals to legal services.</w:t>
      </w:r>
    </w:p>
    <w:p w14:paraId="2B275AA3" w14:textId="02EDC9EE" w:rsidR="00F95D28" w:rsidRDefault="00753864" w:rsidP="00DA409B">
      <w:pPr>
        <w:pStyle w:val="ListParagraph"/>
        <w:numPr>
          <w:ilvl w:val="0"/>
          <w:numId w:val="17"/>
        </w:numPr>
        <w:rPr>
          <w:rFonts w:ascii="Arial" w:hAnsi="Arial" w:cs="Arial"/>
        </w:rPr>
      </w:pPr>
      <w:r>
        <w:rPr>
          <w:rFonts w:ascii="Arial" w:hAnsi="Arial" w:cs="Arial"/>
        </w:rPr>
        <w:t>i</w:t>
      </w:r>
      <w:r w:rsidR="00F95D28" w:rsidRPr="00F95D28">
        <w:rPr>
          <w:rFonts w:ascii="Arial" w:hAnsi="Arial" w:cs="Arial"/>
        </w:rPr>
        <w:t>mplement</w:t>
      </w:r>
      <w:r>
        <w:rPr>
          <w:rFonts w:ascii="Arial" w:hAnsi="Arial" w:cs="Arial"/>
        </w:rPr>
        <w:t>ing</w:t>
      </w:r>
      <w:r w:rsidR="00F95D28" w:rsidRPr="00F95D28">
        <w:rPr>
          <w:rFonts w:ascii="Arial" w:hAnsi="Arial" w:cs="Arial"/>
        </w:rPr>
        <w:t xml:space="preserve"> the findings of the </w:t>
      </w:r>
      <w:r w:rsidR="00E37960">
        <w:rPr>
          <w:rFonts w:ascii="Arial" w:hAnsi="Arial" w:cs="Arial"/>
        </w:rPr>
        <w:t>Victorian Auditor-General’s Office (</w:t>
      </w:r>
      <w:r w:rsidR="00F95D28" w:rsidRPr="00F95D28">
        <w:rPr>
          <w:rFonts w:ascii="Arial" w:hAnsi="Arial" w:cs="Arial"/>
        </w:rPr>
        <w:t>VAGO</w:t>
      </w:r>
      <w:r w:rsidR="00E37960">
        <w:rPr>
          <w:rFonts w:ascii="Arial" w:hAnsi="Arial" w:cs="Arial"/>
        </w:rPr>
        <w:t>)</w:t>
      </w:r>
      <w:r w:rsidR="00F95D28" w:rsidRPr="00F95D28">
        <w:rPr>
          <w:rFonts w:ascii="Arial" w:hAnsi="Arial" w:cs="Arial"/>
        </w:rPr>
        <w:t xml:space="preserve"> report into Support and Safety Hubs and fully integrat</w:t>
      </w:r>
      <w:r w:rsidR="00C30E03">
        <w:rPr>
          <w:rFonts w:ascii="Arial" w:hAnsi="Arial" w:cs="Arial"/>
        </w:rPr>
        <w:t>ing</w:t>
      </w:r>
      <w:r w:rsidR="00F95D28" w:rsidRPr="00F95D28">
        <w:rPr>
          <w:rFonts w:ascii="Arial" w:hAnsi="Arial" w:cs="Arial"/>
        </w:rPr>
        <w:t xml:space="preserve"> legal services within the Orange Door model. </w:t>
      </w:r>
    </w:p>
    <w:p w14:paraId="4D5F1728" w14:textId="77777777" w:rsidR="008A3264" w:rsidRPr="008A3264" w:rsidRDefault="008A3264" w:rsidP="00DA409B">
      <w:pPr>
        <w:rPr>
          <w:rFonts w:cs="Arial"/>
        </w:rPr>
      </w:pPr>
    </w:p>
    <w:p w14:paraId="14E8C65B" w14:textId="77777777" w:rsidR="00304C60" w:rsidRPr="006B4441" w:rsidRDefault="00304C60" w:rsidP="00DA409B">
      <w:pPr>
        <w:pStyle w:val="Recommendationheading"/>
      </w:pPr>
      <w:bookmarkStart w:id="28" w:name="_Toc45698233"/>
      <w:bookmarkStart w:id="29" w:name="_Toc45698283"/>
      <w:bookmarkStart w:id="30" w:name="_Toc46146192"/>
      <w:r w:rsidRPr="006B4441">
        <w:lastRenderedPageBreak/>
        <w:t xml:space="preserve">Recommendation </w:t>
      </w:r>
      <w:r w:rsidR="007349CA">
        <w:t>3</w:t>
      </w:r>
      <w:r>
        <w:t xml:space="preserve"> </w:t>
      </w:r>
      <w:r w:rsidR="00F4287C">
        <w:t xml:space="preserve">– </w:t>
      </w:r>
      <w:r w:rsidR="00164B7E">
        <w:t xml:space="preserve">a different response </w:t>
      </w:r>
      <w:r w:rsidR="00A82075">
        <w:t xml:space="preserve">for </w:t>
      </w:r>
      <w:proofErr w:type="gramStart"/>
      <w:r w:rsidR="00A82075">
        <w:t>particular co</w:t>
      </w:r>
      <w:r w:rsidR="00957A92">
        <w:t>mmunities</w:t>
      </w:r>
      <w:bookmarkEnd w:id="28"/>
      <w:bookmarkEnd w:id="29"/>
      <w:bookmarkEnd w:id="30"/>
      <w:proofErr w:type="gramEnd"/>
      <w:r w:rsidR="00A82075">
        <w:t xml:space="preserve"> </w:t>
      </w:r>
    </w:p>
    <w:p w14:paraId="410E5671" w14:textId="77777777" w:rsidR="00AB001E" w:rsidRDefault="003B313F" w:rsidP="00DA409B">
      <w:pPr>
        <w:pStyle w:val="Recommendationtext"/>
      </w:pPr>
      <w:r>
        <w:t xml:space="preserve">Recognise </w:t>
      </w:r>
      <w:r w:rsidR="00885C62">
        <w:t xml:space="preserve">the </w:t>
      </w:r>
      <w:r>
        <w:t>different response</w:t>
      </w:r>
      <w:r w:rsidR="00885C62">
        <w:t xml:space="preserve">s required </w:t>
      </w:r>
      <w:r w:rsidR="00150982">
        <w:t xml:space="preserve">for </w:t>
      </w:r>
      <w:proofErr w:type="gramStart"/>
      <w:r w:rsidR="00150982">
        <w:t xml:space="preserve">particular </w:t>
      </w:r>
      <w:r w:rsidR="007818AD">
        <w:t>co</w:t>
      </w:r>
      <w:r w:rsidR="00957A92">
        <w:t>mmunities</w:t>
      </w:r>
      <w:proofErr w:type="gramEnd"/>
      <w:r w:rsidR="007818AD">
        <w:t xml:space="preserve"> </w:t>
      </w:r>
      <w:r>
        <w:t>by:</w:t>
      </w:r>
    </w:p>
    <w:p w14:paraId="5E170E88" w14:textId="77777777" w:rsidR="006B04D9" w:rsidRPr="00D00AF5" w:rsidRDefault="006B04D9" w:rsidP="00DA409B">
      <w:pPr>
        <w:pStyle w:val="ListParagraph"/>
        <w:numPr>
          <w:ilvl w:val="0"/>
          <w:numId w:val="32"/>
        </w:numPr>
        <w:rPr>
          <w:rFonts w:ascii="Arial" w:hAnsi="Arial" w:cs="Arial"/>
        </w:rPr>
      </w:pPr>
      <w:r w:rsidRPr="00D00AF5">
        <w:rPr>
          <w:rFonts w:ascii="Arial" w:hAnsi="Arial" w:cs="Arial"/>
        </w:rPr>
        <w:t>implement</w:t>
      </w:r>
      <w:r>
        <w:rPr>
          <w:rFonts w:ascii="Arial" w:hAnsi="Arial" w:cs="Arial"/>
        </w:rPr>
        <w:t>ing</w:t>
      </w:r>
      <w:r w:rsidRPr="00D00AF5">
        <w:rPr>
          <w:rFonts w:ascii="Arial" w:hAnsi="Arial" w:cs="Arial"/>
        </w:rPr>
        <w:t xml:space="preserve"> and adequately resourc</w:t>
      </w:r>
      <w:r>
        <w:rPr>
          <w:rFonts w:ascii="Arial" w:hAnsi="Arial" w:cs="Arial"/>
        </w:rPr>
        <w:t>ing</w:t>
      </w:r>
      <w:r w:rsidRPr="00D00AF5">
        <w:rPr>
          <w:rFonts w:ascii="Arial" w:hAnsi="Arial" w:cs="Arial"/>
        </w:rPr>
        <w:t xml:space="preserve"> recommendations 123 to 128 from the </w:t>
      </w:r>
      <w:r w:rsidRPr="00D00AF5">
        <w:rPr>
          <w:rFonts w:ascii="Arial" w:hAnsi="Arial" w:cs="Arial"/>
          <w:i/>
          <w:iCs/>
        </w:rPr>
        <w:t>Royal Commission into Family Violence</w:t>
      </w:r>
      <w:r w:rsidRPr="00D00AF5">
        <w:rPr>
          <w:rFonts w:ascii="Arial" w:hAnsi="Arial" w:cs="Arial"/>
        </w:rPr>
        <w:t xml:space="preserve"> for establishing a specialised response for adolescents</w:t>
      </w:r>
      <w:r>
        <w:rPr>
          <w:rFonts w:ascii="Arial" w:hAnsi="Arial" w:cs="Arial"/>
        </w:rPr>
        <w:t>.</w:t>
      </w:r>
      <w:r w:rsidRPr="00D00AF5">
        <w:rPr>
          <w:rFonts w:ascii="Arial" w:eastAsiaTheme="minorEastAsia" w:hAnsi="Arial" w:cs="Arial"/>
        </w:rPr>
        <w:t xml:space="preserve"> </w:t>
      </w:r>
    </w:p>
    <w:p w14:paraId="35955D4F" w14:textId="77777777" w:rsidR="006B04D9" w:rsidRPr="00D00AF5" w:rsidRDefault="006B04D9" w:rsidP="00DA409B">
      <w:pPr>
        <w:pStyle w:val="ListParagraph"/>
        <w:numPr>
          <w:ilvl w:val="0"/>
          <w:numId w:val="32"/>
        </w:numPr>
        <w:rPr>
          <w:rFonts w:ascii="Arial" w:hAnsi="Arial" w:cs="Arial"/>
        </w:rPr>
      </w:pPr>
      <w:r>
        <w:rPr>
          <w:rFonts w:ascii="Arial" w:eastAsiaTheme="minorEastAsia" w:hAnsi="Arial" w:cs="Arial"/>
        </w:rPr>
        <w:t>i</w:t>
      </w:r>
      <w:r w:rsidRPr="00D00AF5">
        <w:rPr>
          <w:rFonts w:ascii="Arial" w:eastAsiaTheme="minorEastAsia" w:hAnsi="Arial" w:cs="Arial"/>
        </w:rPr>
        <w:t xml:space="preserve">mplementing the recommendations of the Positive Interventions for Perpetrators of Adolescent Family Violence in the Home (PIPA) report. </w:t>
      </w:r>
    </w:p>
    <w:p w14:paraId="3E297ABD" w14:textId="3AB0672C" w:rsidR="00F2453F" w:rsidRPr="00F2453F" w:rsidRDefault="006B04D9" w:rsidP="00DA409B">
      <w:pPr>
        <w:pStyle w:val="ListParagraph"/>
        <w:numPr>
          <w:ilvl w:val="0"/>
          <w:numId w:val="18"/>
        </w:numPr>
        <w:rPr>
          <w:rFonts w:ascii="Arial" w:hAnsi="Arial" w:cs="Arial"/>
        </w:rPr>
      </w:pPr>
      <w:bookmarkStart w:id="31" w:name="_Toc45698234"/>
      <w:bookmarkStart w:id="32" w:name="_Toc45698284"/>
      <w:r>
        <w:rPr>
          <w:rFonts w:ascii="Arial" w:hAnsi="Arial" w:cs="Arial"/>
        </w:rPr>
        <w:t>continuing</w:t>
      </w:r>
      <w:r w:rsidR="00060BD2">
        <w:rPr>
          <w:rFonts w:ascii="Arial" w:hAnsi="Arial" w:cs="Arial"/>
        </w:rPr>
        <w:t xml:space="preserve"> current work in d</w:t>
      </w:r>
      <w:r w:rsidR="00F2453F" w:rsidRPr="00734C44">
        <w:rPr>
          <w:rFonts w:ascii="Arial" w:hAnsi="Arial" w:cs="Arial"/>
        </w:rPr>
        <w:t>evelop</w:t>
      </w:r>
      <w:r w:rsidR="00060BD2">
        <w:rPr>
          <w:rFonts w:ascii="Arial" w:hAnsi="Arial" w:cs="Arial"/>
        </w:rPr>
        <w:t>ing</w:t>
      </w:r>
      <w:r w:rsidR="00F2453F" w:rsidRPr="00734C44">
        <w:rPr>
          <w:rFonts w:ascii="Arial" w:hAnsi="Arial" w:cs="Arial"/>
        </w:rPr>
        <w:t xml:space="preserve"> a framework that recognises and explains </w:t>
      </w:r>
      <w:r w:rsidR="00A50E5A">
        <w:rPr>
          <w:rFonts w:ascii="Arial" w:hAnsi="Arial" w:cs="Arial"/>
        </w:rPr>
        <w:t>e</w:t>
      </w:r>
      <w:r w:rsidR="00F2453F" w:rsidRPr="00734C44">
        <w:rPr>
          <w:rFonts w:ascii="Arial" w:hAnsi="Arial" w:cs="Arial"/>
        </w:rPr>
        <w:t>lder abuse as a specific form of family violence with its own drivers and risk factors</w:t>
      </w:r>
      <w:r w:rsidR="00011B5F">
        <w:rPr>
          <w:rFonts w:ascii="Arial" w:hAnsi="Arial" w:cs="Arial"/>
        </w:rPr>
        <w:t>;</w:t>
      </w:r>
      <w:r w:rsidR="00F2453F">
        <w:rPr>
          <w:rFonts w:ascii="Arial" w:hAnsi="Arial" w:cs="Arial"/>
        </w:rPr>
        <w:t xml:space="preserve"> and</w:t>
      </w:r>
      <w:r w:rsidR="00F2453F" w:rsidRPr="00F2453F">
        <w:rPr>
          <w:rFonts w:ascii="Arial" w:hAnsi="Arial" w:cs="Arial"/>
        </w:rPr>
        <w:t xml:space="preserve"> </w:t>
      </w:r>
      <w:r w:rsidR="0069560A">
        <w:rPr>
          <w:rFonts w:ascii="Arial" w:hAnsi="Arial" w:cs="Arial"/>
        </w:rPr>
        <w:t xml:space="preserve">provide </w:t>
      </w:r>
      <w:r w:rsidR="00F2453F" w:rsidRPr="00F2453F">
        <w:rPr>
          <w:rFonts w:ascii="Arial" w:hAnsi="Arial" w:cs="Arial"/>
        </w:rPr>
        <w:t>ongoing and sustainable resourcing of services and programs</w:t>
      </w:r>
      <w:r w:rsidR="0069560A">
        <w:rPr>
          <w:rFonts w:ascii="Arial" w:hAnsi="Arial" w:cs="Arial"/>
        </w:rPr>
        <w:t xml:space="preserve">, including </w:t>
      </w:r>
      <w:r w:rsidR="00864A98">
        <w:rPr>
          <w:rFonts w:ascii="Arial" w:hAnsi="Arial" w:cs="Arial"/>
        </w:rPr>
        <w:t>Men’s Behaviour Change programs,</w:t>
      </w:r>
      <w:r w:rsidR="00F2453F" w:rsidRPr="00F2453F">
        <w:rPr>
          <w:rFonts w:ascii="Arial" w:hAnsi="Arial" w:cs="Arial"/>
        </w:rPr>
        <w:t xml:space="preserve"> to prevent and address elder abuse</w:t>
      </w:r>
      <w:r w:rsidR="00864A98">
        <w:rPr>
          <w:rFonts w:ascii="Arial" w:hAnsi="Arial" w:cs="Arial"/>
        </w:rPr>
        <w:t xml:space="preserve"> and ageism</w:t>
      </w:r>
      <w:r w:rsidR="00F2453F" w:rsidRPr="00F2453F">
        <w:rPr>
          <w:rFonts w:ascii="Arial" w:hAnsi="Arial" w:cs="Arial"/>
        </w:rPr>
        <w:t>.</w:t>
      </w:r>
    </w:p>
    <w:p w14:paraId="585672BC" w14:textId="77777777" w:rsidR="00183135" w:rsidRPr="006B4441" w:rsidRDefault="00183135" w:rsidP="00DA409B">
      <w:pPr>
        <w:pStyle w:val="Recommendationheading"/>
      </w:pPr>
      <w:bookmarkStart w:id="33" w:name="_Toc46146193"/>
      <w:r w:rsidRPr="006B4441">
        <w:t xml:space="preserve">Recommendation </w:t>
      </w:r>
      <w:r w:rsidR="007349CA">
        <w:t>4</w:t>
      </w:r>
      <w:r>
        <w:t xml:space="preserve"> </w:t>
      </w:r>
      <w:r w:rsidR="007312F8">
        <w:t>–</w:t>
      </w:r>
      <w:r w:rsidR="00164B7E">
        <w:t xml:space="preserve"> </w:t>
      </w:r>
      <w:r w:rsidR="00AD3B2B">
        <w:t>improving</w:t>
      </w:r>
      <w:r w:rsidR="007312F8">
        <w:t xml:space="preserve"> the </w:t>
      </w:r>
      <w:r w:rsidR="00AD3B2B">
        <w:t>broader systems response</w:t>
      </w:r>
      <w:bookmarkEnd w:id="31"/>
      <w:bookmarkEnd w:id="32"/>
      <w:bookmarkEnd w:id="33"/>
    </w:p>
    <w:p w14:paraId="077C7A7B" w14:textId="77777777" w:rsidR="00183135" w:rsidRDefault="00183135" w:rsidP="00DA409B">
      <w:pPr>
        <w:pStyle w:val="Recommendationtext"/>
      </w:pPr>
      <w:r>
        <w:t xml:space="preserve">Improve the </w:t>
      </w:r>
      <w:r w:rsidR="005A0402">
        <w:t>broader system</w:t>
      </w:r>
      <w:r w:rsidR="0038722B">
        <w:t>s</w:t>
      </w:r>
      <w:r w:rsidR="005A0402">
        <w:t xml:space="preserve"> </w:t>
      </w:r>
      <w:r>
        <w:t xml:space="preserve">response </w:t>
      </w:r>
      <w:r w:rsidR="00B042D4">
        <w:t xml:space="preserve">to people who </w:t>
      </w:r>
      <w:r w:rsidR="005A0402">
        <w:t>have experienced family violence</w:t>
      </w:r>
      <w:r w:rsidR="003B313F">
        <w:t xml:space="preserve"> by: </w:t>
      </w:r>
    </w:p>
    <w:p w14:paraId="4D736E8A" w14:textId="77777777" w:rsidR="006B04D9" w:rsidRPr="00055DCE" w:rsidRDefault="006B04D9" w:rsidP="00DA409B">
      <w:pPr>
        <w:pStyle w:val="ListParagraph"/>
        <w:numPr>
          <w:ilvl w:val="0"/>
          <w:numId w:val="19"/>
        </w:numPr>
        <w:spacing w:after="0" w:line="300" w:lineRule="atLeast"/>
        <w:ind w:left="714" w:hanging="357"/>
        <w:rPr>
          <w:rFonts w:ascii="Arial" w:eastAsiaTheme="minorEastAsia" w:hAnsi="Arial" w:cs="Arial"/>
        </w:rPr>
      </w:pPr>
      <w:r>
        <w:rPr>
          <w:rFonts w:ascii="Arial" w:eastAsiaTheme="minorEastAsia" w:hAnsi="Arial" w:cs="Arial"/>
        </w:rPr>
        <w:t>i</w:t>
      </w:r>
      <w:r w:rsidRPr="003E3600">
        <w:rPr>
          <w:rFonts w:ascii="Arial" w:eastAsiaTheme="minorEastAsia" w:hAnsi="Arial" w:cs="Arial"/>
        </w:rPr>
        <w:t>mprov</w:t>
      </w:r>
      <w:r>
        <w:rPr>
          <w:rFonts w:ascii="Arial" w:eastAsiaTheme="minorEastAsia" w:hAnsi="Arial" w:cs="Arial"/>
        </w:rPr>
        <w:t>ing</w:t>
      </w:r>
      <w:r w:rsidRPr="003E3600">
        <w:rPr>
          <w:rFonts w:ascii="Arial" w:eastAsiaTheme="minorEastAsia" w:hAnsi="Arial" w:cs="Arial"/>
        </w:rPr>
        <w:t xml:space="preserve"> </w:t>
      </w:r>
      <w:r>
        <w:rPr>
          <w:rFonts w:ascii="Arial" w:eastAsiaTheme="minorEastAsia" w:hAnsi="Arial" w:cs="Arial"/>
        </w:rPr>
        <w:t xml:space="preserve">processing, </w:t>
      </w:r>
      <w:proofErr w:type="gramStart"/>
      <w:r>
        <w:rPr>
          <w:rFonts w:ascii="Arial" w:eastAsiaTheme="minorEastAsia" w:hAnsi="Arial" w:cs="Arial"/>
        </w:rPr>
        <w:t>policies</w:t>
      </w:r>
      <w:proofErr w:type="gramEnd"/>
      <w:r>
        <w:rPr>
          <w:rFonts w:ascii="Arial" w:eastAsiaTheme="minorEastAsia" w:hAnsi="Arial" w:cs="Arial"/>
        </w:rPr>
        <w:t xml:space="preserve"> and </w:t>
      </w:r>
      <w:r w:rsidRPr="003E3600">
        <w:rPr>
          <w:rFonts w:ascii="Arial" w:eastAsia="Arial" w:hAnsi="Arial" w:cs="Arial"/>
        </w:rPr>
        <w:t xml:space="preserve">implementation of the </w:t>
      </w:r>
      <w:r w:rsidRPr="001862D3">
        <w:rPr>
          <w:rFonts w:ascii="Arial" w:eastAsia="Arial" w:hAnsi="Arial" w:cs="Arial"/>
        </w:rPr>
        <w:t>Family Violence Scheme</w:t>
      </w:r>
      <w:r w:rsidRPr="003E3600">
        <w:rPr>
          <w:rFonts w:ascii="Arial" w:eastAsia="Arial" w:hAnsi="Arial" w:cs="Arial"/>
        </w:rPr>
        <w:t xml:space="preserve"> (</w:t>
      </w:r>
      <w:r w:rsidRPr="00FD75C9">
        <w:rPr>
          <w:rFonts w:ascii="Arial" w:eastAsia="Arial" w:hAnsi="Arial" w:cs="Arial"/>
          <w:b/>
        </w:rPr>
        <w:t>FVS</w:t>
      </w:r>
      <w:r w:rsidRPr="003E3600">
        <w:rPr>
          <w:rFonts w:ascii="Arial" w:eastAsia="Arial" w:hAnsi="Arial" w:cs="Arial"/>
        </w:rPr>
        <w:t xml:space="preserve">) </w:t>
      </w:r>
      <w:r>
        <w:rPr>
          <w:rFonts w:ascii="Arial" w:eastAsia="Arial" w:hAnsi="Arial" w:cs="Arial"/>
        </w:rPr>
        <w:t>in the</w:t>
      </w:r>
      <w:r w:rsidRPr="003E3600">
        <w:rPr>
          <w:rFonts w:ascii="Arial" w:eastAsiaTheme="minorEastAsia" w:hAnsi="Arial" w:cs="Arial"/>
        </w:rPr>
        <w:t xml:space="preserve"> </w:t>
      </w:r>
      <w:r>
        <w:rPr>
          <w:rFonts w:ascii="Arial" w:eastAsiaTheme="minorEastAsia" w:hAnsi="Arial" w:cs="Arial"/>
          <w:i/>
          <w:iCs/>
        </w:rPr>
        <w:t>Fines Reform Act 2014</w:t>
      </w:r>
      <w:r>
        <w:rPr>
          <w:rFonts w:ascii="Arial" w:eastAsiaTheme="minorEastAsia" w:hAnsi="Arial" w:cs="Arial"/>
        </w:rPr>
        <w:t xml:space="preserve"> (Vic) (</w:t>
      </w:r>
      <w:r w:rsidRPr="00FD75C9">
        <w:rPr>
          <w:rFonts w:ascii="Arial" w:eastAsiaTheme="minorEastAsia" w:hAnsi="Arial" w:cs="Arial"/>
          <w:b/>
          <w:bCs/>
        </w:rPr>
        <w:t>Fines Reform Act</w:t>
      </w:r>
      <w:r>
        <w:rPr>
          <w:rFonts w:ascii="Arial" w:eastAsiaTheme="minorEastAsia" w:hAnsi="Arial" w:cs="Arial"/>
        </w:rPr>
        <w:t xml:space="preserve">) </w:t>
      </w:r>
      <w:r w:rsidRPr="003E3600">
        <w:rPr>
          <w:rFonts w:ascii="Arial" w:eastAsiaTheme="minorEastAsia" w:hAnsi="Arial" w:cs="Arial"/>
        </w:rPr>
        <w:t xml:space="preserve">to </w:t>
      </w:r>
      <w:r w:rsidRPr="003E3600">
        <w:rPr>
          <w:rFonts w:ascii="Arial" w:eastAsia="Arial" w:hAnsi="Arial" w:cs="Arial"/>
        </w:rPr>
        <w:t>provide a</w:t>
      </w:r>
      <w:r>
        <w:rPr>
          <w:rFonts w:ascii="Arial" w:eastAsia="Arial" w:hAnsi="Arial" w:cs="Arial"/>
        </w:rPr>
        <w:t xml:space="preserve"> more</w:t>
      </w:r>
      <w:r w:rsidRPr="003E3600">
        <w:rPr>
          <w:rFonts w:ascii="Arial" w:eastAsia="Arial" w:hAnsi="Arial" w:cs="Arial"/>
        </w:rPr>
        <w:t xml:space="preserve"> effective mechanism for victim/survivors to have their infringements and associated demerit points withdrawn</w:t>
      </w:r>
      <w:r>
        <w:rPr>
          <w:rFonts w:ascii="Arial" w:eastAsia="Arial" w:hAnsi="Arial" w:cs="Arial"/>
        </w:rPr>
        <w:t>.</w:t>
      </w:r>
    </w:p>
    <w:p w14:paraId="60648444" w14:textId="77777777" w:rsidR="006B04D9" w:rsidRPr="003E3600" w:rsidRDefault="006B04D9" w:rsidP="00DA409B">
      <w:pPr>
        <w:pStyle w:val="ListParagraph"/>
        <w:numPr>
          <w:ilvl w:val="0"/>
          <w:numId w:val="19"/>
        </w:numPr>
        <w:spacing w:before="100" w:after="120" w:line="240" w:lineRule="atLeast"/>
        <w:rPr>
          <w:rFonts w:ascii="Arial" w:eastAsiaTheme="minorEastAsia" w:hAnsi="Arial" w:cs="Arial"/>
        </w:rPr>
      </w:pPr>
      <w:r>
        <w:rPr>
          <w:rFonts w:ascii="Arial" w:eastAsiaTheme="minorEastAsia" w:hAnsi="Arial" w:cs="Arial"/>
        </w:rPr>
        <w:t xml:space="preserve">amending the </w:t>
      </w:r>
      <w:r w:rsidRPr="00FD75C9">
        <w:rPr>
          <w:rFonts w:ascii="Arial" w:eastAsiaTheme="minorEastAsia" w:hAnsi="Arial" w:cs="Arial"/>
        </w:rPr>
        <w:t>Fines Reform Act</w:t>
      </w:r>
      <w:r w:rsidRPr="00D96A8F">
        <w:rPr>
          <w:rFonts w:ascii="Arial" w:eastAsiaTheme="minorEastAsia" w:hAnsi="Arial" w:cs="Arial"/>
          <w:i/>
        </w:rPr>
        <w:t xml:space="preserve"> </w:t>
      </w:r>
      <w:r>
        <w:rPr>
          <w:rFonts w:ascii="Arial" w:eastAsiaTheme="minorEastAsia" w:hAnsi="Arial" w:cs="Arial"/>
        </w:rPr>
        <w:t>to increase access and eligibility for victim/survivors to apply to the FVS.</w:t>
      </w:r>
    </w:p>
    <w:p w14:paraId="0B330045" w14:textId="77777777" w:rsidR="006B04D9" w:rsidRPr="003E3600" w:rsidRDefault="006B04D9" w:rsidP="00DA409B">
      <w:pPr>
        <w:pStyle w:val="ListParagraph"/>
        <w:numPr>
          <w:ilvl w:val="0"/>
          <w:numId w:val="19"/>
        </w:numPr>
        <w:spacing w:before="100" w:after="120" w:line="240" w:lineRule="atLeast"/>
        <w:rPr>
          <w:rFonts w:ascii="Arial" w:eastAsiaTheme="minorEastAsia" w:hAnsi="Arial" w:cs="Arial"/>
        </w:rPr>
      </w:pPr>
      <w:r>
        <w:rPr>
          <w:rFonts w:ascii="Arial" w:eastAsiaTheme="minorEastAsia" w:hAnsi="Arial" w:cs="Arial"/>
        </w:rPr>
        <w:t xml:space="preserve">reinstating the Special Circumstances List to provide a single therapeutic forum for </w:t>
      </w:r>
      <w:r w:rsidRPr="003E3600">
        <w:rPr>
          <w:rFonts w:ascii="Arial" w:eastAsia="Arial" w:hAnsi="Arial" w:cs="Arial"/>
        </w:rPr>
        <w:t>victim/survivors</w:t>
      </w:r>
      <w:r>
        <w:rPr>
          <w:rFonts w:ascii="Arial" w:eastAsia="Arial" w:hAnsi="Arial" w:cs="Arial"/>
        </w:rPr>
        <w:t xml:space="preserve"> to have their infringements special circumstances matters heard and determined.</w:t>
      </w:r>
    </w:p>
    <w:p w14:paraId="3E9E0932" w14:textId="77777777" w:rsidR="006B04D9" w:rsidRPr="00B91677" w:rsidRDefault="006B04D9" w:rsidP="00DA409B">
      <w:pPr>
        <w:pStyle w:val="ListParagraph"/>
        <w:numPr>
          <w:ilvl w:val="0"/>
          <w:numId w:val="19"/>
        </w:numPr>
        <w:spacing w:after="0" w:line="300" w:lineRule="atLeast"/>
        <w:ind w:left="714" w:hanging="357"/>
        <w:rPr>
          <w:rFonts w:ascii="Arial" w:eastAsiaTheme="minorEastAsia" w:hAnsi="Arial" w:cs="Arial"/>
        </w:rPr>
      </w:pPr>
      <w:r>
        <w:rPr>
          <w:rFonts w:ascii="Arial" w:eastAsiaTheme="minorEastAsia" w:hAnsi="Arial" w:cs="Arial"/>
        </w:rPr>
        <w:t>further amending</w:t>
      </w:r>
      <w:r w:rsidRPr="003E3600">
        <w:rPr>
          <w:rFonts w:ascii="Arial" w:eastAsiaTheme="minorEastAsia" w:hAnsi="Arial" w:cs="Arial"/>
        </w:rPr>
        <w:t xml:space="preserve"> the </w:t>
      </w:r>
      <w:r w:rsidRPr="003E3600">
        <w:rPr>
          <w:rFonts w:ascii="Arial" w:eastAsia="Arial" w:hAnsi="Arial" w:cs="Arial"/>
          <w:i/>
          <w:iCs/>
        </w:rPr>
        <w:t>Residential Tenancies Act</w:t>
      </w:r>
      <w:r w:rsidRPr="003E3600">
        <w:rPr>
          <w:rFonts w:ascii="Arial" w:eastAsia="Arial" w:hAnsi="Arial" w:cs="Arial"/>
        </w:rPr>
        <w:t xml:space="preserve"> (</w:t>
      </w:r>
      <w:r w:rsidRPr="003E3600">
        <w:rPr>
          <w:rFonts w:ascii="Arial" w:eastAsia="Arial" w:hAnsi="Arial" w:cs="Arial"/>
          <w:b/>
          <w:bCs/>
        </w:rPr>
        <w:t>RTA</w:t>
      </w:r>
      <w:r w:rsidRPr="003E3600">
        <w:rPr>
          <w:rFonts w:ascii="Arial" w:eastAsia="Arial" w:hAnsi="Arial" w:cs="Arial"/>
        </w:rPr>
        <w:t xml:space="preserve">) </w:t>
      </w:r>
      <w:r>
        <w:rPr>
          <w:rFonts w:ascii="Arial" w:eastAsia="Arial" w:hAnsi="Arial" w:cs="Arial"/>
        </w:rPr>
        <w:t xml:space="preserve">to ensure the beneficial provisions </w:t>
      </w:r>
      <w:r w:rsidRPr="003E3600">
        <w:rPr>
          <w:rFonts w:ascii="Arial" w:eastAsiaTheme="minorEastAsia" w:hAnsi="Arial" w:cs="Arial"/>
        </w:rPr>
        <w:t xml:space="preserve">for victim/survivors </w:t>
      </w:r>
      <w:r>
        <w:rPr>
          <w:rFonts w:ascii="Arial" w:eastAsiaTheme="minorEastAsia" w:hAnsi="Arial" w:cs="Arial"/>
        </w:rPr>
        <w:t>are fully effective</w:t>
      </w:r>
      <w:r>
        <w:rPr>
          <w:rFonts w:ascii="Arial" w:eastAsia="Arial" w:hAnsi="Arial" w:cs="Arial"/>
        </w:rPr>
        <w:t>.</w:t>
      </w:r>
    </w:p>
    <w:p w14:paraId="017500FC" w14:textId="77777777" w:rsidR="006B04D9" w:rsidRPr="00674524" w:rsidRDefault="006B04D9" w:rsidP="00DA409B">
      <w:pPr>
        <w:pStyle w:val="ListParagraph"/>
        <w:numPr>
          <w:ilvl w:val="0"/>
          <w:numId w:val="19"/>
        </w:numPr>
        <w:spacing w:after="0" w:line="300" w:lineRule="atLeast"/>
        <w:ind w:left="714" w:hanging="357"/>
        <w:rPr>
          <w:rFonts w:ascii="Arial" w:eastAsiaTheme="minorEastAsia" w:hAnsi="Arial" w:cs="Arial"/>
        </w:rPr>
      </w:pPr>
      <w:r>
        <w:rPr>
          <w:rFonts w:ascii="Arial" w:hAnsi="Arial" w:cs="Arial"/>
        </w:rPr>
        <w:t>r</w:t>
      </w:r>
      <w:r w:rsidRPr="00674524">
        <w:rPr>
          <w:rFonts w:ascii="Arial" w:hAnsi="Arial" w:cs="Arial"/>
        </w:rPr>
        <w:t>equir</w:t>
      </w:r>
      <w:r>
        <w:rPr>
          <w:rFonts w:ascii="Arial" w:hAnsi="Arial" w:cs="Arial"/>
        </w:rPr>
        <w:t xml:space="preserve">ing </w:t>
      </w:r>
      <w:r w:rsidRPr="00674524">
        <w:rPr>
          <w:rFonts w:ascii="Arial" w:hAnsi="Arial" w:cs="Arial"/>
        </w:rPr>
        <w:t>and fund</w:t>
      </w:r>
      <w:r>
        <w:rPr>
          <w:rFonts w:ascii="Arial" w:hAnsi="Arial" w:cs="Arial"/>
        </w:rPr>
        <w:t>ing</w:t>
      </w:r>
      <w:r w:rsidRPr="00674524">
        <w:rPr>
          <w:rFonts w:ascii="Arial" w:hAnsi="Arial" w:cs="Arial"/>
        </w:rPr>
        <w:t xml:space="preserve"> mental health services to develop policies to ensure family violence risk screening is undertaken as part of the intake process within the mental health system (e.g. risk identification, referrals to family violence services for safety planning). </w:t>
      </w:r>
    </w:p>
    <w:p w14:paraId="00B364AB" w14:textId="77777777" w:rsidR="006B04D9" w:rsidRPr="00674524" w:rsidRDefault="006B04D9" w:rsidP="00DA409B">
      <w:pPr>
        <w:pStyle w:val="ListParagraph"/>
        <w:numPr>
          <w:ilvl w:val="0"/>
          <w:numId w:val="19"/>
        </w:numPr>
        <w:spacing w:after="0" w:line="300" w:lineRule="atLeast"/>
        <w:ind w:left="714" w:hanging="357"/>
        <w:rPr>
          <w:rFonts w:ascii="Arial" w:eastAsiaTheme="minorEastAsia" w:hAnsi="Arial" w:cs="Arial"/>
        </w:rPr>
      </w:pPr>
      <w:r w:rsidRPr="00674524">
        <w:rPr>
          <w:rFonts w:ascii="Arial" w:hAnsi="Arial" w:cs="Arial"/>
        </w:rPr>
        <w:t>provid</w:t>
      </w:r>
      <w:r>
        <w:rPr>
          <w:rFonts w:ascii="Arial" w:hAnsi="Arial" w:cs="Arial"/>
        </w:rPr>
        <w:t>ing</w:t>
      </w:r>
      <w:r w:rsidRPr="00674524">
        <w:rPr>
          <w:rFonts w:ascii="Arial" w:hAnsi="Arial" w:cs="Arial"/>
        </w:rPr>
        <w:t xml:space="preserve"> guidance to require all aspects of the mental health and justice systems (e.g. mental health services, Victoria Police, courts) to improve their responses to people who use family violence and are experiencing mental health issues.</w:t>
      </w:r>
    </w:p>
    <w:p w14:paraId="7D29B289" w14:textId="7DD59A9A" w:rsidR="006B04D9" w:rsidRPr="00674524" w:rsidRDefault="006B04D9" w:rsidP="00DA409B">
      <w:pPr>
        <w:pStyle w:val="ListParagraph"/>
        <w:numPr>
          <w:ilvl w:val="0"/>
          <w:numId w:val="19"/>
        </w:numPr>
        <w:spacing w:after="240" w:line="300" w:lineRule="atLeast"/>
        <w:ind w:left="714" w:hanging="357"/>
        <w:rPr>
          <w:rFonts w:ascii="Arial" w:eastAsiaTheme="minorEastAsia" w:hAnsi="Arial" w:cs="Arial"/>
        </w:rPr>
      </w:pPr>
      <w:r w:rsidRPr="00674524">
        <w:rPr>
          <w:rFonts w:ascii="Arial" w:eastAsia="Arial" w:hAnsi="Arial" w:cs="Arial"/>
        </w:rPr>
        <w:t>We also encourage any family violence reform to consider the findings and recommendations of the current Royal Commission into Victoria’s Mental Health system (RCVMHS).</w:t>
      </w:r>
    </w:p>
    <w:p w14:paraId="7DC1C084" w14:textId="77777777" w:rsidR="006B19CD" w:rsidRPr="000050E5" w:rsidRDefault="006B19CD" w:rsidP="00DA409B">
      <w:pPr>
        <w:shd w:val="clear" w:color="auto" w:fill="D0CECE" w:themeFill="background2" w:themeFillShade="E6"/>
        <w:rPr>
          <w:b/>
        </w:rPr>
      </w:pPr>
      <w:r w:rsidRPr="000050E5">
        <w:rPr>
          <w:b/>
        </w:rPr>
        <w:t>Client stories</w:t>
      </w:r>
    </w:p>
    <w:p w14:paraId="0D0393C6" w14:textId="33493E67" w:rsidR="006B19CD" w:rsidRDefault="006B19CD" w:rsidP="00DA409B">
      <w:pPr>
        <w:shd w:val="clear" w:color="auto" w:fill="D0CECE" w:themeFill="background2" w:themeFillShade="E6"/>
      </w:pPr>
      <w:r w:rsidRPr="000050E5">
        <w:t>The client stories and case studies used throughout this submission are real cases but have been de-identified</w:t>
      </w:r>
      <w:r>
        <w:t xml:space="preserve"> (</w:t>
      </w:r>
      <w:r w:rsidRPr="000050E5">
        <w:t>names and other details have been changed to protect privacy and confidentiality</w:t>
      </w:r>
      <w:r>
        <w:t>)</w:t>
      </w:r>
      <w:r w:rsidRPr="000050E5">
        <w:t>. Client consent has been obtained to include each client story.</w:t>
      </w:r>
      <w:r w:rsidRPr="0081199F">
        <w:t xml:space="preserve"> </w:t>
      </w:r>
    </w:p>
    <w:p w14:paraId="5978A03D" w14:textId="5662D6B8" w:rsidR="006B19CD" w:rsidRDefault="006B19CD" w:rsidP="00DA409B">
      <w:pPr>
        <w:sectPr w:rsidR="006B19CD" w:rsidSect="0043189B">
          <w:headerReference w:type="even" r:id="rId13"/>
          <w:headerReference w:type="default" r:id="rId14"/>
          <w:headerReference w:type="first" r:id="rId15"/>
          <w:footerReference w:type="first" r:id="rId16"/>
          <w:pgSz w:w="11906" w:h="16838" w:code="9"/>
          <w:pgMar w:top="1097" w:right="1021" w:bottom="851" w:left="1021" w:header="850" w:footer="283" w:gutter="0"/>
          <w:pgNumType w:start="1"/>
          <w:cols w:space="720"/>
          <w:titlePg/>
          <w:docGrid w:linePitch="299"/>
        </w:sectPr>
      </w:pPr>
    </w:p>
    <w:p w14:paraId="2E873AEF" w14:textId="30720EFC" w:rsidR="00472891" w:rsidRDefault="00B939ED" w:rsidP="00DA409B">
      <w:pPr>
        <w:pStyle w:val="Heading1"/>
      </w:pPr>
      <w:bookmarkStart w:id="34" w:name="_Toc45698235"/>
      <w:bookmarkStart w:id="35" w:name="_Toc45698285"/>
      <w:bookmarkStart w:id="36" w:name="_Toc46146194"/>
      <w:r w:rsidRPr="00161EEF">
        <w:lastRenderedPageBreak/>
        <w:t>About</w:t>
      </w:r>
      <w:r>
        <w:t xml:space="preserve"> Victoria </w:t>
      </w:r>
      <w:r w:rsidR="00EA7DB6">
        <w:t>L</w:t>
      </w:r>
      <w:r>
        <w:t>egal Aid</w:t>
      </w:r>
      <w:bookmarkEnd w:id="34"/>
      <w:bookmarkEnd w:id="35"/>
      <w:bookmarkEnd w:id="36"/>
    </w:p>
    <w:p w14:paraId="2D81C41F" w14:textId="4992AF85" w:rsidR="00472891" w:rsidRPr="002E7D6F" w:rsidRDefault="00472891" w:rsidP="00DA409B">
      <w:pPr>
        <w:rPr>
          <w:rFonts w:ascii="Calibri" w:hAnsi="Calibri" w:cs="Calibri"/>
          <w:szCs w:val="22"/>
          <w:lang w:eastAsia="en-GB"/>
        </w:rPr>
      </w:pPr>
      <w:r>
        <w:rPr>
          <w:lang w:eastAsia="en-GB"/>
        </w:rPr>
        <w:t>V</w:t>
      </w:r>
      <w:r w:rsidRPr="002E7D6F">
        <w:rPr>
          <w:lang w:eastAsia="en-GB"/>
        </w:rPr>
        <w:t>ictoria Legal Aid (</w:t>
      </w:r>
      <w:r w:rsidRPr="002E7D6F">
        <w:rPr>
          <w:b/>
          <w:bCs/>
          <w:lang w:eastAsia="en-GB"/>
        </w:rPr>
        <w:t>VLA</w:t>
      </w:r>
      <w:r w:rsidRPr="002E7D6F">
        <w:rPr>
          <w:lang w:eastAsia="en-GB"/>
        </w:rPr>
        <w:t xml:space="preserve">) is a Victorian statutory agency responsible for providing information, </w:t>
      </w:r>
      <w:proofErr w:type="gramStart"/>
      <w:r w:rsidRPr="002E7D6F">
        <w:rPr>
          <w:lang w:eastAsia="en-GB"/>
        </w:rPr>
        <w:t>advice</w:t>
      </w:r>
      <w:proofErr w:type="gramEnd"/>
      <w:r w:rsidRPr="002E7D6F">
        <w:rPr>
          <w:lang w:eastAsia="en-GB"/>
        </w:rPr>
        <w:t xml:space="preserve"> and assistance in response to a broad range of legal problems. VLA assists people with legal problems such as family separation, child protection, family violence, discrimination, criminal matters, fines, social security, mental </w:t>
      </w:r>
      <w:proofErr w:type="gramStart"/>
      <w:r w:rsidRPr="002E7D6F">
        <w:rPr>
          <w:lang w:eastAsia="en-GB"/>
        </w:rPr>
        <w:t>health</w:t>
      </w:r>
      <w:proofErr w:type="gramEnd"/>
      <w:r w:rsidRPr="002E7D6F">
        <w:rPr>
          <w:lang w:eastAsia="en-GB"/>
        </w:rPr>
        <w:t xml:space="preserve"> and tenancy.</w:t>
      </w:r>
    </w:p>
    <w:p w14:paraId="664D967A" w14:textId="58285012" w:rsidR="007D69E4" w:rsidRPr="00CC09C1" w:rsidRDefault="00472891" w:rsidP="00DA409B">
      <w:pPr>
        <w:rPr>
          <w:rFonts w:cs="Arial"/>
        </w:rPr>
      </w:pPr>
      <w:r w:rsidRPr="002E7D6F">
        <w:rPr>
          <w:lang w:eastAsia="en-GB"/>
        </w:rPr>
        <w:t xml:space="preserve">In 2018–19, VLA </w:t>
      </w:r>
      <w:proofErr w:type="gramStart"/>
      <w:r w:rsidRPr="002E7D6F">
        <w:rPr>
          <w:lang w:eastAsia="en-GB"/>
        </w:rPr>
        <w:t>provided assistance to</w:t>
      </w:r>
      <w:proofErr w:type="gramEnd"/>
      <w:r w:rsidRPr="002E7D6F">
        <w:rPr>
          <w:lang w:eastAsia="en-GB"/>
        </w:rPr>
        <w:t xml:space="preserve"> over 100,000 unique clients across Victoria</w:t>
      </w:r>
      <w:r w:rsidR="00E64FB3">
        <w:rPr>
          <w:lang w:eastAsia="en-GB"/>
        </w:rPr>
        <w:t>,</w:t>
      </w:r>
      <w:r w:rsidR="001C02C8">
        <w:rPr>
          <w:lang w:eastAsia="en-GB"/>
        </w:rPr>
        <w:t xml:space="preserve"> including</w:t>
      </w:r>
      <w:r w:rsidR="00CC09C1">
        <w:rPr>
          <w:lang w:eastAsia="en-GB"/>
        </w:rPr>
        <w:t xml:space="preserve"> </w:t>
      </w:r>
      <w:r w:rsidR="00692F1D">
        <w:rPr>
          <w:lang w:eastAsia="en-GB"/>
        </w:rPr>
        <w:t xml:space="preserve">over </w:t>
      </w:r>
      <w:r w:rsidR="00CC09C1" w:rsidRPr="00BE4FE1">
        <w:rPr>
          <w:rFonts w:cs="Arial"/>
        </w:rPr>
        <w:t>16,9</w:t>
      </w:r>
      <w:r w:rsidR="00692F1D">
        <w:rPr>
          <w:rFonts w:cs="Arial"/>
        </w:rPr>
        <w:t>00</w:t>
      </w:r>
      <w:r w:rsidR="00CC09C1" w:rsidRPr="00BE4FE1">
        <w:rPr>
          <w:rFonts w:cs="Arial"/>
        </w:rPr>
        <w:t xml:space="preserve"> family violence duty lawyer services and </w:t>
      </w:r>
      <w:r w:rsidR="00692F1D">
        <w:rPr>
          <w:rFonts w:cs="Arial"/>
        </w:rPr>
        <w:t xml:space="preserve">over </w:t>
      </w:r>
      <w:r w:rsidR="00CC09C1" w:rsidRPr="00BE4FE1">
        <w:rPr>
          <w:rFonts w:cs="Arial"/>
        </w:rPr>
        <w:t>25,0</w:t>
      </w:r>
      <w:r w:rsidR="00692F1D">
        <w:rPr>
          <w:rFonts w:cs="Arial"/>
        </w:rPr>
        <w:t>00</w:t>
      </w:r>
      <w:r w:rsidR="00CC09C1" w:rsidRPr="00BE4FE1">
        <w:rPr>
          <w:rFonts w:cs="Arial"/>
        </w:rPr>
        <w:t xml:space="preserve"> family violence related community legal education and information sessions.</w:t>
      </w:r>
      <w:r w:rsidR="00CC09C1">
        <w:rPr>
          <w:rFonts w:cs="Arial"/>
        </w:rPr>
        <w:t xml:space="preserve"> </w:t>
      </w:r>
      <w:r w:rsidR="007B0336">
        <w:rPr>
          <w:lang w:eastAsia="en-GB"/>
        </w:rPr>
        <w:t>O</w:t>
      </w:r>
      <w:r w:rsidRPr="002E7D6F">
        <w:rPr>
          <w:lang w:eastAsia="en-GB"/>
        </w:rPr>
        <w:t>ur clients</w:t>
      </w:r>
      <w:r w:rsidRPr="002E7D6F" w:rsidDel="007B0336">
        <w:rPr>
          <w:lang w:eastAsia="en-GB"/>
        </w:rPr>
        <w:t xml:space="preserve"> </w:t>
      </w:r>
      <w:r w:rsidRPr="002E7D6F">
        <w:rPr>
          <w:lang w:eastAsia="en-GB"/>
        </w:rPr>
        <w:t xml:space="preserve">are diverse and </w:t>
      </w:r>
      <w:r w:rsidR="007B0336">
        <w:rPr>
          <w:lang w:eastAsia="en-GB"/>
        </w:rPr>
        <w:t xml:space="preserve">often </w:t>
      </w:r>
      <w:r w:rsidRPr="002E7D6F">
        <w:rPr>
          <w:lang w:eastAsia="en-GB"/>
        </w:rPr>
        <w:t>experience high levels of social and economic disadvantage. Almost half of our clients are currently receiving social security and one in three of our clients receive no income at all. Over 25,000 people disclosed having a disability or experiencing mental health issues and a significant proportion live in regional Victoria or are from culturally and linguistically diverse backgrounds.</w:t>
      </w:r>
    </w:p>
    <w:p w14:paraId="1C59027D" w14:textId="45AA3B54" w:rsidR="00735E34" w:rsidRPr="00735E34" w:rsidRDefault="00977075" w:rsidP="00DA409B">
      <w:pPr>
        <w:pStyle w:val="Heading1"/>
      </w:pPr>
      <w:bookmarkStart w:id="37" w:name="_Toc45698236"/>
      <w:bookmarkStart w:id="38" w:name="_Toc45698286"/>
      <w:bookmarkStart w:id="39" w:name="_Toc46146195"/>
      <w:r w:rsidRPr="00161EEF">
        <w:t>About</w:t>
      </w:r>
      <w:r>
        <w:t xml:space="preserve"> the Federation of Community Legal Centres</w:t>
      </w:r>
      <w:bookmarkEnd w:id="37"/>
      <w:bookmarkEnd w:id="38"/>
      <w:bookmarkEnd w:id="39"/>
      <w:r>
        <w:t xml:space="preserve"> </w:t>
      </w:r>
    </w:p>
    <w:p w14:paraId="6EC265AB" w14:textId="37C47C0F" w:rsidR="51917682" w:rsidRPr="002C2C8F" w:rsidRDefault="51917682" w:rsidP="00DA409B">
      <w:pPr>
        <w:rPr>
          <w:rFonts w:eastAsia="Arial" w:cs="Arial"/>
        </w:rPr>
      </w:pPr>
      <w:r w:rsidRPr="002C2C8F">
        <w:rPr>
          <w:rFonts w:eastAsia="Arial" w:cs="Arial"/>
        </w:rPr>
        <w:t>The Federation of Community Legal Centres</w:t>
      </w:r>
      <w:r w:rsidR="621F3F60" w:rsidRPr="002C2C8F">
        <w:rPr>
          <w:rFonts w:eastAsia="Arial" w:cs="Arial"/>
        </w:rPr>
        <w:t xml:space="preserve"> </w:t>
      </w:r>
      <w:r w:rsidRPr="002C2C8F">
        <w:rPr>
          <w:rFonts w:eastAsia="Arial" w:cs="Arial"/>
        </w:rPr>
        <w:t>is the peak body for Victoria’s community legal centres</w:t>
      </w:r>
      <w:r w:rsidR="5B9455A4" w:rsidRPr="002C2C8F">
        <w:rPr>
          <w:rFonts w:eastAsia="Arial" w:cs="Arial"/>
        </w:rPr>
        <w:t xml:space="preserve"> (CLCs)</w:t>
      </w:r>
      <w:r w:rsidRPr="002C2C8F">
        <w:rPr>
          <w:rFonts w:eastAsia="Arial" w:cs="Arial"/>
        </w:rPr>
        <w:t xml:space="preserve">. </w:t>
      </w:r>
      <w:r w:rsidR="168A8D01" w:rsidRPr="002C2C8F">
        <w:rPr>
          <w:rFonts w:eastAsia="Arial" w:cs="Arial"/>
        </w:rPr>
        <w:t>C</w:t>
      </w:r>
      <w:r w:rsidR="50C91B06" w:rsidRPr="002C2C8F">
        <w:rPr>
          <w:rFonts w:eastAsia="Arial" w:cs="Arial"/>
        </w:rPr>
        <w:t>LCs</w:t>
      </w:r>
      <w:r w:rsidR="168A8D01" w:rsidRPr="002C2C8F">
        <w:rPr>
          <w:rFonts w:eastAsia="Arial" w:cs="Arial"/>
        </w:rPr>
        <w:t xml:space="preserve"> are localised, independent, community-based organisations </w:t>
      </w:r>
      <w:r w:rsidR="1EB91A8F" w:rsidRPr="002C2C8F">
        <w:rPr>
          <w:rFonts w:eastAsia="Arial" w:cs="Arial"/>
        </w:rPr>
        <w:t xml:space="preserve">that provide </w:t>
      </w:r>
      <w:r w:rsidR="168A8D01" w:rsidRPr="002C2C8F">
        <w:rPr>
          <w:rFonts w:eastAsia="Arial" w:cs="Arial"/>
        </w:rPr>
        <w:t xml:space="preserve">free legal assistance to people across </w:t>
      </w:r>
      <w:r w:rsidR="533CB62C" w:rsidRPr="002C2C8F">
        <w:rPr>
          <w:rFonts w:eastAsia="Arial" w:cs="Arial"/>
        </w:rPr>
        <w:t xml:space="preserve">the country and work to ensure equitable access to justice.  </w:t>
      </w:r>
      <w:r w:rsidR="68FCFDB2" w:rsidRPr="002C2C8F">
        <w:rPr>
          <w:rFonts w:eastAsia="Arial" w:cs="Arial"/>
        </w:rPr>
        <w:t>C</w:t>
      </w:r>
      <w:r w:rsidR="1E23BA72" w:rsidRPr="002C2C8F">
        <w:rPr>
          <w:rFonts w:eastAsia="Arial" w:cs="Arial"/>
        </w:rPr>
        <w:t>LCs</w:t>
      </w:r>
      <w:r w:rsidR="68FCFDB2" w:rsidRPr="002C2C8F">
        <w:rPr>
          <w:rFonts w:eastAsia="Arial" w:cs="Arial"/>
        </w:rPr>
        <w:t xml:space="preserve"> help the public with tenancy, employment, social security, family law and family violence, consumer law and many other legal problems. These types of legal problems are often complex, </w:t>
      </w:r>
      <w:proofErr w:type="gramStart"/>
      <w:r w:rsidR="68FCFDB2" w:rsidRPr="002C2C8F">
        <w:rPr>
          <w:rFonts w:eastAsia="Arial" w:cs="Arial"/>
        </w:rPr>
        <w:t>stressful</w:t>
      </w:r>
      <w:proofErr w:type="gramEnd"/>
      <w:r w:rsidR="68FCFDB2" w:rsidRPr="002C2C8F">
        <w:rPr>
          <w:rFonts w:eastAsia="Arial" w:cs="Arial"/>
        </w:rPr>
        <w:t xml:space="preserve"> and almost always carry serious implications for affected individuals’ lives and livelihoods. </w:t>
      </w:r>
    </w:p>
    <w:p w14:paraId="118125FD" w14:textId="07D81E66" w:rsidR="533CB62C" w:rsidRPr="002C2C8F" w:rsidRDefault="59914644" w:rsidP="00DA409B">
      <w:pPr>
        <w:rPr>
          <w:rFonts w:eastAsia="Arial" w:cs="Arial"/>
        </w:rPr>
      </w:pPr>
      <w:r w:rsidRPr="002C2C8F">
        <w:rPr>
          <w:rFonts w:eastAsia="Arial" w:cs="Arial"/>
        </w:rPr>
        <w:t>The Federation</w:t>
      </w:r>
      <w:r w:rsidR="533CB62C" w:rsidRPr="002C2C8F">
        <w:rPr>
          <w:rFonts w:eastAsia="Arial" w:cs="Arial"/>
        </w:rPr>
        <w:t xml:space="preserve"> works with </w:t>
      </w:r>
      <w:r w:rsidR="3D360745" w:rsidRPr="002C2C8F">
        <w:rPr>
          <w:rFonts w:eastAsia="Arial" w:cs="Arial"/>
        </w:rPr>
        <w:t>CLCs</w:t>
      </w:r>
      <w:r w:rsidR="533CB62C" w:rsidRPr="002C2C8F">
        <w:rPr>
          <w:rFonts w:eastAsia="Arial" w:cs="Arial"/>
        </w:rPr>
        <w:t xml:space="preserve"> to continually improve the impact of community legal </w:t>
      </w:r>
      <w:r w:rsidR="0713313D" w:rsidRPr="002C2C8F">
        <w:rPr>
          <w:rFonts w:eastAsia="Arial" w:cs="Arial"/>
        </w:rPr>
        <w:t xml:space="preserve">services and to strengthen the capacity of Victoria’s community service network.  </w:t>
      </w:r>
      <w:r w:rsidR="3C77B83B" w:rsidRPr="002C2C8F">
        <w:rPr>
          <w:rFonts w:eastAsia="Arial" w:cs="Arial"/>
        </w:rPr>
        <w:t xml:space="preserve"> </w:t>
      </w:r>
      <w:r w:rsidR="2B5C3076" w:rsidRPr="002C2C8F">
        <w:rPr>
          <w:rFonts w:eastAsia="Arial" w:cs="Arial"/>
        </w:rPr>
        <w:t xml:space="preserve">We also work to drive creativity and innovation in the delivery of integrated legal services to communities and enable a strong collective voice for justice and </w:t>
      </w:r>
      <w:r w:rsidR="0F2A6D8F" w:rsidRPr="002C2C8F">
        <w:rPr>
          <w:rFonts w:eastAsia="Arial" w:cs="Arial"/>
        </w:rPr>
        <w:t>equality</w:t>
      </w:r>
      <w:r w:rsidR="2B5C3076" w:rsidRPr="002C2C8F">
        <w:rPr>
          <w:rFonts w:eastAsia="Arial" w:cs="Arial"/>
        </w:rPr>
        <w:t>.</w:t>
      </w:r>
    </w:p>
    <w:p w14:paraId="397078E7" w14:textId="1FF731BF" w:rsidR="1D7A9AFB" w:rsidRPr="002C2C8F" w:rsidRDefault="1D7A9AFB" w:rsidP="00DA409B">
      <w:pPr>
        <w:rPr>
          <w:rFonts w:eastAsia="Arial" w:cs="Arial"/>
        </w:rPr>
      </w:pPr>
      <w:r w:rsidRPr="002C2C8F">
        <w:rPr>
          <w:rFonts w:eastAsia="Arial" w:cs="Arial"/>
        </w:rPr>
        <w:t>The Federation received detailed input</w:t>
      </w:r>
      <w:r w:rsidR="35CCF7BF" w:rsidRPr="002C2C8F">
        <w:rPr>
          <w:rFonts w:eastAsia="Arial" w:cs="Arial"/>
        </w:rPr>
        <w:t xml:space="preserve"> to inform</w:t>
      </w:r>
      <w:r w:rsidRPr="002C2C8F">
        <w:rPr>
          <w:rFonts w:eastAsia="Arial" w:cs="Arial"/>
        </w:rPr>
        <w:t xml:space="preserve"> this submission from the following </w:t>
      </w:r>
      <w:r w:rsidR="251CD5C2" w:rsidRPr="002C2C8F">
        <w:rPr>
          <w:rFonts w:eastAsia="Arial" w:cs="Arial"/>
        </w:rPr>
        <w:t>CLCs</w:t>
      </w:r>
      <w:r w:rsidR="26963D30" w:rsidRPr="002C2C8F">
        <w:rPr>
          <w:rFonts w:eastAsia="Arial" w:cs="Arial"/>
        </w:rPr>
        <w:t>:</w:t>
      </w:r>
    </w:p>
    <w:p w14:paraId="3FB489C3" w14:textId="1C475027" w:rsidR="26963D30" w:rsidRPr="002C2C8F" w:rsidRDefault="26963D30" w:rsidP="00DA409B">
      <w:pPr>
        <w:pStyle w:val="ListParagraph"/>
        <w:numPr>
          <w:ilvl w:val="0"/>
          <w:numId w:val="15"/>
        </w:numPr>
        <w:rPr>
          <w:rFonts w:ascii="Arial" w:eastAsia="Arial" w:hAnsi="Arial" w:cs="Arial"/>
        </w:rPr>
      </w:pPr>
      <w:proofErr w:type="spellStart"/>
      <w:r w:rsidRPr="002C2C8F">
        <w:rPr>
          <w:rFonts w:ascii="Arial" w:eastAsia="Arial" w:hAnsi="Arial" w:cs="Arial"/>
        </w:rPr>
        <w:t>Youthlaw</w:t>
      </w:r>
      <w:proofErr w:type="spellEnd"/>
    </w:p>
    <w:p w14:paraId="0EAC3745" w14:textId="08E6D0BA" w:rsidR="26963D30" w:rsidRPr="002C2C8F" w:rsidRDefault="26963D30" w:rsidP="00DA409B">
      <w:pPr>
        <w:pStyle w:val="ListParagraph"/>
        <w:numPr>
          <w:ilvl w:val="0"/>
          <w:numId w:val="15"/>
        </w:numPr>
        <w:rPr>
          <w:rFonts w:ascii="Arial" w:hAnsi="Arial" w:cs="Arial"/>
        </w:rPr>
      </w:pPr>
      <w:r w:rsidRPr="002C2C8F">
        <w:rPr>
          <w:rFonts w:ascii="Arial" w:eastAsia="Arial" w:hAnsi="Arial" w:cs="Arial"/>
        </w:rPr>
        <w:t>Law and Advocacy Centre for Women</w:t>
      </w:r>
    </w:p>
    <w:p w14:paraId="552662F6" w14:textId="55E933D0" w:rsidR="26963D30" w:rsidRPr="002C2C8F" w:rsidRDefault="26963D30" w:rsidP="00DA409B">
      <w:pPr>
        <w:pStyle w:val="ListParagraph"/>
        <w:numPr>
          <w:ilvl w:val="0"/>
          <w:numId w:val="15"/>
        </w:numPr>
        <w:rPr>
          <w:rFonts w:ascii="Arial" w:hAnsi="Arial" w:cs="Arial"/>
        </w:rPr>
      </w:pPr>
      <w:r w:rsidRPr="002C2C8F">
        <w:rPr>
          <w:rFonts w:ascii="Arial" w:eastAsia="Arial" w:hAnsi="Arial" w:cs="Arial"/>
        </w:rPr>
        <w:t>Seniors’ Rights Victoria</w:t>
      </w:r>
    </w:p>
    <w:p w14:paraId="5995D0ED" w14:textId="004932CC" w:rsidR="26963D30" w:rsidRPr="002C2C8F" w:rsidRDefault="26963D30" w:rsidP="00DA409B">
      <w:pPr>
        <w:pStyle w:val="ListParagraph"/>
        <w:numPr>
          <w:ilvl w:val="0"/>
          <w:numId w:val="15"/>
        </w:numPr>
        <w:rPr>
          <w:rFonts w:ascii="Arial" w:hAnsi="Arial" w:cs="Arial"/>
        </w:rPr>
      </w:pPr>
      <w:r w:rsidRPr="002C2C8F">
        <w:rPr>
          <w:rFonts w:ascii="Arial" w:eastAsia="Arial" w:hAnsi="Arial" w:cs="Arial"/>
        </w:rPr>
        <w:t>Justice Connect Homeless Law</w:t>
      </w:r>
    </w:p>
    <w:p w14:paraId="7015E5A6" w14:textId="289B9930" w:rsidR="001D2944" w:rsidRPr="002C2C8F" w:rsidRDefault="26963D30" w:rsidP="00DA409B">
      <w:pPr>
        <w:pStyle w:val="ListParagraph"/>
        <w:numPr>
          <w:ilvl w:val="0"/>
          <w:numId w:val="15"/>
        </w:numPr>
        <w:rPr>
          <w:rFonts w:ascii="Arial" w:hAnsi="Arial" w:cs="Arial"/>
        </w:rPr>
      </w:pPr>
      <w:r w:rsidRPr="002C2C8F">
        <w:rPr>
          <w:rFonts w:ascii="Arial" w:eastAsia="Arial" w:hAnsi="Arial" w:cs="Arial"/>
        </w:rPr>
        <w:t xml:space="preserve">Mental Health Legal Centre </w:t>
      </w:r>
    </w:p>
    <w:p w14:paraId="7D14A3F7" w14:textId="0F6FCEB1" w:rsidR="3214CE81" w:rsidRDefault="3214CE81" w:rsidP="00DA409B">
      <w:pPr>
        <w:pStyle w:val="ListParagraph"/>
        <w:numPr>
          <w:ilvl w:val="0"/>
          <w:numId w:val="15"/>
        </w:numPr>
      </w:pPr>
      <w:r w:rsidRPr="7A95356B">
        <w:rPr>
          <w:rFonts w:ascii="Arial" w:eastAsia="Arial" w:hAnsi="Arial" w:cs="Arial"/>
        </w:rPr>
        <w:t>Barwon Community Legal Service</w:t>
      </w:r>
    </w:p>
    <w:p w14:paraId="06B13A08" w14:textId="3657EBDA" w:rsidR="00B2251E" w:rsidRPr="00B2251E" w:rsidRDefault="3214CE81" w:rsidP="00DA409B">
      <w:pPr>
        <w:pStyle w:val="ListParagraph"/>
        <w:numPr>
          <w:ilvl w:val="0"/>
          <w:numId w:val="15"/>
        </w:numPr>
      </w:pPr>
      <w:r w:rsidRPr="7A95356B">
        <w:rPr>
          <w:rFonts w:ascii="Arial" w:eastAsia="Arial" w:hAnsi="Arial" w:cs="Arial"/>
        </w:rPr>
        <w:t>Inner Melbourne Community Legal</w:t>
      </w:r>
      <w:bookmarkStart w:id="40" w:name="_Toc45698237"/>
      <w:bookmarkStart w:id="41" w:name="_Toc45698287"/>
      <w:bookmarkStart w:id="42" w:name="_Toc46146196"/>
    </w:p>
    <w:p w14:paraId="477057E9" w14:textId="40AF8DCA" w:rsidR="00977075" w:rsidRDefault="00977075" w:rsidP="00DA409B">
      <w:pPr>
        <w:pStyle w:val="Heading1"/>
      </w:pPr>
      <w:r w:rsidRPr="00161EEF">
        <w:t>About</w:t>
      </w:r>
      <w:r>
        <w:t xml:space="preserve"> Women’s Legal Service Victoria</w:t>
      </w:r>
      <w:bookmarkEnd w:id="40"/>
      <w:bookmarkEnd w:id="41"/>
      <w:bookmarkEnd w:id="42"/>
    </w:p>
    <w:p w14:paraId="0399D1BC" w14:textId="4F2A6C08" w:rsidR="008A3264" w:rsidRPr="00B2251E" w:rsidRDefault="71F5A711" w:rsidP="00DA409B">
      <w:pPr>
        <w:spacing w:line="257" w:lineRule="auto"/>
        <w:rPr>
          <w:rFonts w:cs="Arial"/>
        </w:rPr>
      </w:pPr>
      <w:r w:rsidRPr="003A28F4">
        <w:rPr>
          <w:rFonts w:eastAsia="Calibri" w:cs="Arial"/>
          <w:szCs w:val="22"/>
        </w:rPr>
        <w:t>Women's Legal Service Victoria is a not-for-profit organisation that has been providing free legal services to women since 1982. We work with women experiencing disadvantage to address legal issues arising from relationship breakdown or violence.</w:t>
      </w:r>
    </w:p>
    <w:p w14:paraId="1807EA26" w14:textId="527DF8ED" w:rsidR="008A3264" w:rsidRPr="008A3264" w:rsidRDefault="71F5A711" w:rsidP="00DA409B">
      <w:pPr>
        <w:spacing w:line="257" w:lineRule="auto"/>
        <w:rPr>
          <w:rFonts w:cs="Arial"/>
        </w:rPr>
      </w:pPr>
      <w:r w:rsidRPr="003A28F4">
        <w:rPr>
          <w:rFonts w:eastAsia="Calibri" w:cs="Arial"/>
          <w:szCs w:val="22"/>
        </w:rPr>
        <w:t xml:space="preserve">Women’s Legal specialises in family violence, family law, child protection, and victims of crime assistance – recognising the intersection between the jurisdictions. We do this by: </w:t>
      </w:r>
    </w:p>
    <w:p w14:paraId="67771C87" w14:textId="74F168EC" w:rsidR="00977075" w:rsidRPr="003A28F4" w:rsidRDefault="71F5A711" w:rsidP="00DA409B">
      <w:pPr>
        <w:spacing w:line="257" w:lineRule="auto"/>
        <w:rPr>
          <w:rFonts w:cs="Arial"/>
        </w:rPr>
      </w:pPr>
      <w:r w:rsidRPr="003A28F4">
        <w:rPr>
          <w:rFonts w:eastAsia="Calibri" w:cs="Arial"/>
          <w:b/>
          <w:szCs w:val="22"/>
        </w:rPr>
        <w:t xml:space="preserve">Providing legal advice and representation to women </w:t>
      </w:r>
    </w:p>
    <w:p w14:paraId="2DFEBCE2" w14:textId="0A6E0E50" w:rsidR="001F21A4" w:rsidRPr="007C5BB0"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lastRenderedPageBreak/>
        <w:t xml:space="preserve">Full legal representation (through to final hearing, if necessary) and daily duty lawyers services </w:t>
      </w:r>
    </w:p>
    <w:p w14:paraId="06AD4F1F" w14:textId="263EE7EC"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 xml:space="preserve">Integrated and holistic practice, with in-house financial counselling and social work support, and outreach to 20 family violence partner organisations </w:t>
      </w:r>
    </w:p>
    <w:p w14:paraId="2224F1D9" w14:textId="02023CED"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Health Justice Partnership with Monash Health providing legal, social work and financial counselling help to women during pregnancy who are experiencing family violence and at risk of child protection intervention, with the aim of their baby remaining with them (where this in the baby’s best interests) once discharged from hospital</w:t>
      </w:r>
    </w:p>
    <w:p w14:paraId="3F0781A6" w14:textId="32D55D1B"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 xml:space="preserve">Video conferencing service delivery to clients in regional and remote locations, and through the Magistrates’ Court pilot of video conferencing in Family Violence Intervention Order matters </w:t>
      </w:r>
    </w:p>
    <w:p w14:paraId="5107B1CA" w14:textId="307B42B1" w:rsidR="00977075" w:rsidRPr="003A28F4" w:rsidRDefault="71F5A711" w:rsidP="00DA409B">
      <w:pPr>
        <w:spacing w:line="257" w:lineRule="auto"/>
        <w:rPr>
          <w:rFonts w:cs="Arial"/>
        </w:rPr>
      </w:pPr>
      <w:r w:rsidRPr="003A28F4">
        <w:rPr>
          <w:rFonts w:eastAsia="Calibri" w:cs="Arial"/>
          <w:b/>
          <w:szCs w:val="22"/>
        </w:rPr>
        <w:t xml:space="preserve">Campaigning for law and policy that respects and promotes the rights of women </w:t>
      </w:r>
    </w:p>
    <w:p w14:paraId="0DBEF018" w14:textId="1451DB46"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Integrating our legal and policy practices to identify systemic issues and solutions</w:t>
      </w:r>
    </w:p>
    <w:p w14:paraId="488DC64B" w14:textId="615119DC"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Forming alliances and partnerships with stakeholders and inﬂuencers to campaign for changes that will improve justice outcomes for women</w:t>
      </w:r>
    </w:p>
    <w:p w14:paraId="37FA116B" w14:textId="66E3EE44"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Advocating policy and law reform that improves women’s safety and socio-economic wellbeing</w:t>
      </w:r>
      <w:r w:rsidRPr="003A28F4">
        <w:rPr>
          <w:rFonts w:ascii="Arial" w:eastAsia="Arial" w:hAnsi="Arial" w:cs="Arial"/>
          <w:strike/>
        </w:rPr>
        <w:t xml:space="preserve"> </w:t>
      </w:r>
    </w:p>
    <w:p w14:paraId="7B9891B8" w14:textId="692F8BD2" w:rsidR="00977075" w:rsidRPr="003A28F4" w:rsidRDefault="71F5A711" w:rsidP="00DA409B">
      <w:pPr>
        <w:spacing w:line="257" w:lineRule="auto"/>
        <w:rPr>
          <w:rFonts w:cs="Arial"/>
        </w:rPr>
      </w:pPr>
      <w:r w:rsidRPr="003A28F4">
        <w:rPr>
          <w:rFonts w:eastAsia="Calibri" w:cs="Arial"/>
          <w:b/>
          <w:szCs w:val="22"/>
        </w:rPr>
        <w:t>Delivering professional &amp; community development, and prevention of violence against women programs</w:t>
      </w:r>
    </w:p>
    <w:p w14:paraId="67A5F10D" w14:textId="7CAC8F1C"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 xml:space="preserve">Building capacity of legal and family violence professionals to identify and respond appropriately to legal need </w:t>
      </w:r>
    </w:p>
    <w:p w14:paraId="53F4F463" w14:textId="699A438E" w:rsidR="00977075" w:rsidRPr="003A28F4"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Undertaking community development and legal education that strengthens women’s ability to make informed decisions about their relationships</w:t>
      </w:r>
    </w:p>
    <w:p w14:paraId="6E658370" w14:textId="53ED8DEC" w:rsidR="00977075" w:rsidRPr="000447FC" w:rsidRDefault="71F5A711" w:rsidP="00DA409B">
      <w:pPr>
        <w:pStyle w:val="ListParagraph"/>
        <w:numPr>
          <w:ilvl w:val="0"/>
          <w:numId w:val="20"/>
        </w:numPr>
        <w:rPr>
          <w:rFonts w:ascii="Arial" w:eastAsiaTheme="minorEastAsia" w:hAnsi="Arial" w:cs="Arial"/>
        </w:rPr>
      </w:pPr>
      <w:r w:rsidRPr="003A28F4">
        <w:rPr>
          <w:rFonts w:ascii="Arial" w:eastAsia="Arial" w:hAnsi="Arial" w:cs="Arial"/>
        </w:rPr>
        <w:t>Leading workplace prevention of violence against women across the legal and justice workforce</w:t>
      </w:r>
    </w:p>
    <w:p w14:paraId="6781CA68" w14:textId="2EB2DBFC" w:rsidR="00977075" w:rsidRDefault="00977075" w:rsidP="00DA409B">
      <w:pPr>
        <w:spacing w:after="0" w:line="240" w:lineRule="auto"/>
        <w:rPr>
          <w:rFonts w:cs="Arial"/>
          <w:b/>
          <w:bCs/>
          <w:color w:val="216E96"/>
          <w:kern w:val="32"/>
          <w:sz w:val="32"/>
          <w:szCs w:val="32"/>
          <w:lang w:eastAsia="en-AU"/>
        </w:rPr>
      </w:pPr>
      <w:r>
        <w:rPr>
          <w:rFonts w:cs="Arial"/>
          <w:b/>
          <w:bCs/>
          <w:color w:val="216E96"/>
          <w:kern w:val="32"/>
          <w:sz w:val="32"/>
          <w:szCs w:val="32"/>
          <w:lang w:eastAsia="en-AU"/>
        </w:rPr>
        <w:br w:type="page"/>
      </w:r>
    </w:p>
    <w:p w14:paraId="45C19741" w14:textId="41C37CBD" w:rsidR="00977075" w:rsidRDefault="00977075" w:rsidP="00DA409B">
      <w:pPr>
        <w:pStyle w:val="Heading1"/>
      </w:pPr>
      <w:bookmarkStart w:id="43" w:name="_Toc45698238"/>
      <w:bookmarkStart w:id="44" w:name="_Toc45698288"/>
      <w:bookmarkStart w:id="45" w:name="_Toc46146197"/>
      <w:r>
        <w:lastRenderedPageBreak/>
        <w:t>Our submission</w:t>
      </w:r>
      <w:bookmarkEnd w:id="43"/>
      <w:bookmarkEnd w:id="44"/>
      <w:bookmarkEnd w:id="45"/>
      <w:r>
        <w:t xml:space="preserve"> </w:t>
      </w:r>
    </w:p>
    <w:p w14:paraId="37472106" w14:textId="77777777" w:rsidR="005157AF" w:rsidRDefault="005157AF" w:rsidP="00DA409B">
      <w:pPr>
        <w:pStyle w:val="Heading3"/>
        <w:rPr>
          <w:rFonts w:eastAsia="Arial"/>
        </w:rPr>
      </w:pPr>
      <w:bookmarkStart w:id="46" w:name="_Toc46146198"/>
      <w:bookmarkStart w:id="47" w:name="_Toc45698239"/>
      <w:bookmarkStart w:id="48" w:name="_Toc45698289"/>
      <w:r>
        <w:rPr>
          <w:rFonts w:eastAsia="Arial"/>
        </w:rPr>
        <w:t>Governance</w:t>
      </w:r>
      <w:bookmarkEnd w:id="46"/>
    </w:p>
    <w:p w14:paraId="3ECAC616" w14:textId="4921E371" w:rsidR="005157AF" w:rsidRDefault="0066391F" w:rsidP="00DA409B">
      <w:r>
        <w:t>It has been challenging for t</w:t>
      </w:r>
      <w:r w:rsidR="005157AF" w:rsidRPr="00931716">
        <w:t>he existing governance structure</w:t>
      </w:r>
      <w:r w:rsidR="005157AF">
        <w:t>, the Family Violence Steering Committee (FVSC)</w:t>
      </w:r>
      <w:r w:rsidR="00DD5F37">
        <w:t>,</w:t>
      </w:r>
      <w:r w:rsidR="005157AF" w:rsidRPr="00931716">
        <w:t xml:space="preserve"> </w:t>
      </w:r>
      <w:r>
        <w:t>to</w:t>
      </w:r>
      <w:r w:rsidR="005157AF" w:rsidRPr="00931716">
        <w:t xml:space="preserve"> meet the needs of the family violence reform agenda or the needs of family violence stakeholders</w:t>
      </w:r>
      <w:r w:rsidR="00F63638">
        <w:t>. This was</w:t>
      </w:r>
      <w:r>
        <w:t xml:space="preserve"> acknowledged by </w:t>
      </w:r>
      <w:r w:rsidR="00903694">
        <w:t xml:space="preserve">the recent review </w:t>
      </w:r>
      <w:r w:rsidR="001C2F71">
        <w:t xml:space="preserve">of the structure by Family </w:t>
      </w:r>
      <w:r w:rsidR="00F63638">
        <w:t>Safety Victoria (FSV) and</w:t>
      </w:r>
      <w:r w:rsidR="005157AF" w:rsidRPr="00931716">
        <w:t xml:space="preserve"> highlighted in two reports of the Family Violence </w:t>
      </w:r>
      <w:r w:rsidR="00CA5620">
        <w:t>Reform</w:t>
      </w:r>
      <w:r w:rsidR="005157AF" w:rsidRPr="00931716">
        <w:t xml:space="preserve"> Implementation Monitor. </w:t>
      </w:r>
    </w:p>
    <w:p w14:paraId="041E0AD8" w14:textId="56E7C180" w:rsidR="005157AF" w:rsidRDefault="005157AF" w:rsidP="00DA409B">
      <w:r>
        <w:t>Recommendation 193 recognised that non-government and community organisations are the main source of support for women and children affected by family violence and that they are the repositories of expertise on family violence policy and practice. It was intended that non-government and community organisations would have the ability to contribute to policy development and to bring gaps and weaknesses in service provision and possible solutions to government through the FVSC. </w:t>
      </w:r>
      <w:r w:rsidR="00B57422">
        <w:t>In making this recommendation t</w:t>
      </w:r>
      <w:r>
        <w:t>he</w:t>
      </w:r>
      <w:r w:rsidR="00A478CD">
        <w:t xml:space="preserve"> Commission </w:t>
      </w:r>
      <w:r w:rsidR="00B57422">
        <w:t xml:space="preserve">sought to </w:t>
      </w:r>
      <w:r>
        <w:t xml:space="preserve">ensure government </w:t>
      </w:r>
      <w:r w:rsidR="00B57422">
        <w:t>receiv</w:t>
      </w:r>
      <w:r w:rsidR="00EF260D">
        <w:t>es</w:t>
      </w:r>
      <w:r>
        <w:t xml:space="preserve"> the benefit of input from the experts who deliver family violence response and prevention services (legal, housing, health, Courts, Police etc</w:t>
      </w:r>
      <w:r w:rsidR="00B57422">
        <w:t>)</w:t>
      </w:r>
      <w:r w:rsidR="00E96FF1">
        <w:t xml:space="preserve"> by</w:t>
      </w:r>
      <w:r w:rsidR="0069759F">
        <w:t xml:space="preserve"> a </w:t>
      </w:r>
      <w:r w:rsidR="00B57422">
        <w:t xml:space="preserve">governance structure </w:t>
      </w:r>
      <w:r w:rsidR="00E96FF1">
        <w:t xml:space="preserve">that reflects different perspectives and is </w:t>
      </w:r>
      <w:r>
        <w:t>underpinned by genuine consultation and co-design principles</w:t>
      </w:r>
      <w:r w:rsidR="00E96FF1">
        <w:t>.</w:t>
      </w:r>
      <w:r>
        <w:t xml:space="preserve"> </w:t>
      </w:r>
    </w:p>
    <w:p w14:paraId="3D482951" w14:textId="14675634" w:rsidR="00D11C74" w:rsidRPr="00870F00" w:rsidRDefault="00E96FF1" w:rsidP="00DA409B">
      <w:pPr>
        <w:rPr>
          <w:rFonts w:eastAsiaTheme="minorEastAsia" w:cs="Arial"/>
        </w:rPr>
      </w:pPr>
      <w:r>
        <w:t xml:space="preserve">Our experience of the FVSC is that it has functioned </w:t>
      </w:r>
      <w:r w:rsidR="00D70DC1">
        <w:t xml:space="preserve">more </w:t>
      </w:r>
      <w:r>
        <w:t>as a stakeholder group to communicate about work in progress</w:t>
      </w:r>
      <w:r w:rsidR="00D70DC1">
        <w:t xml:space="preserve"> </w:t>
      </w:r>
      <w:r w:rsidR="00DD57E0">
        <w:t xml:space="preserve">or </w:t>
      </w:r>
      <w:r>
        <w:t xml:space="preserve">completed </w:t>
      </w:r>
      <w:r w:rsidR="00D70DC1">
        <w:t>rather than as a body to facilitate input or decision making</w:t>
      </w:r>
      <w:r w:rsidR="00A360BB">
        <w:t xml:space="preserve"> </w:t>
      </w:r>
      <w:r w:rsidR="00D70DC1">
        <w:t>by the non-government and community service sector</w:t>
      </w:r>
      <w:r>
        <w:t xml:space="preserve">. </w:t>
      </w:r>
      <w:r w:rsidR="00753599">
        <w:rPr>
          <w:rFonts w:eastAsiaTheme="minorEastAsia" w:cs="Arial"/>
        </w:rPr>
        <w:t>Functioning in this way</w:t>
      </w:r>
      <w:r w:rsidR="009E6313">
        <w:rPr>
          <w:rFonts w:eastAsiaTheme="minorEastAsia" w:cs="Arial"/>
        </w:rPr>
        <w:t xml:space="preserve"> has</w:t>
      </w:r>
      <w:r w:rsidR="001A2832">
        <w:rPr>
          <w:rFonts w:eastAsiaTheme="minorEastAsia" w:cs="Arial"/>
        </w:rPr>
        <w:t>, for example,</w:t>
      </w:r>
      <w:r w:rsidR="009E6313">
        <w:rPr>
          <w:rFonts w:eastAsiaTheme="minorEastAsia" w:cs="Arial"/>
        </w:rPr>
        <w:t xml:space="preserve"> limited the opportunity for the FVSC to draw on and </w:t>
      </w:r>
      <w:r w:rsidR="00C0440D">
        <w:rPr>
          <w:rFonts w:eastAsiaTheme="minorEastAsia" w:cs="Arial"/>
        </w:rPr>
        <w:t xml:space="preserve">incorporate new and emerging information (such as </w:t>
      </w:r>
      <w:r w:rsidR="003454E0">
        <w:rPr>
          <w:rFonts w:eastAsiaTheme="minorEastAsia" w:cs="Arial"/>
        </w:rPr>
        <w:t>recommendations of the 2016</w:t>
      </w:r>
      <w:r w:rsidR="00C0440D">
        <w:rPr>
          <w:rFonts w:eastAsiaTheme="minorEastAsia" w:cs="Arial"/>
        </w:rPr>
        <w:t xml:space="preserve"> Access to Justice and </w:t>
      </w:r>
      <w:r w:rsidR="003454E0">
        <w:rPr>
          <w:rFonts w:eastAsiaTheme="minorEastAsia" w:cs="Arial"/>
        </w:rPr>
        <w:t xml:space="preserve">2020 </w:t>
      </w:r>
      <w:r w:rsidR="00C0440D">
        <w:rPr>
          <w:rFonts w:eastAsiaTheme="minorEastAsia" w:cs="Arial"/>
        </w:rPr>
        <w:t>PIPA report</w:t>
      </w:r>
      <w:r w:rsidR="003454E0">
        <w:rPr>
          <w:rFonts w:eastAsiaTheme="minorEastAsia" w:cs="Arial"/>
        </w:rPr>
        <w:t>s</w:t>
      </w:r>
      <w:r w:rsidR="00C0440D">
        <w:rPr>
          <w:rFonts w:eastAsiaTheme="minorEastAsia" w:cs="Arial"/>
        </w:rPr>
        <w:t>)</w:t>
      </w:r>
      <w:r w:rsidR="00F75634">
        <w:rPr>
          <w:rFonts w:eastAsiaTheme="minorEastAsia" w:cs="Arial"/>
        </w:rPr>
        <w:t xml:space="preserve">. </w:t>
      </w:r>
      <w:r w:rsidR="00A20C0F">
        <w:rPr>
          <w:rFonts w:eastAsiaTheme="minorEastAsia" w:cs="Arial"/>
        </w:rPr>
        <w:t xml:space="preserve">Additionally, </w:t>
      </w:r>
      <w:r w:rsidR="00B71AB2">
        <w:rPr>
          <w:rFonts w:eastAsiaTheme="minorEastAsia" w:cs="Arial"/>
        </w:rPr>
        <w:t xml:space="preserve">it is unsurprising that </w:t>
      </w:r>
      <w:r w:rsidR="00D11C74" w:rsidRPr="00BD0390">
        <w:rPr>
          <w:rFonts w:eastAsiaTheme="minorEastAsia" w:cs="Arial"/>
        </w:rPr>
        <w:t xml:space="preserve">there </w:t>
      </w:r>
      <w:r w:rsidR="00263945">
        <w:rPr>
          <w:rFonts w:eastAsiaTheme="minorEastAsia" w:cs="Arial"/>
        </w:rPr>
        <w:t>is</w:t>
      </w:r>
      <w:r w:rsidR="00D11C74" w:rsidRPr="00BD0390">
        <w:rPr>
          <w:rFonts w:eastAsiaTheme="minorEastAsia" w:cs="Arial"/>
        </w:rPr>
        <w:t xml:space="preserve"> a gap in the specialist family violence workforce and the skills and expertise required to deliver the </w:t>
      </w:r>
      <w:r w:rsidR="007D5200">
        <w:rPr>
          <w:rFonts w:eastAsiaTheme="minorEastAsia" w:cs="Arial"/>
        </w:rPr>
        <w:t>scale of</w:t>
      </w:r>
      <w:r w:rsidR="00E221D5" w:rsidRPr="00BD0390">
        <w:rPr>
          <w:rFonts w:eastAsiaTheme="minorEastAsia" w:cs="Arial"/>
        </w:rPr>
        <w:t xml:space="preserve"> reform</w:t>
      </w:r>
      <w:r w:rsidR="007D5200">
        <w:rPr>
          <w:rFonts w:eastAsiaTheme="minorEastAsia" w:cs="Arial"/>
        </w:rPr>
        <w:t xml:space="preserve"> envisioned</w:t>
      </w:r>
      <w:r w:rsidR="00286D5D">
        <w:rPr>
          <w:rFonts w:eastAsiaTheme="minorEastAsia" w:cs="Arial"/>
        </w:rPr>
        <w:t>,</w:t>
      </w:r>
      <w:r w:rsidR="00D11C74" w:rsidRPr="00BD0390">
        <w:rPr>
          <w:rFonts w:eastAsiaTheme="minorEastAsia" w:cs="Arial"/>
        </w:rPr>
        <w:t xml:space="preserve"> both in frontline service delivery and the management and coordination of reform. </w:t>
      </w:r>
      <w:r w:rsidR="007D5200">
        <w:rPr>
          <w:rFonts w:eastAsiaTheme="minorEastAsia" w:cs="Arial"/>
        </w:rPr>
        <w:t>However</w:t>
      </w:r>
      <w:r w:rsidR="00E7747A">
        <w:rPr>
          <w:rFonts w:eastAsiaTheme="minorEastAsia" w:cs="Arial"/>
        </w:rPr>
        <w:t xml:space="preserve">, </w:t>
      </w:r>
      <w:r w:rsidR="00B50780" w:rsidRPr="00BD0390">
        <w:rPr>
          <w:rFonts w:eastAsiaTheme="minorEastAsia" w:cs="Arial"/>
        </w:rPr>
        <w:t>the</w:t>
      </w:r>
      <w:r w:rsidR="00E7747A">
        <w:rPr>
          <w:rFonts w:eastAsiaTheme="minorEastAsia" w:cs="Arial"/>
        </w:rPr>
        <w:t xml:space="preserve"> </w:t>
      </w:r>
      <w:r w:rsidR="00D35855">
        <w:rPr>
          <w:rFonts w:eastAsiaTheme="minorEastAsia" w:cs="Arial"/>
        </w:rPr>
        <w:t xml:space="preserve">current operation of the </w:t>
      </w:r>
      <w:r w:rsidR="00E7747A">
        <w:rPr>
          <w:rFonts w:eastAsiaTheme="minorEastAsia" w:cs="Arial"/>
        </w:rPr>
        <w:t>FVSC has</w:t>
      </w:r>
      <w:r w:rsidR="00D35855">
        <w:rPr>
          <w:rFonts w:eastAsiaTheme="minorEastAsia" w:cs="Arial"/>
        </w:rPr>
        <w:t>, in our view,</w:t>
      </w:r>
      <w:r w:rsidR="005308A4">
        <w:rPr>
          <w:rFonts w:eastAsiaTheme="minorEastAsia" w:cs="Arial"/>
        </w:rPr>
        <w:t xml:space="preserve"> </w:t>
      </w:r>
      <w:r w:rsidR="00D35855">
        <w:rPr>
          <w:rFonts w:eastAsiaTheme="minorEastAsia" w:cs="Arial"/>
        </w:rPr>
        <w:t>contributed to</w:t>
      </w:r>
      <w:r w:rsidR="00F4797A">
        <w:rPr>
          <w:rFonts w:eastAsiaTheme="minorEastAsia" w:cs="Arial"/>
        </w:rPr>
        <w:t xml:space="preserve"> an insufficient</w:t>
      </w:r>
      <w:r w:rsidR="00B50780" w:rsidRPr="00BD0390">
        <w:rPr>
          <w:rFonts w:eastAsiaTheme="minorEastAsia" w:cs="Arial"/>
        </w:rPr>
        <w:t xml:space="preserve"> recogni</w:t>
      </w:r>
      <w:r w:rsidR="00F4797A">
        <w:rPr>
          <w:rFonts w:eastAsiaTheme="minorEastAsia" w:cs="Arial"/>
        </w:rPr>
        <w:t>tion of</w:t>
      </w:r>
      <w:r w:rsidR="00B50780" w:rsidRPr="00BD0390">
        <w:rPr>
          <w:rFonts w:eastAsiaTheme="minorEastAsia" w:cs="Arial"/>
        </w:rPr>
        <w:t xml:space="preserve"> the impact the workforce skills shortage has (and will continue to have) on the ability to achieve the desired outcome</w:t>
      </w:r>
      <w:r w:rsidR="006E1FD9">
        <w:rPr>
          <w:rFonts w:eastAsiaTheme="minorEastAsia" w:cs="Arial"/>
        </w:rPr>
        <w:t xml:space="preserve"> and</w:t>
      </w:r>
      <w:r w:rsidR="00DD57E0">
        <w:rPr>
          <w:rFonts w:eastAsiaTheme="minorEastAsia" w:cs="Arial"/>
        </w:rPr>
        <w:t xml:space="preserve"> to adapt to</w:t>
      </w:r>
      <w:r w:rsidR="006E1FD9">
        <w:rPr>
          <w:rFonts w:eastAsiaTheme="minorEastAsia" w:cs="Arial"/>
        </w:rPr>
        <w:t xml:space="preserve"> the</w:t>
      </w:r>
      <w:r w:rsidR="00D11C74" w:rsidRPr="00BD0390">
        <w:rPr>
          <w:rFonts w:eastAsiaTheme="minorEastAsia" w:cs="Arial"/>
        </w:rPr>
        <w:t xml:space="preserve"> time</w:t>
      </w:r>
      <w:r w:rsidR="00DD57E0">
        <w:rPr>
          <w:rFonts w:eastAsiaTheme="minorEastAsia" w:cs="Arial"/>
        </w:rPr>
        <w:t xml:space="preserve"> still</w:t>
      </w:r>
      <w:r w:rsidR="00D11C74" w:rsidRPr="00BD0390">
        <w:rPr>
          <w:rFonts w:eastAsiaTheme="minorEastAsia" w:cs="Arial"/>
        </w:rPr>
        <w:t xml:space="preserve"> </w:t>
      </w:r>
      <w:r w:rsidR="006E1FD9">
        <w:rPr>
          <w:rFonts w:eastAsiaTheme="minorEastAsia" w:cs="Arial"/>
        </w:rPr>
        <w:t xml:space="preserve">required </w:t>
      </w:r>
      <w:r w:rsidR="00D11C74" w:rsidRPr="00BD0390">
        <w:rPr>
          <w:rFonts w:eastAsiaTheme="minorEastAsia" w:cs="Arial"/>
        </w:rPr>
        <w:t>to train and build workforce capacity to a point that cultural change has occurred</w:t>
      </w:r>
      <w:r w:rsidR="006E1FD9">
        <w:rPr>
          <w:rFonts w:eastAsiaTheme="minorEastAsia" w:cs="Arial"/>
        </w:rPr>
        <w:t>.</w:t>
      </w:r>
    </w:p>
    <w:p w14:paraId="09FFBD3C" w14:textId="1F6B3818" w:rsidR="000A72CE" w:rsidRPr="000A72CE" w:rsidRDefault="00EA3B98" w:rsidP="00DA409B">
      <w:pPr>
        <w:rPr>
          <w:rFonts w:ascii="Calibri" w:hAnsi="Calibri" w:cs="Calibri"/>
        </w:rPr>
      </w:pPr>
      <w:r>
        <w:t>It is our view that a</w:t>
      </w:r>
      <w:r w:rsidR="005157AF">
        <w:t xml:space="preserve"> strong governance structure for reform of this scale should provide the opportunity for non-government and community organisations across the family violence service sector to contribute their specialist knowledge to the development of policy and the identification and management of issues and risks that could impact the reform agenda. Community organisations have direct knowledge of how system or policy changes to one part of the service sector can adversely impact the client experience in other parts. A better functioning governance structure would allow for these impacts to be identified and managed to reflect changing needs and context</w:t>
      </w:r>
      <w:r w:rsidR="005157AF" w:rsidRPr="4C553C12">
        <w:rPr>
          <w:rFonts w:ascii="Calibri" w:hAnsi="Calibri" w:cs="Calibri"/>
        </w:rPr>
        <w:t>.</w:t>
      </w:r>
    </w:p>
    <w:p w14:paraId="72CC9240" w14:textId="0F1E4CFB" w:rsidR="00CB619B" w:rsidRPr="00E40F14" w:rsidRDefault="00CB619B" w:rsidP="00DA409B">
      <w:pPr>
        <w:rPr>
          <w:rFonts w:ascii="Calibri" w:eastAsia="Arial" w:hAnsi="Calibri"/>
          <w:lang w:eastAsia="en-AU"/>
        </w:rPr>
      </w:pPr>
      <w:bookmarkStart w:id="49" w:name="_Toc45698241"/>
      <w:bookmarkStart w:id="50" w:name="_Toc45698291"/>
      <w:r>
        <w:rPr>
          <w:rFonts w:cs="Arial"/>
          <w:noProof/>
          <w:szCs w:val="22"/>
        </w:rPr>
        <w:lastRenderedPageBreak/>
        <mc:AlternateContent>
          <mc:Choice Requires="wps">
            <w:drawing>
              <wp:inline distT="0" distB="0" distL="0" distR="0" wp14:anchorId="5D7EA978" wp14:editId="38DB9CE2">
                <wp:extent cx="6300470" cy="2724150"/>
                <wp:effectExtent l="0" t="0" r="5080" b="0"/>
                <wp:docPr id="17" name="Text Box 17"/>
                <wp:cNvGraphicFramePr/>
                <a:graphic xmlns:a="http://schemas.openxmlformats.org/drawingml/2006/main">
                  <a:graphicData uri="http://schemas.microsoft.com/office/word/2010/wordprocessingShape">
                    <wps:wsp>
                      <wps:cNvSpPr txBox="1"/>
                      <wps:spPr>
                        <a:xfrm>
                          <a:off x="0" y="0"/>
                          <a:ext cx="6300470" cy="2724150"/>
                        </a:xfrm>
                        <a:prstGeom prst="rect">
                          <a:avLst/>
                        </a:prstGeom>
                        <a:solidFill>
                          <a:schemeClr val="accent5">
                            <a:lumMod val="20000"/>
                            <a:lumOff val="80000"/>
                          </a:schemeClr>
                        </a:solidFill>
                        <a:ln w="6350">
                          <a:noFill/>
                        </a:ln>
                      </wps:spPr>
                      <wps:txbx>
                        <w:txbxContent>
                          <w:p w14:paraId="43826E9A" w14:textId="77777777" w:rsidR="00CB619B" w:rsidRPr="001D7714" w:rsidRDefault="00CB619B" w:rsidP="00CB619B">
                            <w:pPr>
                              <w:rPr>
                                <w:b/>
                                <w:bCs/>
                              </w:rPr>
                            </w:pPr>
                            <w:r w:rsidRPr="001D7714">
                              <w:rPr>
                                <w:b/>
                                <w:bCs/>
                              </w:rPr>
                              <w:t xml:space="preserve">Looking forward – what is still required: </w:t>
                            </w:r>
                          </w:p>
                          <w:p w14:paraId="156EFB7E" w14:textId="14D81EC0" w:rsidR="00CB619B" w:rsidRPr="007A24BC" w:rsidRDefault="000A0211" w:rsidP="00C400E0">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Pr>
                                <w:rStyle w:val="normaltextrun"/>
                                <w:rFonts w:ascii="Arial" w:hAnsi="Arial" w:cs="Arial"/>
                                <w:sz w:val="22"/>
                                <w:szCs w:val="22"/>
                              </w:rPr>
                              <w:t>The establishment of</w:t>
                            </w:r>
                            <w:r w:rsidR="00CB619B" w:rsidRPr="007A24BC">
                              <w:rPr>
                                <w:rStyle w:val="normaltextrun"/>
                                <w:rFonts w:ascii="Arial" w:hAnsi="Arial" w:cs="Arial"/>
                                <w:sz w:val="22"/>
                                <w:szCs w:val="22"/>
                              </w:rPr>
                              <w:t xml:space="preserve"> a more coordinated, functioning governance structure that includes actors from across the </w:t>
                            </w:r>
                            <w:r w:rsidR="00CB619B">
                              <w:rPr>
                                <w:rStyle w:val="normaltextrun"/>
                                <w:rFonts w:ascii="Arial" w:hAnsi="Arial" w:cs="Arial"/>
                                <w:sz w:val="22"/>
                                <w:szCs w:val="22"/>
                              </w:rPr>
                              <w:t xml:space="preserve">family violence service </w:t>
                            </w:r>
                            <w:r w:rsidR="00CB619B" w:rsidRPr="007A24BC">
                              <w:rPr>
                                <w:rStyle w:val="normaltextrun"/>
                                <w:rFonts w:ascii="Arial" w:hAnsi="Arial" w:cs="Arial"/>
                                <w:sz w:val="22"/>
                                <w:szCs w:val="22"/>
                              </w:rPr>
                              <w:t xml:space="preserve">system that </w:t>
                            </w:r>
                            <w:r w:rsidR="00CB619B" w:rsidRPr="007A24BC">
                              <w:rPr>
                                <w:rFonts w:ascii="Arial" w:hAnsi="Arial" w:cs="Arial"/>
                                <w:sz w:val="22"/>
                                <w:szCs w:val="22"/>
                              </w:rPr>
                              <w:t>provides the opportunity for a range of issues and risks to be raised for decision and determination.</w:t>
                            </w:r>
                          </w:p>
                          <w:p w14:paraId="5DB2D841" w14:textId="77777777" w:rsidR="00CB619B" w:rsidRDefault="00CB619B" w:rsidP="00C400E0">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Pr>
                                <w:rStyle w:val="normaltextrun"/>
                                <w:rFonts w:ascii="Arial" w:hAnsi="Arial" w:cs="Arial"/>
                                <w:sz w:val="22"/>
                                <w:szCs w:val="22"/>
                              </w:rPr>
                              <w:t>This governance structure should:</w:t>
                            </w:r>
                          </w:p>
                          <w:p w14:paraId="311F1A65" w14:textId="6BCCFA7A" w:rsidR="00CB619B" w:rsidRPr="006F45C1"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facilitate the incorporation of</w:t>
                            </w:r>
                            <w:r w:rsidRPr="0034732F">
                              <w:rPr>
                                <w:rStyle w:val="normaltextrun"/>
                                <w:rFonts w:ascii="Arial" w:hAnsi="Arial" w:cs="Arial"/>
                                <w:sz w:val="22"/>
                                <w:szCs w:val="22"/>
                              </w:rPr>
                              <w:t xml:space="preserve"> more and new information </w:t>
                            </w:r>
                            <w:r>
                              <w:rPr>
                                <w:rStyle w:val="normaltextrun"/>
                                <w:rFonts w:ascii="Arial" w:hAnsi="Arial" w:cs="Arial"/>
                                <w:sz w:val="22"/>
                                <w:szCs w:val="22"/>
                              </w:rPr>
                              <w:t>as implementation occurs,</w:t>
                            </w:r>
                            <w:r w:rsidRPr="006F45C1">
                              <w:rPr>
                                <w:rStyle w:val="normaltextrun"/>
                                <w:rFonts w:ascii="Arial" w:hAnsi="Arial" w:cs="Arial"/>
                                <w:sz w:val="22"/>
                                <w:szCs w:val="22"/>
                              </w:rPr>
                              <w:t xml:space="preserve"> includ</w:t>
                            </w:r>
                            <w:r>
                              <w:rPr>
                                <w:rStyle w:val="normaltextrun"/>
                                <w:rFonts w:ascii="Arial" w:hAnsi="Arial" w:cs="Arial"/>
                                <w:sz w:val="22"/>
                                <w:szCs w:val="22"/>
                              </w:rPr>
                              <w:t>ing</w:t>
                            </w:r>
                            <w:r w:rsidRPr="006F45C1">
                              <w:rPr>
                                <w:rStyle w:val="normaltextrun"/>
                                <w:rFonts w:ascii="Arial" w:hAnsi="Arial" w:cs="Arial"/>
                                <w:sz w:val="22"/>
                                <w:szCs w:val="22"/>
                              </w:rPr>
                              <w:t xml:space="preserve"> recommendations for reform that may sit outside the Royal Commission’s recommendations (e.g. the 2016 Access to Justice report and 2020 Positive Interventions for Perpetrators of Adolescent Violence in the Home (PIPA) report)</w:t>
                            </w:r>
                            <w:r w:rsidR="000A0211">
                              <w:rPr>
                                <w:rStyle w:val="normaltextrun"/>
                                <w:rFonts w:ascii="Arial" w:hAnsi="Arial" w:cs="Arial"/>
                                <w:sz w:val="22"/>
                                <w:szCs w:val="22"/>
                              </w:rPr>
                              <w:t>.</w:t>
                            </w:r>
                          </w:p>
                          <w:p w14:paraId="114453EF" w14:textId="77777777" w:rsidR="00CB619B" w:rsidRPr="0034732F"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Fonts w:ascii="Arial" w:hAnsi="Arial" w:cs="Arial"/>
                                <w:sz w:val="22"/>
                                <w:szCs w:val="22"/>
                              </w:rPr>
                              <w:t>recognise</w:t>
                            </w:r>
                            <w:r w:rsidRPr="0034732F">
                              <w:rPr>
                                <w:rFonts w:ascii="Arial" w:eastAsiaTheme="minorEastAsia" w:hAnsi="Arial" w:cs="Arial"/>
                                <w:sz w:val="22"/>
                                <w:szCs w:val="22"/>
                              </w:rPr>
                              <w:t xml:space="preserve"> </w:t>
                            </w:r>
                            <w:r>
                              <w:rPr>
                                <w:rFonts w:ascii="Arial" w:eastAsiaTheme="minorEastAsia" w:hAnsi="Arial" w:cs="Arial"/>
                                <w:sz w:val="22"/>
                                <w:szCs w:val="22"/>
                              </w:rPr>
                              <w:t>t</w:t>
                            </w:r>
                            <w:r w:rsidRPr="0034732F">
                              <w:rPr>
                                <w:rStyle w:val="normaltextrun"/>
                                <w:rFonts w:ascii="Arial" w:hAnsi="Arial" w:cs="Arial"/>
                                <w:sz w:val="22"/>
                                <w:szCs w:val="22"/>
                              </w:rPr>
                              <w:t>he pace and scale of reform and workforce capacity to deliver the changes recommended</w:t>
                            </w:r>
                            <w:r>
                              <w:rPr>
                                <w:rStyle w:val="normaltextrun"/>
                                <w:rFonts w:ascii="Arial" w:hAnsi="Arial" w:cs="Arial"/>
                                <w:sz w:val="22"/>
                                <w:szCs w:val="22"/>
                              </w:rPr>
                              <w:t>; and</w:t>
                            </w:r>
                          </w:p>
                          <w:p w14:paraId="7DD052A7" w14:textId="6EC359DD" w:rsidR="00CB619B" w:rsidRPr="00CB619B"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r</w:t>
                            </w:r>
                            <w:r w:rsidRPr="0034732F">
                              <w:rPr>
                                <w:rStyle w:val="normaltextrun"/>
                                <w:rFonts w:ascii="Arial" w:hAnsi="Arial" w:cs="Arial"/>
                                <w:sz w:val="22"/>
                                <w:szCs w:val="22"/>
                              </w:rPr>
                              <w:t>ecognise the necessary time still required for implementation to continue and take effect. </w:t>
                            </w:r>
                            <w:r w:rsidRPr="0034732F">
                              <w:rPr>
                                <w:rStyle w:val="eop"/>
                                <w:rFonts w:ascii="Arial" w:hAnsi="Arial" w:cs="Arial"/>
                                <w:sz w:val="22"/>
                                <w:szCs w:val="22"/>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D7EA978" id="_x0000_t202" coordsize="21600,21600" o:spt="202" path="m,l,21600r21600,l21600,xe">
                <v:stroke joinstyle="miter"/>
                <v:path gradientshapeok="t" o:connecttype="rect"/>
              </v:shapetype>
              <v:shape id="Text Box 17" o:spid="_x0000_s1026" type="#_x0000_t202" style="width:496.1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" fillcolor="#deeaf6 [664]" stroked="f" strokeweight=".5pt">
                <v:textbox>
                  <w:txbxContent>
                    <w:p w14:paraId="43826E9A" w14:textId="77777777" w:rsidR="00CB619B" w:rsidRPr="001D7714" w:rsidRDefault="00CB619B" w:rsidP="00CB619B">
                      <w:pPr>
                        <w:rPr>
                          <w:b/>
                          <w:bCs/>
                        </w:rPr>
                      </w:pPr>
                      <w:r w:rsidRPr="001D7714">
                        <w:rPr>
                          <w:b/>
                          <w:bCs/>
                        </w:rPr>
                        <w:t xml:space="preserve">Looking forward – what is still required: </w:t>
                      </w:r>
                    </w:p>
                    <w:p w14:paraId="156EFB7E" w14:textId="14D81EC0" w:rsidR="00CB619B" w:rsidRPr="007A24BC" w:rsidRDefault="000A0211" w:rsidP="00C400E0">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Pr>
                          <w:rStyle w:val="normaltextrun"/>
                          <w:rFonts w:ascii="Arial" w:hAnsi="Arial" w:cs="Arial"/>
                          <w:sz w:val="22"/>
                          <w:szCs w:val="22"/>
                        </w:rPr>
                        <w:t>The establishment of</w:t>
                      </w:r>
                      <w:r w:rsidR="00CB619B" w:rsidRPr="007A24BC">
                        <w:rPr>
                          <w:rStyle w:val="normaltextrun"/>
                          <w:rFonts w:ascii="Arial" w:hAnsi="Arial" w:cs="Arial"/>
                          <w:sz w:val="22"/>
                          <w:szCs w:val="22"/>
                        </w:rPr>
                        <w:t xml:space="preserve"> a more coordinated, functioning governance structure that includes actors from across the </w:t>
                      </w:r>
                      <w:r w:rsidR="00CB619B">
                        <w:rPr>
                          <w:rStyle w:val="normaltextrun"/>
                          <w:rFonts w:ascii="Arial" w:hAnsi="Arial" w:cs="Arial"/>
                          <w:sz w:val="22"/>
                          <w:szCs w:val="22"/>
                        </w:rPr>
                        <w:t xml:space="preserve">family violence service </w:t>
                      </w:r>
                      <w:r w:rsidR="00CB619B" w:rsidRPr="007A24BC">
                        <w:rPr>
                          <w:rStyle w:val="normaltextrun"/>
                          <w:rFonts w:ascii="Arial" w:hAnsi="Arial" w:cs="Arial"/>
                          <w:sz w:val="22"/>
                          <w:szCs w:val="22"/>
                        </w:rPr>
                        <w:t xml:space="preserve">system that </w:t>
                      </w:r>
                      <w:r w:rsidR="00CB619B" w:rsidRPr="007A24BC">
                        <w:rPr>
                          <w:rFonts w:ascii="Arial" w:hAnsi="Arial" w:cs="Arial"/>
                          <w:sz w:val="22"/>
                          <w:szCs w:val="22"/>
                        </w:rPr>
                        <w:t>provides the opportunity for a range of issues and risks to be raised for decision and determination.</w:t>
                      </w:r>
                    </w:p>
                    <w:p w14:paraId="5DB2D841" w14:textId="77777777" w:rsidR="00CB619B" w:rsidRDefault="00CB619B" w:rsidP="00C400E0">
                      <w:pPr>
                        <w:pStyle w:val="paragraph"/>
                        <w:numPr>
                          <w:ilvl w:val="0"/>
                          <w:numId w:val="16"/>
                        </w:numPr>
                        <w:spacing w:before="0" w:beforeAutospacing="0" w:after="0" w:afterAutospacing="0" w:line="300" w:lineRule="atLeast"/>
                        <w:ind w:hanging="357"/>
                        <w:textAlignment w:val="baseline"/>
                        <w:rPr>
                          <w:rStyle w:val="normaltextrun"/>
                          <w:rFonts w:ascii="Arial" w:hAnsi="Arial" w:cs="Arial"/>
                          <w:sz w:val="22"/>
                          <w:szCs w:val="22"/>
                        </w:rPr>
                      </w:pPr>
                      <w:r>
                        <w:rPr>
                          <w:rStyle w:val="normaltextrun"/>
                          <w:rFonts w:ascii="Arial" w:hAnsi="Arial" w:cs="Arial"/>
                          <w:sz w:val="22"/>
                          <w:szCs w:val="22"/>
                        </w:rPr>
                        <w:t>This governance structure should:</w:t>
                      </w:r>
                    </w:p>
                    <w:p w14:paraId="311F1A65" w14:textId="6BCCFA7A" w:rsidR="00CB619B" w:rsidRPr="006F45C1"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facilitate the incorporation of</w:t>
                      </w:r>
                      <w:r w:rsidRPr="0034732F">
                        <w:rPr>
                          <w:rStyle w:val="normaltextrun"/>
                          <w:rFonts w:ascii="Arial" w:hAnsi="Arial" w:cs="Arial"/>
                          <w:sz w:val="22"/>
                          <w:szCs w:val="22"/>
                        </w:rPr>
                        <w:t xml:space="preserve"> more and new information </w:t>
                      </w:r>
                      <w:r>
                        <w:rPr>
                          <w:rStyle w:val="normaltextrun"/>
                          <w:rFonts w:ascii="Arial" w:hAnsi="Arial" w:cs="Arial"/>
                          <w:sz w:val="22"/>
                          <w:szCs w:val="22"/>
                        </w:rPr>
                        <w:t>as implementation occurs,</w:t>
                      </w:r>
                      <w:r w:rsidRPr="006F45C1">
                        <w:rPr>
                          <w:rStyle w:val="normaltextrun"/>
                          <w:rFonts w:ascii="Arial" w:hAnsi="Arial" w:cs="Arial"/>
                          <w:sz w:val="22"/>
                          <w:szCs w:val="22"/>
                        </w:rPr>
                        <w:t xml:space="preserve"> includ</w:t>
                      </w:r>
                      <w:r>
                        <w:rPr>
                          <w:rStyle w:val="normaltextrun"/>
                          <w:rFonts w:ascii="Arial" w:hAnsi="Arial" w:cs="Arial"/>
                          <w:sz w:val="22"/>
                          <w:szCs w:val="22"/>
                        </w:rPr>
                        <w:t>ing</w:t>
                      </w:r>
                      <w:r w:rsidRPr="006F45C1">
                        <w:rPr>
                          <w:rStyle w:val="normaltextrun"/>
                          <w:rFonts w:ascii="Arial" w:hAnsi="Arial" w:cs="Arial"/>
                          <w:sz w:val="22"/>
                          <w:szCs w:val="22"/>
                        </w:rPr>
                        <w:t xml:space="preserve"> recommendations for reform that may sit outside the Royal Commission’s recommendations (e.g. the 2016 Access to Justice report and 2020 Positive Interventions for Perpetrators of Adolescent Violence in the Home (PIPA) report)</w:t>
                      </w:r>
                      <w:r w:rsidR="000A0211">
                        <w:rPr>
                          <w:rStyle w:val="normaltextrun"/>
                          <w:rFonts w:ascii="Arial" w:hAnsi="Arial" w:cs="Arial"/>
                          <w:sz w:val="22"/>
                          <w:szCs w:val="22"/>
                        </w:rPr>
                        <w:t>.</w:t>
                      </w:r>
                    </w:p>
                    <w:p w14:paraId="114453EF" w14:textId="77777777" w:rsidR="00CB619B" w:rsidRPr="0034732F"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Fonts w:ascii="Arial" w:hAnsi="Arial" w:cs="Arial"/>
                          <w:sz w:val="22"/>
                          <w:szCs w:val="22"/>
                        </w:rPr>
                        <w:t>recognise</w:t>
                      </w:r>
                      <w:r w:rsidRPr="0034732F">
                        <w:rPr>
                          <w:rFonts w:ascii="Arial" w:eastAsiaTheme="minorEastAsia" w:hAnsi="Arial" w:cs="Arial"/>
                          <w:sz w:val="22"/>
                          <w:szCs w:val="22"/>
                        </w:rPr>
                        <w:t xml:space="preserve"> </w:t>
                      </w:r>
                      <w:r>
                        <w:rPr>
                          <w:rFonts w:ascii="Arial" w:eastAsiaTheme="minorEastAsia" w:hAnsi="Arial" w:cs="Arial"/>
                          <w:sz w:val="22"/>
                          <w:szCs w:val="22"/>
                        </w:rPr>
                        <w:t>t</w:t>
                      </w:r>
                      <w:r w:rsidRPr="0034732F">
                        <w:rPr>
                          <w:rStyle w:val="normaltextrun"/>
                          <w:rFonts w:ascii="Arial" w:hAnsi="Arial" w:cs="Arial"/>
                          <w:sz w:val="22"/>
                          <w:szCs w:val="22"/>
                        </w:rPr>
                        <w:t>he pace and scale of reform and workforce capacity to deliver the changes recommended</w:t>
                      </w:r>
                      <w:r>
                        <w:rPr>
                          <w:rStyle w:val="normaltextrun"/>
                          <w:rFonts w:ascii="Arial" w:hAnsi="Arial" w:cs="Arial"/>
                          <w:sz w:val="22"/>
                          <w:szCs w:val="22"/>
                        </w:rPr>
                        <w:t>; and</w:t>
                      </w:r>
                    </w:p>
                    <w:p w14:paraId="7DD052A7" w14:textId="6EC359DD" w:rsidR="00CB619B" w:rsidRPr="00CB619B" w:rsidRDefault="00CB619B" w:rsidP="00C400E0">
                      <w:pPr>
                        <w:pStyle w:val="paragraph"/>
                        <w:numPr>
                          <w:ilvl w:val="1"/>
                          <w:numId w:val="10"/>
                        </w:numPr>
                        <w:spacing w:before="0" w:beforeAutospacing="0" w:after="0" w:afterAutospacing="0" w:line="300" w:lineRule="atLeast"/>
                        <w:ind w:hanging="357"/>
                        <w:textAlignment w:val="baseline"/>
                        <w:rPr>
                          <w:rFonts w:ascii="Arial" w:hAnsi="Arial" w:cs="Arial"/>
                          <w:sz w:val="22"/>
                          <w:szCs w:val="22"/>
                        </w:rPr>
                      </w:pPr>
                      <w:r>
                        <w:rPr>
                          <w:rStyle w:val="normaltextrun"/>
                          <w:rFonts w:ascii="Arial" w:hAnsi="Arial" w:cs="Arial"/>
                          <w:sz w:val="22"/>
                          <w:szCs w:val="22"/>
                        </w:rPr>
                        <w:t>r</w:t>
                      </w:r>
                      <w:r w:rsidRPr="0034732F">
                        <w:rPr>
                          <w:rStyle w:val="normaltextrun"/>
                          <w:rFonts w:ascii="Arial" w:hAnsi="Arial" w:cs="Arial"/>
                          <w:sz w:val="22"/>
                          <w:szCs w:val="22"/>
                        </w:rPr>
                        <w:t>ecognise the necessary time still required for implementation to continue and take effect. </w:t>
                      </w:r>
                      <w:r w:rsidRPr="0034732F">
                        <w:rPr>
                          <w:rStyle w:val="eop"/>
                          <w:rFonts w:ascii="Arial" w:hAnsi="Arial" w:cs="Arial"/>
                          <w:sz w:val="22"/>
                          <w:szCs w:val="22"/>
                        </w:rPr>
                        <w:t> </w:t>
                      </w:r>
                    </w:p>
                  </w:txbxContent>
                </v:textbox>
                <w10:anchorlock/>
              </v:shape>
            </w:pict>
          </mc:Fallback>
        </mc:AlternateContent>
      </w:r>
    </w:p>
    <w:p w14:paraId="330B6E6E" w14:textId="771207F8" w:rsidR="005157AF" w:rsidRPr="00A329B7" w:rsidRDefault="005157AF" w:rsidP="00DA409B">
      <w:pPr>
        <w:pStyle w:val="Heading3"/>
        <w:rPr>
          <w:rFonts w:eastAsiaTheme="minorEastAsia"/>
        </w:rPr>
      </w:pPr>
      <w:bookmarkStart w:id="51" w:name="_Toc46146199"/>
      <w:r w:rsidRPr="00A329B7">
        <w:rPr>
          <w:rFonts w:eastAsia="Arial"/>
        </w:rPr>
        <w:t>The Specialist Family Violence Courts (SFVC)</w:t>
      </w:r>
      <w:bookmarkEnd w:id="49"/>
      <w:bookmarkEnd w:id="50"/>
      <w:bookmarkEnd w:id="51"/>
      <w:r w:rsidRPr="00A329B7">
        <w:rPr>
          <w:rFonts w:eastAsia="Arial"/>
        </w:rPr>
        <w:t xml:space="preserve"> </w:t>
      </w:r>
    </w:p>
    <w:p w14:paraId="58983E50" w14:textId="74B50B56" w:rsidR="005157AF" w:rsidRDefault="005157AF" w:rsidP="00DA409B">
      <w:pPr>
        <w:shd w:val="clear" w:color="auto" w:fill="FFFFFF"/>
        <w:textAlignment w:val="baseline"/>
        <w:rPr>
          <w:rFonts w:cs="Arial"/>
          <w:szCs w:val="22"/>
        </w:rPr>
      </w:pPr>
      <w:r w:rsidRPr="0034732F">
        <w:rPr>
          <w:rFonts w:cs="Arial"/>
          <w:color w:val="000000" w:themeColor="text1"/>
          <w:szCs w:val="22"/>
          <w:lang w:eastAsia="en-AU"/>
        </w:rPr>
        <w:t xml:space="preserve">The Royal Commission identified that victims of family violence can find the legal system confusing and complex to navigate. As </w:t>
      </w:r>
      <w:r>
        <w:rPr>
          <w:rFonts w:cs="Arial"/>
          <w:color w:val="000000" w:themeColor="text1"/>
          <w:szCs w:val="22"/>
          <w:lang w:eastAsia="en-AU"/>
        </w:rPr>
        <w:t xml:space="preserve">part of recommendations 60 – 70, which include expanding the specialist family violence division into courts at 14 locations across the state, </w:t>
      </w:r>
      <w:r w:rsidRPr="0034732F">
        <w:rPr>
          <w:rFonts w:cs="Arial"/>
          <w:color w:val="000000" w:themeColor="text1"/>
          <w:szCs w:val="22"/>
          <w:lang w:eastAsia="en-AU"/>
        </w:rPr>
        <w:t xml:space="preserve">VLA received specific purpose funding to co-ordinate the provision of legal services by the legal assistance sector </w:t>
      </w:r>
      <w:r>
        <w:rPr>
          <w:rFonts w:cs="Arial"/>
          <w:color w:val="000000" w:themeColor="text1"/>
          <w:szCs w:val="22"/>
          <w:lang w:eastAsia="en-AU"/>
        </w:rPr>
        <w:t xml:space="preserve">to ensure legal services are provided to people accessing the </w:t>
      </w:r>
      <w:r w:rsidRPr="0034732F">
        <w:rPr>
          <w:rFonts w:cs="Arial"/>
          <w:color w:val="000000" w:themeColor="text1"/>
          <w:szCs w:val="22"/>
          <w:lang w:eastAsia="en-AU"/>
        </w:rPr>
        <w:t xml:space="preserve">SFVCs. </w:t>
      </w:r>
    </w:p>
    <w:p w14:paraId="639B606C" w14:textId="2F522780" w:rsidR="005157AF" w:rsidRDefault="005157AF" w:rsidP="00DA409B">
      <w:pPr>
        <w:rPr>
          <w:rFonts w:cs="Arial"/>
          <w:szCs w:val="22"/>
        </w:rPr>
      </w:pPr>
      <w:r w:rsidRPr="0034732F">
        <w:rPr>
          <w:rFonts w:cs="Arial"/>
          <w:szCs w:val="22"/>
        </w:rPr>
        <w:t>The SFVC Legal Practice Model</w:t>
      </w:r>
      <w:r>
        <w:rPr>
          <w:rFonts w:cs="Arial"/>
          <w:szCs w:val="22"/>
        </w:rPr>
        <w:t xml:space="preserve">, which was designed by VLA in collaboration with </w:t>
      </w:r>
      <w:r w:rsidR="000636AF">
        <w:rPr>
          <w:rFonts w:cs="Arial"/>
          <w:szCs w:val="22"/>
        </w:rPr>
        <w:t>the Federation and</w:t>
      </w:r>
      <w:r>
        <w:rPr>
          <w:rFonts w:cs="Arial"/>
          <w:szCs w:val="22"/>
        </w:rPr>
        <w:t xml:space="preserve"> family violence practice partners, aims to deliver client centred quality legal services in the SFVCs that are easy to access, safe to use and integrated within the family violence service system</w:t>
      </w:r>
      <w:r>
        <w:rPr>
          <w:rStyle w:val="FootnoteReference"/>
          <w:rFonts w:cs="Arial"/>
          <w:szCs w:val="22"/>
        </w:rPr>
        <w:footnoteReference w:id="2"/>
      </w:r>
      <w:r>
        <w:rPr>
          <w:rFonts w:cs="Arial"/>
          <w:szCs w:val="22"/>
        </w:rPr>
        <w:t>. L</w:t>
      </w:r>
      <w:r w:rsidRPr="0034732F">
        <w:rPr>
          <w:rFonts w:cs="Arial"/>
          <w:szCs w:val="22"/>
        </w:rPr>
        <w:t>egal services delivered under th</w:t>
      </w:r>
      <w:r>
        <w:rPr>
          <w:rFonts w:cs="Arial"/>
          <w:szCs w:val="22"/>
        </w:rPr>
        <w:t xml:space="preserve">is </w:t>
      </w:r>
      <w:r w:rsidRPr="0034732F">
        <w:rPr>
          <w:rFonts w:cs="Arial"/>
          <w:szCs w:val="22"/>
        </w:rPr>
        <w:t xml:space="preserve">model </w:t>
      </w:r>
      <w:r>
        <w:rPr>
          <w:rFonts w:cs="Arial"/>
          <w:szCs w:val="22"/>
        </w:rPr>
        <w:t xml:space="preserve">aim </w:t>
      </w:r>
      <w:r w:rsidRPr="0034732F">
        <w:rPr>
          <w:rFonts w:cs="Arial"/>
          <w:szCs w:val="22"/>
        </w:rPr>
        <w:t xml:space="preserve">to foster a trauma-informed, culturally </w:t>
      </w:r>
      <w:proofErr w:type="gramStart"/>
      <w:r w:rsidRPr="0034732F">
        <w:rPr>
          <w:rFonts w:cs="Arial"/>
          <w:szCs w:val="22"/>
        </w:rPr>
        <w:t>safe</w:t>
      </w:r>
      <w:proofErr w:type="gramEnd"/>
      <w:r w:rsidRPr="0034732F">
        <w:rPr>
          <w:rFonts w:cs="Arial"/>
          <w:szCs w:val="22"/>
        </w:rPr>
        <w:t xml:space="preserve"> and non-collusive environment for both applicants and respondents. </w:t>
      </w:r>
      <w:r>
        <w:rPr>
          <w:rFonts w:cs="Arial"/>
          <w:szCs w:val="22"/>
        </w:rPr>
        <w:t xml:space="preserve">Importantly, this model aims to provide support to the client from pre-court through to post-court, reflecting both client feedback and the Royal Commission’s observations that a client’s legal and non-legal issues extend beyond just their day/s in court.  </w:t>
      </w:r>
    </w:p>
    <w:p w14:paraId="5ACEF583" w14:textId="77777777" w:rsidR="005157AF" w:rsidRPr="00BB69CA" w:rsidRDefault="005157AF" w:rsidP="00DA409B">
      <w:pPr>
        <w:shd w:val="clear" w:color="auto" w:fill="FFFFFF"/>
        <w:textAlignment w:val="baseline"/>
        <w:rPr>
          <w:rFonts w:cs="Arial"/>
          <w:color w:val="000000" w:themeColor="text1"/>
          <w:szCs w:val="22"/>
          <w:shd w:val="clear" w:color="auto" w:fill="FFFFFF"/>
        </w:rPr>
      </w:pPr>
      <w:r>
        <w:rPr>
          <w:rFonts w:cs="Arial"/>
          <w:color w:val="000000" w:themeColor="text1"/>
          <w:szCs w:val="22"/>
          <w:shd w:val="clear" w:color="auto" w:fill="FFFFFF"/>
        </w:rPr>
        <w:t>T</w:t>
      </w:r>
      <w:r w:rsidRPr="0034732F">
        <w:rPr>
          <w:rFonts w:cs="Arial"/>
          <w:color w:val="000000" w:themeColor="text1"/>
          <w:szCs w:val="22"/>
          <w:shd w:val="clear" w:color="auto" w:fill="FFFFFF"/>
        </w:rPr>
        <w:t xml:space="preserve">he </w:t>
      </w:r>
      <w:r>
        <w:rPr>
          <w:rFonts w:cs="Arial"/>
          <w:color w:val="000000" w:themeColor="text1"/>
          <w:szCs w:val="22"/>
          <w:shd w:val="clear" w:color="auto" w:fill="FFFFFF"/>
        </w:rPr>
        <w:t>L</w:t>
      </w:r>
      <w:r w:rsidRPr="0034732F">
        <w:rPr>
          <w:rFonts w:cs="Arial"/>
          <w:color w:val="000000" w:themeColor="text1"/>
          <w:szCs w:val="22"/>
          <w:shd w:val="clear" w:color="auto" w:fill="FFFFFF"/>
        </w:rPr>
        <w:t xml:space="preserve">egal </w:t>
      </w:r>
      <w:r>
        <w:rPr>
          <w:rFonts w:cs="Arial"/>
          <w:color w:val="000000" w:themeColor="text1"/>
          <w:szCs w:val="22"/>
          <w:shd w:val="clear" w:color="auto" w:fill="FFFFFF"/>
        </w:rPr>
        <w:t>P</w:t>
      </w:r>
      <w:r w:rsidRPr="0034732F">
        <w:rPr>
          <w:rFonts w:cs="Arial"/>
          <w:color w:val="000000" w:themeColor="text1"/>
          <w:szCs w:val="22"/>
          <w:shd w:val="clear" w:color="auto" w:fill="FFFFFF"/>
        </w:rPr>
        <w:t xml:space="preserve">ractice </w:t>
      </w:r>
      <w:r>
        <w:rPr>
          <w:rFonts w:cs="Arial"/>
          <w:color w:val="000000" w:themeColor="text1"/>
          <w:szCs w:val="22"/>
          <w:shd w:val="clear" w:color="auto" w:fill="FFFFFF"/>
        </w:rPr>
        <w:t>M</w:t>
      </w:r>
      <w:r w:rsidRPr="0034732F">
        <w:rPr>
          <w:rFonts w:cs="Arial"/>
          <w:color w:val="000000" w:themeColor="text1"/>
          <w:szCs w:val="22"/>
          <w:shd w:val="clear" w:color="auto" w:fill="FFFFFF"/>
        </w:rPr>
        <w:t xml:space="preserve">odel </w:t>
      </w:r>
      <w:r>
        <w:rPr>
          <w:rFonts w:cs="Arial"/>
          <w:color w:val="000000" w:themeColor="text1"/>
          <w:szCs w:val="22"/>
          <w:shd w:val="clear" w:color="auto" w:fill="FFFFFF"/>
        </w:rPr>
        <w:t xml:space="preserve">is being </w:t>
      </w:r>
      <w:r w:rsidRPr="0034732F">
        <w:rPr>
          <w:rFonts w:cs="Arial"/>
          <w:color w:val="000000" w:themeColor="text1"/>
          <w:szCs w:val="22"/>
          <w:shd w:val="clear" w:color="auto" w:fill="FFFFFF"/>
        </w:rPr>
        <w:t>implemented across the SFVC locations as the Magistrates’ Court also introduces new practices to ensure the SFVCs provide a more intensive and therapeutic model of justice.</w:t>
      </w:r>
    </w:p>
    <w:p w14:paraId="3491AFB4" w14:textId="5B6A8374" w:rsidR="008A3264" w:rsidRDefault="005157AF" w:rsidP="00DA409B">
      <w:pPr>
        <w:rPr>
          <w:rFonts w:cs="Arial"/>
          <w:szCs w:val="22"/>
          <w:lang w:eastAsia="en-AU"/>
        </w:rPr>
      </w:pPr>
      <w:r w:rsidRPr="0034732F">
        <w:rPr>
          <w:rFonts w:cs="Arial"/>
          <w:szCs w:val="22"/>
          <w:lang w:eastAsia="en-AU"/>
        </w:rPr>
        <w:t xml:space="preserve">Holding those who use family violence to account was a feature of the </w:t>
      </w:r>
      <w:r>
        <w:rPr>
          <w:rFonts w:cs="Arial"/>
          <w:szCs w:val="22"/>
          <w:lang w:eastAsia="en-AU"/>
        </w:rPr>
        <w:t>Commission</w:t>
      </w:r>
      <w:r w:rsidRPr="0034732F">
        <w:rPr>
          <w:rFonts w:cs="Arial"/>
          <w:szCs w:val="22"/>
          <w:lang w:eastAsia="en-AU"/>
        </w:rPr>
        <w:t xml:space="preserve">’s recommendation in setting up the SFVCs. In developing the Legal Practice Model, we used each of </w:t>
      </w:r>
      <w:r>
        <w:rPr>
          <w:rFonts w:cs="Arial"/>
          <w:szCs w:val="22"/>
          <w:lang w:eastAsia="en-AU"/>
        </w:rPr>
        <w:t>its</w:t>
      </w:r>
      <w:r w:rsidRPr="0034732F">
        <w:rPr>
          <w:rFonts w:cs="Arial"/>
          <w:szCs w:val="22"/>
          <w:lang w:eastAsia="en-AU"/>
        </w:rPr>
        <w:t xml:space="preserve"> eight foundations</w:t>
      </w:r>
      <w:r>
        <w:rPr>
          <w:rFonts w:cs="Arial"/>
          <w:szCs w:val="22"/>
          <w:lang w:eastAsia="en-AU"/>
        </w:rPr>
        <w:t>, created in consultation with the family violence service sector,</w:t>
      </w:r>
      <w:r w:rsidRPr="0034732F">
        <w:rPr>
          <w:rFonts w:cs="Arial"/>
          <w:szCs w:val="22"/>
          <w:lang w:eastAsia="en-AU"/>
        </w:rPr>
        <w:t xml:space="preserve"> to help promote accountability for people who use family violence.</w:t>
      </w:r>
    </w:p>
    <w:p w14:paraId="2A323DA5" w14:textId="77777777" w:rsidR="005157AF" w:rsidRPr="0014267B" w:rsidRDefault="005157AF" w:rsidP="00DA409B">
      <w:pPr>
        <w:pStyle w:val="Normaloutlinebox"/>
        <w:keepNext/>
        <w:keepLines/>
        <w:pBdr>
          <w:right w:val="single" w:sz="8" w:space="0" w:color="0098CB"/>
        </w:pBdr>
        <w:rPr>
          <w:b/>
          <w:bCs/>
          <w:color w:val="0098CB"/>
        </w:rPr>
      </w:pPr>
      <w:r w:rsidRPr="0095264E">
        <w:rPr>
          <w:b/>
          <w:bCs/>
          <w:color w:val="000000" w:themeColor="text1"/>
        </w:rPr>
        <w:lastRenderedPageBreak/>
        <w:t>The legal practice model foundations:</w:t>
      </w:r>
    </w:p>
    <w:p w14:paraId="6473A2A1"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sz w:val="20"/>
          <w:szCs w:val="20"/>
        </w:rPr>
      </w:pPr>
      <w:bookmarkStart w:id="52" w:name="_Hlk23508785"/>
      <w:bookmarkStart w:id="53" w:name="_Hlk23232127"/>
      <w:r w:rsidRPr="00A45E24">
        <w:rPr>
          <w:rFonts w:cs="Arial"/>
          <w:b/>
          <w:bCs/>
          <w:sz w:val="20"/>
          <w:szCs w:val="20"/>
        </w:rPr>
        <w:t>Easier access to legal services</w:t>
      </w:r>
    </w:p>
    <w:p w14:paraId="4332E377"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rPr>
      </w:pPr>
      <w:r w:rsidRPr="00A45E24">
        <w:rPr>
          <w:rFonts w:cs="Arial"/>
          <w:sz w:val="20"/>
          <w:szCs w:val="20"/>
        </w:rPr>
        <w:t>People with legal needs are supported to access legal help from any point of contact with the family violence service system.</w:t>
      </w:r>
    </w:p>
    <w:p w14:paraId="124D1211"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sz w:val="20"/>
          <w:szCs w:val="20"/>
        </w:rPr>
      </w:pPr>
      <w:r w:rsidRPr="00A45E24">
        <w:rPr>
          <w:rFonts w:cs="Arial"/>
          <w:b/>
          <w:bCs/>
          <w:sz w:val="20"/>
          <w:szCs w:val="20"/>
        </w:rPr>
        <w:t xml:space="preserve">Client centred processes, </w:t>
      </w:r>
      <w:proofErr w:type="gramStart"/>
      <w:r w:rsidRPr="00A45E24">
        <w:rPr>
          <w:rFonts w:cs="Arial"/>
          <w:b/>
          <w:bCs/>
          <w:sz w:val="20"/>
          <w:szCs w:val="20"/>
        </w:rPr>
        <w:t>practices</w:t>
      </w:r>
      <w:proofErr w:type="gramEnd"/>
      <w:r w:rsidRPr="00A45E24">
        <w:rPr>
          <w:rFonts w:cs="Arial"/>
          <w:b/>
          <w:bCs/>
          <w:sz w:val="20"/>
          <w:szCs w:val="20"/>
        </w:rPr>
        <w:t xml:space="preserve"> and services</w:t>
      </w:r>
    </w:p>
    <w:p w14:paraId="31BAD4BE"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rPr>
      </w:pPr>
      <w:r w:rsidRPr="00A45E24">
        <w:rPr>
          <w:rFonts w:cs="Arial"/>
          <w:sz w:val="20"/>
          <w:szCs w:val="20"/>
        </w:rPr>
        <w:t>People with legal needs are at the centre of all legal processes and practices and legal services are developed in partnership with the family violence service system.</w:t>
      </w:r>
    </w:p>
    <w:p w14:paraId="67804A33"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rPr>
      </w:pPr>
      <w:r w:rsidRPr="00A45E24">
        <w:rPr>
          <w:rFonts w:cs="Arial"/>
          <w:b/>
          <w:bCs/>
          <w:sz w:val="20"/>
          <w:szCs w:val="20"/>
        </w:rPr>
        <w:t>Creating a safe and responsive quality legal practice</w:t>
      </w:r>
    </w:p>
    <w:p w14:paraId="3FAB63D0"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rPr>
      </w:pPr>
      <w:r w:rsidRPr="00A45E24">
        <w:rPr>
          <w:rFonts w:cs="Arial"/>
          <w:sz w:val="20"/>
          <w:szCs w:val="20"/>
        </w:rPr>
        <w:t>People with legal needs receive legal services that are trauma-informed, are responsive to diversity and recognise their agency throughout the legal process.</w:t>
      </w:r>
    </w:p>
    <w:p w14:paraId="2D2101DF"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rPr>
      </w:pPr>
      <w:r w:rsidRPr="00A45E24">
        <w:rPr>
          <w:rFonts w:cs="Arial"/>
          <w:b/>
          <w:bCs/>
          <w:sz w:val="20"/>
          <w:szCs w:val="20"/>
          <w:lang w:eastAsia="en-AU"/>
        </w:rPr>
        <w:t>Addressing clients’ practical needs at court</w:t>
      </w:r>
    </w:p>
    <w:p w14:paraId="6651A3A6"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lang w:eastAsia="en-AU"/>
        </w:rPr>
      </w:pPr>
      <w:r w:rsidRPr="00A45E24">
        <w:rPr>
          <w:rFonts w:cs="Arial"/>
          <w:sz w:val="20"/>
          <w:szCs w:val="20"/>
          <w:lang w:eastAsia="en-AU"/>
        </w:rPr>
        <w:t xml:space="preserve">People with legal needs feel safe, </w:t>
      </w:r>
      <w:proofErr w:type="gramStart"/>
      <w:r w:rsidRPr="00A45E24">
        <w:rPr>
          <w:rFonts w:cs="Arial"/>
          <w:sz w:val="20"/>
          <w:szCs w:val="20"/>
          <w:lang w:eastAsia="en-AU"/>
        </w:rPr>
        <w:t>supported</w:t>
      </w:r>
      <w:proofErr w:type="gramEnd"/>
      <w:r w:rsidRPr="00A45E24">
        <w:rPr>
          <w:rFonts w:cs="Arial"/>
          <w:sz w:val="20"/>
          <w:szCs w:val="20"/>
          <w:lang w:eastAsia="en-AU"/>
        </w:rPr>
        <w:t xml:space="preserve"> and respected, are kept informed and have their practical needs met at court.</w:t>
      </w:r>
    </w:p>
    <w:p w14:paraId="64FFF6C3"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rPr>
      </w:pPr>
      <w:r w:rsidRPr="00A45E24">
        <w:rPr>
          <w:rFonts w:cs="Arial"/>
          <w:b/>
          <w:bCs/>
          <w:sz w:val="20"/>
          <w:szCs w:val="20"/>
          <w:lang w:eastAsia="en-AU"/>
        </w:rPr>
        <w:t>Increasing duty lawyer accessibility</w:t>
      </w:r>
    </w:p>
    <w:p w14:paraId="4AAA806A"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lang w:eastAsia="en-AU"/>
        </w:rPr>
      </w:pPr>
      <w:r w:rsidRPr="00A45E24">
        <w:rPr>
          <w:rFonts w:cs="Arial"/>
          <w:sz w:val="20"/>
          <w:szCs w:val="20"/>
          <w:lang w:eastAsia="en-AU"/>
        </w:rPr>
        <w:t xml:space="preserve">People with legal needs who attend court proceedings receive timely, </w:t>
      </w:r>
      <w:proofErr w:type="gramStart"/>
      <w:r w:rsidRPr="00A45E24">
        <w:rPr>
          <w:rFonts w:cs="Arial"/>
          <w:sz w:val="20"/>
          <w:szCs w:val="20"/>
          <w:lang w:eastAsia="en-AU"/>
        </w:rPr>
        <w:t>safe</w:t>
      </w:r>
      <w:proofErr w:type="gramEnd"/>
      <w:r w:rsidRPr="00A45E24">
        <w:rPr>
          <w:rFonts w:cs="Arial"/>
          <w:sz w:val="20"/>
          <w:szCs w:val="20"/>
          <w:lang w:eastAsia="en-AU"/>
        </w:rPr>
        <w:t xml:space="preserve"> and quality services from adequately resourced duty lawyer services.</w:t>
      </w:r>
    </w:p>
    <w:p w14:paraId="0A0D39BA"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lang w:eastAsia="en-AU"/>
        </w:rPr>
      </w:pPr>
      <w:r w:rsidRPr="00A45E24">
        <w:rPr>
          <w:rFonts w:cs="Arial"/>
          <w:b/>
          <w:bCs/>
          <w:sz w:val="20"/>
          <w:szCs w:val="20"/>
          <w:lang w:eastAsia="en-AU"/>
        </w:rPr>
        <w:t>Enhancing lawyers’ capabilities</w:t>
      </w:r>
    </w:p>
    <w:p w14:paraId="386C5888"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lang w:eastAsia="en-AU"/>
        </w:rPr>
      </w:pPr>
      <w:r w:rsidRPr="00A45E24">
        <w:rPr>
          <w:rFonts w:cs="Arial"/>
          <w:sz w:val="20"/>
          <w:szCs w:val="20"/>
          <w:lang w:eastAsia="en-AU"/>
        </w:rPr>
        <w:t xml:space="preserve">People with legal needs receive advice, </w:t>
      </w:r>
      <w:proofErr w:type="gramStart"/>
      <w:r w:rsidRPr="00A45E24">
        <w:rPr>
          <w:rFonts w:cs="Arial"/>
          <w:sz w:val="20"/>
          <w:szCs w:val="20"/>
          <w:lang w:eastAsia="en-AU"/>
        </w:rPr>
        <w:t>information</w:t>
      </w:r>
      <w:proofErr w:type="gramEnd"/>
      <w:r w:rsidRPr="00A45E24">
        <w:rPr>
          <w:rFonts w:cs="Arial"/>
          <w:sz w:val="20"/>
          <w:szCs w:val="20"/>
          <w:lang w:eastAsia="en-AU"/>
        </w:rPr>
        <w:t xml:space="preserve"> or appropriate referrals for their range of legal issues from lawyers who have the skills and capabilities to identify them.</w:t>
      </w:r>
    </w:p>
    <w:p w14:paraId="2F8D2995"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lang w:eastAsia="en-AU"/>
        </w:rPr>
      </w:pPr>
      <w:r w:rsidRPr="00A45E24">
        <w:rPr>
          <w:rFonts w:cs="Arial"/>
          <w:b/>
          <w:bCs/>
          <w:sz w:val="20"/>
          <w:szCs w:val="20"/>
        </w:rPr>
        <w:t>Improving service continuity</w:t>
      </w:r>
    </w:p>
    <w:p w14:paraId="5580FA3E" w14:textId="77777777" w:rsidR="005157AF" w:rsidRPr="00A45E24" w:rsidRDefault="005157AF" w:rsidP="00DA409B">
      <w:pPr>
        <w:pStyle w:val="Normaloutlinebox"/>
        <w:keepNext/>
        <w:keepLines/>
        <w:pBdr>
          <w:right w:val="single" w:sz="8" w:space="0" w:color="0098CB"/>
        </w:pBdr>
        <w:spacing w:before="0" w:line="240" w:lineRule="auto"/>
        <w:rPr>
          <w:rFonts w:cs="Arial"/>
          <w:sz w:val="20"/>
          <w:szCs w:val="20"/>
        </w:rPr>
      </w:pPr>
      <w:r w:rsidRPr="00A45E24">
        <w:rPr>
          <w:rFonts w:cs="Arial"/>
          <w:sz w:val="20"/>
          <w:szCs w:val="20"/>
        </w:rPr>
        <w:t>People with legal needs receive a more seamless legal service experience throughout the legal process that is focused on the early resolution of their matters.</w:t>
      </w:r>
    </w:p>
    <w:p w14:paraId="500CF071" w14:textId="77777777" w:rsidR="005157AF" w:rsidRPr="00A45E24" w:rsidRDefault="005157AF" w:rsidP="00DA409B">
      <w:pPr>
        <w:pStyle w:val="Normaloutlinebox"/>
        <w:keepNext/>
        <w:keepLines/>
        <w:numPr>
          <w:ilvl w:val="0"/>
          <w:numId w:val="11"/>
        </w:numPr>
        <w:pBdr>
          <w:right w:val="single" w:sz="8" w:space="0" w:color="0098CB"/>
        </w:pBdr>
        <w:spacing w:before="0" w:line="240" w:lineRule="auto"/>
        <w:rPr>
          <w:rFonts w:cs="Arial"/>
          <w:sz w:val="20"/>
          <w:szCs w:val="20"/>
        </w:rPr>
      </w:pPr>
      <w:r w:rsidRPr="00A45E24">
        <w:rPr>
          <w:rFonts w:cs="Arial"/>
          <w:b/>
          <w:bCs/>
          <w:sz w:val="20"/>
          <w:szCs w:val="20"/>
          <w:lang w:eastAsia="en-AU"/>
        </w:rPr>
        <w:t>Continuous improvement</w:t>
      </w:r>
    </w:p>
    <w:p w14:paraId="1B7109AD" w14:textId="77777777" w:rsidR="005157AF" w:rsidRPr="00334110" w:rsidRDefault="005157AF" w:rsidP="00DA409B">
      <w:pPr>
        <w:pStyle w:val="Normaloutlinebox"/>
        <w:keepNext/>
        <w:keepLines/>
        <w:pBdr>
          <w:right w:val="single" w:sz="8" w:space="0" w:color="0098CB"/>
        </w:pBdr>
        <w:spacing w:before="0" w:line="240" w:lineRule="auto"/>
        <w:rPr>
          <w:rFonts w:cs="Arial"/>
          <w:sz w:val="20"/>
          <w:szCs w:val="20"/>
        </w:rPr>
      </w:pPr>
      <w:r w:rsidRPr="00A45E24">
        <w:rPr>
          <w:rFonts w:cs="Arial"/>
          <w:sz w:val="20"/>
          <w:szCs w:val="20"/>
          <w:lang w:eastAsia="en-AU"/>
        </w:rPr>
        <w:t>We will listen to people with legal needs and modify our services to continually improve and be responsive to their needs.</w:t>
      </w:r>
      <w:bookmarkEnd w:id="52"/>
      <w:bookmarkEnd w:id="53"/>
    </w:p>
    <w:p w14:paraId="5A8CF788" w14:textId="741CB853" w:rsidR="005157AF" w:rsidRDefault="005157AF" w:rsidP="00DA409B">
      <w:pPr>
        <w:textAlignment w:val="center"/>
        <w:rPr>
          <w:rFonts w:cs="Arial"/>
          <w:szCs w:val="22"/>
          <w:lang w:eastAsia="en-AU"/>
        </w:rPr>
      </w:pPr>
      <w:r>
        <w:rPr>
          <w:rFonts w:cs="Arial"/>
          <w:szCs w:val="22"/>
          <w:lang w:eastAsia="en-AU"/>
        </w:rPr>
        <w:t xml:space="preserve">To date, funding has been allocated and </w:t>
      </w:r>
      <w:r w:rsidRPr="002636C5">
        <w:rPr>
          <w:rFonts w:cs="Arial"/>
          <w:szCs w:val="22"/>
          <w:lang w:eastAsia="en-AU"/>
        </w:rPr>
        <w:t xml:space="preserve">service delivery has commenced </w:t>
      </w:r>
      <w:r>
        <w:rPr>
          <w:rFonts w:cs="Arial"/>
          <w:szCs w:val="22"/>
          <w:lang w:eastAsia="en-AU"/>
        </w:rPr>
        <w:t>in Shepparton, Ballarat and Moorabbin and the</w:t>
      </w:r>
      <w:r w:rsidRPr="00220E52">
        <w:rPr>
          <w:rFonts w:cs="Arial"/>
          <w:szCs w:val="22"/>
          <w:lang w:eastAsia="en-AU"/>
        </w:rPr>
        <w:t xml:space="preserve"> process for </w:t>
      </w:r>
      <w:r>
        <w:rPr>
          <w:rFonts w:cs="Arial"/>
          <w:szCs w:val="22"/>
          <w:lang w:eastAsia="en-AU"/>
        </w:rPr>
        <w:t xml:space="preserve">the </w:t>
      </w:r>
      <w:r w:rsidRPr="00220E52">
        <w:rPr>
          <w:rFonts w:cs="Arial"/>
          <w:szCs w:val="22"/>
          <w:lang w:eastAsia="en-AU"/>
        </w:rPr>
        <w:t>next two locations (Frankston and Heidelberg)</w:t>
      </w:r>
      <w:r w:rsidRPr="002636C5">
        <w:rPr>
          <w:rFonts w:cs="Arial"/>
          <w:szCs w:val="22"/>
          <w:lang w:eastAsia="en-AU"/>
        </w:rPr>
        <w:t xml:space="preserve"> </w:t>
      </w:r>
      <w:r>
        <w:rPr>
          <w:rFonts w:cs="Arial"/>
          <w:szCs w:val="22"/>
          <w:lang w:eastAsia="en-AU"/>
        </w:rPr>
        <w:t xml:space="preserve">is underway. </w:t>
      </w:r>
      <w:r w:rsidRPr="002636C5">
        <w:rPr>
          <w:rFonts w:cs="Arial"/>
          <w:szCs w:val="22"/>
          <w:lang w:eastAsia="en-AU"/>
        </w:rPr>
        <w:t xml:space="preserve"> </w:t>
      </w:r>
    </w:p>
    <w:p w14:paraId="64CB1064" w14:textId="26720829" w:rsidR="00493E13" w:rsidRDefault="005157AF" w:rsidP="00DA409B">
      <w:pPr>
        <w:textAlignment w:val="center"/>
        <w:rPr>
          <w:rFonts w:cs="Arial"/>
          <w:szCs w:val="22"/>
          <w:lang w:eastAsia="en-AU"/>
        </w:rPr>
      </w:pPr>
      <w:r>
        <w:rPr>
          <w:rFonts w:cs="Arial"/>
          <w:szCs w:val="22"/>
          <w:lang w:eastAsia="en-AU"/>
        </w:rPr>
        <w:t>In our experience the SFVCs are operating well, and this is in part due to their additional and specialist resourcing. During the COVID-19 response, we have seen that SFVC locations have been more equipped to resolve issues and provide for client services as compared to non-specialist courts.</w:t>
      </w:r>
      <w:r w:rsidR="006906E2">
        <w:rPr>
          <w:rFonts w:cs="Arial"/>
          <w:szCs w:val="22"/>
          <w:lang w:eastAsia="en-AU"/>
        </w:rPr>
        <w:t xml:space="preserve"> </w:t>
      </w:r>
      <w:r w:rsidR="009A0D6B">
        <w:rPr>
          <w:rFonts w:cs="Arial"/>
          <w:szCs w:val="22"/>
          <w:lang w:eastAsia="en-AU"/>
        </w:rPr>
        <w:t>For example</w:t>
      </w:r>
      <w:r w:rsidR="001D70BF">
        <w:rPr>
          <w:rFonts w:cs="Arial"/>
          <w:szCs w:val="22"/>
          <w:lang w:eastAsia="en-AU"/>
        </w:rPr>
        <w:t>,</w:t>
      </w:r>
      <w:r w:rsidR="009A0D6B">
        <w:rPr>
          <w:rFonts w:cs="Arial"/>
          <w:szCs w:val="22"/>
          <w:lang w:eastAsia="en-AU"/>
        </w:rPr>
        <w:t xml:space="preserve"> </w:t>
      </w:r>
      <w:r w:rsidR="00CF32B9">
        <w:rPr>
          <w:rFonts w:cs="Arial"/>
          <w:szCs w:val="22"/>
          <w:lang w:eastAsia="en-AU"/>
        </w:rPr>
        <w:t xml:space="preserve">we are seeing the way in which </w:t>
      </w:r>
      <w:r w:rsidR="00FD238C">
        <w:rPr>
          <w:rFonts w:cs="Arial"/>
          <w:szCs w:val="22"/>
          <w:lang w:eastAsia="en-AU"/>
        </w:rPr>
        <w:t>the specialist courts are</w:t>
      </w:r>
      <w:r w:rsidR="006906E2">
        <w:rPr>
          <w:rFonts w:cs="Arial"/>
          <w:szCs w:val="22"/>
          <w:lang w:eastAsia="en-AU"/>
        </w:rPr>
        <w:t xml:space="preserve"> </w:t>
      </w:r>
      <w:r w:rsidR="00992D94">
        <w:rPr>
          <w:rFonts w:cs="Arial"/>
          <w:szCs w:val="22"/>
          <w:lang w:eastAsia="en-AU"/>
        </w:rPr>
        <w:t xml:space="preserve">addressing </w:t>
      </w:r>
      <w:r w:rsidR="00CF32B9">
        <w:rPr>
          <w:rFonts w:cs="Arial"/>
          <w:szCs w:val="22"/>
          <w:lang w:eastAsia="en-AU"/>
        </w:rPr>
        <w:t>court backlog (</w:t>
      </w:r>
      <w:proofErr w:type="gramStart"/>
      <w:r w:rsidR="00CF32B9">
        <w:rPr>
          <w:rFonts w:cs="Arial"/>
          <w:szCs w:val="22"/>
          <w:lang w:eastAsia="en-AU"/>
        </w:rPr>
        <w:t>as a result of</w:t>
      </w:r>
      <w:proofErr w:type="gramEnd"/>
      <w:r w:rsidR="00CF32B9">
        <w:rPr>
          <w:rFonts w:cs="Arial"/>
          <w:szCs w:val="22"/>
          <w:lang w:eastAsia="en-AU"/>
        </w:rPr>
        <w:t xml:space="preserve"> COVID-19)</w:t>
      </w:r>
      <w:r w:rsidR="00667FA3">
        <w:rPr>
          <w:rFonts w:cs="Arial"/>
          <w:szCs w:val="22"/>
          <w:lang w:eastAsia="en-AU"/>
        </w:rPr>
        <w:t>. They</w:t>
      </w:r>
      <w:r w:rsidR="00CF32B9">
        <w:rPr>
          <w:rFonts w:cs="Arial"/>
          <w:szCs w:val="22"/>
          <w:lang w:eastAsia="en-AU"/>
        </w:rPr>
        <w:t xml:space="preserve"> </w:t>
      </w:r>
      <w:r w:rsidR="00943868">
        <w:rPr>
          <w:rFonts w:cs="Arial"/>
          <w:szCs w:val="22"/>
          <w:lang w:eastAsia="en-AU"/>
        </w:rPr>
        <w:t xml:space="preserve">were quickly able to </w:t>
      </w:r>
      <w:r w:rsidR="00F24247">
        <w:rPr>
          <w:rFonts w:cs="Arial"/>
          <w:szCs w:val="22"/>
          <w:lang w:eastAsia="en-AU"/>
        </w:rPr>
        <w:t xml:space="preserve">implement processes to make </w:t>
      </w:r>
      <w:r w:rsidR="00667FA3">
        <w:rPr>
          <w:rFonts w:cs="Arial"/>
          <w:szCs w:val="22"/>
          <w:lang w:eastAsia="en-AU"/>
        </w:rPr>
        <w:t>client</w:t>
      </w:r>
      <w:r w:rsidR="00F24247">
        <w:rPr>
          <w:rFonts w:cs="Arial"/>
          <w:szCs w:val="22"/>
          <w:lang w:eastAsia="en-AU"/>
        </w:rPr>
        <w:t xml:space="preserve"> referrals to </w:t>
      </w:r>
      <w:r w:rsidR="00667FA3">
        <w:rPr>
          <w:rFonts w:cs="Arial"/>
          <w:szCs w:val="22"/>
          <w:lang w:eastAsia="en-AU"/>
        </w:rPr>
        <w:t>duty lawyer</w:t>
      </w:r>
      <w:r w:rsidR="00F24247">
        <w:rPr>
          <w:rFonts w:cs="Arial"/>
          <w:szCs w:val="22"/>
          <w:lang w:eastAsia="en-AU"/>
        </w:rPr>
        <w:t xml:space="preserve"> services</w:t>
      </w:r>
      <w:r w:rsidR="007D521D">
        <w:rPr>
          <w:rFonts w:cs="Arial"/>
          <w:szCs w:val="22"/>
          <w:lang w:eastAsia="en-AU"/>
        </w:rPr>
        <w:t>,</w:t>
      </w:r>
      <w:r w:rsidR="00652303">
        <w:rPr>
          <w:rFonts w:cs="Arial"/>
          <w:szCs w:val="22"/>
          <w:lang w:eastAsia="en-AU"/>
        </w:rPr>
        <w:t xml:space="preserve"> </w:t>
      </w:r>
      <w:r w:rsidR="007D521D">
        <w:rPr>
          <w:rFonts w:cs="Arial"/>
          <w:szCs w:val="22"/>
          <w:lang w:eastAsia="en-AU"/>
        </w:rPr>
        <w:t>with</w:t>
      </w:r>
      <w:r w:rsidR="00652303">
        <w:rPr>
          <w:rFonts w:cs="Arial"/>
          <w:szCs w:val="22"/>
          <w:lang w:eastAsia="en-AU"/>
        </w:rPr>
        <w:t xml:space="preserve"> </w:t>
      </w:r>
      <w:r w:rsidR="006B4C64">
        <w:rPr>
          <w:rFonts w:cs="Arial"/>
          <w:szCs w:val="22"/>
          <w:lang w:eastAsia="en-AU"/>
        </w:rPr>
        <w:t>police operating in the specialist courts</w:t>
      </w:r>
      <w:r w:rsidR="00652303">
        <w:rPr>
          <w:rFonts w:cs="Arial"/>
          <w:szCs w:val="22"/>
          <w:lang w:eastAsia="en-AU"/>
        </w:rPr>
        <w:t xml:space="preserve"> sending out</w:t>
      </w:r>
      <w:r w:rsidR="00CF32B9">
        <w:rPr>
          <w:rFonts w:cs="Arial"/>
          <w:szCs w:val="22"/>
          <w:lang w:eastAsia="en-AU"/>
        </w:rPr>
        <w:t xml:space="preserve"> </w:t>
      </w:r>
      <w:r w:rsidR="006B4C64">
        <w:rPr>
          <w:rFonts w:cs="Arial"/>
          <w:szCs w:val="22"/>
          <w:lang w:eastAsia="en-AU"/>
        </w:rPr>
        <w:t xml:space="preserve">all </w:t>
      </w:r>
      <w:r w:rsidR="00FF5C78">
        <w:rPr>
          <w:rFonts w:cs="Arial"/>
          <w:szCs w:val="22"/>
          <w:lang w:eastAsia="en-AU"/>
        </w:rPr>
        <w:t>service documents</w:t>
      </w:r>
      <w:r w:rsidR="006B4C64">
        <w:rPr>
          <w:rFonts w:cs="Arial"/>
          <w:szCs w:val="22"/>
          <w:lang w:eastAsia="en-AU"/>
        </w:rPr>
        <w:t xml:space="preserve"> to parties</w:t>
      </w:r>
      <w:r w:rsidR="00FF5C78">
        <w:rPr>
          <w:rFonts w:cs="Arial"/>
          <w:szCs w:val="22"/>
          <w:lang w:eastAsia="en-AU"/>
        </w:rPr>
        <w:t xml:space="preserve"> prior to them attending </w:t>
      </w:r>
      <w:r w:rsidR="006B4C64">
        <w:rPr>
          <w:rFonts w:cs="Arial"/>
          <w:szCs w:val="22"/>
          <w:lang w:eastAsia="en-AU"/>
        </w:rPr>
        <w:t>court</w:t>
      </w:r>
      <w:r w:rsidR="00FF5C78">
        <w:rPr>
          <w:rFonts w:cs="Arial"/>
          <w:szCs w:val="22"/>
          <w:lang w:eastAsia="en-AU"/>
        </w:rPr>
        <w:t>.</w:t>
      </w:r>
      <w:r>
        <w:rPr>
          <w:rFonts w:cs="Arial"/>
          <w:szCs w:val="22"/>
          <w:lang w:eastAsia="en-AU"/>
        </w:rPr>
        <w:t xml:space="preserve"> </w:t>
      </w:r>
    </w:p>
    <w:p w14:paraId="6D00F365" w14:textId="494CAD99" w:rsidR="005B42D6" w:rsidRDefault="005157AF" w:rsidP="00DA409B">
      <w:pPr>
        <w:textAlignment w:val="center"/>
        <w:rPr>
          <w:rFonts w:cs="Arial"/>
          <w:szCs w:val="22"/>
          <w:lang w:eastAsia="en-AU"/>
        </w:rPr>
      </w:pPr>
      <w:r>
        <w:rPr>
          <w:rFonts w:cs="Arial"/>
          <w:szCs w:val="22"/>
          <w:lang w:eastAsia="en-AU"/>
        </w:rPr>
        <w:t>This does</w:t>
      </w:r>
      <w:r w:rsidR="00493E13">
        <w:rPr>
          <w:rFonts w:cs="Arial"/>
          <w:szCs w:val="22"/>
          <w:lang w:eastAsia="en-AU"/>
        </w:rPr>
        <w:t>,</w:t>
      </w:r>
      <w:r>
        <w:rPr>
          <w:rFonts w:cs="Arial"/>
          <w:szCs w:val="22"/>
          <w:lang w:eastAsia="en-AU"/>
        </w:rPr>
        <w:t xml:space="preserve"> however</w:t>
      </w:r>
      <w:r w:rsidR="00493E13">
        <w:rPr>
          <w:rFonts w:cs="Arial"/>
          <w:szCs w:val="22"/>
          <w:lang w:eastAsia="en-AU"/>
        </w:rPr>
        <w:t>,</w:t>
      </w:r>
      <w:r>
        <w:rPr>
          <w:rFonts w:cs="Arial"/>
          <w:szCs w:val="22"/>
          <w:lang w:eastAsia="en-AU"/>
        </w:rPr>
        <w:t xml:space="preserve"> illustrate an emerging concern of postcode justice (</w:t>
      </w:r>
      <w:r w:rsidRPr="005C7E3D">
        <w:rPr>
          <w:rFonts w:cs="Arial"/>
          <w:color w:val="000000"/>
          <w:szCs w:val="22"/>
          <w:shd w:val="clear" w:color="auto" w:fill="FFFFFF"/>
        </w:rPr>
        <w:t>where</w:t>
      </w:r>
      <w:r w:rsidR="00083883">
        <w:rPr>
          <w:rFonts w:cs="Arial"/>
          <w:color w:val="000000"/>
          <w:szCs w:val="22"/>
          <w:shd w:val="clear" w:color="auto" w:fill="FFFFFF"/>
        </w:rPr>
        <w:t>, for example,</w:t>
      </w:r>
      <w:r w:rsidRPr="005C7E3D">
        <w:rPr>
          <w:rFonts w:cs="Arial"/>
          <w:color w:val="000000"/>
          <w:szCs w:val="22"/>
          <w:shd w:val="clear" w:color="auto" w:fill="FFFFFF"/>
        </w:rPr>
        <w:t xml:space="preserve"> regional Victorians experience disadvantage in access to justice system services in comparison to their metropolitan counterparts</w:t>
      </w:r>
      <w:r w:rsidRPr="005C7E3D">
        <w:rPr>
          <w:rStyle w:val="FootnoteReference"/>
          <w:rFonts w:cs="Arial"/>
          <w:sz w:val="22"/>
          <w:szCs w:val="22"/>
          <w:lang w:eastAsia="en-AU"/>
        </w:rPr>
        <w:footnoteReference w:id="3"/>
      </w:r>
      <w:r>
        <w:rPr>
          <w:rFonts w:cs="Arial"/>
          <w:color w:val="000000"/>
          <w:szCs w:val="22"/>
          <w:shd w:val="clear" w:color="auto" w:fill="FFFFFF"/>
        </w:rPr>
        <w:t>).</w:t>
      </w:r>
      <w:r>
        <w:rPr>
          <w:rFonts w:cs="Arial"/>
          <w:szCs w:val="22"/>
          <w:lang w:eastAsia="en-AU"/>
        </w:rPr>
        <w:t xml:space="preserve"> In this case</w:t>
      </w:r>
      <w:r w:rsidDel="00B80CDB">
        <w:rPr>
          <w:rFonts w:cs="Arial"/>
          <w:szCs w:val="22"/>
          <w:lang w:eastAsia="en-AU"/>
        </w:rPr>
        <w:t xml:space="preserve"> </w:t>
      </w:r>
      <w:r>
        <w:rPr>
          <w:rFonts w:cs="Arial"/>
          <w:szCs w:val="22"/>
          <w:lang w:eastAsia="en-AU"/>
        </w:rPr>
        <w:t>clients who have their matter heard in the SFVC</w:t>
      </w:r>
      <w:r w:rsidR="00740502">
        <w:rPr>
          <w:rFonts w:cs="Arial"/>
          <w:szCs w:val="22"/>
          <w:lang w:eastAsia="en-AU"/>
        </w:rPr>
        <w:t>s</w:t>
      </w:r>
      <w:r>
        <w:rPr>
          <w:rFonts w:cs="Arial"/>
          <w:szCs w:val="22"/>
          <w:lang w:eastAsia="en-AU"/>
        </w:rPr>
        <w:t xml:space="preserve"> are receiving a more holistic and specialised response than clients whose matters are continuing in non-specialist courts. </w:t>
      </w:r>
    </w:p>
    <w:p w14:paraId="58AD59F3" w14:textId="270ED4DE" w:rsidR="00BD1B5F" w:rsidRDefault="005157AF" w:rsidP="00DA409B">
      <w:pPr>
        <w:textAlignment w:val="center"/>
        <w:rPr>
          <w:rFonts w:cs="Arial"/>
          <w:szCs w:val="22"/>
        </w:rPr>
      </w:pPr>
      <w:r>
        <w:rPr>
          <w:rFonts w:cs="Arial"/>
          <w:szCs w:val="22"/>
          <w:lang w:eastAsia="en-AU"/>
        </w:rPr>
        <w:lastRenderedPageBreak/>
        <w:t xml:space="preserve">Given that building the necessary infrastructure for the SFVCs will take time, it is important that there is a clear and transparent commitment from the Government outlining the implementation plan for expansion and associated funding. However, it is our </w:t>
      </w:r>
      <w:r w:rsidRPr="00FE0B8F">
        <w:rPr>
          <w:rFonts w:cs="Arial"/>
          <w:szCs w:val="22"/>
          <w:lang w:eastAsia="en-AU"/>
        </w:rPr>
        <w:t>view that</w:t>
      </w:r>
      <w:r>
        <w:rPr>
          <w:rFonts w:cs="Arial"/>
          <w:szCs w:val="22"/>
          <w:lang w:eastAsia="en-AU"/>
        </w:rPr>
        <w:t>, with funding,</w:t>
      </w:r>
      <w:r w:rsidRPr="00FE0B8F">
        <w:rPr>
          <w:rFonts w:cs="Arial"/>
          <w:szCs w:val="22"/>
          <w:lang w:eastAsia="en-AU"/>
        </w:rPr>
        <w:t xml:space="preserve"> </w:t>
      </w:r>
      <w:r>
        <w:rPr>
          <w:rFonts w:cs="Arial"/>
          <w:szCs w:val="22"/>
          <w:lang w:eastAsia="en-AU"/>
        </w:rPr>
        <w:t xml:space="preserve">specialist </w:t>
      </w:r>
      <w:r w:rsidRPr="00FE0B8F">
        <w:rPr>
          <w:rFonts w:cs="Arial"/>
          <w:szCs w:val="22"/>
        </w:rPr>
        <w:t xml:space="preserve">elements of the Legal Practice Model </w:t>
      </w:r>
      <w:r>
        <w:rPr>
          <w:rFonts w:cs="Arial"/>
          <w:szCs w:val="22"/>
        </w:rPr>
        <w:t xml:space="preserve">could </w:t>
      </w:r>
      <w:r w:rsidR="000C1829">
        <w:rPr>
          <w:rFonts w:cs="Arial"/>
          <w:szCs w:val="22"/>
        </w:rPr>
        <w:t xml:space="preserve">also </w:t>
      </w:r>
      <w:r w:rsidRPr="00FE0B8F">
        <w:rPr>
          <w:rFonts w:cs="Arial"/>
          <w:szCs w:val="22"/>
        </w:rPr>
        <w:t xml:space="preserve">be </w:t>
      </w:r>
      <w:r>
        <w:rPr>
          <w:rFonts w:cs="Arial"/>
          <w:szCs w:val="22"/>
        </w:rPr>
        <w:t>implemented</w:t>
      </w:r>
      <w:r w:rsidRPr="00FE0B8F">
        <w:rPr>
          <w:rFonts w:cs="Arial"/>
          <w:szCs w:val="22"/>
        </w:rPr>
        <w:t xml:space="preserve"> </w:t>
      </w:r>
      <w:r>
        <w:rPr>
          <w:rFonts w:cs="Arial"/>
          <w:szCs w:val="22"/>
        </w:rPr>
        <w:t xml:space="preserve">prior to the completion of </w:t>
      </w:r>
      <w:r w:rsidRPr="00FE0B8F">
        <w:rPr>
          <w:rFonts w:cs="Arial"/>
          <w:szCs w:val="22"/>
        </w:rPr>
        <w:t xml:space="preserve">the </w:t>
      </w:r>
      <w:r>
        <w:rPr>
          <w:rFonts w:cs="Arial"/>
          <w:szCs w:val="22"/>
        </w:rPr>
        <w:t xml:space="preserve">SFVC </w:t>
      </w:r>
      <w:r w:rsidRPr="00FE0B8F">
        <w:rPr>
          <w:rFonts w:cs="Arial"/>
          <w:szCs w:val="22"/>
        </w:rPr>
        <w:t>built environment</w:t>
      </w:r>
      <w:r>
        <w:rPr>
          <w:rFonts w:cs="Arial"/>
          <w:szCs w:val="22"/>
        </w:rPr>
        <w:t xml:space="preserve"> and that this would have a positive impact for people with family violence legal needs.  </w:t>
      </w:r>
      <w:bookmarkStart w:id="54" w:name="_Toc46146200"/>
    </w:p>
    <w:p w14:paraId="4D496C4B" w14:textId="7ACE3C86" w:rsidR="00BD1B5F" w:rsidRDefault="002C1AAC" w:rsidP="00DA409B">
      <w:pPr>
        <w:textAlignment w:val="center"/>
        <w:rPr>
          <w:rFonts w:cs="Arial"/>
          <w:szCs w:val="22"/>
        </w:rPr>
      </w:pPr>
      <w:r>
        <w:rPr>
          <w:rFonts w:cs="Arial"/>
          <w:noProof/>
          <w:szCs w:val="22"/>
        </w:rPr>
        <mc:AlternateContent>
          <mc:Choice Requires="wps">
            <w:drawing>
              <wp:inline distT="0" distB="0" distL="0" distR="0" wp14:anchorId="54F4DE42" wp14:editId="50FF744D">
                <wp:extent cx="6252210" cy="1295400"/>
                <wp:effectExtent l="0" t="0" r="0" b="0"/>
                <wp:docPr id="6" name="Text Box 6"/>
                <wp:cNvGraphicFramePr/>
                <a:graphic xmlns:a="http://schemas.openxmlformats.org/drawingml/2006/main">
                  <a:graphicData uri="http://schemas.microsoft.com/office/word/2010/wordprocessingShape">
                    <wps:wsp>
                      <wps:cNvSpPr txBox="1"/>
                      <wps:spPr>
                        <a:xfrm>
                          <a:off x="0" y="0"/>
                          <a:ext cx="6252210" cy="1295400"/>
                        </a:xfrm>
                        <a:prstGeom prst="rect">
                          <a:avLst/>
                        </a:prstGeom>
                        <a:solidFill>
                          <a:schemeClr val="accent5">
                            <a:lumMod val="20000"/>
                            <a:lumOff val="80000"/>
                          </a:schemeClr>
                        </a:solidFill>
                        <a:ln w="6350">
                          <a:noFill/>
                        </a:ln>
                      </wps:spPr>
                      <wps:txbx>
                        <w:txbxContent>
                          <w:p w14:paraId="7334A16D" w14:textId="77777777" w:rsidR="002C1AAC" w:rsidRPr="001D7714" w:rsidRDefault="002C1AAC" w:rsidP="002C1AAC">
                            <w:pPr>
                              <w:rPr>
                                <w:b/>
                                <w:bCs/>
                              </w:rPr>
                            </w:pPr>
                            <w:r w:rsidRPr="001D7714">
                              <w:rPr>
                                <w:b/>
                                <w:bCs/>
                              </w:rPr>
                              <w:t xml:space="preserve">Looking forward – what is still required: </w:t>
                            </w:r>
                          </w:p>
                          <w:p w14:paraId="4521D918" w14:textId="77777777" w:rsidR="002C1AAC" w:rsidRPr="00074F05" w:rsidRDefault="002C1AAC" w:rsidP="002C1AAC">
                            <w:pPr>
                              <w:pStyle w:val="ListParagraph"/>
                              <w:numPr>
                                <w:ilvl w:val="0"/>
                                <w:numId w:val="22"/>
                              </w:numPr>
                              <w:rPr>
                                <w:rFonts w:cs="Arial"/>
                              </w:rPr>
                            </w:pPr>
                            <w:r w:rsidRPr="001D7714">
                              <w:rPr>
                                <w:rFonts w:ascii="Arial" w:hAnsi="Arial" w:cs="Arial"/>
                              </w:rPr>
                              <w:t>A Government commitment to</w:t>
                            </w:r>
                            <w:r>
                              <w:rPr>
                                <w:rFonts w:ascii="Arial" w:hAnsi="Arial" w:cs="Arial"/>
                              </w:rPr>
                              <w:t>:</w:t>
                            </w:r>
                          </w:p>
                          <w:p w14:paraId="3E92495B" w14:textId="77777777" w:rsidR="002C1AAC" w:rsidRPr="004C3968" w:rsidRDefault="002C1AAC" w:rsidP="002C1AAC">
                            <w:pPr>
                              <w:pStyle w:val="ListParagraph"/>
                              <w:numPr>
                                <w:ilvl w:val="1"/>
                                <w:numId w:val="22"/>
                              </w:numPr>
                              <w:rPr>
                                <w:rFonts w:cs="Arial"/>
                              </w:rPr>
                            </w:pPr>
                            <w:r w:rsidRPr="001D7714">
                              <w:rPr>
                                <w:rFonts w:ascii="Arial" w:hAnsi="Arial" w:cs="Arial"/>
                              </w:rPr>
                              <w:t xml:space="preserve">funding the rollout of the SFVC model to all </w:t>
                            </w:r>
                            <w:r>
                              <w:rPr>
                                <w:rFonts w:ascii="Arial" w:hAnsi="Arial" w:cs="Arial"/>
                              </w:rPr>
                              <w:t>headquarter</w:t>
                            </w:r>
                            <w:r w:rsidRPr="001D7714">
                              <w:rPr>
                                <w:rFonts w:ascii="Arial" w:hAnsi="Arial" w:cs="Arial"/>
                              </w:rPr>
                              <w:t xml:space="preserve"> court locations</w:t>
                            </w:r>
                            <w:r>
                              <w:rPr>
                                <w:rFonts w:ascii="Arial" w:hAnsi="Arial" w:cs="Arial"/>
                              </w:rPr>
                              <w:t xml:space="preserve"> across the state; and</w:t>
                            </w:r>
                            <w:r w:rsidRPr="001D7714">
                              <w:rPr>
                                <w:rFonts w:ascii="Arial" w:hAnsi="Arial" w:cs="Arial"/>
                              </w:rPr>
                              <w:t xml:space="preserve"> </w:t>
                            </w:r>
                          </w:p>
                          <w:p w14:paraId="0D150785" w14:textId="77777777" w:rsidR="002C1AAC" w:rsidRPr="004C3968" w:rsidRDefault="002C1AAC" w:rsidP="002C1AAC">
                            <w:pPr>
                              <w:pStyle w:val="ListParagraph"/>
                              <w:numPr>
                                <w:ilvl w:val="1"/>
                                <w:numId w:val="22"/>
                              </w:numPr>
                              <w:rPr>
                                <w:rFonts w:cs="Arial"/>
                              </w:rPr>
                            </w:pPr>
                            <w:r w:rsidRPr="001D7714">
                              <w:rPr>
                                <w:rFonts w:ascii="Arial" w:hAnsi="Arial" w:cs="Arial"/>
                              </w:rPr>
                              <w:t xml:space="preserve">set out its plans for achieving recommendation 61 where all family violence matters are heard and determined in SFVCs.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F4DE42" id="Text Box 6" o:spid="_x0000_s1027" type="#_x0000_t202" style="width:492.3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" fillcolor="#deeaf6 [664]" stroked="f" strokeweight=".5pt">
                <v:textbox>
                  <w:txbxContent>
                    <w:p w14:paraId="7334A16D" w14:textId="77777777" w:rsidR="002C1AAC" w:rsidRPr="001D7714" w:rsidRDefault="002C1AAC" w:rsidP="002C1AAC">
                      <w:pPr>
                        <w:rPr>
                          <w:b/>
                          <w:bCs/>
                        </w:rPr>
                      </w:pPr>
                      <w:r w:rsidRPr="001D7714">
                        <w:rPr>
                          <w:b/>
                          <w:bCs/>
                        </w:rPr>
                        <w:t xml:space="preserve">Looking forward – what is still required: </w:t>
                      </w:r>
                    </w:p>
                    <w:p w14:paraId="4521D918" w14:textId="77777777" w:rsidR="002C1AAC" w:rsidRPr="00074F05" w:rsidRDefault="002C1AAC" w:rsidP="002C1AAC">
                      <w:pPr>
                        <w:pStyle w:val="ListParagraph"/>
                        <w:numPr>
                          <w:ilvl w:val="0"/>
                          <w:numId w:val="22"/>
                        </w:numPr>
                        <w:rPr>
                          <w:rFonts w:cs="Arial"/>
                        </w:rPr>
                      </w:pPr>
                      <w:r w:rsidRPr="001D7714">
                        <w:rPr>
                          <w:rFonts w:ascii="Arial" w:hAnsi="Arial" w:cs="Arial"/>
                        </w:rPr>
                        <w:t>A Government commitment to</w:t>
                      </w:r>
                      <w:r>
                        <w:rPr>
                          <w:rFonts w:ascii="Arial" w:hAnsi="Arial" w:cs="Arial"/>
                        </w:rPr>
                        <w:t>:</w:t>
                      </w:r>
                    </w:p>
                    <w:p w14:paraId="3E92495B" w14:textId="77777777" w:rsidR="002C1AAC" w:rsidRPr="004C3968" w:rsidRDefault="002C1AAC" w:rsidP="002C1AAC">
                      <w:pPr>
                        <w:pStyle w:val="ListParagraph"/>
                        <w:numPr>
                          <w:ilvl w:val="1"/>
                          <w:numId w:val="22"/>
                        </w:numPr>
                        <w:rPr>
                          <w:rFonts w:cs="Arial"/>
                        </w:rPr>
                      </w:pPr>
                      <w:r w:rsidRPr="001D7714">
                        <w:rPr>
                          <w:rFonts w:ascii="Arial" w:hAnsi="Arial" w:cs="Arial"/>
                        </w:rPr>
                        <w:t xml:space="preserve">funding the rollout of the SFVC model to all </w:t>
                      </w:r>
                      <w:r>
                        <w:rPr>
                          <w:rFonts w:ascii="Arial" w:hAnsi="Arial" w:cs="Arial"/>
                        </w:rPr>
                        <w:t>headquarter</w:t>
                      </w:r>
                      <w:r w:rsidRPr="001D7714">
                        <w:rPr>
                          <w:rFonts w:ascii="Arial" w:hAnsi="Arial" w:cs="Arial"/>
                        </w:rPr>
                        <w:t xml:space="preserve"> court locations</w:t>
                      </w:r>
                      <w:r>
                        <w:rPr>
                          <w:rFonts w:ascii="Arial" w:hAnsi="Arial" w:cs="Arial"/>
                        </w:rPr>
                        <w:t xml:space="preserve"> across the state; and</w:t>
                      </w:r>
                      <w:r w:rsidRPr="001D7714">
                        <w:rPr>
                          <w:rFonts w:ascii="Arial" w:hAnsi="Arial" w:cs="Arial"/>
                        </w:rPr>
                        <w:t xml:space="preserve"> </w:t>
                      </w:r>
                    </w:p>
                    <w:p w14:paraId="0D150785" w14:textId="77777777" w:rsidR="002C1AAC" w:rsidRPr="004C3968" w:rsidRDefault="002C1AAC" w:rsidP="002C1AAC">
                      <w:pPr>
                        <w:pStyle w:val="ListParagraph"/>
                        <w:numPr>
                          <w:ilvl w:val="1"/>
                          <w:numId w:val="22"/>
                        </w:numPr>
                        <w:rPr>
                          <w:rFonts w:cs="Arial"/>
                        </w:rPr>
                      </w:pPr>
                      <w:r w:rsidRPr="001D7714">
                        <w:rPr>
                          <w:rFonts w:ascii="Arial" w:hAnsi="Arial" w:cs="Arial"/>
                        </w:rPr>
                        <w:t xml:space="preserve">set out its plans for achieving recommendation 61 where all family violence matters are heard and determined in SFVCs.  </w:t>
                      </w:r>
                    </w:p>
                  </w:txbxContent>
                </v:textbox>
                <w10:anchorlock/>
              </v:shape>
            </w:pict>
          </mc:Fallback>
        </mc:AlternateContent>
      </w:r>
    </w:p>
    <w:p w14:paraId="346454CA" w14:textId="0D609539" w:rsidR="00977075" w:rsidRPr="00BD1B5F" w:rsidRDefault="00977075" w:rsidP="00DA409B">
      <w:pPr>
        <w:textAlignment w:val="center"/>
        <w:rPr>
          <w:rFonts w:cs="Arial"/>
          <w:szCs w:val="22"/>
        </w:rPr>
      </w:pPr>
      <w:r w:rsidRPr="00BD1B5F">
        <w:rPr>
          <w:rFonts w:eastAsia="Arial" w:cs="Arial"/>
          <w:b/>
          <w:bCs/>
          <w:sz w:val="26"/>
          <w:szCs w:val="26"/>
          <w:lang w:eastAsia="en-AU"/>
        </w:rPr>
        <w:t xml:space="preserve">Legal </w:t>
      </w:r>
      <w:r w:rsidR="00A329B7" w:rsidRPr="00BD1B5F">
        <w:rPr>
          <w:rFonts w:eastAsia="Arial" w:cs="Arial"/>
          <w:b/>
          <w:bCs/>
          <w:sz w:val="26"/>
          <w:szCs w:val="26"/>
          <w:lang w:eastAsia="en-AU"/>
        </w:rPr>
        <w:t>a</w:t>
      </w:r>
      <w:r w:rsidRPr="00BD1B5F">
        <w:rPr>
          <w:rFonts w:eastAsia="Arial" w:cs="Arial"/>
          <w:b/>
          <w:bCs/>
          <w:sz w:val="26"/>
          <w:szCs w:val="26"/>
          <w:lang w:eastAsia="en-AU"/>
        </w:rPr>
        <w:t>ssistance</w:t>
      </w:r>
      <w:r w:rsidR="00D64673" w:rsidRPr="00BD1B5F">
        <w:rPr>
          <w:rFonts w:eastAsia="Arial" w:cs="Arial"/>
          <w:b/>
          <w:bCs/>
          <w:sz w:val="26"/>
          <w:szCs w:val="26"/>
          <w:lang w:eastAsia="en-AU"/>
        </w:rPr>
        <w:t xml:space="preserve"> for people who experience and use family violence</w:t>
      </w:r>
      <w:bookmarkEnd w:id="47"/>
      <w:bookmarkEnd w:id="48"/>
      <w:bookmarkEnd w:id="54"/>
    </w:p>
    <w:p w14:paraId="3631CEBD" w14:textId="4569E5D6" w:rsidR="00D64673" w:rsidRDefault="00D64673" w:rsidP="00DA409B">
      <w:pPr>
        <w:rPr>
          <w:rFonts w:cs="Arial"/>
        </w:rPr>
      </w:pPr>
      <w:r w:rsidRPr="28D1EF7E">
        <w:rPr>
          <w:rFonts w:cs="Arial"/>
        </w:rPr>
        <w:t xml:space="preserve">As </w:t>
      </w:r>
      <w:r w:rsidR="008D734D">
        <w:rPr>
          <w:rFonts w:cs="Arial"/>
        </w:rPr>
        <w:t>l</w:t>
      </w:r>
      <w:r w:rsidRPr="28D1EF7E">
        <w:rPr>
          <w:rFonts w:cs="Arial"/>
        </w:rPr>
        <w:t>egal service</w:t>
      </w:r>
      <w:r w:rsidR="005C2680">
        <w:rPr>
          <w:rFonts w:cs="Arial"/>
        </w:rPr>
        <w:t xml:space="preserve"> provider</w:t>
      </w:r>
      <w:r w:rsidRPr="28D1EF7E">
        <w:rPr>
          <w:rFonts w:cs="Arial"/>
        </w:rPr>
        <w:t xml:space="preserve">s, we see the </w:t>
      </w:r>
      <w:r w:rsidR="009A0360" w:rsidRPr="28D1EF7E">
        <w:rPr>
          <w:rFonts w:cs="Arial"/>
        </w:rPr>
        <w:t>way in which f</w:t>
      </w:r>
      <w:r w:rsidR="0040692D" w:rsidRPr="28D1EF7E">
        <w:rPr>
          <w:rFonts w:cs="Arial"/>
        </w:rPr>
        <w:t xml:space="preserve">amily violence </w:t>
      </w:r>
      <w:r w:rsidR="003D715F">
        <w:rPr>
          <w:rFonts w:cs="Arial"/>
        </w:rPr>
        <w:t>impacts</w:t>
      </w:r>
      <w:r w:rsidR="0040692D" w:rsidRPr="28D1EF7E">
        <w:rPr>
          <w:rFonts w:cs="Arial"/>
        </w:rPr>
        <w:t xml:space="preserve"> a range of legal problems </w:t>
      </w:r>
      <w:r w:rsidR="00B04AC0" w:rsidRPr="28D1EF7E">
        <w:rPr>
          <w:rFonts w:cs="Arial"/>
        </w:rPr>
        <w:t xml:space="preserve">that can include </w:t>
      </w:r>
      <w:r w:rsidR="00EB2D33" w:rsidRPr="28D1EF7E">
        <w:rPr>
          <w:rFonts w:cs="Arial"/>
        </w:rPr>
        <w:t xml:space="preserve">family law, child protection, </w:t>
      </w:r>
      <w:r w:rsidR="00B04AC0" w:rsidRPr="28D1EF7E">
        <w:rPr>
          <w:rFonts w:cs="Arial"/>
        </w:rPr>
        <w:t xml:space="preserve">discrimination, housing and tenancy, </w:t>
      </w:r>
      <w:r w:rsidR="005C2680">
        <w:rPr>
          <w:rFonts w:cs="Arial"/>
        </w:rPr>
        <w:t xml:space="preserve">criminal </w:t>
      </w:r>
      <w:proofErr w:type="gramStart"/>
      <w:r w:rsidR="005C2680">
        <w:rPr>
          <w:rFonts w:cs="Arial"/>
        </w:rPr>
        <w:t>charges</w:t>
      </w:r>
      <w:proofErr w:type="gramEnd"/>
      <w:r w:rsidR="005C2680">
        <w:rPr>
          <w:rFonts w:cs="Arial"/>
        </w:rPr>
        <w:t xml:space="preserve"> </w:t>
      </w:r>
      <w:r w:rsidR="009442CF">
        <w:rPr>
          <w:rFonts w:cs="Arial"/>
        </w:rPr>
        <w:t xml:space="preserve">and </w:t>
      </w:r>
      <w:r w:rsidR="00B04AC0" w:rsidRPr="28D1EF7E">
        <w:rPr>
          <w:rFonts w:cs="Arial"/>
        </w:rPr>
        <w:t>debt</w:t>
      </w:r>
      <w:r w:rsidR="008F21DB" w:rsidRPr="28D1EF7E">
        <w:rPr>
          <w:rFonts w:cs="Arial"/>
        </w:rPr>
        <w:t xml:space="preserve">. </w:t>
      </w:r>
      <w:r w:rsidR="00A279C6" w:rsidRPr="28D1EF7E">
        <w:rPr>
          <w:rFonts w:cs="Arial"/>
        </w:rPr>
        <w:t xml:space="preserve">Concerningly, </w:t>
      </w:r>
      <w:r w:rsidR="00B01EBE" w:rsidRPr="28D1EF7E">
        <w:rPr>
          <w:rFonts w:cs="Arial"/>
        </w:rPr>
        <w:t>Aboriginal women are the fastest growing prison population</w:t>
      </w:r>
      <w:r w:rsidR="008162ED" w:rsidRPr="28D1EF7E">
        <w:rPr>
          <w:rFonts w:cs="Arial"/>
        </w:rPr>
        <w:t>, many of whom have experienced family violence and often have multiple legal needs</w:t>
      </w:r>
      <w:r w:rsidR="003B1CFC" w:rsidRPr="28D1EF7E">
        <w:rPr>
          <w:rStyle w:val="FootnoteReference"/>
          <w:rFonts w:cs="Arial"/>
        </w:rPr>
        <w:footnoteReference w:id="4"/>
      </w:r>
      <w:r w:rsidR="008162ED" w:rsidRPr="28D1EF7E">
        <w:rPr>
          <w:rFonts w:cs="Arial"/>
        </w:rPr>
        <w:t>.</w:t>
      </w:r>
      <w:r w:rsidR="00471374" w:rsidRPr="28D1EF7E">
        <w:rPr>
          <w:rFonts w:cs="Arial"/>
        </w:rPr>
        <w:t xml:space="preserve"> </w:t>
      </w:r>
    </w:p>
    <w:p w14:paraId="668A6D03" w14:textId="7F048645" w:rsidR="002019E3" w:rsidRDefault="00323F00" w:rsidP="00DA409B">
      <w:pPr>
        <w:rPr>
          <w:rFonts w:cs="Arial"/>
          <w:szCs w:val="22"/>
        </w:rPr>
      </w:pPr>
      <w:r>
        <w:rPr>
          <w:rFonts w:cs="Arial"/>
          <w:szCs w:val="22"/>
        </w:rPr>
        <w:t xml:space="preserve">We are concerned that </w:t>
      </w:r>
      <w:r w:rsidR="002B6E76">
        <w:rPr>
          <w:rFonts w:cs="Arial"/>
          <w:szCs w:val="22"/>
        </w:rPr>
        <w:t xml:space="preserve">the implementation </w:t>
      </w:r>
      <w:r w:rsidR="00E57989">
        <w:rPr>
          <w:rFonts w:cs="Arial"/>
          <w:szCs w:val="22"/>
        </w:rPr>
        <w:t xml:space="preserve">of the recommendations of the </w:t>
      </w:r>
      <w:r w:rsidR="00091CF6">
        <w:rPr>
          <w:rFonts w:cs="Arial"/>
          <w:szCs w:val="22"/>
        </w:rPr>
        <w:t>Royal Commission</w:t>
      </w:r>
      <w:r w:rsidR="00E57989">
        <w:rPr>
          <w:rFonts w:cs="Arial"/>
          <w:szCs w:val="22"/>
        </w:rPr>
        <w:t xml:space="preserve"> </w:t>
      </w:r>
      <w:r w:rsidR="009A572F">
        <w:rPr>
          <w:rFonts w:cs="Arial"/>
          <w:szCs w:val="22"/>
        </w:rPr>
        <w:t xml:space="preserve">has </w:t>
      </w:r>
      <w:r w:rsidR="00E57989">
        <w:rPr>
          <w:rFonts w:cs="Arial"/>
          <w:szCs w:val="22"/>
        </w:rPr>
        <w:t xml:space="preserve">not </w:t>
      </w:r>
      <w:r w:rsidR="00993E61">
        <w:rPr>
          <w:rFonts w:cs="Arial"/>
          <w:szCs w:val="22"/>
        </w:rPr>
        <w:t xml:space="preserve">sufficiently recognised legal services as </w:t>
      </w:r>
      <w:r w:rsidR="00620550">
        <w:rPr>
          <w:rFonts w:cs="Arial"/>
          <w:szCs w:val="22"/>
        </w:rPr>
        <w:t xml:space="preserve">an integral part of </w:t>
      </w:r>
      <w:r w:rsidR="00A419FA">
        <w:rPr>
          <w:rFonts w:cs="Arial"/>
          <w:szCs w:val="22"/>
        </w:rPr>
        <w:t>keeping women safe</w:t>
      </w:r>
      <w:r w:rsidR="00D865AC">
        <w:rPr>
          <w:rFonts w:cs="Arial"/>
          <w:szCs w:val="22"/>
        </w:rPr>
        <w:t xml:space="preserve"> and</w:t>
      </w:r>
      <w:r w:rsidR="00620550">
        <w:rPr>
          <w:rFonts w:cs="Arial"/>
          <w:szCs w:val="22"/>
        </w:rPr>
        <w:t xml:space="preserve"> </w:t>
      </w:r>
      <w:r w:rsidR="00D626DA">
        <w:rPr>
          <w:rFonts w:cs="Arial"/>
          <w:szCs w:val="22"/>
        </w:rPr>
        <w:t>holding people who use violence to account</w:t>
      </w:r>
      <w:r w:rsidR="003B1CFC">
        <w:rPr>
          <w:rFonts w:cs="Arial"/>
          <w:szCs w:val="22"/>
        </w:rPr>
        <w:t xml:space="preserve">. </w:t>
      </w:r>
      <w:r w:rsidR="00F70C30">
        <w:rPr>
          <w:rFonts w:cs="Arial"/>
          <w:szCs w:val="22"/>
        </w:rPr>
        <w:t>W</w:t>
      </w:r>
      <w:r w:rsidR="00C504F0">
        <w:rPr>
          <w:rFonts w:cs="Arial"/>
        </w:rPr>
        <w:t>e</w:t>
      </w:r>
      <w:r w:rsidR="00C504F0" w:rsidRPr="0034732F">
        <w:rPr>
          <w:rFonts w:cs="Arial"/>
        </w:rPr>
        <w:t xml:space="preserve"> note that Rec</w:t>
      </w:r>
      <w:r w:rsidR="00C504F0">
        <w:rPr>
          <w:rFonts w:cs="Arial"/>
        </w:rPr>
        <w:t>ommendation</w:t>
      </w:r>
      <w:r w:rsidR="00C504F0" w:rsidRPr="0034732F">
        <w:rPr>
          <w:rFonts w:cs="Arial"/>
        </w:rPr>
        <w:t xml:space="preserve"> 69 has been marked as implemented despite </w:t>
      </w:r>
      <w:r w:rsidR="00530850">
        <w:rPr>
          <w:rFonts w:cs="Arial"/>
        </w:rPr>
        <w:t xml:space="preserve">legal services not </w:t>
      </w:r>
      <w:r w:rsidR="009D0DBD">
        <w:rPr>
          <w:rFonts w:cs="Arial"/>
        </w:rPr>
        <w:t>being adequately resourced</w:t>
      </w:r>
      <w:r w:rsidR="000A196A">
        <w:rPr>
          <w:rFonts w:cs="Arial"/>
        </w:rPr>
        <w:t xml:space="preserve"> to deliver </w:t>
      </w:r>
      <w:r w:rsidR="00BF22DC">
        <w:rPr>
          <w:rFonts w:cs="Arial"/>
        </w:rPr>
        <w:t xml:space="preserve">family violence legal services </w:t>
      </w:r>
      <w:r w:rsidR="00433B27">
        <w:rPr>
          <w:rFonts w:cs="Arial"/>
        </w:rPr>
        <w:t xml:space="preserve">to the extent envisioned by the </w:t>
      </w:r>
      <w:r w:rsidR="00C901F8">
        <w:rPr>
          <w:rFonts w:cs="Arial"/>
        </w:rPr>
        <w:t xml:space="preserve">Royal Commission </w:t>
      </w:r>
      <w:r w:rsidR="00D0763E">
        <w:rPr>
          <w:rFonts w:cs="Arial"/>
        </w:rPr>
        <w:t>(</w:t>
      </w:r>
      <w:r w:rsidR="00171459">
        <w:rPr>
          <w:rFonts w:cs="Arial"/>
        </w:rPr>
        <w:t>including from the</w:t>
      </w:r>
      <w:r w:rsidR="00C504F0" w:rsidRPr="0034732F">
        <w:rPr>
          <w:rFonts w:cs="Arial"/>
        </w:rPr>
        <w:t xml:space="preserve"> C</w:t>
      </w:r>
      <w:r w:rsidR="00530850">
        <w:rPr>
          <w:rFonts w:cs="Arial"/>
        </w:rPr>
        <w:t>ommonwealth</w:t>
      </w:r>
      <w:r w:rsidR="00D0763E">
        <w:rPr>
          <w:rFonts w:cs="Arial"/>
        </w:rPr>
        <w:t>)</w:t>
      </w:r>
      <w:r w:rsidR="00986AF1">
        <w:rPr>
          <w:rFonts w:cs="Arial"/>
        </w:rPr>
        <w:t>,</w:t>
      </w:r>
      <w:r w:rsidR="008D734D">
        <w:rPr>
          <w:rFonts w:cs="Arial"/>
        </w:rPr>
        <w:t xml:space="preserve"> beyond place based funding such as that received for the Specialist Family Violence Courts (SFVCs)</w:t>
      </w:r>
      <w:r w:rsidR="00C504F0" w:rsidRPr="0034732F">
        <w:rPr>
          <w:rFonts w:cs="Arial"/>
        </w:rPr>
        <w:t>.</w:t>
      </w:r>
    </w:p>
    <w:p w14:paraId="7DC8A26D" w14:textId="4957DDCC" w:rsidR="00607F94" w:rsidRDefault="00607F94" w:rsidP="00DA409B">
      <w:pPr>
        <w:rPr>
          <w:rFonts w:cs="Arial"/>
        </w:rPr>
      </w:pPr>
      <w:r w:rsidRPr="601304C8">
        <w:rPr>
          <w:rFonts w:cs="Arial"/>
        </w:rPr>
        <w:t>The Access to J</w:t>
      </w:r>
      <w:r w:rsidR="00E06B85" w:rsidRPr="601304C8">
        <w:rPr>
          <w:rFonts w:cs="Arial"/>
        </w:rPr>
        <w:t>ustice report</w:t>
      </w:r>
      <w:r w:rsidR="00DF1D8C">
        <w:rPr>
          <w:rStyle w:val="FootnoteReference"/>
          <w:rFonts w:cs="Arial"/>
        </w:rPr>
        <w:footnoteReference w:id="5"/>
      </w:r>
      <w:r w:rsidR="00E06B85" w:rsidRPr="601304C8">
        <w:rPr>
          <w:rFonts w:cs="Arial"/>
        </w:rPr>
        <w:t xml:space="preserve"> </w:t>
      </w:r>
      <w:r w:rsidR="002019E3" w:rsidRPr="601304C8">
        <w:rPr>
          <w:rFonts w:cs="Arial"/>
        </w:rPr>
        <w:t xml:space="preserve">made </w:t>
      </w:r>
      <w:r w:rsidR="0094223E" w:rsidRPr="601304C8">
        <w:rPr>
          <w:rFonts w:cs="Arial"/>
        </w:rPr>
        <w:t>extensive findings about legal need in Victoria</w:t>
      </w:r>
      <w:r w:rsidR="00693CF8">
        <w:rPr>
          <w:rFonts w:cs="Arial"/>
        </w:rPr>
        <w:t>,</w:t>
      </w:r>
      <w:r w:rsidR="0094223E" w:rsidRPr="601304C8">
        <w:rPr>
          <w:rFonts w:cs="Arial"/>
        </w:rPr>
        <w:t xml:space="preserve"> </w:t>
      </w:r>
      <w:r w:rsidR="004A1AB8" w:rsidRPr="601304C8">
        <w:rPr>
          <w:rFonts w:cs="Arial"/>
        </w:rPr>
        <w:t xml:space="preserve">including </w:t>
      </w:r>
      <w:r w:rsidR="0089657E" w:rsidRPr="601304C8">
        <w:rPr>
          <w:rFonts w:cs="Arial"/>
        </w:rPr>
        <w:t xml:space="preserve">providing </w:t>
      </w:r>
      <w:r w:rsidR="002019E3" w:rsidRPr="601304C8">
        <w:rPr>
          <w:rFonts w:cs="Arial"/>
        </w:rPr>
        <w:t xml:space="preserve">strong recommendations </w:t>
      </w:r>
      <w:r w:rsidR="00BE05C9">
        <w:rPr>
          <w:rFonts w:cs="Arial"/>
        </w:rPr>
        <w:t>for</w:t>
      </w:r>
      <w:r w:rsidR="002019E3" w:rsidRPr="601304C8">
        <w:rPr>
          <w:rFonts w:cs="Arial"/>
        </w:rPr>
        <w:t xml:space="preserve"> legal assistance in the </w:t>
      </w:r>
      <w:r w:rsidR="00207C93" w:rsidRPr="601304C8">
        <w:rPr>
          <w:rFonts w:cs="Arial"/>
        </w:rPr>
        <w:t>family violence</w:t>
      </w:r>
      <w:r w:rsidR="002019E3" w:rsidRPr="601304C8">
        <w:rPr>
          <w:rFonts w:cs="Arial"/>
        </w:rPr>
        <w:t xml:space="preserve"> context</w:t>
      </w:r>
      <w:r w:rsidR="00485E2F" w:rsidRPr="601304C8">
        <w:rPr>
          <w:rFonts w:cs="Arial"/>
        </w:rPr>
        <w:t xml:space="preserve"> that </w:t>
      </w:r>
      <w:r w:rsidR="00162050" w:rsidRPr="601304C8">
        <w:rPr>
          <w:rFonts w:cs="Arial"/>
        </w:rPr>
        <w:t>are</w:t>
      </w:r>
      <w:r w:rsidR="00485E2F" w:rsidRPr="601304C8">
        <w:rPr>
          <w:rFonts w:cs="Arial"/>
        </w:rPr>
        <w:t xml:space="preserve"> complement</w:t>
      </w:r>
      <w:r w:rsidR="00162050" w:rsidRPr="601304C8">
        <w:rPr>
          <w:rFonts w:cs="Arial"/>
        </w:rPr>
        <w:t>ary</w:t>
      </w:r>
      <w:r w:rsidR="00485E2F" w:rsidRPr="601304C8">
        <w:rPr>
          <w:rFonts w:cs="Arial"/>
        </w:rPr>
        <w:t xml:space="preserve"> to the findings of the R</w:t>
      </w:r>
      <w:r w:rsidR="00BE05C9">
        <w:rPr>
          <w:rFonts w:cs="Arial"/>
        </w:rPr>
        <w:t>oyal Commission</w:t>
      </w:r>
      <w:r w:rsidR="00485E2F" w:rsidRPr="601304C8">
        <w:rPr>
          <w:rFonts w:cs="Arial"/>
        </w:rPr>
        <w:t xml:space="preserve"> recommendations</w:t>
      </w:r>
      <w:r w:rsidR="003D36C6" w:rsidRPr="601304C8">
        <w:rPr>
          <w:rFonts w:cs="Arial"/>
        </w:rPr>
        <w:t xml:space="preserve"> </w:t>
      </w:r>
      <w:r w:rsidR="1C9875F1" w:rsidRPr="601304C8">
        <w:rPr>
          <w:rFonts w:cs="Arial"/>
        </w:rPr>
        <w:t>and</w:t>
      </w:r>
      <w:r w:rsidR="003D36C6" w:rsidRPr="601304C8">
        <w:rPr>
          <w:rFonts w:cs="Arial"/>
        </w:rPr>
        <w:t xml:space="preserve"> which we</w:t>
      </w:r>
      <w:r w:rsidR="00545079" w:rsidRPr="601304C8">
        <w:rPr>
          <w:rFonts w:cs="Arial"/>
        </w:rPr>
        <w:t xml:space="preserve"> encourage the Victorian government to implement</w:t>
      </w:r>
      <w:r w:rsidR="003D36C6" w:rsidRPr="601304C8">
        <w:rPr>
          <w:rFonts w:cs="Arial"/>
        </w:rPr>
        <w:t>,</w:t>
      </w:r>
      <w:r w:rsidR="00FD703F" w:rsidRPr="601304C8">
        <w:rPr>
          <w:rFonts w:cs="Arial"/>
        </w:rPr>
        <w:t xml:space="preserve"> including: </w:t>
      </w:r>
      <w:r w:rsidR="00D91F43" w:rsidRPr="601304C8">
        <w:rPr>
          <w:rFonts w:cs="Arial"/>
        </w:rPr>
        <w:t xml:space="preserve"> </w:t>
      </w:r>
    </w:p>
    <w:p w14:paraId="22CF3B0C" w14:textId="4DE4F5E6" w:rsidR="001661FC" w:rsidRPr="00061147" w:rsidRDefault="001661FC" w:rsidP="00DA409B">
      <w:pPr>
        <w:pStyle w:val="ListParagraph"/>
        <w:numPr>
          <w:ilvl w:val="0"/>
          <w:numId w:val="12"/>
        </w:numPr>
        <w:spacing w:after="120" w:line="300" w:lineRule="atLeast"/>
        <w:rPr>
          <w:rFonts w:ascii="Arial" w:hAnsi="Arial" w:cs="Arial"/>
        </w:rPr>
      </w:pPr>
      <w:r w:rsidRPr="00061147">
        <w:rPr>
          <w:rFonts w:ascii="Arial" w:hAnsi="Arial" w:cs="Arial"/>
        </w:rPr>
        <w:t>Recommendation 3.5</w:t>
      </w:r>
      <w:r w:rsidR="003D36C6" w:rsidRPr="00061147">
        <w:rPr>
          <w:rFonts w:ascii="Arial" w:hAnsi="Arial" w:cs="Arial"/>
        </w:rPr>
        <w:t xml:space="preserve"> -</w:t>
      </w:r>
      <w:r w:rsidRPr="00061147">
        <w:rPr>
          <w:rFonts w:ascii="Arial" w:hAnsi="Arial" w:cs="Arial"/>
        </w:rPr>
        <w:t xml:space="preserve"> Including legal triage in the Support and Safety Hubs</w:t>
      </w:r>
    </w:p>
    <w:p w14:paraId="669F36A6" w14:textId="77777777" w:rsidR="00F72D76" w:rsidRDefault="001661FC" w:rsidP="00DA409B">
      <w:pPr>
        <w:ind w:left="720"/>
      </w:pPr>
      <w:r>
        <w:t>The Victorian Government should ensure that the design of the Support and Safety Hubs recommended by the Royal Commission into Family Violence includes legal professionals to perform legal triage, to provide legal information, education, and referrals to people experiencing family violence, and to build the capacity of non-legal personnel working in the Hub to identify legal problems</w:t>
      </w:r>
      <w:r w:rsidR="421E0872">
        <w:t>;</w:t>
      </w:r>
      <w:r>
        <w:t xml:space="preserve"> and</w:t>
      </w:r>
    </w:p>
    <w:p w14:paraId="44DB71C5" w14:textId="77777777" w:rsidR="001C2C06" w:rsidRDefault="001661FC" w:rsidP="00DA409B">
      <w:pPr>
        <w:pStyle w:val="ListParagraph"/>
        <w:numPr>
          <w:ilvl w:val="0"/>
          <w:numId w:val="12"/>
        </w:numPr>
        <w:spacing w:after="120" w:line="300" w:lineRule="atLeast"/>
        <w:rPr>
          <w:rFonts w:ascii="Arial" w:hAnsi="Arial" w:cs="Arial"/>
        </w:rPr>
      </w:pPr>
      <w:r w:rsidRPr="00802065">
        <w:rPr>
          <w:rFonts w:ascii="Arial" w:hAnsi="Arial" w:cs="Arial"/>
        </w:rPr>
        <w:t xml:space="preserve">Recommendation 6.9 </w:t>
      </w:r>
      <w:r w:rsidR="003D36C6" w:rsidRPr="00802065">
        <w:rPr>
          <w:rFonts w:ascii="Arial" w:hAnsi="Arial" w:cs="Arial"/>
        </w:rPr>
        <w:t xml:space="preserve">- </w:t>
      </w:r>
      <w:r w:rsidRPr="00802065">
        <w:rPr>
          <w:rFonts w:ascii="Arial" w:hAnsi="Arial" w:cs="Arial"/>
        </w:rPr>
        <w:t xml:space="preserve">Improving co-ordination across departments </w:t>
      </w:r>
    </w:p>
    <w:p w14:paraId="6C4E62B2" w14:textId="1342BCE9" w:rsidR="00875F2F" w:rsidRDefault="001661FC" w:rsidP="00DA409B">
      <w:pPr>
        <w:spacing w:after="0"/>
        <w:ind w:left="720"/>
      </w:pPr>
      <w:r w:rsidRPr="002024AC">
        <w:t>The Victorian and Commonwealth Governments should improve co-ordination on policy and legislative initiatives that are likely to affect demand for legal assistance services by establishing</w:t>
      </w:r>
      <w:r w:rsidR="005F57BE" w:rsidRPr="002024AC">
        <w:t xml:space="preserve"> </w:t>
      </w:r>
      <w:r w:rsidRPr="002024AC">
        <w:t xml:space="preserve">relevant cross-portfolio committees involving, at a minimum, the justice and human services portfolios, and others as necessary. This co-ordination would also support integrated </w:t>
      </w:r>
      <w:r w:rsidR="00BD1B5F" w:rsidRPr="002024AC">
        <w:t>service design</w:t>
      </w:r>
      <w:r w:rsidRPr="002024AC">
        <w:t xml:space="preserve"> and provision to meet the needs of vulnerable and disadvantaged </w:t>
      </w:r>
      <w:r w:rsidRPr="002024AC">
        <w:lastRenderedPageBreak/>
        <w:t xml:space="preserve">members of the community. The Victorian Department of Health and Human Services, and the Department of Justice and </w:t>
      </w:r>
      <w:r w:rsidR="3F6BB3AC" w:rsidRPr="002024AC">
        <w:t>Community Safety</w:t>
      </w:r>
      <w:r w:rsidRPr="002024AC">
        <w:t xml:space="preserve"> should commence these co-operative arrangements at the State level, even if agreement cannot be reached with the Commonwealth.</w:t>
      </w:r>
      <w:r w:rsidR="002B3ED6" w:rsidRPr="002024AC">
        <w:t xml:space="preserve"> </w:t>
      </w:r>
      <w:bookmarkStart w:id="55" w:name="_Toc45698242"/>
      <w:bookmarkStart w:id="56" w:name="_Toc45698292"/>
    </w:p>
    <w:p w14:paraId="0255EFF8" w14:textId="77777777" w:rsidR="002C1AAC" w:rsidRDefault="002C1AAC" w:rsidP="00DA409B">
      <w:pPr>
        <w:spacing w:after="0"/>
        <w:ind w:left="720"/>
      </w:pPr>
    </w:p>
    <w:p w14:paraId="7CEC129A" w14:textId="7C537B82" w:rsidR="00B759E1" w:rsidRPr="002024AC" w:rsidRDefault="002C1AAC" w:rsidP="00DA409B">
      <w:pPr>
        <w:spacing w:after="0"/>
      </w:pPr>
      <w:r w:rsidRPr="00F72D76">
        <w:rPr>
          <w:noProof/>
        </w:rPr>
        <mc:AlternateContent>
          <mc:Choice Requires="wps">
            <w:drawing>
              <wp:inline distT="0" distB="0" distL="0" distR="0" wp14:anchorId="29B624F6" wp14:editId="6F097F47">
                <wp:extent cx="6263640" cy="2976631"/>
                <wp:effectExtent l="0" t="0" r="381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976631"/>
                        </a:xfrm>
                        <a:prstGeom prst="rect">
                          <a:avLst/>
                        </a:prstGeom>
                        <a:solidFill>
                          <a:schemeClr val="accent5">
                            <a:lumMod val="20000"/>
                            <a:lumOff val="80000"/>
                          </a:schemeClr>
                        </a:solidFill>
                        <a:ln w="9525">
                          <a:noFill/>
                          <a:miter lim="800000"/>
                          <a:headEnd/>
                          <a:tailEnd/>
                        </a:ln>
                      </wps:spPr>
                      <wps:txbx>
                        <w:txbxContent>
                          <w:p w14:paraId="2F078AE9" w14:textId="77777777" w:rsidR="002C1AAC" w:rsidRDefault="002C1AAC" w:rsidP="002C1AAC">
                            <w:pPr>
                              <w:rPr>
                                <w:rFonts w:cs="Arial"/>
                              </w:rPr>
                            </w:pPr>
                            <w:r w:rsidRPr="000B2C64">
                              <w:rPr>
                                <w:rFonts w:cs="Arial"/>
                                <w:b/>
                                <w:bCs/>
                                <w:szCs w:val="22"/>
                              </w:rPr>
                              <w:t>Looking forward – what is still required:</w:t>
                            </w:r>
                          </w:p>
                          <w:p w14:paraId="4F68CF68" w14:textId="77777777" w:rsidR="002C1AAC" w:rsidRPr="001E2D8B" w:rsidRDefault="002C1AAC" w:rsidP="002C1AAC">
                            <w:pPr>
                              <w:rPr>
                                <w:rFonts w:cs="Arial"/>
                              </w:rPr>
                            </w:pPr>
                            <w:r w:rsidRPr="001E2D8B">
                              <w:rPr>
                                <w:rFonts w:cs="Arial"/>
                              </w:rPr>
                              <w:t>The Victorian Government should:</w:t>
                            </w:r>
                          </w:p>
                          <w:p w14:paraId="02E99C8E" w14:textId="77777777" w:rsidR="002C1AAC" w:rsidRPr="001E2D8B" w:rsidRDefault="002C1AAC" w:rsidP="002C1AAC">
                            <w:pPr>
                              <w:numPr>
                                <w:ilvl w:val="0"/>
                                <w:numId w:val="21"/>
                              </w:numPr>
                              <w:rPr>
                                <w:rFonts w:cs="Arial"/>
                              </w:rPr>
                            </w:pPr>
                            <w:r w:rsidRPr="001E2D8B">
                              <w:rPr>
                                <w:rFonts w:cs="Arial"/>
                              </w:rPr>
                              <w:t>incorporate the recommendations made in the Access to Justice report and other recommendations made in this submission into the next phase of implementation, including sufficient resourcing.</w:t>
                            </w:r>
                          </w:p>
                          <w:p w14:paraId="5727A9E8" w14:textId="77777777" w:rsidR="002C1AAC" w:rsidRDefault="002C1AAC" w:rsidP="002C1AAC">
                            <w:pPr>
                              <w:numPr>
                                <w:ilvl w:val="0"/>
                                <w:numId w:val="21"/>
                              </w:numPr>
                              <w:spacing w:after="0"/>
                              <w:rPr>
                                <w:rFonts w:eastAsiaTheme="minorEastAsia" w:cs="Arial"/>
                              </w:rPr>
                            </w:pPr>
                            <w:r>
                              <w:rPr>
                                <w:rFonts w:eastAsiaTheme="minorEastAsia" w:cs="Arial"/>
                              </w:rPr>
                              <w:t xml:space="preserve">develop a consistent model for the state-wide integration and connection of </w:t>
                            </w:r>
                            <w:r w:rsidRPr="001862D3">
                              <w:rPr>
                                <w:rFonts w:eastAsiaTheme="minorEastAsia" w:cs="Arial"/>
                              </w:rPr>
                              <w:t xml:space="preserve">legal services to </w:t>
                            </w:r>
                            <w:r>
                              <w:rPr>
                                <w:rFonts w:eastAsiaTheme="minorEastAsia" w:cs="Arial"/>
                              </w:rPr>
                              <w:t>T</w:t>
                            </w:r>
                            <w:r w:rsidRPr="001862D3">
                              <w:rPr>
                                <w:rFonts w:eastAsiaTheme="minorEastAsia" w:cs="Arial"/>
                              </w:rPr>
                              <w:t xml:space="preserve">he Orange Door </w:t>
                            </w:r>
                            <w:r w:rsidRPr="00E762A0">
                              <w:rPr>
                                <w:rFonts w:eastAsiaTheme="minorEastAsia" w:cs="Arial"/>
                              </w:rPr>
                              <w:t>and specialist family violence services</w:t>
                            </w:r>
                            <w:r>
                              <w:rPr>
                                <w:rFonts w:eastAsiaTheme="minorEastAsia" w:cs="Arial"/>
                              </w:rPr>
                              <w:t>.</w:t>
                            </w:r>
                            <w:r w:rsidRPr="00E762A0">
                              <w:rPr>
                                <w:rFonts w:eastAsiaTheme="minorEastAsia" w:cs="Arial"/>
                              </w:rPr>
                              <w:t xml:space="preserve"> </w:t>
                            </w:r>
                          </w:p>
                          <w:p w14:paraId="27AE1D93" w14:textId="77777777" w:rsidR="002C1AAC" w:rsidRPr="001E2D8B" w:rsidRDefault="002C1AAC" w:rsidP="002C1AAC">
                            <w:pPr>
                              <w:numPr>
                                <w:ilvl w:val="0"/>
                                <w:numId w:val="21"/>
                              </w:numPr>
                              <w:spacing w:after="0"/>
                              <w:rPr>
                                <w:rFonts w:eastAsiaTheme="minorEastAsia" w:cs="Arial"/>
                              </w:rPr>
                            </w:pPr>
                            <w:r>
                              <w:rPr>
                                <w:rFonts w:cs="Arial"/>
                              </w:rPr>
                              <w:t>f</w:t>
                            </w:r>
                            <w:r w:rsidRPr="001E2D8B">
                              <w:rPr>
                                <w:rFonts w:cs="Arial"/>
                              </w:rPr>
                              <w:t>und legal services to support family violence workers to respond to legal needs</w:t>
                            </w:r>
                            <w:r w:rsidRPr="001E2D8B">
                              <w:rPr>
                                <w:rFonts w:eastAsiaTheme="minorEastAsia" w:cs="Arial"/>
                              </w:rPr>
                              <w:t xml:space="preserve">. </w:t>
                            </w:r>
                          </w:p>
                          <w:p w14:paraId="5DB15748" w14:textId="77777777" w:rsidR="002C1AAC" w:rsidRPr="00E762A0" w:rsidRDefault="002C1AAC" w:rsidP="002C1AAC">
                            <w:pPr>
                              <w:numPr>
                                <w:ilvl w:val="0"/>
                                <w:numId w:val="21"/>
                              </w:numPr>
                              <w:spacing w:after="0"/>
                              <w:rPr>
                                <w:rFonts w:eastAsiaTheme="minorEastAsia" w:cs="Arial"/>
                              </w:rPr>
                            </w:pPr>
                            <w:r>
                              <w:rPr>
                                <w:rFonts w:eastAsiaTheme="minorEastAsia" w:cs="Arial"/>
                              </w:rPr>
                              <w:t>m</w:t>
                            </w:r>
                            <w:r w:rsidRPr="00E762A0">
                              <w:rPr>
                                <w:rFonts w:eastAsiaTheme="minorEastAsia" w:cs="Arial"/>
                              </w:rPr>
                              <w:t xml:space="preserve">eet the Royal Commission’s intention of extending the </w:t>
                            </w:r>
                            <w:r>
                              <w:rPr>
                                <w:rFonts w:eastAsiaTheme="minorEastAsia" w:cs="Arial"/>
                              </w:rPr>
                              <w:t>Family Violence Safety Notice (</w:t>
                            </w:r>
                            <w:r w:rsidRPr="00E762A0">
                              <w:rPr>
                                <w:rFonts w:eastAsiaTheme="minorEastAsia" w:cs="Arial"/>
                              </w:rPr>
                              <w:t>FVSN</w:t>
                            </w:r>
                            <w:r>
                              <w:rPr>
                                <w:rFonts w:eastAsiaTheme="minorEastAsia" w:cs="Arial"/>
                              </w:rPr>
                              <w:t>) period</w:t>
                            </w:r>
                            <w:r w:rsidRPr="00E762A0">
                              <w:rPr>
                                <w:rFonts w:eastAsiaTheme="minorEastAsia" w:cs="Arial"/>
                              </w:rPr>
                              <w:t xml:space="preserve"> from 5 to 14 day</w:t>
                            </w:r>
                            <w:r w:rsidRPr="00C97C9C">
                              <w:rPr>
                                <w:rFonts w:eastAsiaTheme="minorEastAsia" w:cs="Arial"/>
                              </w:rPr>
                              <w:t xml:space="preserve">s by </w:t>
                            </w:r>
                            <w:r w:rsidRPr="00D362C3">
                              <w:rPr>
                                <w:rFonts w:eastAsiaTheme="minorEastAsia" w:cs="Arial"/>
                              </w:rPr>
                              <w:t>putting in place the necessary structure</w:t>
                            </w:r>
                            <w:r>
                              <w:rPr>
                                <w:rFonts w:eastAsiaTheme="minorEastAsia" w:cs="Arial"/>
                              </w:rPr>
                              <w:t>s and associated funding</w:t>
                            </w:r>
                            <w:r w:rsidRPr="00D362C3">
                              <w:rPr>
                                <w:rFonts w:eastAsiaTheme="minorEastAsia" w:cs="Arial"/>
                              </w:rPr>
                              <w:t xml:space="preserve"> to </w:t>
                            </w:r>
                            <w:r w:rsidRPr="00B50966">
                              <w:rPr>
                                <w:rFonts w:cs="Arial"/>
                              </w:rPr>
                              <w:t>support the pre-court legal assistance</w:t>
                            </w:r>
                            <w:r>
                              <w:rPr>
                                <w:rFonts w:cs="Arial"/>
                              </w:rPr>
                              <w:t xml:space="preserve"> that was envisaged</w:t>
                            </w:r>
                            <w:r w:rsidRPr="00B50966">
                              <w:rPr>
                                <w:rFonts w:cs="Arial"/>
                              </w:rPr>
                              <w:t>.</w:t>
                            </w:r>
                            <w:r w:rsidRPr="00B50966">
                              <w:rPr>
                                <w:rFonts w:eastAsiaTheme="minorEastAsia" w:cs="Arial"/>
                              </w:rPr>
                              <w:t xml:space="preserve"> </w:t>
                            </w:r>
                          </w:p>
                          <w:p w14:paraId="776E5EE9" w14:textId="77777777" w:rsidR="002C1AAC" w:rsidRPr="00E762A0" w:rsidRDefault="002C1AAC" w:rsidP="002C1AAC">
                            <w:pPr>
                              <w:numPr>
                                <w:ilvl w:val="0"/>
                                <w:numId w:val="21"/>
                              </w:numPr>
                              <w:spacing w:after="0"/>
                              <w:rPr>
                                <w:rFonts w:eastAsiaTheme="minorEastAsia" w:cs="Arial"/>
                              </w:rPr>
                            </w:pPr>
                            <w:r>
                              <w:rPr>
                                <w:rFonts w:eastAsiaTheme="minorEastAsia" w:cs="Arial"/>
                              </w:rPr>
                              <w:t>a</w:t>
                            </w:r>
                            <w:r w:rsidRPr="00E762A0">
                              <w:rPr>
                                <w:rFonts w:eastAsiaTheme="minorEastAsia" w:cs="Arial"/>
                              </w:rPr>
                              <w:t>dequately fund legal services</w:t>
                            </w:r>
                            <w:r>
                              <w:rPr>
                                <w:rFonts w:eastAsiaTheme="minorEastAsia" w:cs="Arial"/>
                              </w:rPr>
                              <w:t xml:space="preserve"> to provide family violence legal assistance.</w:t>
                            </w:r>
                            <w:r w:rsidRPr="00E762A0">
                              <w:rPr>
                                <w:rFonts w:eastAsiaTheme="minorEastAsia" w:cs="Arial"/>
                              </w:rPr>
                              <w:t xml:space="preserve"> </w:t>
                            </w:r>
                          </w:p>
                          <w:p w14:paraId="603C1737" w14:textId="77777777" w:rsidR="002C1AAC" w:rsidRPr="001E2D8B" w:rsidRDefault="002C1AAC" w:rsidP="002C1AAC">
                            <w:pPr>
                              <w:numPr>
                                <w:ilvl w:val="0"/>
                                <w:numId w:val="21"/>
                              </w:numPr>
                              <w:spacing w:after="0"/>
                              <w:rPr>
                                <w:rFonts w:eastAsiaTheme="minorEastAsia" w:cs="Arial"/>
                              </w:rPr>
                            </w:pPr>
                            <w:r>
                              <w:rPr>
                                <w:rFonts w:eastAsiaTheme="minorEastAsia" w:cs="Arial"/>
                              </w:rPr>
                              <w:t>c</w:t>
                            </w:r>
                            <w:r w:rsidRPr="00E762A0">
                              <w:rPr>
                                <w:rFonts w:eastAsiaTheme="minorEastAsia" w:cs="Arial"/>
                              </w:rPr>
                              <w:t>ommit to funding for general demand in the court system including the rollout of the remaining Specialist Family Violence Courts (SFVCs)</w:t>
                            </w:r>
                            <w:r>
                              <w:rPr>
                                <w:rFonts w:eastAsiaTheme="minorEastAsia" w:cs="Arial"/>
                              </w:rPr>
                              <w:t>.</w:t>
                            </w:r>
                          </w:p>
                        </w:txbxContent>
                      </wps:txbx>
                      <wps:bodyPr rot="0" vert="horz" wrap="square" lIns="91440" tIns="45720" rIns="91440" bIns="45720" anchor="t" anchorCtr="0">
                        <a:noAutofit/>
                      </wps:bodyPr>
                    </wps:wsp>
                  </a:graphicData>
                </a:graphic>
              </wp:inline>
            </w:drawing>
          </mc:Choice>
          <mc:Fallback>
            <w:pict>
              <v:shape w14:anchorId="29B624F6" id="Text Box 2" o:spid="_x0000_s1028" type="#_x0000_t202" style="width:493.2pt;height:2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" fillcolor="#deeaf6 [664]" stroked="f">
                <v:textbox>
                  <w:txbxContent>
                    <w:p w14:paraId="2F078AE9" w14:textId="77777777" w:rsidR="002C1AAC" w:rsidRDefault="002C1AAC" w:rsidP="002C1AAC">
                      <w:pPr>
                        <w:rPr>
                          <w:rFonts w:cs="Arial"/>
                        </w:rPr>
                      </w:pPr>
                      <w:r w:rsidRPr="000B2C64">
                        <w:rPr>
                          <w:rFonts w:cs="Arial"/>
                          <w:b/>
                          <w:bCs/>
                          <w:szCs w:val="22"/>
                        </w:rPr>
                        <w:t>Looking forward – what is still required:</w:t>
                      </w:r>
                    </w:p>
                    <w:p w14:paraId="4F68CF68" w14:textId="77777777" w:rsidR="002C1AAC" w:rsidRPr="001E2D8B" w:rsidRDefault="002C1AAC" w:rsidP="002C1AAC">
                      <w:pPr>
                        <w:rPr>
                          <w:rFonts w:cs="Arial"/>
                        </w:rPr>
                      </w:pPr>
                      <w:r w:rsidRPr="001E2D8B">
                        <w:rPr>
                          <w:rFonts w:cs="Arial"/>
                        </w:rPr>
                        <w:t>The Victorian Government should:</w:t>
                      </w:r>
                    </w:p>
                    <w:p w14:paraId="02E99C8E" w14:textId="77777777" w:rsidR="002C1AAC" w:rsidRPr="001E2D8B" w:rsidRDefault="002C1AAC" w:rsidP="002C1AAC">
                      <w:pPr>
                        <w:numPr>
                          <w:ilvl w:val="0"/>
                          <w:numId w:val="21"/>
                        </w:numPr>
                        <w:rPr>
                          <w:rFonts w:cs="Arial"/>
                        </w:rPr>
                      </w:pPr>
                      <w:r w:rsidRPr="001E2D8B">
                        <w:rPr>
                          <w:rFonts w:cs="Arial"/>
                        </w:rPr>
                        <w:t>incorporate the recommendations made in the Access to Justice report and other recommendations made in this submission into the next phase of implementation, including sufficient resourcing.</w:t>
                      </w:r>
                    </w:p>
                    <w:p w14:paraId="5727A9E8" w14:textId="77777777" w:rsidR="002C1AAC" w:rsidRDefault="002C1AAC" w:rsidP="002C1AAC">
                      <w:pPr>
                        <w:numPr>
                          <w:ilvl w:val="0"/>
                          <w:numId w:val="21"/>
                        </w:numPr>
                        <w:spacing w:after="0"/>
                        <w:rPr>
                          <w:rFonts w:eastAsiaTheme="minorEastAsia" w:cs="Arial"/>
                        </w:rPr>
                      </w:pPr>
                      <w:r>
                        <w:rPr>
                          <w:rFonts w:eastAsiaTheme="minorEastAsia" w:cs="Arial"/>
                        </w:rPr>
                        <w:t xml:space="preserve">develop a consistent model for the state-wide integration and connection of </w:t>
                      </w:r>
                      <w:r w:rsidRPr="001862D3">
                        <w:rPr>
                          <w:rFonts w:eastAsiaTheme="minorEastAsia" w:cs="Arial"/>
                        </w:rPr>
                        <w:t xml:space="preserve">legal services to </w:t>
                      </w:r>
                      <w:r>
                        <w:rPr>
                          <w:rFonts w:eastAsiaTheme="minorEastAsia" w:cs="Arial"/>
                        </w:rPr>
                        <w:t>T</w:t>
                      </w:r>
                      <w:r w:rsidRPr="001862D3">
                        <w:rPr>
                          <w:rFonts w:eastAsiaTheme="minorEastAsia" w:cs="Arial"/>
                        </w:rPr>
                        <w:t xml:space="preserve">he Orange Door </w:t>
                      </w:r>
                      <w:r w:rsidRPr="00E762A0">
                        <w:rPr>
                          <w:rFonts w:eastAsiaTheme="minorEastAsia" w:cs="Arial"/>
                        </w:rPr>
                        <w:t>and specialist family violence services</w:t>
                      </w:r>
                      <w:r>
                        <w:rPr>
                          <w:rFonts w:eastAsiaTheme="minorEastAsia" w:cs="Arial"/>
                        </w:rPr>
                        <w:t>.</w:t>
                      </w:r>
                      <w:r w:rsidRPr="00E762A0">
                        <w:rPr>
                          <w:rFonts w:eastAsiaTheme="minorEastAsia" w:cs="Arial"/>
                        </w:rPr>
                        <w:t xml:space="preserve"> </w:t>
                      </w:r>
                    </w:p>
                    <w:p w14:paraId="27AE1D93" w14:textId="77777777" w:rsidR="002C1AAC" w:rsidRPr="001E2D8B" w:rsidRDefault="002C1AAC" w:rsidP="002C1AAC">
                      <w:pPr>
                        <w:numPr>
                          <w:ilvl w:val="0"/>
                          <w:numId w:val="21"/>
                        </w:numPr>
                        <w:spacing w:after="0"/>
                        <w:rPr>
                          <w:rFonts w:eastAsiaTheme="minorEastAsia" w:cs="Arial"/>
                        </w:rPr>
                      </w:pPr>
                      <w:r>
                        <w:rPr>
                          <w:rFonts w:cs="Arial"/>
                        </w:rPr>
                        <w:t>f</w:t>
                      </w:r>
                      <w:r w:rsidRPr="001E2D8B">
                        <w:rPr>
                          <w:rFonts w:cs="Arial"/>
                        </w:rPr>
                        <w:t>und legal services to support family violence workers to respond to legal needs</w:t>
                      </w:r>
                      <w:r w:rsidRPr="001E2D8B">
                        <w:rPr>
                          <w:rFonts w:eastAsiaTheme="minorEastAsia" w:cs="Arial"/>
                        </w:rPr>
                        <w:t xml:space="preserve">. </w:t>
                      </w:r>
                    </w:p>
                    <w:p w14:paraId="5DB15748" w14:textId="77777777" w:rsidR="002C1AAC" w:rsidRPr="00E762A0" w:rsidRDefault="002C1AAC" w:rsidP="002C1AAC">
                      <w:pPr>
                        <w:numPr>
                          <w:ilvl w:val="0"/>
                          <w:numId w:val="21"/>
                        </w:numPr>
                        <w:spacing w:after="0"/>
                        <w:rPr>
                          <w:rFonts w:eastAsiaTheme="minorEastAsia" w:cs="Arial"/>
                        </w:rPr>
                      </w:pPr>
                      <w:r>
                        <w:rPr>
                          <w:rFonts w:eastAsiaTheme="minorEastAsia" w:cs="Arial"/>
                        </w:rPr>
                        <w:t>m</w:t>
                      </w:r>
                      <w:r w:rsidRPr="00E762A0">
                        <w:rPr>
                          <w:rFonts w:eastAsiaTheme="minorEastAsia" w:cs="Arial"/>
                        </w:rPr>
                        <w:t xml:space="preserve">eet the Royal Commission’s intention of extending the </w:t>
                      </w:r>
                      <w:r>
                        <w:rPr>
                          <w:rFonts w:eastAsiaTheme="minorEastAsia" w:cs="Arial"/>
                        </w:rPr>
                        <w:t>Family Violence Safety Notice (</w:t>
                      </w:r>
                      <w:r w:rsidRPr="00E762A0">
                        <w:rPr>
                          <w:rFonts w:eastAsiaTheme="minorEastAsia" w:cs="Arial"/>
                        </w:rPr>
                        <w:t>FVSN</w:t>
                      </w:r>
                      <w:r>
                        <w:rPr>
                          <w:rFonts w:eastAsiaTheme="minorEastAsia" w:cs="Arial"/>
                        </w:rPr>
                        <w:t>) period</w:t>
                      </w:r>
                      <w:r w:rsidRPr="00E762A0">
                        <w:rPr>
                          <w:rFonts w:eastAsiaTheme="minorEastAsia" w:cs="Arial"/>
                        </w:rPr>
                        <w:t xml:space="preserve"> from 5 to 14 day</w:t>
                      </w:r>
                      <w:r w:rsidRPr="00C97C9C">
                        <w:rPr>
                          <w:rFonts w:eastAsiaTheme="minorEastAsia" w:cs="Arial"/>
                        </w:rPr>
                        <w:t xml:space="preserve">s by </w:t>
                      </w:r>
                      <w:r w:rsidRPr="00D362C3">
                        <w:rPr>
                          <w:rFonts w:eastAsiaTheme="minorEastAsia" w:cs="Arial"/>
                        </w:rPr>
                        <w:t>putting in place the necessary structure</w:t>
                      </w:r>
                      <w:r>
                        <w:rPr>
                          <w:rFonts w:eastAsiaTheme="minorEastAsia" w:cs="Arial"/>
                        </w:rPr>
                        <w:t>s and associated funding</w:t>
                      </w:r>
                      <w:r w:rsidRPr="00D362C3">
                        <w:rPr>
                          <w:rFonts w:eastAsiaTheme="minorEastAsia" w:cs="Arial"/>
                        </w:rPr>
                        <w:t xml:space="preserve"> to </w:t>
                      </w:r>
                      <w:r w:rsidRPr="00B50966">
                        <w:rPr>
                          <w:rFonts w:cs="Arial"/>
                        </w:rPr>
                        <w:t>support the pre-court legal assistance</w:t>
                      </w:r>
                      <w:r>
                        <w:rPr>
                          <w:rFonts w:cs="Arial"/>
                        </w:rPr>
                        <w:t xml:space="preserve"> that was envisaged</w:t>
                      </w:r>
                      <w:r w:rsidRPr="00B50966">
                        <w:rPr>
                          <w:rFonts w:cs="Arial"/>
                        </w:rPr>
                        <w:t>.</w:t>
                      </w:r>
                      <w:r w:rsidRPr="00B50966">
                        <w:rPr>
                          <w:rFonts w:eastAsiaTheme="minorEastAsia" w:cs="Arial"/>
                        </w:rPr>
                        <w:t xml:space="preserve"> </w:t>
                      </w:r>
                    </w:p>
                    <w:p w14:paraId="776E5EE9" w14:textId="77777777" w:rsidR="002C1AAC" w:rsidRPr="00E762A0" w:rsidRDefault="002C1AAC" w:rsidP="002C1AAC">
                      <w:pPr>
                        <w:numPr>
                          <w:ilvl w:val="0"/>
                          <w:numId w:val="21"/>
                        </w:numPr>
                        <w:spacing w:after="0"/>
                        <w:rPr>
                          <w:rFonts w:eastAsiaTheme="minorEastAsia" w:cs="Arial"/>
                        </w:rPr>
                      </w:pPr>
                      <w:r>
                        <w:rPr>
                          <w:rFonts w:eastAsiaTheme="minorEastAsia" w:cs="Arial"/>
                        </w:rPr>
                        <w:t>a</w:t>
                      </w:r>
                      <w:r w:rsidRPr="00E762A0">
                        <w:rPr>
                          <w:rFonts w:eastAsiaTheme="minorEastAsia" w:cs="Arial"/>
                        </w:rPr>
                        <w:t>dequately fund legal services</w:t>
                      </w:r>
                      <w:r>
                        <w:rPr>
                          <w:rFonts w:eastAsiaTheme="minorEastAsia" w:cs="Arial"/>
                        </w:rPr>
                        <w:t xml:space="preserve"> to provide family violence legal assistance.</w:t>
                      </w:r>
                      <w:r w:rsidRPr="00E762A0">
                        <w:rPr>
                          <w:rFonts w:eastAsiaTheme="minorEastAsia" w:cs="Arial"/>
                        </w:rPr>
                        <w:t xml:space="preserve"> </w:t>
                      </w:r>
                    </w:p>
                    <w:p w14:paraId="603C1737" w14:textId="77777777" w:rsidR="002C1AAC" w:rsidRPr="001E2D8B" w:rsidRDefault="002C1AAC" w:rsidP="002C1AAC">
                      <w:pPr>
                        <w:numPr>
                          <w:ilvl w:val="0"/>
                          <w:numId w:val="21"/>
                        </w:numPr>
                        <w:spacing w:after="0"/>
                        <w:rPr>
                          <w:rFonts w:eastAsiaTheme="minorEastAsia" w:cs="Arial"/>
                        </w:rPr>
                      </w:pPr>
                      <w:r>
                        <w:rPr>
                          <w:rFonts w:eastAsiaTheme="minorEastAsia" w:cs="Arial"/>
                        </w:rPr>
                        <w:t>c</w:t>
                      </w:r>
                      <w:r w:rsidRPr="00E762A0">
                        <w:rPr>
                          <w:rFonts w:eastAsiaTheme="minorEastAsia" w:cs="Arial"/>
                        </w:rPr>
                        <w:t>ommit to funding for general demand in the court system including the rollout of the remaining Specialist Family Violence Courts (SFVCs)</w:t>
                      </w:r>
                      <w:r>
                        <w:rPr>
                          <w:rFonts w:eastAsiaTheme="minorEastAsia" w:cs="Arial"/>
                        </w:rPr>
                        <w:t>.</w:t>
                      </w:r>
                    </w:p>
                  </w:txbxContent>
                </v:textbox>
                <w10:anchorlock/>
              </v:shape>
            </w:pict>
          </mc:Fallback>
        </mc:AlternateContent>
      </w:r>
    </w:p>
    <w:p w14:paraId="019C215A" w14:textId="1B07D390" w:rsidR="00977075" w:rsidRPr="00A329B7" w:rsidRDefault="00977075" w:rsidP="00DA409B">
      <w:pPr>
        <w:pStyle w:val="Heading3"/>
        <w:rPr>
          <w:rFonts w:eastAsiaTheme="minorEastAsia"/>
        </w:rPr>
      </w:pPr>
      <w:bookmarkStart w:id="57" w:name="_Toc46146201"/>
      <w:r w:rsidRPr="00A329B7">
        <w:rPr>
          <w:rFonts w:eastAsia="Arial"/>
        </w:rPr>
        <w:t xml:space="preserve">The </w:t>
      </w:r>
      <w:r w:rsidR="00896BC3">
        <w:rPr>
          <w:rFonts w:eastAsia="Arial"/>
        </w:rPr>
        <w:t xml:space="preserve">Support and Safety Hubs (The </w:t>
      </w:r>
      <w:r w:rsidRPr="00A329B7">
        <w:rPr>
          <w:rFonts w:eastAsia="Arial"/>
        </w:rPr>
        <w:t>Orange Door</w:t>
      </w:r>
      <w:r w:rsidR="00896BC3">
        <w:rPr>
          <w:rFonts w:eastAsia="Arial"/>
        </w:rPr>
        <w:t>)</w:t>
      </w:r>
      <w:bookmarkEnd w:id="55"/>
      <w:bookmarkEnd w:id="56"/>
      <w:bookmarkEnd w:id="57"/>
    </w:p>
    <w:p w14:paraId="6D9CB10D" w14:textId="1BFB61F4" w:rsidR="00D502E6" w:rsidRDefault="00A75299" w:rsidP="00DA409B">
      <w:pPr>
        <w:spacing w:before="100"/>
        <w:rPr>
          <w:rFonts w:eastAsiaTheme="minorEastAsia" w:cs="Arial"/>
          <w:szCs w:val="22"/>
        </w:rPr>
      </w:pPr>
      <w:r>
        <w:rPr>
          <w:rFonts w:eastAsiaTheme="minorEastAsia" w:cs="Arial"/>
          <w:szCs w:val="22"/>
        </w:rPr>
        <w:t>We commend t</w:t>
      </w:r>
      <w:r w:rsidR="00F50BA7">
        <w:rPr>
          <w:rFonts w:eastAsiaTheme="minorEastAsia" w:cs="Arial"/>
          <w:szCs w:val="22"/>
        </w:rPr>
        <w:t xml:space="preserve">he </w:t>
      </w:r>
      <w:r w:rsidR="007976FE">
        <w:rPr>
          <w:rFonts w:eastAsiaTheme="minorEastAsia" w:cs="Arial"/>
          <w:szCs w:val="22"/>
        </w:rPr>
        <w:t>Commission</w:t>
      </w:r>
      <w:r>
        <w:rPr>
          <w:rFonts w:eastAsiaTheme="minorEastAsia" w:cs="Arial"/>
          <w:szCs w:val="22"/>
        </w:rPr>
        <w:t>’s</w:t>
      </w:r>
      <w:r w:rsidR="00C906DB">
        <w:rPr>
          <w:rFonts w:eastAsiaTheme="minorEastAsia" w:cs="Arial"/>
          <w:szCs w:val="22"/>
        </w:rPr>
        <w:t xml:space="preserve"> vision</w:t>
      </w:r>
      <w:r w:rsidR="006B7FD7">
        <w:rPr>
          <w:rFonts w:eastAsiaTheme="minorEastAsia" w:cs="Arial"/>
          <w:szCs w:val="22"/>
        </w:rPr>
        <w:t xml:space="preserve"> </w:t>
      </w:r>
      <w:r w:rsidR="003C5FE7">
        <w:rPr>
          <w:rFonts w:eastAsiaTheme="minorEastAsia" w:cs="Arial"/>
          <w:szCs w:val="22"/>
        </w:rPr>
        <w:t>to provide</w:t>
      </w:r>
      <w:r w:rsidR="00F54AED">
        <w:rPr>
          <w:rFonts w:eastAsiaTheme="minorEastAsia" w:cs="Arial"/>
          <w:szCs w:val="22"/>
        </w:rPr>
        <w:t xml:space="preserve"> victims and families </w:t>
      </w:r>
      <w:r w:rsidR="00E03B9A">
        <w:rPr>
          <w:rFonts w:eastAsiaTheme="minorEastAsia" w:cs="Arial"/>
          <w:szCs w:val="22"/>
        </w:rPr>
        <w:t xml:space="preserve">the help they need, </w:t>
      </w:r>
      <w:r w:rsidR="00F54AED">
        <w:rPr>
          <w:rFonts w:eastAsiaTheme="minorEastAsia" w:cs="Arial"/>
          <w:szCs w:val="22"/>
        </w:rPr>
        <w:t xml:space="preserve">when </w:t>
      </w:r>
      <w:r w:rsidR="00E03B9A">
        <w:rPr>
          <w:rFonts w:eastAsiaTheme="minorEastAsia" w:cs="Arial"/>
          <w:szCs w:val="22"/>
        </w:rPr>
        <w:t>they need it</w:t>
      </w:r>
      <w:r w:rsidR="002204C3">
        <w:rPr>
          <w:rFonts w:eastAsiaTheme="minorEastAsia" w:cs="Arial"/>
          <w:szCs w:val="22"/>
        </w:rPr>
        <w:t xml:space="preserve"> through a simplified, single entry point</w:t>
      </w:r>
      <w:r w:rsidR="00E03B9A">
        <w:rPr>
          <w:rFonts w:eastAsiaTheme="minorEastAsia" w:cs="Arial"/>
          <w:szCs w:val="22"/>
        </w:rPr>
        <w:t xml:space="preserve"> whilst also </w:t>
      </w:r>
      <w:r w:rsidR="0052159D">
        <w:rPr>
          <w:rFonts w:eastAsiaTheme="minorEastAsia" w:cs="Arial"/>
          <w:szCs w:val="22"/>
        </w:rPr>
        <w:t xml:space="preserve">increasing and </w:t>
      </w:r>
      <w:r w:rsidR="00E03B9A">
        <w:rPr>
          <w:rFonts w:eastAsiaTheme="minorEastAsia" w:cs="Arial"/>
          <w:szCs w:val="22"/>
        </w:rPr>
        <w:t>ensuring perpetrator visibility</w:t>
      </w:r>
      <w:r w:rsidR="00180F3C">
        <w:rPr>
          <w:rFonts w:eastAsiaTheme="minorEastAsia" w:cs="Arial"/>
          <w:szCs w:val="22"/>
        </w:rPr>
        <w:t>,</w:t>
      </w:r>
      <w:r w:rsidR="005B43DD">
        <w:rPr>
          <w:rFonts w:eastAsiaTheme="minorEastAsia" w:cs="Arial"/>
          <w:szCs w:val="22"/>
        </w:rPr>
        <w:t xml:space="preserve"> in their recommendation for Support and Safety Hubs </w:t>
      </w:r>
      <w:r w:rsidR="006D64A5">
        <w:rPr>
          <w:rFonts w:eastAsiaTheme="minorEastAsia" w:cs="Arial"/>
          <w:szCs w:val="22"/>
        </w:rPr>
        <w:t xml:space="preserve">‘The Hubs’ </w:t>
      </w:r>
      <w:r w:rsidR="005B43DD">
        <w:rPr>
          <w:rFonts w:eastAsiaTheme="minorEastAsia" w:cs="Arial"/>
          <w:szCs w:val="22"/>
        </w:rPr>
        <w:t>(The Orange Door)</w:t>
      </w:r>
      <w:r w:rsidR="002204C3">
        <w:rPr>
          <w:rFonts w:eastAsiaTheme="minorEastAsia" w:cs="Arial"/>
          <w:szCs w:val="22"/>
        </w:rPr>
        <w:t>.</w:t>
      </w:r>
      <w:r w:rsidR="008F3496">
        <w:rPr>
          <w:rFonts w:eastAsiaTheme="minorEastAsia" w:cs="Arial"/>
          <w:szCs w:val="22"/>
        </w:rPr>
        <w:t xml:space="preserve"> </w:t>
      </w:r>
      <w:r w:rsidR="005B43DD">
        <w:rPr>
          <w:rFonts w:eastAsiaTheme="minorEastAsia" w:cs="Arial"/>
          <w:szCs w:val="22"/>
        </w:rPr>
        <w:t xml:space="preserve"> </w:t>
      </w:r>
    </w:p>
    <w:p w14:paraId="5FAA3941" w14:textId="7467AB8B" w:rsidR="004C592B" w:rsidRDefault="0073592B" w:rsidP="00DA409B">
      <w:pPr>
        <w:spacing w:before="100"/>
        <w:rPr>
          <w:rFonts w:eastAsiaTheme="minorEastAsia" w:cs="Arial"/>
        </w:rPr>
      </w:pPr>
      <w:r w:rsidRPr="601304C8">
        <w:rPr>
          <w:rFonts w:eastAsiaTheme="minorEastAsia" w:cs="Arial"/>
        </w:rPr>
        <w:t xml:space="preserve">We share the concerns </w:t>
      </w:r>
      <w:r w:rsidR="004C592B" w:rsidRPr="601304C8">
        <w:rPr>
          <w:rFonts w:eastAsiaTheme="minorEastAsia" w:cs="Arial"/>
        </w:rPr>
        <w:t xml:space="preserve">raised in the recent </w:t>
      </w:r>
      <w:r w:rsidR="00B00200">
        <w:rPr>
          <w:rFonts w:eastAsiaTheme="minorEastAsia" w:cs="Arial"/>
        </w:rPr>
        <w:t>Victorian Auditor-General’s Office (</w:t>
      </w:r>
      <w:r w:rsidR="004C592B" w:rsidRPr="601304C8">
        <w:rPr>
          <w:rFonts w:eastAsiaTheme="minorEastAsia" w:cs="Arial"/>
        </w:rPr>
        <w:t>VAGO</w:t>
      </w:r>
      <w:r w:rsidR="00B00200">
        <w:rPr>
          <w:rFonts w:eastAsiaTheme="minorEastAsia" w:cs="Arial"/>
        </w:rPr>
        <w:t>)</w:t>
      </w:r>
      <w:r w:rsidR="004C592B" w:rsidRPr="601304C8">
        <w:rPr>
          <w:rFonts w:eastAsiaTheme="minorEastAsia" w:cs="Arial"/>
        </w:rPr>
        <w:t xml:space="preserve"> report </w:t>
      </w:r>
      <w:r w:rsidR="00EF5474" w:rsidRPr="601304C8">
        <w:rPr>
          <w:rFonts w:eastAsiaTheme="minorEastAsia" w:cs="Arial"/>
        </w:rPr>
        <w:t xml:space="preserve">on the Support and Safety Hubs </w:t>
      </w:r>
      <w:r w:rsidR="004C592B" w:rsidRPr="601304C8">
        <w:rPr>
          <w:rFonts w:eastAsiaTheme="minorEastAsia" w:cs="Arial"/>
        </w:rPr>
        <w:t xml:space="preserve">and </w:t>
      </w:r>
      <w:r w:rsidR="003B14CB" w:rsidRPr="601304C8">
        <w:rPr>
          <w:rFonts w:eastAsiaTheme="minorEastAsia" w:cs="Arial"/>
        </w:rPr>
        <w:t xml:space="preserve">the first FVRIM report to parliament </w:t>
      </w:r>
      <w:r w:rsidR="00EF5474" w:rsidRPr="601304C8">
        <w:rPr>
          <w:rFonts w:eastAsiaTheme="minorEastAsia" w:cs="Arial"/>
        </w:rPr>
        <w:t xml:space="preserve">that </w:t>
      </w:r>
      <w:r w:rsidR="001C5327" w:rsidRPr="601304C8">
        <w:rPr>
          <w:rFonts w:eastAsiaTheme="minorEastAsia" w:cs="Arial"/>
        </w:rPr>
        <w:t xml:space="preserve">the scale and pace of change </w:t>
      </w:r>
      <w:r w:rsidR="00360372" w:rsidRPr="601304C8">
        <w:rPr>
          <w:rFonts w:eastAsiaTheme="minorEastAsia" w:cs="Arial"/>
        </w:rPr>
        <w:t xml:space="preserve">required was not fully recognised in the implementation of the first five hubs, resulting in </w:t>
      </w:r>
      <w:r w:rsidR="007B0A9A" w:rsidRPr="601304C8">
        <w:rPr>
          <w:rFonts w:eastAsiaTheme="minorEastAsia" w:cs="Arial"/>
        </w:rPr>
        <w:t xml:space="preserve">service coordination not yet being </w:t>
      </w:r>
      <w:r w:rsidR="007B0A9A" w:rsidRPr="00342BEE">
        <w:rPr>
          <w:rFonts w:eastAsiaTheme="minorEastAsia" w:cs="Arial"/>
        </w:rPr>
        <w:t>consistent or effective</w:t>
      </w:r>
      <w:r w:rsidR="007B0A9A" w:rsidRPr="00342BEE">
        <w:rPr>
          <w:rStyle w:val="FootnoteReference"/>
          <w:rFonts w:eastAsiaTheme="minorEastAsia" w:cs="Arial"/>
        </w:rPr>
        <w:footnoteReference w:id="6"/>
      </w:r>
      <w:r w:rsidR="007B0A9A" w:rsidRPr="00342BEE">
        <w:rPr>
          <w:rFonts w:eastAsiaTheme="minorEastAsia" w:cs="Arial"/>
        </w:rPr>
        <w:t xml:space="preserve">. </w:t>
      </w:r>
    </w:p>
    <w:p w14:paraId="01A448B3" w14:textId="77777777" w:rsidR="00CC4D1F" w:rsidRPr="00CC4D1F" w:rsidRDefault="001E6D1C" w:rsidP="00DA409B">
      <w:pPr>
        <w:pStyle w:val="CommentText"/>
        <w:spacing w:after="120" w:line="300" w:lineRule="atLeast"/>
        <w:rPr>
          <w:rFonts w:ascii="Arial" w:eastAsiaTheme="minorEastAsia" w:hAnsi="Arial" w:cs="Arial"/>
          <w:sz w:val="22"/>
          <w:szCs w:val="22"/>
        </w:rPr>
      </w:pPr>
      <w:r w:rsidRPr="00CC69FB">
        <w:rPr>
          <w:rFonts w:ascii="Arial" w:hAnsi="Arial" w:cs="Arial"/>
          <w:sz w:val="22"/>
          <w:szCs w:val="22"/>
          <w:lang w:eastAsia="en-AU"/>
        </w:rPr>
        <w:t>While the VAGO report raises concerns that the Family Safety Victoria (FSV) “</w:t>
      </w:r>
      <w:r w:rsidRPr="00CC69FB">
        <w:rPr>
          <w:rFonts w:ascii="Arial" w:hAnsi="Arial" w:cs="Arial"/>
          <w:sz w:val="22"/>
          <w:szCs w:val="22"/>
        </w:rPr>
        <w:t xml:space="preserve">governance structure does not support effective performance management of hubs” and “In addition, the large number of </w:t>
      </w:r>
      <w:proofErr w:type="spellStart"/>
      <w:r w:rsidRPr="00CC69FB">
        <w:rPr>
          <w:rFonts w:ascii="Arial" w:hAnsi="Arial" w:cs="Arial"/>
          <w:sz w:val="22"/>
          <w:szCs w:val="22"/>
        </w:rPr>
        <w:t>statewide</w:t>
      </w:r>
      <w:proofErr w:type="spellEnd"/>
      <w:r w:rsidRPr="00CC69FB">
        <w:rPr>
          <w:rFonts w:ascii="Arial" w:hAnsi="Arial" w:cs="Arial"/>
          <w:sz w:val="22"/>
          <w:szCs w:val="22"/>
        </w:rPr>
        <w:t xml:space="preserve"> governance groups makes it difficult to identify responsibilities for hub performance at the </w:t>
      </w:r>
      <w:proofErr w:type="spellStart"/>
      <w:r w:rsidRPr="00CC69FB">
        <w:rPr>
          <w:rFonts w:ascii="Arial" w:hAnsi="Arial" w:cs="Arial"/>
          <w:sz w:val="22"/>
          <w:szCs w:val="22"/>
        </w:rPr>
        <w:t>statewide</w:t>
      </w:r>
      <w:proofErr w:type="spellEnd"/>
      <w:r w:rsidRPr="00CC69FB">
        <w:rPr>
          <w:rFonts w:ascii="Arial" w:hAnsi="Arial" w:cs="Arial"/>
          <w:sz w:val="22"/>
          <w:szCs w:val="22"/>
        </w:rPr>
        <w:t xml:space="preserve"> level</w:t>
      </w:r>
      <w:r w:rsidRPr="00CC69FB">
        <w:rPr>
          <w:rStyle w:val="FootnoteReference"/>
          <w:rFonts w:cs="Arial"/>
          <w:sz w:val="22"/>
          <w:szCs w:val="22"/>
        </w:rPr>
        <w:footnoteReference w:id="7"/>
      </w:r>
      <w:r w:rsidRPr="00CC69FB">
        <w:rPr>
          <w:rFonts w:ascii="Arial" w:hAnsi="Arial" w:cs="Arial"/>
          <w:sz w:val="22"/>
          <w:szCs w:val="22"/>
        </w:rPr>
        <w:t xml:space="preserve">” without a whole-of-government governance structure, it is our view that a coordinated and consistent point-of-entry for clients will be challenging to realise. </w:t>
      </w:r>
    </w:p>
    <w:p w14:paraId="12088537" w14:textId="0CCC7990" w:rsidR="001E6D1C" w:rsidRDefault="007C4AFF" w:rsidP="00DA409B">
      <w:pPr>
        <w:pStyle w:val="CommentText"/>
        <w:spacing w:after="120" w:line="300" w:lineRule="atLeast"/>
        <w:rPr>
          <w:rFonts w:ascii="Arial" w:hAnsi="Arial" w:cs="Arial"/>
          <w:sz w:val="22"/>
          <w:szCs w:val="22"/>
        </w:rPr>
      </w:pPr>
      <w:r w:rsidRPr="00342BEE">
        <w:rPr>
          <w:rFonts w:ascii="Arial" w:eastAsiaTheme="minorEastAsia" w:hAnsi="Arial" w:cs="Arial"/>
          <w:sz w:val="22"/>
          <w:szCs w:val="22"/>
        </w:rPr>
        <w:t>As we</w:t>
      </w:r>
      <w:r w:rsidR="005B378D" w:rsidRPr="00342BEE">
        <w:rPr>
          <w:rFonts w:ascii="Arial" w:eastAsiaTheme="minorEastAsia" w:hAnsi="Arial" w:cs="Arial"/>
          <w:sz w:val="22"/>
          <w:szCs w:val="22"/>
        </w:rPr>
        <w:t xml:space="preserve"> have</w:t>
      </w:r>
      <w:r w:rsidRPr="00342BEE">
        <w:rPr>
          <w:rFonts w:ascii="Arial" w:eastAsiaTheme="minorEastAsia" w:hAnsi="Arial" w:cs="Arial"/>
          <w:sz w:val="22"/>
          <w:szCs w:val="22"/>
        </w:rPr>
        <w:t xml:space="preserve"> mentioned earlier in this submission, we are concerned that legal services have not been fully integrated into family violence reform. One example of this is th</w:t>
      </w:r>
      <w:r w:rsidR="00BA21A4">
        <w:rPr>
          <w:rFonts w:ascii="Arial" w:eastAsiaTheme="minorEastAsia" w:hAnsi="Arial" w:cs="Arial"/>
          <w:sz w:val="22"/>
          <w:szCs w:val="22"/>
        </w:rPr>
        <w:t xml:space="preserve">e lack of </w:t>
      </w:r>
      <w:r w:rsidR="00DA536A">
        <w:rPr>
          <w:rFonts w:ascii="Arial" w:eastAsiaTheme="minorEastAsia" w:hAnsi="Arial" w:cs="Arial"/>
          <w:sz w:val="22"/>
          <w:szCs w:val="22"/>
        </w:rPr>
        <w:t xml:space="preserve">a </w:t>
      </w:r>
      <w:r w:rsidR="001F2A66">
        <w:rPr>
          <w:rFonts w:ascii="Arial" w:eastAsiaTheme="minorEastAsia" w:hAnsi="Arial" w:cs="Arial"/>
          <w:sz w:val="22"/>
          <w:szCs w:val="22"/>
        </w:rPr>
        <w:t xml:space="preserve">consistent model for </w:t>
      </w:r>
      <w:r w:rsidR="00BA21A4" w:rsidRPr="00A61A68">
        <w:rPr>
          <w:rFonts w:ascii="Arial" w:eastAsiaTheme="minorEastAsia" w:hAnsi="Arial" w:cs="Arial"/>
          <w:sz w:val="22"/>
          <w:szCs w:val="22"/>
        </w:rPr>
        <w:t>the state-wide integration</w:t>
      </w:r>
      <w:r w:rsidR="00EE7310">
        <w:rPr>
          <w:rFonts w:ascii="Arial" w:eastAsiaTheme="minorEastAsia" w:hAnsi="Arial" w:cs="Arial"/>
          <w:sz w:val="22"/>
          <w:szCs w:val="22"/>
        </w:rPr>
        <w:t>,</w:t>
      </w:r>
      <w:r w:rsidR="00BA21A4" w:rsidRPr="00A61A68">
        <w:rPr>
          <w:rFonts w:ascii="Arial" w:eastAsiaTheme="minorEastAsia" w:hAnsi="Arial" w:cs="Arial"/>
          <w:sz w:val="22"/>
          <w:szCs w:val="22"/>
        </w:rPr>
        <w:t xml:space="preserve"> </w:t>
      </w:r>
      <w:proofErr w:type="gramStart"/>
      <w:r w:rsidR="00BA21A4" w:rsidRPr="00A61A68">
        <w:rPr>
          <w:rFonts w:ascii="Arial" w:eastAsiaTheme="minorEastAsia" w:hAnsi="Arial" w:cs="Arial"/>
          <w:sz w:val="22"/>
          <w:szCs w:val="22"/>
        </w:rPr>
        <w:t>connection</w:t>
      </w:r>
      <w:proofErr w:type="gramEnd"/>
      <w:r w:rsidR="00BA21A4" w:rsidRPr="00A61A68">
        <w:rPr>
          <w:rFonts w:ascii="Arial" w:eastAsiaTheme="minorEastAsia" w:hAnsi="Arial" w:cs="Arial"/>
          <w:sz w:val="22"/>
          <w:szCs w:val="22"/>
        </w:rPr>
        <w:t xml:space="preserve"> </w:t>
      </w:r>
      <w:r w:rsidR="00EE7310">
        <w:rPr>
          <w:rFonts w:ascii="Arial" w:eastAsiaTheme="minorEastAsia" w:hAnsi="Arial" w:cs="Arial"/>
          <w:sz w:val="22"/>
          <w:szCs w:val="22"/>
        </w:rPr>
        <w:t xml:space="preserve">and funding </w:t>
      </w:r>
      <w:r w:rsidR="00BA21A4" w:rsidRPr="00A61A68">
        <w:rPr>
          <w:rFonts w:ascii="Arial" w:eastAsiaTheme="minorEastAsia" w:hAnsi="Arial" w:cs="Arial"/>
          <w:sz w:val="22"/>
          <w:szCs w:val="22"/>
        </w:rPr>
        <w:t>of legal services to The Orange Door and specialist family violence services</w:t>
      </w:r>
      <w:r w:rsidR="001E7E60">
        <w:rPr>
          <w:rFonts w:ascii="Arial" w:eastAsiaTheme="minorEastAsia" w:hAnsi="Arial" w:cs="Arial"/>
          <w:sz w:val="22"/>
          <w:szCs w:val="22"/>
        </w:rPr>
        <w:t xml:space="preserve">. </w:t>
      </w:r>
      <w:r w:rsidR="002D00DC" w:rsidRPr="002D00DC">
        <w:rPr>
          <w:rFonts w:ascii="Arial" w:hAnsi="Arial" w:cs="Arial"/>
          <w:sz w:val="22"/>
          <w:szCs w:val="22"/>
        </w:rPr>
        <w:t>While over time</w:t>
      </w:r>
      <w:r w:rsidR="0034101C">
        <w:rPr>
          <w:rFonts w:ascii="Arial" w:hAnsi="Arial" w:cs="Arial"/>
          <w:sz w:val="22"/>
          <w:szCs w:val="22"/>
        </w:rPr>
        <w:t xml:space="preserve"> local</w:t>
      </w:r>
      <w:r w:rsidR="00D45542">
        <w:rPr>
          <w:rFonts w:ascii="Arial" w:hAnsi="Arial" w:cs="Arial"/>
          <w:sz w:val="22"/>
          <w:szCs w:val="22"/>
        </w:rPr>
        <w:t xml:space="preserve"> arrangements have been made for </w:t>
      </w:r>
      <w:r w:rsidR="002D00DC" w:rsidRPr="002D00DC">
        <w:rPr>
          <w:rFonts w:ascii="Arial" w:hAnsi="Arial" w:cs="Arial"/>
          <w:sz w:val="22"/>
          <w:szCs w:val="22"/>
        </w:rPr>
        <w:t xml:space="preserve">legal services </w:t>
      </w:r>
      <w:r w:rsidR="00D45542">
        <w:rPr>
          <w:rFonts w:ascii="Arial" w:hAnsi="Arial" w:cs="Arial"/>
          <w:sz w:val="22"/>
          <w:szCs w:val="22"/>
        </w:rPr>
        <w:t xml:space="preserve">to deliver </w:t>
      </w:r>
      <w:r w:rsidR="006C354D">
        <w:rPr>
          <w:rFonts w:ascii="Arial" w:hAnsi="Arial" w:cs="Arial"/>
          <w:sz w:val="22"/>
          <w:szCs w:val="22"/>
        </w:rPr>
        <w:t xml:space="preserve">some services to </w:t>
      </w:r>
      <w:r w:rsidR="002D00DC" w:rsidRPr="002D00DC">
        <w:rPr>
          <w:rFonts w:ascii="Arial" w:hAnsi="Arial" w:cs="Arial"/>
          <w:sz w:val="22"/>
          <w:szCs w:val="22"/>
        </w:rPr>
        <w:t>hub clients</w:t>
      </w:r>
      <w:r w:rsidR="00D049DD">
        <w:rPr>
          <w:rFonts w:ascii="Arial" w:hAnsi="Arial" w:cs="Arial"/>
          <w:sz w:val="22"/>
          <w:szCs w:val="22"/>
        </w:rPr>
        <w:t>,</w:t>
      </w:r>
      <w:r w:rsidR="006C354D">
        <w:rPr>
          <w:rFonts w:ascii="Arial" w:hAnsi="Arial" w:cs="Arial"/>
          <w:sz w:val="22"/>
          <w:szCs w:val="22"/>
        </w:rPr>
        <w:t xml:space="preserve"> th</w:t>
      </w:r>
      <w:r w:rsidR="00204B8E">
        <w:rPr>
          <w:rFonts w:ascii="Arial" w:hAnsi="Arial" w:cs="Arial"/>
          <w:sz w:val="22"/>
          <w:szCs w:val="22"/>
        </w:rPr>
        <w:t xml:space="preserve">e </w:t>
      </w:r>
      <w:r w:rsidR="001650B1">
        <w:rPr>
          <w:rFonts w:ascii="Arial" w:hAnsi="Arial" w:cs="Arial"/>
          <w:sz w:val="22"/>
          <w:szCs w:val="22"/>
        </w:rPr>
        <w:t xml:space="preserve">level and availability </w:t>
      </w:r>
      <w:r w:rsidR="00E65205">
        <w:rPr>
          <w:rFonts w:ascii="Arial" w:hAnsi="Arial" w:cs="Arial"/>
          <w:sz w:val="22"/>
          <w:szCs w:val="22"/>
        </w:rPr>
        <w:t>of legal</w:t>
      </w:r>
      <w:r w:rsidR="006C354D">
        <w:rPr>
          <w:rFonts w:ascii="Arial" w:hAnsi="Arial" w:cs="Arial"/>
          <w:sz w:val="22"/>
          <w:szCs w:val="22"/>
        </w:rPr>
        <w:t xml:space="preserve"> assistance is</w:t>
      </w:r>
      <w:r w:rsidR="00C23146">
        <w:rPr>
          <w:rFonts w:ascii="Arial" w:hAnsi="Arial" w:cs="Arial"/>
          <w:sz w:val="22"/>
          <w:szCs w:val="22"/>
        </w:rPr>
        <w:t xml:space="preserve"> not </w:t>
      </w:r>
      <w:r w:rsidR="00DA536A">
        <w:rPr>
          <w:rFonts w:ascii="Arial" w:hAnsi="Arial" w:cs="Arial"/>
          <w:sz w:val="22"/>
          <w:szCs w:val="22"/>
        </w:rPr>
        <w:lastRenderedPageBreak/>
        <w:t xml:space="preserve">consistent across sites. </w:t>
      </w:r>
      <w:r w:rsidR="00DA536A" w:rsidRPr="00342BEE">
        <w:rPr>
          <w:rFonts w:ascii="Arial" w:hAnsi="Arial" w:cs="Arial"/>
          <w:sz w:val="22"/>
          <w:szCs w:val="22"/>
        </w:rPr>
        <w:t>The result for clients is they get a different level of service or engagement depending on which hub the</w:t>
      </w:r>
      <w:r w:rsidR="00DA536A" w:rsidRPr="002D00DC">
        <w:rPr>
          <w:rFonts w:ascii="Arial" w:hAnsi="Arial" w:cs="Arial"/>
          <w:sz w:val="22"/>
          <w:szCs w:val="22"/>
        </w:rPr>
        <w:t>y attend</w:t>
      </w:r>
      <w:r w:rsidR="00DA536A">
        <w:rPr>
          <w:rFonts w:ascii="Arial" w:hAnsi="Arial" w:cs="Arial"/>
          <w:sz w:val="22"/>
          <w:szCs w:val="22"/>
        </w:rPr>
        <w:t xml:space="preserve">. </w:t>
      </w:r>
      <w:r w:rsidR="006C354D">
        <w:rPr>
          <w:rFonts w:ascii="Arial" w:hAnsi="Arial" w:cs="Arial"/>
          <w:sz w:val="22"/>
          <w:szCs w:val="22"/>
        </w:rPr>
        <w:t xml:space="preserve"> </w:t>
      </w:r>
      <w:r w:rsidR="002D00DC" w:rsidRPr="002D00DC">
        <w:rPr>
          <w:rFonts w:ascii="Arial" w:hAnsi="Arial" w:cs="Arial"/>
          <w:sz w:val="22"/>
          <w:szCs w:val="22"/>
        </w:rPr>
        <w:t xml:space="preserve"> </w:t>
      </w:r>
    </w:p>
    <w:p w14:paraId="44313AD5" w14:textId="27F0D514" w:rsidR="00210838" w:rsidRPr="00342BEE" w:rsidRDefault="00BF703A" w:rsidP="00DA409B">
      <w:pPr>
        <w:pStyle w:val="CommentText"/>
        <w:spacing w:after="120" w:line="300" w:lineRule="atLeast"/>
        <w:rPr>
          <w:rFonts w:ascii="Arial" w:hAnsi="Arial" w:cs="Arial"/>
          <w:sz w:val="22"/>
          <w:szCs w:val="22"/>
        </w:rPr>
      </w:pPr>
      <w:r w:rsidRPr="002D00DC">
        <w:rPr>
          <w:rFonts w:ascii="Arial" w:eastAsiaTheme="minorEastAsia" w:hAnsi="Arial" w:cs="Arial"/>
          <w:sz w:val="22"/>
          <w:szCs w:val="22"/>
        </w:rPr>
        <w:t>I</w:t>
      </w:r>
      <w:r w:rsidR="006E7596" w:rsidRPr="002D00DC">
        <w:rPr>
          <w:rFonts w:ascii="Arial" w:eastAsiaTheme="minorEastAsia" w:hAnsi="Arial" w:cs="Arial"/>
          <w:sz w:val="22"/>
          <w:szCs w:val="22"/>
        </w:rPr>
        <w:t xml:space="preserve">n </w:t>
      </w:r>
      <w:r w:rsidR="008B32AA">
        <w:rPr>
          <w:rFonts w:ascii="Arial" w:eastAsiaTheme="minorEastAsia" w:hAnsi="Arial" w:cs="Arial"/>
          <w:sz w:val="22"/>
          <w:szCs w:val="22"/>
        </w:rPr>
        <w:t xml:space="preserve">the absence of a </w:t>
      </w:r>
      <w:r w:rsidR="00365E50">
        <w:rPr>
          <w:rFonts w:ascii="Arial" w:eastAsiaTheme="minorEastAsia" w:hAnsi="Arial" w:cs="Arial"/>
          <w:sz w:val="22"/>
          <w:szCs w:val="22"/>
        </w:rPr>
        <w:t xml:space="preserve">state-wide model </w:t>
      </w:r>
      <w:r w:rsidR="00E306DB">
        <w:rPr>
          <w:rFonts w:ascii="Arial" w:eastAsiaTheme="minorEastAsia" w:hAnsi="Arial" w:cs="Arial"/>
          <w:sz w:val="22"/>
          <w:szCs w:val="22"/>
        </w:rPr>
        <w:t xml:space="preserve">and </w:t>
      </w:r>
      <w:r w:rsidR="00CD124A">
        <w:rPr>
          <w:rFonts w:ascii="Arial" w:eastAsiaTheme="minorEastAsia" w:hAnsi="Arial" w:cs="Arial"/>
          <w:sz w:val="22"/>
          <w:szCs w:val="22"/>
        </w:rPr>
        <w:t>support</w:t>
      </w:r>
      <w:r w:rsidR="00E306DB">
        <w:rPr>
          <w:rFonts w:ascii="Arial" w:eastAsiaTheme="minorEastAsia" w:hAnsi="Arial" w:cs="Arial"/>
          <w:sz w:val="22"/>
          <w:szCs w:val="22"/>
        </w:rPr>
        <w:t xml:space="preserve"> for family violence workers to identify </w:t>
      </w:r>
      <w:r w:rsidR="00BF0235">
        <w:rPr>
          <w:rFonts w:ascii="Arial" w:eastAsiaTheme="minorEastAsia" w:hAnsi="Arial" w:cs="Arial"/>
          <w:sz w:val="22"/>
          <w:szCs w:val="22"/>
        </w:rPr>
        <w:t>and respond to legal needs</w:t>
      </w:r>
      <w:r w:rsidR="00D049DD">
        <w:rPr>
          <w:rFonts w:ascii="Arial" w:eastAsiaTheme="minorEastAsia" w:hAnsi="Arial" w:cs="Arial"/>
          <w:sz w:val="22"/>
          <w:szCs w:val="22"/>
        </w:rPr>
        <w:t>,</w:t>
      </w:r>
      <w:r w:rsidR="008329C3">
        <w:rPr>
          <w:rFonts w:ascii="Arial" w:eastAsiaTheme="minorEastAsia" w:hAnsi="Arial" w:cs="Arial"/>
          <w:sz w:val="22"/>
          <w:szCs w:val="22"/>
        </w:rPr>
        <w:t xml:space="preserve"> </w:t>
      </w:r>
      <w:r w:rsidR="006E7596" w:rsidRPr="002D00DC">
        <w:rPr>
          <w:rFonts w:ascii="Arial" w:eastAsiaTheme="minorEastAsia" w:hAnsi="Arial" w:cs="Arial"/>
          <w:sz w:val="22"/>
          <w:szCs w:val="22"/>
        </w:rPr>
        <w:t xml:space="preserve">our </w:t>
      </w:r>
      <w:r w:rsidR="006E7596" w:rsidRPr="00342BEE">
        <w:rPr>
          <w:rFonts w:ascii="Arial" w:eastAsiaTheme="minorEastAsia" w:hAnsi="Arial" w:cs="Arial"/>
          <w:sz w:val="22"/>
          <w:szCs w:val="22"/>
        </w:rPr>
        <w:t>practice experience</w:t>
      </w:r>
      <w:r w:rsidR="009C1533" w:rsidRPr="00342BEE">
        <w:rPr>
          <w:rFonts w:ascii="Arial" w:eastAsiaTheme="minorEastAsia" w:hAnsi="Arial" w:cs="Arial"/>
          <w:sz w:val="22"/>
          <w:szCs w:val="22"/>
        </w:rPr>
        <w:t xml:space="preserve"> </w:t>
      </w:r>
      <w:r w:rsidR="00934ABD">
        <w:rPr>
          <w:rFonts w:ascii="Arial" w:eastAsiaTheme="minorEastAsia" w:hAnsi="Arial" w:cs="Arial"/>
          <w:sz w:val="22"/>
          <w:szCs w:val="22"/>
        </w:rPr>
        <w:t xml:space="preserve">is that </w:t>
      </w:r>
      <w:r w:rsidR="009C1533" w:rsidRPr="00342BEE">
        <w:rPr>
          <w:rFonts w:ascii="Arial" w:eastAsiaTheme="minorEastAsia" w:hAnsi="Arial" w:cs="Arial"/>
          <w:sz w:val="22"/>
          <w:szCs w:val="22"/>
        </w:rPr>
        <w:t xml:space="preserve">we </w:t>
      </w:r>
      <w:r w:rsidR="00F84A8E" w:rsidRPr="00342BEE">
        <w:rPr>
          <w:rFonts w:ascii="Arial" w:eastAsiaTheme="minorEastAsia" w:hAnsi="Arial" w:cs="Arial"/>
          <w:sz w:val="22"/>
          <w:szCs w:val="22"/>
        </w:rPr>
        <w:t>continue to see that</w:t>
      </w:r>
      <w:r w:rsidR="009C1533" w:rsidRPr="00342BEE">
        <w:rPr>
          <w:rFonts w:ascii="Arial" w:eastAsiaTheme="minorEastAsia" w:hAnsi="Arial" w:cs="Arial"/>
          <w:sz w:val="22"/>
          <w:szCs w:val="22"/>
        </w:rPr>
        <w:t xml:space="preserve"> people w</w:t>
      </w:r>
      <w:r w:rsidR="00A5381C">
        <w:rPr>
          <w:rFonts w:ascii="Arial" w:eastAsiaTheme="minorEastAsia" w:hAnsi="Arial" w:cs="Arial"/>
          <w:sz w:val="22"/>
          <w:szCs w:val="22"/>
        </w:rPr>
        <w:t xml:space="preserve">ith legal needs </w:t>
      </w:r>
      <w:r w:rsidR="00F84A8E" w:rsidRPr="00342BEE">
        <w:rPr>
          <w:rFonts w:ascii="Arial" w:eastAsiaTheme="minorEastAsia" w:hAnsi="Arial" w:cs="Arial"/>
          <w:sz w:val="22"/>
          <w:szCs w:val="22"/>
        </w:rPr>
        <w:t xml:space="preserve">are not </w:t>
      </w:r>
      <w:r w:rsidR="00175B64">
        <w:rPr>
          <w:rFonts w:ascii="Arial" w:eastAsiaTheme="minorEastAsia" w:hAnsi="Arial" w:cs="Arial"/>
          <w:sz w:val="22"/>
          <w:szCs w:val="22"/>
        </w:rPr>
        <w:t>always</w:t>
      </w:r>
      <w:r w:rsidR="00C51ED9">
        <w:rPr>
          <w:rFonts w:ascii="Arial" w:eastAsiaTheme="minorEastAsia" w:hAnsi="Arial" w:cs="Arial"/>
          <w:sz w:val="22"/>
          <w:szCs w:val="22"/>
        </w:rPr>
        <w:t xml:space="preserve"> referred </w:t>
      </w:r>
      <w:r w:rsidR="001B6F9A">
        <w:rPr>
          <w:rFonts w:ascii="Arial" w:eastAsiaTheme="minorEastAsia" w:hAnsi="Arial" w:cs="Arial"/>
          <w:sz w:val="22"/>
          <w:szCs w:val="22"/>
        </w:rPr>
        <w:t>to legal services</w:t>
      </w:r>
      <w:r w:rsidR="00EF7611">
        <w:rPr>
          <w:rFonts w:ascii="Arial" w:eastAsiaTheme="minorEastAsia" w:hAnsi="Arial" w:cs="Arial"/>
          <w:sz w:val="22"/>
          <w:szCs w:val="22"/>
        </w:rPr>
        <w:t xml:space="preserve"> in a timely and effective mann</w:t>
      </w:r>
      <w:r w:rsidR="008A72AB">
        <w:rPr>
          <w:rFonts w:ascii="Arial" w:eastAsiaTheme="minorEastAsia" w:hAnsi="Arial" w:cs="Arial"/>
          <w:sz w:val="22"/>
          <w:szCs w:val="22"/>
        </w:rPr>
        <w:t>er</w:t>
      </w:r>
      <w:r w:rsidR="001B6F9A">
        <w:rPr>
          <w:rFonts w:ascii="Arial" w:eastAsiaTheme="minorEastAsia" w:hAnsi="Arial" w:cs="Arial"/>
          <w:sz w:val="22"/>
          <w:szCs w:val="22"/>
        </w:rPr>
        <w:t xml:space="preserve">. </w:t>
      </w:r>
      <w:r w:rsidR="00210838" w:rsidRPr="00342BEE">
        <w:rPr>
          <w:rFonts w:ascii="Arial" w:eastAsia="Arial" w:hAnsi="Arial" w:cs="Arial"/>
          <w:sz w:val="22"/>
          <w:szCs w:val="22"/>
        </w:rPr>
        <w:t xml:space="preserve">As the VAGO report </w:t>
      </w:r>
      <w:r w:rsidR="008809A7" w:rsidRPr="00342BEE">
        <w:rPr>
          <w:rFonts w:ascii="Arial" w:eastAsia="Arial" w:hAnsi="Arial" w:cs="Arial"/>
          <w:sz w:val="22"/>
          <w:szCs w:val="22"/>
        </w:rPr>
        <w:t>states,</w:t>
      </w:r>
      <w:r w:rsidR="00210838" w:rsidRPr="00342BEE">
        <w:rPr>
          <w:rFonts w:ascii="Arial" w:eastAsia="Arial" w:hAnsi="Arial" w:cs="Arial"/>
          <w:sz w:val="22"/>
          <w:szCs w:val="22"/>
        </w:rPr>
        <w:t xml:space="preserve"> “</w:t>
      </w:r>
      <w:r w:rsidR="00B10FA5">
        <w:rPr>
          <w:rFonts w:ascii="Arial" w:eastAsia="Arial" w:hAnsi="Arial" w:cs="Arial"/>
          <w:sz w:val="22"/>
          <w:szCs w:val="22"/>
        </w:rPr>
        <w:t>a</w:t>
      </w:r>
      <w:r w:rsidR="00210838" w:rsidRPr="00342BEE">
        <w:rPr>
          <w:rFonts w:ascii="Arial" w:hAnsi="Arial" w:cs="Arial"/>
          <w:sz w:val="22"/>
          <w:szCs w:val="22"/>
        </w:rPr>
        <w:t>lthough not explicitly recommended by the Royal Commission, these components</w:t>
      </w:r>
      <w:r w:rsidR="0078296A">
        <w:rPr>
          <w:rStyle w:val="FootnoteReference"/>
          <w:rFonts w:cs="Arial"/>
          <w:szCs w:val="22"/>
        </w:rPr>
        <w:footnoteReference w:id="8"/>
      </w:r>
      <w:r w:rsidR="00210838" w:rsidRPr="00342BEE">
        <w:rPr>
          <w:rFonts w:ascii="Arial" w:hAnsi="Arial" w:cs="Arial"/>
          <w:sz w:val="22"/>
          <w:szCs w:val="22"/>
        </w:rPr>
        <w:t xml:space="preserve"> are critical to meeting the intent of its recommendation to provide coordinated, accessible and timely support to clients</w:t>
      </w:r>
      <w:r w:rsidR="007663E6" w:rsidRPr="00342BEE">
        <w:rPr>
          <w:rStyle w:val="FootnoteReference"/>
          <w:rFonts w:cs="Arial"/>
          <w:sz w:val="22"/>
          <w:szCs w:val="22"/>
        </w:rPr>
        <w:footnoteReference w:id="9"/>
      </w:r>
      <w:r w:rsidR="00210838" w:rsidRPr="00342BEE">
        <w:rPr>
          <w:rFonts w:ascii="Arial" w:hAnsi="Arial" w:cs="Arial"/>
          <w:sz w:val="22"/>
          <w:szCs w:val="22"/>
        </w:rPr>
        <w:t>.” </w:t>
      </w:r>
    </w:p>
    <w:p w14:paraId="143C2502" w14:textId="7AAB09E7" w:rsidR="006B7FD7" w:rsidRDefault="00B10FA5" w:rsidP="00DA409B">
      <w:pPr>
        <w:rPr>
          <w:lang w:eastAsia="en-AU"/>
        </w:rPr>
      </w:pPr>
      <w:r>
        <w:rPr>
          <w:lang w:eastAsia="en-AU"/>
        </w:rPr>
        <w:t xml:space="preserve">The </w:t>
      </w:r>
      <w:r w:rsidR="00856A48">
        <w:rPr>
          <w:lang w:eastAsia="en-AU"/>
        </w:rPr>
        <w:t xml:space="preserve">VAGO report </w:t>
      </w:r>
      <w:r>
        <w:rPr>
          <w:lang w:eastAsia="en-AU"/>
        </w:rPr>
        <w:t xml:space="preserve">made several </w:t>
      </w:r>
      <w:r w:rsidR="00856A48">
        <w:rPr>
          <w:lang w:eastAsia="en-AU"/>
        </w:rPr>
        <w:t>findings on children and young people</w:t>
      </w:r>
      <w:r w:rsidR="004B287A">
        <w:rPr>
          <w:lang w:eastAsia="en-AU"/>
        </w:rPr>
        <w:t>,</w:t>
      </w:r>
      <w:r w:rsidR="00856A48">
        <w:rPr>
          <w:rStyle w:val="FootnoteReference"/>
          <w:lang w:eastAsia="en-AU"/>
        </w:rPr>
        <w:footnoteReference w:id="10"/>
      </w:r>
      <w:r w:rsidR="004B287A">
        <w:rPr>
          <w:lang w:eastAsia="en-AU"/>
        </w:rPr>
        <w:t xml:space="preserve"> beyond this</w:t>
      </w:r>
      <w:r w:rsidR="001E6D1C">
        <w:rPr>
          <w:lang w:eastAsia="en-AU"/>
        </w:rPr>
        <w:t>,</w:t>
      </w:r>
      <w:r w:rsidR="00856A48">
        <w:rPr>
          <w:lang w:eastAsia="en-AU"/>
        </w:rPr>
        <w:t xml:space="preserve"> </w:t>
      </w:r>
      <w:r w:rsidR="00BF703A">
        <w:rPr>
          <w:lang w:eastAsia="en-AU"/>
        </w:rPr>
        <w:t>we</w:t>
      </w:r>
      <w:r w:rsidR="00856A48">
        <w:rPr>
          <w:lang w:eastAsia="en-AU"/>
        </w:rPr>
        <w:t xml:space="preserve"> frequently see clients who are </w:t>
      </w:r>
      <w:r w:rsidR="216C5E00">
        <w:rPr>
          <w:lang w:eastAsia="en-AU"/>
        </w:rPr>
        <w:t xml:space="preserve">viewed as </w:t>
      </w:r>
      <w:r w:rsidR="00856A48">
        <w:rPr>
          <w:lang w:eastAsia="en-AU"/>
        </w:rPr>
        <w:t xml:space="preserve">semi-independent or nearing 18 </w:t>
      </w:r>
      <w:r w:rsidR="26D86AEE">
        <w:rPr>
          <w:lang w:eastAsia="en-AU"/>
        </w:rPr>
        <w:t>and who will not receive a service referral for child protection or the Orange Door.</w:t>
      </w:r>
      <w:r w:rsidR="001E6D1C">
        <w:rPr>
          <w:lang w:eastAsia="en-AU"/>
        </w:rPr>
        <w:t xml:space="preserve"> </w:t>
      </w:r>
      <w:r w:rsidR="26D86AEE">
        <w:rPr>
          <w:lang w:eastAsia="en-AU"/>
        </w:rPr>
        <w:t xml:space="preserve">This </w:t>
      </w:r>
      <w:r w:rsidR="2CE4E772">
        <w:rPr>
          <w:lang w:eastAsia="en-AU"/>
        </w:rPr>
        <w:t>leaves</w:t>
      </w:r>
      <w:r w:rsidR="00856A48">
        <w:rPr>
          <w:lang w:eastAsia="en-AU"/>
        </w:rPr>
        <w:t xml:space="preserve"> these young people </w:t>
      </w:r>
      <w:r w:rsidR="0A26FEBB">
        <w:rPr>
          <w:lang w:eastAsia="en-AU"/>
        </w:rPr>
        <w:t xml:space="preserve">even more </w:t>
      </w:r>
      <w:r w:rsidR="00856A48">
        <w:rPr>
          <w:lang w:eastAsia="en-AU"/>
        </w:rPr>
        <w:t>vulnerable</w:t>
      </w:r>
      <w:r w:rsidR="483517E1">
        <w:rPr>
          <w:lang w:eastAsia="en-AU"/>
        </w:rPr>
        <w:t>,</w:t>
      </w:r>
      <w:r w:rsidR="00856A48">
        <w:rPr>
          <w:lang w:eastAsia="en-AU"/>
        </w:rPr>
        <w:t xml:space="preserve"> without supports and at risk of (further) criminalisation. </w:t>
      </w:r>
    </w:p>
    <w:p w14:paraId="2E97F59F" w14:textId="15603CA9" w:rsidR="365446E7" w:rsidRPr="00E36B30" w:rsidRDefault="001E6D1C" w:rsidP="00DA409B">
      <w:r w:rsidRPr="00011CA5">
        <w:rPr>
          <w:lang w:eastAsia="en-AU"/>
        </w:rPr>
        <w:t xml:space="preserve">Further, </w:t>
      </w:r>
      <w:r w:rsidRPr="00E36B30">
        <w:t>w</w:t>
      </w:r>
      <w:r w:rsidR="00D07534" w:rsidRPr="00E36B30">
        <w:t>e are concerned that t</w:t>
      </w:r>
      <w:r w:rsidR="26C1C2AA" w:rsidRPr="00E36B30">
        <w:t>he Orange Door hubs are not</w:t>
      </w:r>
      <w:r w:rsidR="003B0F7D" w:rsidRPr="00E36B30">
        <w:t xml:space="preserve"> adequately equipped </w:t>
      </w:r>
      <w:r w:rsidR="26C1C2AA" w:rsidRPr="00E36B30">
        <w:t>to deal with circumstances where vulnerable women are identified as both the victim and perpetrator of family violence</w:t>
      </w:r>
      <w:r w:rsidR="008C0FB0">
        <w:t>. W</w:t>
      </w:r>
      <w:r w:rsidR="006B535C" w:rsidRPr="00E36B30">
        <w:t xml:space="preserve">e see this </w:t>
      </w:r>
      <w:r w:rsidR="0429A161" w:rsidRPr="00E36B30">
        <w:t xml:space="preserve">occur in a range of different circumstances, including: </w:t>
      </w:r>
    </w:p>
    <w:p w14:paraId="4ACD7AB8" w14:textId="0ECBCDE0" w:rsidR="0429A161" w:rsidRPr="008C0FB0" w:rsidRDefault="006B535C" w:rsidP="00DA409B">
      <w:pPr>
        <w:pStyle w:val="ListParagraph"/>
        <w:numPr>
          <w:ilvl w:val="0"/>
          <w:numId w:val="13"/>
        </w:numPr>
        <w:spacing w:after="120" w:line="300" w:lineRule="atLeast"/>
        <w:rPr>
          <w:rFonts w:ascii="Arial" w:eastAsia="Arial" w:hAnsi="Arial" w:cs="Arial"/>
        </w:rPr>
      </w:pPr>
      <w:r w:rsidRPr="008C0FB0">
        <w:rPr>
          <w:rFonts w:ascii="Arial" w:hAnsi="Arial" w:cs="Arial"/>
        </w:rPr>
        <w:t>w</w:t>
      </w:r>
      <w:r w:rsidR="0429A161" w:rsidRPr="008C0FB0">
        <w:rPr>
          <w:rFonts w:ascii="Arial" w:hAnsi="Arial" w:cs="Arial"/>
        </w:rPr>
        <w:t xml:space="preserve">here a woman has been misidentified by police as the primary aggressor in a family violence incident, for instance, in circumstances where she has defended herself against intimate partner </w:t>
      </w:r>
      <w:proofErr w:type="gramStart"/>
      <w:r w:rsidR="0429A161" w:rsidRPr="008C0FB0">
        <w:rPr>
          <w:rFonts w:ascii="Arial" w:hAnsi="Arial" w:cs="Arial"/>
        </w:rPr>
        <w:t>violence</w:t>
      </w:r>
      <w:r w:rsidR="00D049DD">
        <w:rPr>
          <w:rFonts w:ascii="Arial" w:hAnsi="Arial" w:cs="Arial"/>
        </w:rPr>
        <w:t>;</w:t>
      </w:r>
      <w:proofErr w:type="gramEnd"/>
      <w:r w:rsidR="0429A161" w:rsidRPr="008C0FB0">
        <w:rPr>
          <w:rFonts w:ascii="Arial" w:hAnsi="Arial" w:cs="Arial"/>
        </w:rPr>
        <w:t xml:space="preserve"> </w:t>
      </w:r>
    </w:p>
    <w:p w14:paraId="35D04C08" w14:textId="27F28A33" w:rsidR="008C0FB0" w:rsidRPr="008C0FB0" w:rsidRDefault="006B535C" w:rsidP="00DA409B">
      <w:pPr>
        <w:pStyle w:val="ListParagraph"/>
        <w:numPr>
          <w:ilvl w:val="0"/>
          <w:numId w:val="13"/>
        </w:numPr>
        <w:spacing w:after="120" w:line="300" w:lineRule="atLeast"/>
        <w:rPr>
          <w:rFonts w:ascii="Arial" w:eastAsia="Arial" w:hAnsi="Arial" w:cs="Arial"/>
        </w:rPr>
      </w:pPr>
      <w:r w:rsidRPr="008C0FB0">
        <w:rPr>
          <w:rFonts w:ascii="Arial" w:hAnsi="Arial" w:cs="Arial"/>
        </w:rPr>
        <w:t>w</w:t>
      </w:r>
      <w:r w:rsidR="0429A161" w:rsidRPr="008C0FB0">
        <w:rPr>
          <w:rFonts w:ascii="Arial" w:hAnsi="Arial" w:cs="Arial"/>
        </w:rPr>
        <w:t>here cross intervention orders have been made or sought; or</w:t>
      </w:r>
    </w:p>
    <w:p w14:paraId="267FDBA9" w14:textId="677CAB0C" w:rsidR="005D78A2" w:rsidRPr="002C1AAC" w:rsidRDefault="006B535C" w:rsidP="00DA409B">
      <w:pPr>
        <w:pStyle w:val="ListParagraph"/>
        <w:numPr>
          <w:ilvl w:val="0"/>
          <w:numId w:val="13"/>
        </w:numPr>
        <w:spacing w:after="120" w:line="300" w:lineRule="atLeast"/>
        <w:rPr>
          <w:rFonts w:ascii="Arial" w:eastAsia="Arial" w:hAnsi="Arial" w:cs="Arial"/>
        </w:rPr>
      </w:pPr>
      <w:r w:rsidRPr="008C0FB0">
        <w:rPr>
          <w:rFonts w:ascii="Arial" w:hAnsi="Arial" w:cs="Arial"/>
        </w:rPr>
        <w:t>w</w:t>
      </w:r>
      <w:r w:rsidR="0429A161" w:rsidRPr="008C0FB0">
        <w:rPr>
          <w:rFonts w:ascii="Arial" w:hAnsi="Arial" w:cs="Arial"/>
        </w:rPr>
        <w:t xml:space="preserve">here a woman is the protected person on an intervention order involving her partner or former </w:t>
      </w:r>
      <w:r w:rsidR="00C708C4" w:rsidRPr="008C0FB0">
        <w:rPr>
          <w:rFonts w:ascii="Arial" w:hAnsi="Arial" w:cs="Arial"/>
        </w:rPr>
        <w:t>partner and</w:t>
      </w:r>
      <w:r w:rsidR="0429A161" w:rsidRPr="008C0FB0">
        <w:rPr>
          <w:rFonts w:ascii="Arial" w:hAnsi="Arial" w:cs="Arial"/>
        </w:rPr>
        <w:t xml:space="preserve"> is also identified as the perpetrator on an unrelated order involving other members of her family</w:t>
      </w:r>
      <w:r w:rsidR="008C0FB0">
        <w:rPr>
          <w:rFonts w:ascii="Arial" w:hAnsi="Arial" w:cs="Arial"/>
        </w:rPr>
        <w:t>.</w:t>
      </w:r>
      <w:r w:rsidR="00D25BF4">
        <w:rPr>
          <w:rFonts w:ascii="Arial" w:hAnsi="Arial" w:cs="Arial"/>
        </w:rPr>
        <w:t xml:space="preserve"> </w:t>
      </w:r>
      <w:r w:rsidR="00F747BF" w:rsidRPr="00D25BF4">
        <w:rPr>
          <w:rFonts w:ascii="Arial" w:eastAsia="Arial" w:hAnsi="Arial" w:cs="Arial"/>
        </w:rPr>
        <w:t xml:space="preserve">The </w:t>
      </w:r>
      <w:r w:rsidR="00CD124A" w:rsidRPr="00D25BF4">
        <w:rPr>
          <w:rFonts w:ascii="Arial" w:eastAsia="Arial" w:hAnsi="Arial" w:cs="Arial"/>
        </w:rPr>
        <w:t>co</w:t>
      </w:r>
      <w:r w:rsidR="00944D2E" w:rsidRPr="00D25BF4">
        <w:rPr>
          <w:rFonts w:ascii="Arial" w:eastAsia="Arial" w:hAnsi="Arial" w:cs="Arial"/>
        </w:rPr>
        <w:t xml:space="preserve">nnection of </w:t>
      </w:r>
      <w:r w:rsidR="00F747BF" w:rsidRPr="00D25BF4">
        <w:rPr>
          <w:rFonts w:ascii="Arial" w:eastAsia="Arial" w:hAnsi="Arial" w:cs="Arial"/>
        </w:rPr>
        <w:t xml:space="preserve">legal services </w:t>
      </w:r>
      <w:r w:rsidR="00944D2E" w:rsidRPr="00D25BF4">
        <w:rPr>
          <w:rFonts w:ascii="Arial" w:eastAsia="Arial" w:hAnsi="Arial" w:cs="Arial"/>
        </w:rPr>
        <w:t xml:space="preserve">to </w:t>
      </w:r>
      <w:r w:rsidR="0097226B" w:rsidRPr="00D25BF4">
        <w:rPr>
          <w:rFonts w:ascii="Arial" w:eastAsia="Arial" w:hAnsi="Arial" w:cs="Arial"/>
        </w:rPr>
        <w:t xml:space="preserve">the Orange Door model can </w:t>
      </w:r>
      <w:r w:rsidR="00055123" w:rsidRPr="00D25BF4">
        <w:rPr>
          <w:rFonts w:ascii="Arial" w:eastAsia="Arial" w:hAnsi="Arial" w:cs="Arial"/>
        </w:rPr>
        <w:t xml:space="preserve">also </w:t>
      </w:r>
      <w:r w:rsidR="0097226B" w:rsidRPr="00D25BF4">
        <w:rPr>
          <w:rFonts w:ascii="Arial" w:eastAsia="Arial" w:hAnsi="Arial" w:cs="Arial"/>
        </w:rPr>
        <w:t>help women who have been misidentified as the primary aggressor in t</w:t>
      </w:r>
      <w:r w:rsidR="0097226B" w:rsidRPr="00D25BF4">
        <w:rPr>
          <w:rFonts w:ascii="Arial" w:hAnsi="Arial" w:cs="Arial"/>
        </w:rPr>
        <w:t>he identification of legal needs and</w:t>
      </w:r>
      <w:r w:rsidR="00256EAC" w:rsidRPr="00D25BF4">
        <w:rPr>
          <w:rFonts w:ascii="Arial" w:hAnsi="Arial" w:cs="Arial"/>
        </w:rPr>
        <w:t xml:space="preserve"> through</w:t>
      </w:r>
      <w:r w:rsidR="0097226B" w:rsidRPr="00D25BF4">
        <w:rPr>
          <w:rFonts w:ascii="Arial" w:hAnsi="Arial" w:cs="Arial"/>
        </w:rPr>
        <w:t xml:space="preserve"> legal referrals</w:t>
      </w:r>
      <w:r w:rsidR="00256EAC" w:rsidRPr="00D25BF4">
        <w:rPr>
          <w:rFonts w:ascii="Arial" w:hAnsi="Arial" w:cs="Arial"/>
        </w:rPr>
        <w:t>.</w:t>
      </w:r>
      <w:bookmarkStart w:id="58" w:name="_Toc46146202"/>
    </w:p>
    <w:p w14:paraId="34BACC05" w14:textId="77777777" w:rsidR="002C1AAC" w:rsidRPr="002C1AAC" w:rsidRDefault="002C1AAC" w:rsidP="00DA409B">
      <w:pPr>
        <w:ind w:left="360"/>
        <w:rPr>
          <w:rFonts w:eastAsia="Arial" w:cs="Arial"/>
        </w:rPr>
      </w:pPr>
    </w:p>
    <w:p w14:paraId="1236E1D1" w14:textId="30675D08" w:rsidR="00875F2F" w:rsidRPr="005D78A2" w:rsidRDefault="002C1AAC" w:rsidP="00DA409B">
      <w:pPr>
        <w:pStyle w:val="ListParagraph"/>
        <w:spacing w:after="120" w:line="300" w:lineRule="atLeast"/>
        <w:ind w:left="142"/>
        <w:rPr>
          <w:rFonts w:ascii="Arial" w:eastAsia="Arial" w:hAnsi="Arial" w:cs="Arial"/>
        </w:rPr>
      </w:pPr>
      <w:r>
        <w:rPr>
          <w:noProof/>
        </w:rPr>
        <mc:AlternateContent>
          <mc:Choice Requires="wps">
            <w:drawing>
              <wp:inline distT="0" distB="0" distL="0" distR="0" wp14:anchorId="0868C26B" wp14:editId="35F7336D">
                <wp:extent cx="6097905" cy="2152650"/>
                <wp:effectExtent l="0" t="0" r="0" b="0"/>
                <wp:docPr id="7" name="Text Box 7"/>
                <wp:cNvGraphicFramePr/>
                <a:graphic xmlns:a="http://schemas.openxmlformats.org/drawingml/2006/main">
                  <a:graphicData uri="http://schemas.microsoft.com/office/word/2010/wordprocessingShape">
                    <wps:wsp>
                      <wps:cNvSpPr txBox="1"/>
                      <wps:spPr>
                        <a:xfrm>
                          <a:off x="0" y="0"/>
                          <a:ext cx="6097905" cy="2152650"/>
                        </a:xfrm>
                        <a:prstGeom prst="rect">
                          <a:avLst/>
                        </a:prstGeom>
                        <a:solidFill>
                          <a:schemeClr val="accent5">
                            <a:lumMod val="20000"/>
                            <a:lumOff val="80000"/>
                          </a:schemeClr>
                        </a:solidFill>
                        <a:ln w="6350">
                          <a:noFill/>
                        </a:ln>
                      </wps:spPr>
                      <wps:txbx>
                        <w:txbxContent>
                          <w:p w14:paraId="6CCDB43E" w14:textId="77777777" w:rsidR="002C1AAC" w:rsidRDefault="002C1AAC" w:rsidP="002C1AAC">
                            <w:pPr>
                              <w:rPr>
                                <w:b/>
                                <w:bCs/>
                              </w:rPr>
                            </w:pPr>
                            <w:r w:rsidRPr="000B620D">
                              <w:rPr>
                                <w:b/>
                                <w:bCs/>
                              </w:rPr>
                              <w:t xml:space="preserve">Looking forward – what is still required: </w:t>
                            </w:r>
                          </w:p>
                          <w:p w14:paraId="2A88AA32" w14:textId="77777777" w:rsidR="002C1AAC" w:rsidRPr="0043189B" w:rsidRDefault="002C1AAC" w:rsidP="002C1AAC">
                            <w:pPr>
                              <w:pStyle w:val="ListParagraph"/>
                              <w:numPr>
                                <w:ilvl w:val="0"/>
                                <w:numId w:val="21"/>
                              </w:numPr>
                              <w:rPr>
                                <w:rFonts w:cs="Arial"/>
                              </w:rPr>
                            </w:pPr>
                            <w:r w:rsidRPr="0043189B">
                              <w:rPr>
                                <w:rFonts w:ascii="Arial" w:hAnsi="Arial" w:cs="Arial"/>
                              </w:rPr>
                              <w:t>Implement Recommendation 3.5 of the Access to Justice report: Include legal triage in the Support and Safety Hubs and family violence services and support all workers including child first/child welfare workers to know how to identify legal needs and make safe and effective referrals to legal services.</w:t>
                            </w:r>
                          </w:p>
                          <w:p w14:paraId="57F5FF2D" w14:textId="77777777" w:rsidR="002C1AAC" w:rsidRPr="0043189B" w:rsidRDefault="002C1AAC" w:rsidP="002C1AAC">
                            <w:pPr>
                              <w:pStyle w:val="ListParagraph"/>
                              <w:numPr>
                                <w:ilvl w:val="0"/>
                                <w:numId w:val="21"/>
                              </w:numPr>
                              <w:rPr>
                                <w:rFonts w:cs="Arial"/>
                              </w:rPr>
                            </w:pPr>
                            <w:r w:rsidRPr="0043189B">
                              <w:rPr>
                                <w:rFonts w:ascii="Arial" w:hAnsi="Arial" w:cs="Arial"/>
                              </w:rPr>
                              <w:t xml:space="preserve">Implement the findings of the VAGO report into Support and Safety Hubs and fully integrate legal services within the Orange Door model. </w:t>
                            </w:r>
                          </w:p>
                          <w:p w14:paraId="134B5856" w14:textId="77777777" w:rsidR="002C1AAC" w:rsidRPr="0043189B" w:rsidRDefault="002C1AAC" w:rsidP="002C1AAC">
                            <w:pPr>
                              <w:pStyle w:val="ListParagraph"/>
                              <w:numPr>
                                <w:ilvl w:val="0"/>
                                <w:numId w:val="21"/>
                              </w:numPr>
                              <w:rPr>
                                <w:rFonts w:cs="Arial"/>
                              </w:rPr>
                            </w:pPr>
                            <w:r w:rsidRPr="0043189B">
                              <w:rPr>
                                <w:rFonts w:ascii="Arial" w:hAnsi="Arial" w:cs="Arial"/>
                              </w:rPr>
                              <w:t xml:space="preserve">Improve linkages between SFVCs and the Orange Door and family violence services. </w:t>
                            </w:r>
                          </w:p>
                          <w:p w14:paraId="4C889FCD" w14:textId="77777777" w:rsidR="002C1AAC" w:rsidRPr="00D25BF4" w:rsidRDefault="002C1AAC" w:rsidP="002C1AAC">
                            <w:pPr>
                              <w:pStyle w:val="ListParagraph"/>
                              <w:numPr>
                                <w:ilvl w:val="0"/>
                                <w:numId w:val="21"/>
                              </w:numPr>
                              <w:rPr>
                                <w:rFonts w:cs="Arial"/>
                              </w:rPr>
                            </w:pPr>
                            <w:r w:rsidRPr="0043189B">
                              <w:rPr>
                                <w:rFonts w:ascii="Arial" w:hAnsi="Arial" w:cs="Arial"/>
                              </w:rPr>
                              <w:t>Establish a whole-of-government governance structure to support the development, implementation, monitoring and evaluation of the Hubs and other recommendations of the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68C26B" id="Text Box 7" o:spid="_x0000_s1029" type="#_x0000_t202" style="width:480.1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" fillcolor="#deeaf6 [664]" stroked="f" strokeweight=".5pt">
                <v:textbox>
                  <w:txbxContent>
                    <w:p w14:paraId="6CCDB43E" w14:textId="77777777" w:rsidR="002C1AAC" w:rsidRDefault="002C1AAC" w:rsidP="002C1AAC">
                      <w:pPr>
                        <w:rPr>
                          <w:b/>
                          <w:bCs/>
                        </w:rPr>
                      </w:pPr>
                      <w:r w:rsidRPr="000B620D">
                        <w:rPr>
                          <w:b/>
                          <w:bCs/>
                        </w:rPr>
                        <w:t xml:space="preserve">Looking forward – what is still required: </w:t>
                      </w:r>
                    </w:p>
                    <w:p w14:paraId="2A88AA32" w14:textId="77777777" w:rsidR="002C1AAC" w:rsidRPr="0043189B" w:rsidRDefault="002C1AAC" w:rsidP="002C1AAC">
                      <w:pPr>
                        <w:pStyle w:val="ListParagraph"/>
                        <w:numPr>
                          <w:ilvl w:val="0"/>
                          <w:numId w:val="21"/>
                        </w:numPr>
                        <w:rPr>
                          <w:rFonts w:cs="Arial"/>
                        </w:rPr>
                      </w:pPr>
                      <w:r w:rsidRPr="0043189B">
                        <w:rPr>
                          <w:rFonts w:ascii="Arial" w:hAnsi="Arial" w:cs="Arial"/>
                        </w:rPr>
                        <w:t>Implement Recommendation 3.5 of the Access to Justice report: Include legal triage in the Support and Safety Hubs and family violence services and support all workers including child first/child welfare workers to know how to identify legal needs and make safe and effective referrals to legal services.</w:t>
                      </w:r>
                    </w:p>
                    <w:p w14:paraId="57F5FF2D" w14:textId="77777777" w:rsidR="002C1AAC" w:rsidRPr="0043189B" w:rsidRDefault="002C1AAC" w:rsidP="002C1AAC">
                      <w:pPr>
                        <w:pStyle w:val="ListParagraph"/>
                        <w:numPr>
                          <w:ilvl w:val="0"/>
                          <w:numId w:val="21"/>
                        </w:numPr>
                        <w:rPr>
                          <w:rFonts w:cs="Arial"/>
                        </w:rPr>
                      </w:pPr>
                      <w:r w:rsidRPr="0043189B">
                        <w:rPr>
                          <w:rFonts w:ascii="Arial" w:hAnsi="Arial" w:cs="Arial"/>
                        </w:rPr>
                        <w:t xml:space="preserve">Implement the findings of the VAGO report into Support and Safety Hubs and fully integrate legal services within the Orange Door model. </w:t>
                      </w:r>
                    </w:p>
                    <w:p w14:paraId="134B5856" w14:textId="77777777" w:rsidR="002C1AAC" w:rsidRPr="0043189B" w:rsidRDefault="002C1AAC" w:rsidP="002C1AAC">
                      <w:pPr>
                        <w:pStyle w:val="ListParagraph"/>
                        <w:numPr>
                          <w:ilvl w:val="0"/>
                          <w:numId w:val="21"/>
                        </w:numPr>
                        <w:rPr>
                          <w:rFonts w:cs="Arial"/>
                        </w:rPr>
                      </w:pPr>
                      <w:r w:rsidRPr="0043189B">
                        <w:rPr>
                          <w:rFonts w:ascii="Arial" w:hAnsi="Arial" w:cs="Arial"/>
                        </w:rPr>
                        <w:t xml:space="preserve">Improve linkages between SFVCs and the Orange Door and family violence services. </w:t>
                      </w:r>
                    </w:p>
                    <w:p w14:paraId="4C889FCD" w14:textId="77777777" w:rsidR="002C1AAC" w:rsidRPr="00D25BF4" w:rsidRDefault="002C1AAC" w:rsidP="002C1AAC">
                      <w:pPr>
                        <w:pStyle w:val="ListParagraph"/>
                        <w:numPr>
                          <w:ilvl w:val="0"/>
                          <w:numId w:val="21"/>
                        </w:numPr>
                        <w:rPr>
                          <w:rFonts w:cs="Arial"/>
                        </w:rPr>
                      </w:pPr>
                      <w:r w:rsidRPr="0043189B">
                        <w:rPr>
                          <w:rFonts w:ascii="Arial" w:hAnsi="Arial" w:cs="Arial"/>
                        </w:rPr>
                        <w:t>Establish a whole-of-government governance structure to support the development, implementation, monitoring and evaluation of the Hubs and other recommendations of the Commission.</w:t>
                      </w:r>
                    </w:p>
                  </w:txbxContent>
                </v:textbox>
                <w10:anchorlock/>
              </v:shape>
            </w:pict>
          </mc:Fallback>
        </mc:AlternateContent>
      </w:r>
    </w:p>
    <w:p w14:paraId="1207AFB7" w14:textId="34D5EAEF" w:rsidR="00E0220A" w:rsidRPr="005D78A2" w:rsidRDefault="00977075" w:rsidP="00DA409B">
      <w:pPr>
        <w:pStyle w:val="Heading3"/>
        <w:rPr>
          <w:rFonts w:eastAsia="Arial"/>
        </w:rPr>
      </w:pPr>
      <w:bookmarkStart w:id="59" w:name="_Toc45698243"/>
      <w:bookmarkStart w:id="60" w:name="_Toc45698293"/>
      <w:r w:rsidRPr="005D78A2">
        <w:rPr>
          <w:rFonts w:eastAsia="Arial"/>
        </w:rPr>
        <w:lastRenderedPageBreak/>
        <w:t xml:space="preserve">Family Violence Safety Notices </w:t>
      </w:r>
      <w:r w:rsidR="005074B7" w:rsidRPr="005D78A2">
        <w:rPr>
          <w:rFonts w:eastAsia="Arial"/>
        </w:rPr>
        <w:t>(FVSNs)</w:t>
      </w:r>
      <w:bookmarkEnd w:id="58"/>
      <w:bookmarkEnd w:id="59"/>
      <w:bookmarkEnd w:id="60"/>
    </w:p>
    <w:p w14:paraId="2EE15C3F" w14:textId="37C6B697" w:rsidR="00B57FA0" w:rsidRDefault="00B57FA0" w:rsidP="00DA409B">
      <w:pPr>
        <w:rPr>
          <w:rFonts w:eastAsia="Arial" w:cs="Arial"/>
        </w:rPr>
      </w:pPr>
      <w:r>
        <w:rPr>
          <w:rFonts w:eastAsia="Arial" w:cs="Arial"/>
        </w:rPr>
        <w:t>W</w:t>
      </w:r>
      <w:r w:rsidRPr="00E0220A">
        <w:rPr>
          <w:rFonts w:eastAsia="Arial" w:cs="Arial"/>
        </w:rPr>
        <w:t>hen the Commission</w:t>
      </w:r>
      <w:r w:rsidR="00AF71A4">
        <w:rPr>
          <w:rFonts w:eastAsia="Arial" w:cs="Arial"/>
        </w:rPr>
        <w:t xml:space="preserve"> made</w:t>
      </w:r>
      <w:r w:rsidRPr="00E0220A">
        <w:rPr>
          <w:rFonts w:eastAsia="Arial" w:cs="Arial"/>
        </w:rPr>
        <w:t xml:space="preserve"> recommend</w:t>
      </w:r>
      <w:r w:rsidR="00DB0D9B">
        <w:rPr>
          <w:rFonts w:eastAsia="Arial" w:cs="Arial"/>
        </w:rPr>
        <w:t>ation</w:t>
      </w:r>
      <w:r w:rsidRPr="00E0220A">
        <w:rPr>
          <w:rFonts w:eastAsia="Arial" w:cs="Arial"/>
        </w:rPr>
        <w:t xml:space="preserve"> </w:t>
      </w:r>
      <w:r w:rsidR="00AF71A4">
        <w:rPr>
          <w:rFonts w:eastAsia="Arial" w:cs="Arial"/>
        </w:rPr>
        <w:t xml:space="preserve">76 </w:t>
      </w:r>
      <w:r w:rsidR="002C7B76">
        <w:rPr>
          <w:rFonts w:eastAsia="Arial" w:cs="Arial"/>
        </w:rPr>
        <w:t xml:space="preserve">to </w:t>
      </w:r>
      <w:r w:rsidRPr="00E0220A">
        <w:rPr>
          <w:rFonts w:eastAsia="Arial" w:cs="Arial"/>
        </w:rPr>
        <w:t>extend</w:t>
      </w:r>
      <w:r w:rsidR="002C7B76">
        <w:rPr>
          <w:rFonts w:eastAsia="Arial" w:cs="Arial"/>
        </w:rPr>
        <w:t xml:space="preserve"> </w:t>
      </w:r>
      <w:r w:rsidRPr="00E0220A">
        <w:rPr>
          <w:rFonts w:eastAsia="Arial" w:cs="Arial"/>
        </w:rPr>
        <w:t xml:space="preserve">the amount of time before a FVSN came before the courts to within 14 days, the intention was for this to allow sufficient time for </w:t>
      </w:r>
      <w:r w:rsidR="00D049DD">
        <w:rPr>
          <w:rFonts w:eastAsia="Arial" w:cs="Arial"/>
        </w:rPr>
        <w:t xml:space="preserve">the police to prepare intervention order matters for hearing including discussing the affected family member’s wishes with them before court, and for </w:t>
      </w:r>
      <w:r w:rsidRPr="00E0220A">
        <w:rPr>
          <w:rFonts w:eastAsia="Arial" w:cs="Arial"/>
        </w:rPr>
        <w:t xml:space="preserve">respondents and victims to understand the court process and prepare for the consequences of an order, including having received legal advice prior to attending court. </w:t>
      </w:r>
      <w:r w:rsidR="005348F9">
        <w:rPr>
          <w:rFonts w:eastAsia="Arial" w:cs="Arial"/>
        </w:rPr>
        <w:t>If this extra time</w:t>
      </w:r>
      <w:r w:rsidR="000406AF">
        <w:rPr>
          <w:rFonts w:eastAsia="Arial" w:cs="Arial"/>
        </w:rPr>
        <w:t xml:space="preserve"> of the FVSN </w:t>
      </w:r>
      <w:r w:rsidR="00E93455">
        <w:rPr>
          <w:rFonts w:eastAsia="Arial" w:cs="Arial"/>
        </w:rPr>
        <w:t>is</w:t>
      </w:r>
      <w:r w:rsidR="000406AF">
        <w:rPr>
          <w:rFonts w:eastAsia="Arial" w:cs="Arial"/>
        </w:rPr>
        <w:t xml:space="preserve"> used </w:t>
      </w:r>
      <w:r w:rsidR="00C36FEE">
        <w:rPr>
          <w:rFonts w:eastAsia="Arial" w:cs="Arial"/>
        </w:rPr>
        <w:t>appropriately</w:t>
      </w:r>
      <w:r w:rsidR="00B13250">
        <w:rPr>
          <w:rFonts w:eastAsia="Arial" w:cs="Arial"/>
        </w:rPr>
        <w:t xml:space="preserve">, the first mention </w:t>
      </w:r>
      <w:r w:rsidR="009E6561">
        <w:rPr>
          <w:rFonts w:eastAsia="Arial" w:cs="Arial"/>
        </w:rPr>
        <w:t>in court of a FV</w:t>
      </w:r>
      <w:r w:rsidR="000265F7">
        <w:rPr>
          <w:rFonts w:eastAsia="Arial" w:cs="Arial"/>
        </w:rPr>
        <w:t>SN</w:t>
      </w:r>
      <w:r w:rsidR="000B620D">
        <w:rPr>
          <w:rFonts w:eastAsia="Arial" w:cs="Arial"/>
        </w:rPr>
        <w:t xml:space="preserve"> </w:t>
      </w:r>
      <w:r w:rsidR="000C05E1">
        <w:rPr>
          <w:rFonts w:eastAsia="Arial" w:cs="Arial"/>
        </w:rPr>
        <w:t>c</w:t>
      </w:r>
      <w:r w:rsidR="00E93455">
        <w:rPr>
          <w:rFonts w:eastAsia="Arial" w:cs="Arial"/>
        </w:rPr>
        <w:t>ould be</w:t>
      </w:r>
      <w:r w:rsidR="0014231D">
        <w:rPr>
          <w:rFonts w:eastAsia="Arial" w:cs="Arial"/>
        </w:rPr>
        <w:t xml:space="preserve"> substantial, </w:t>
      </w:r>
      <w:proofErr w:type="gramStart"/>
      <w:r w:rsidR="00DE04B0">
        <w:rPr>
          <w:rFonts w:eastAsia="Arial" w:cs="Arial"/>
        </w:rPr>
        <w:t>purpose</w:t>
      </w:r>
      <w:r w:rsidR="0057341E">
        <w:rPr>
          <w:rFonts w:eastAsia="Arial" w:cs="Arial"/>
        </w:rPr>
        <w:t>ful</w:t>
      </w:r>
      <w:proofErr w:type="gramEnd"/>
      <w:r w:rsidR="0057341E">
        <w:rPr>
          <w:rFonts w:eastAsia="Arial" w:cs="Arial"/>
        </w:rPr>
        <w:t xml:space="preserve"> and</w:t>
      </w:r>
      <w:r w:rsidR="000C05E1">
        <w:rPr>
          <w:rFonts w:eastAsia="Arial" w:cs="Arial"/>
        </w:rPr>
        <w:t xml:space="preserve"> more</w:t>
      </w:r>
      <w:r w:rsidR="000D4E7B">
        <w:rPr>
          <w:rFonts w:eastAsia="Arial" w:cs="Arial"/>
        </w:rPr>
        <w:t xml:space="preserve"> efficient </w:t>
      </w:r>
      <w:r w:rsidR="000C05E1">
        <w:rPr>
          <w:rFonts w:eastAsia="Arial" w:cs="Arial"/>
        </w:rPr>
        <w:t>at resolving</w:t>
      </w:r>
      <w:r w:rsidR="005220ED">
        <w:rPr>
          <w:rFonts w:eastAsia="Arial" w:cs="Arial"/>
        </w:rPr>
        <w:t xml:space="preserve"> </w:t>
      </w:r>
      <w:r w:rsidR="00A80176">
        <w:rPr>
          <w:rFonts w:eastAsia="Arial" w:cs="Arial"/>
        </w:rPr>
        <w:t xml:space="preserve">matters in a safe and </w:t>
      </w:r>
      <w:r w:rsidR="000D4E7B">
        <w:rPr>
          <w:rFonts w:eastAsia="Arial" w:cs="Arial"/>
        </w:rPr>
        <w:t>effective manner</w:t>
      </w:r>
      <w:r w:rsidR="0057341E">
        <w:rPr>
          <w:rFonts w:eastAsia="Arial" w:cs="Arial"/>
        </w:rPr>
        <w:t xml:space="preserve">. </w:t>
      </w:r>
    </w:p>
    <w:p w14:paraId="134EE3F0" w14:textId="5D5792EC" w:rsidR="00B57FA0" w:rsidRPr="007616C3" w:rsidRDefault="00133FBF" w:rsidP="00DA409B">
      <w:r>
        <w:t xml:space="preserve">VLA has previously </w:t>
      </w:r>
      <w:r w:rsidR="00B57FA0">
        <w:t xml:space="preserve">raised concerns that the </w:t>
      </w:r>
      <w:r w:rsidR="0011228A">
        <w:t xml:space="preserve">legislative </w:t>
      </w:r>
      <w:r w:rsidR="00B57FA0">
        <w:t xml:space="preserve">extension of the FVSN </w:t>
      </w:r>
      <w:r w:rsidR="0011228A">
        <w:t>time period</w:t>
      </w:r>
      <w:r w:rsidR="00B57FA0">
        <w:t xml:space="preserve"> alone, would be unlikely to result in more parties receiving legal advice prior to the first mention or the police prosecutor or police civil advocate (and consequently the legal representatives also) being better prepared on the first return date</w:t>
      </w:r>
      <w:r w:rsidR="00D049DD">
        <w:t>,</w:t>
      </w:r>
      <w:r w:rsidR="00F14B8B">
        <w:t xml:space="preserve"> unless</w:t>
      </w:r>
      <w:r w:rsidR="00F23FE7">
        <w:t xml:space="preserve"> other service </w:t>
      </w:r>
      <w:r w:rsidR="00F14B8B">
        <w:t>changes were</w:t>
      </w:r>
      <w:r w:rsidR="000C448B">
        <w:t xml:space="preserve"> </w:t>
      </w:r>
      <w:r w:rsidR="00F14B8B">
        <w:t>made</w:t>
      </w:r>
      <w:r w:rsidR="008A6EAA">
        <w:t xml:space="preserve">. </w:t>
      </w:r>
      <w:r w:rsidR="00E65529">
        <w:t xml:space="preserve">VLA </w:t>
      </w:r>
      <w:r w:rsidR="00A52448">
        <w:t xml:space="preserve">recommended </w:t>
      </w:r>
      <w:r w:rsidR="005B3880">
        <w:t xml:space="preserve">two additional measures </w:t>
      </w:r>
      <w:r w:rsidR="00B36197">
        <w:t xml:space="preserve">– </w:t>
      </w:r>
      <w:r w:rsidR="008A6EAA">
        <w:t xml:space="preserve">effective </w:t>
      </w:r>
      <w:r w:rsidR="00B36197">
        <w:t xml:space="preserve">legal referrals from police </w:t>
      </w:r>
      <w:r w:rsidR="008A6EAA">
        <w:t>to legal services at the time of issuing the FVSN</w:t>
      </w:r>
      <w:r w:rsidR="00B36197">
        <w:t xml:space="preserve"> and </w:t>
      </w:r>
      <w:r w:rsidR="00E65529">
        <w:t xml:space="preserve">changes to police practice to ensure </w:t>
      </w:r>
      <w:r w:rsidR="008A6EAA">
        <w:t xml:space="preserve">the </w:t>
      </w:r>
      <w:r w:rsidR="00E65529">
        <w:t xml:space="preserve">preparation </w:t>
      </w:r>
      <w:r w:rsidR="008A6EAA">
        <w:t xml:space="preserve">of matters prior to </w:t>
      </w:r>
      <w:r w:rsidR="00E65529">
        <w:t>court</w:t>
      </w:r>
      <w:r w:rsidR="007616C3">
        <w:t xml:space="preserve">. </w:t>
      </w:r>
    </w:p>
    <w:p w14:paraId="0BFE725F" w14:textId="7435C47F" w:rsidR="006D20C2" w:rsidRDefault="007616C3" w:rsidP="00DA409B">
      <w:pPr>
        <w:rPr>
          <w:rFonts w:eastAsia="Arial" w:cs="Arial"/>
        </w:rPr>
      </w:pPr>
      <w:r>
        <w:rPr>
          <w:rFonts w:eastAsia="Arial" w:cs="Arial"/>
        </w:rPr>
        <w:t xml:space="preserve">Despite </w:t>
      </w:r>
      <w:r w:rsidR="006171CC">
        <w:rPr>
          <w:rFonts w:eastAsia="Arial" w:cs="Arial"/>
        </w:rPr>
        <w:t xml:space="preserve">the acquittal of recommendation 76, </w:t>
      </w:r>
      <w:r w:rsidR="00CE50A5">
        <w:rPr>
          <w:rFonts w:eastAsia="Arial" w:cs="Arial"/>
        </w:rPr>
        <w:t xml:space="preserve">legal services </w:t>
      </w:r>
      <w:r w:rsidR="00B57FA0" w:rsidRPr="00E0220A">
        <w:rPr>
          <w:rFonts w:eastAsia="Arial" w:cs="Arial"/>
        </w:rPr>
        <w:t xml:space="preserve">still see most clients through our duty lawyer </w:t>
      </w:r>
      <w:r w:rsidR="00473643">
        <w:rPr>
          <w:rFonts w:eastAsia="Arial" w:cs="Arial"/>
        </w:rPr>
        <w:t>services on the first mention date</w:t>
      </w:r>
      <w:r w:rsidR="002A75ED">
        <w:rPr>
          <w:rFonts w:eastAsia="Arial" w:cs="Arial"/>
        </w:rPr>
        <w:t xml:space="preserve"> an</w:t>
      </w:r>
      <w:r w:rsidR="002A75ED" w:rsidRPr="000D4343">
        <w:rPr>
          <w:rFonts w:eastAsia="Arial" w:cs="Arial"/>
        </w:rPr>
        <w:t xml:space="preserve">d </w:t>
      </w:r>
      <w:r w:rsidR="002A75ED" w:rsidRPr="000D4343">
        <w:rPr>
          <w:szCs w:val="22"/>
        </w:rPr>
        <w:t xml:space="preserve">the onus remains largely on the </w:t>
      </w:r>
      <w:r w:rsidR="002D2250" w:rsidRPr="000D4343">
        <w:rPr>
          <w:szCs w:val="22"/>
        </w:rPr>
        <w:t xml:space="preserve">parties </w:t>
      </w:r>
      <w:r w:rsidR="002A75ED" w:rsidRPr="000D4343">
        <w:rPr>
          <w:szCs w:val="22"/>
        </w:rPr>
        <w:t xml:space="preserve">to recognise legal need and pursue legal advice. </w:t>
      </w:r>
      <w:r w:rsidR="00D049DD">
        <w:rPr>
          <w:szCs w:val="22"/>
        </w:rPr>
        <w:t>In addition, in practice FVSNs are still brought to court very quickly without additional time being taken for earlier preparation.</w:t>
      </w:r>
      <w:r w:rsidR="0053134B">
        <w:rPr>
          <w:rFonts w:eastAsia="Arial" w:cs="Arial"/>
        </w:rPr>
        <w:t xml:space="preserve"> </w:t>
      </w:r>
      <w:r w:rsidR="00B57FA0" w:rsidRPr="00E0220A">
        <w:rPr>
          <w:rFonts w:eastAsia="Arial" w:cs="Arial"/>
        </w:rPr>
        <w:t xml:space="preserve"> </w:t>
      </w:r>
    </w:p>
    <w:p w14:paraId="4DC02303" w14:textId="77777777" w:rsidR="002C1AAC" w:rsidRDefault="002C1AAC" w:rsidP="00DA409B">
      <w:pPr>
        <w:rPr>
          <w:rFonts w:eastAsia="Arial"/>
          <w:szCs w:val="22"/>
        </w:rPr>
      </w:pPr>
    </w:p>
    <w:p w14:paraId="40E2503F" w14:textId="6D4BE6A7" w:rsidR="00286634" w:rsidRPr="002C1AAC" w:rsidRDefault="00286634" w:rsidP="00DA409B">
      <w:pPr>
        <w:rPr>
          <w:rFonts w:eastAsia="Arial" w:cs="Arial"/>
        </w:rPr>
      </w:pPr>
      <w:r>
        <w:rPr>
          <w:rFonts w:cs="Arial"/>
          <w:noProof/>
          <w:szCs w:val="22"/>
        </w:rPr>
        <mc:AlternateContent>
          <mc:Choice Requires="wps">
            <w:drawing>
              <wp:inline distT="0" distB="0" distL="0" distR="0" wp14:anchorId="742A00DB" wp14:editId="3BC0F2F7">
                <wp:extent cx="5821680" cy="937260"/>
                <wp:effectExtent l="0" t="0" r="7620" b="0"/>
                <wp:docPr id="8" name="Text Box 8"/>
                <wp:cNvGraphicFramePr/>
                <a:graphic xmlns:a="http://schemas.openxmlformats.org/drawingml/2006/main">
                  <a:graphicData uri="http://schemas.microsoft.com/office/word/2010/wordprocessingShape">
                    <wps:wsp>
                      <wps:cNvSpPr txBox="1"/>
                      <wps:spPr>
                        <a:xfrm>
                          <a:off x="0" y="0"/>
                          <a:ext cx="5821680" cy="937260"/>
                        </a:xfrm>
                        <a:prstGeom prst="rect">
                          <a:avLst/>
                        </a:prstGeom>
                        <a:solidFill>
                          <a:schemeClr val="accent5">
                            <a:lumMod val="20000"/>
                            <a:lumOff val="80000"/>
                          </a:schemeClr>
                        </a:solidFill>
                        <a:ln w="6350">
                          <a:noFill/>
                        </a:ln>
                      </wps:spPr>
                      <wps:txbx>
                        <w:txbxContent>
                          <w:p w14:paraId="0C1455AF" w14:textId="77777777" w:rsidR="00D049DD" w:rsidRPr="00F82CED" w:rsidRDefault="00D049DD" w:rsidP="00F82CED">
                            <w:pPr>
                              <w:rPr>
                                <w:b/>
                                <w:bCs/>
                              </w:rPr>
                            </w:pPr>
                            <w:r w:rsidRPr="00F82CED">
                              <w:rPr>
                                <w:b/>
                                <w:bCs/>
                              </w:rPr>
                              <w:t xml:space="preserve">Looking forward – what is still required: </w:t>
                            </w:r>
                          </w:p>
                          <w:p w14:paraId="0B40F084" w14:textId="4E62D792" w:rsidR="00D049DD" w:rsidRPr="000B620D" w:rsidRDefault="00D049DD" w:rsidP="00C400E0">
                            <w:pPr>
                              <w:pStyle w:val="ListParagraph"/>
                              <w:numPr>
                                <w:ilvl w:val="0"/>
                                <w:numId w:val="23"/>
                              </w:numPr>
                              <w:rPr>
                                <w:rFonts w:eastAsia="Arial" w:cs="Arial"/>
                              </w:rPr>
                            </w:pPr>
                            <w:r>
                              <w:rPr>
                                <w:rFonts w:ascii="Arial" w:hAnsi="Arial" w:cs="Arial"/>
                              </w:rPr>
                              <w:t>We suggest i</w:t>
                            </w:r>
                            <w:r w:rsidRPr="000B620D">
                              <w:rPr>
                                <w:rFonts w:ascii="Arial" w:hAnsi="Arial" w:cs="Arial"/>
                              </w:rPr>
                              <w:t xml:space="preserve">mproved collaboration between the Court, </w:t>
                            </w:r>
                            <w:proofErr w:type="gramStart"/>
                            <w:r w:rsidRPr="000B620D">
                              <w:rPr>
                                <w:rFonts w:ascii="Arial" w:hAnsi="Arial" w:cs="Arial"/>
                              </w:rPr>
                              <w:t>police</w:t>
                            </w:r>
                            <w:proofErr w:type="gramEnd"/>
                            <w:r w:rsidRPr="000B620D">
                              <w:rPr>
                                <w:rFonts w:ascii="Arial" w:hAnsi="Arial" w:cs="Arial"/>
                              </w:rPr>
                              <w:t xml:space="preserve"> and specialist family violence services to increase pre-court referrals legal assistance, such as we’ve seen through some recent changes in light of COVID-19.  </w:t>
                            </w:r>
                          </w:p>
                          <w:p w14:paraId="604C0F60" w14:textId="77777777" w:rsidR="00D049DD" w:rsidRDefault="00D04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2A00DB" id="Text Box 8" o:spid="_x0000_s1030" type="#_x0000_t202" style="width:458.4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" fillcolor="#deeaf6 [664]" stroked="f" strokeweight=".5pt">
                <v:textbox>
                  <w:txbxContent>
                    <w:p w14:paraId="0C1455AF" w14:textId="77777777" w:rsidR="00D049DD" w:rsidRPr="00F82CED" w:rsidRDefault="00D049DD" w:rsidP="00F82CED">
                      <w:pPr>
                        <w:rPr>
                          <w:b/>
                          <w:bCs/>
                        </w:rPr>
                      </w:pPr>
                      <w:r w:rsidRPr="00F82CED">
                        <w:rPr>
                          <w:b/>
                          <w:bCs/>
                        </w:rPr>
                        <w:t xml:space="preserve">Looking forward – what is still required: </w:t>
                      </w:r>
                    </w:p>
                    <w:p w14:paraId="0B40F084" w14:textId="4E62D792" w:rsidR="00D049DD" w:rsidRPr="000B620D" w:rsidRDefault="00D049DD" w:rsidP="00C400E0">
                      <w:pPr>
                        <w:pStyle w:val="ListParagraph"/>
                        <w:numPr>
                          <w:ilvl w:val="0"/>
                          <w:numId w:val="23"/>
                        </w:numPr>
                        <w:rPr>
                          <w:rFonts w:eastAsia="Arial" w:cs="Arial"/>
                        </w:rPr>
                      </w:pPr>
                      <w:r>
                        <w:rPr>
                          <w:rFonts w:ascii="Arial" w:hAnsi="Arial" w:cs="Arial"/>
                        </w:rPr>
                        <w:t>We suggest i</w:t>
                      </w:r>
                      <w:r w:rsidRPr="000B620D">
                        <w:rPr>
                          <w:rFonts w:ascii="Arial" w:hAnsi="Arial" w:cs="Arial"/>
                        </w:rPr>
                        <w:t xml:space="preserve">mproved collaboration between the Court, </w:t>
                      </w:r>
                      <w:proofErr w:type="gramStart"/>
                      <w:r w:rsidRPr="000B620D">
                        <w:rPr>
                          <w:rFonts w:ascii="Arial" w:hAnsi="Arial" w:cs="Arial"/>
                        </w:rPr>
                        <w:t>police</w:t>
                      </w:r>
                      <w:proofErr w:type="gramEnd"/>
                      <w:r w:rsidRPr="000B620D">
                        <w:rPr>
                          <w:rFonts w:ascii="Arial" w:hAnsi="Arial" w:cs="Arial"/>
                        </w:rPr>
                        <w:t xml:space="preserve"> and specialist family violence services to increase pre-court referrals legal assistance, such as we’ve seen through some recent changes in light of COVID-19.  </w:t>
                      </w:r>
                    </w:p>
                    <w:p w14:paraId="604C0F60" w14:textId="77777777" w:rsidR="00D049DD" w:rsidRDefault="00D049DD"/>
                  </w:txbxContent>
                </v:textbox>
                <w10:anchorlock/>
              </v:shape>
            </w:pict>
          </mc:Fallback>
        </mc:AlternateContent>
      </w:r>
      <w:r w:rsidRPr="00F82CED">
        <w:rPr>
          <w:b/>
          <w:bCs/>
        </w:rPr>
        <w:t xml:space="preserve"> </w:t>
      </w:r>
    </w:p>
    <w:p w14:paraId="520836DA" w14:textId="76C4346D" w:rsidR="00AF3A1E" w:rsidRPr="00A329B7" w:rsidRDefault="00977075" w:rsidP="00DA409B">
      <w:pPr>
        <w:pStyle w:val="Heading3"/>
        <w:rPr>
          <w:rFonts w:eastAsiaTheme="minorEastAsia"/>
        </w:rPr>
      </w:pPr>
      <w:bookmarkStart w:id="61" w:name="_Toc45698244"/>
      <w:bookmarkStart w:id="62" w:name="_Toc45698294"/>
      <w:bookmarkStart w:id="63" w:name="_Toc46146203"/>
      <w:r w:rsidRPr="00A329B7">
        <w:rPr>
          <w:rFonts w:eastAsia="Arial"/>
        </w:rPr>
        <w:t>Family violence and young people including adolescents who use violence in the home (AVITH)</w:t>
      </w:r>
      <w:bookmarkEnd w:id="61"/>
      <w:bookmarkEnd w:id="62"/>
      <w:bookmarkEnd w:id="63"/>
    </w:p>
    <w:p w14:paraId="4CE7D26C" w14:textId="1F006AF6" w:rsidR="00E82239" w:rsidRDefault="002A1E39" w:rsidP="00DA409B">
      <w:pPr>
        <w:rPr>
          <w:rFonts w:cs="Avenir Next"/>
          <w:color w:val="000000"/>
          <w:szCs w:val="22"/>
        </w:rPr>
      </w:pPr>
      <w:r w:rsidRPr="00E453B0">
        <w:rPr>
          <w:rFonts w:cs="Avenir Next"/>
          <w:color w:val="000000"/>
          <w:szCs w:val="22"/>
        </w:rPr>
        <w:t>The Royal Commission</w:t>
      </w:r>
      <w:r w:rsidR="00F34B08" w:rsidDel="00327AD5">
        <w:rPr>
          <w:rFonts w:cs="Avenir Next"/>
          <w:color w:val="000000"/>
          <w:szCs w:val="22"/>
        </w:rPr>
        <w:t xml:space="preserve"> </w:t>
      </w:r>
      <w:r w:rsidR="00F34B08">
        <w:rPr>
          <w:rFonts w:cs="Avenir Next"/>
          <w:color w:val="000000"/>
          <w:szCs w:val="22"/>
        </w:rPr>
        <w:t>made six recommendations</w:t>
      </w:r>
      <w:r w:rsidR="00DC4C33">
        <w:rPr>
          <w:rFonts w:cs="Avenir Next"/>
          <w:color w:val="000000"/>
          <w:szCs w:val="22"/>
        </w:rPr>
        <w:t xml:space="preserve"> to address and respond to Adolescent Violence in the Home (AVITH</w:t>
      </w:r>
      <w:r w:rsidR="00322106">
        <w:rPr>
          <w:rFonts w:cs="Avenir Next"/>
          <w:color w:val="000000"/>
          <w:szCs w:val="22"/>
        </w:rPr>
        <w:t>),</w:t>
      </w:r>
      <w:r w:rsidR="00DC4C33">
        <w:rPr>
          <w:rFonts w:cs="Avenir Next"/>
          <w:color w:val="000000"/>
          <w:szCs w:val="22"/>
        </w:rPr>
        <w:t xml:space="preserve"> </w:t>
      </w:r>
      <w:r w:rsidR="00E32E60">
        <w:rPr>
          <w:rFonts w:cs="Avenir Next"/>
          <w:color w:val="000000"/>
          <w:szCs w:val="22"/>
        </w:rPr>
        <w:t>and</w:t>
      </w:r>
      <w:r w:rsidR="00DC4C33">
        <w:rPr>
          <w:rFonts w:cs="Avenir Next"/>
          <w:color w:val="000000"/>
          <w:szCs w:val="22"/>
        </w:rPr>
        <w:t xml:space="preserve"> it acknowledged that</w:t>
      </w:r>
      <w:r w:rsidRPr="00E453B0">
        <w:rPr>
          <w:rFonts w:cs="Avenir Next"/>
          <w:color w:val="000000"/>
          <w:szCs w:val="22"/>
        </w:rPr>
        <w:t xml:space="preserve"> AVITH is poorly understood and requires a systematic response. </w:t>
      </w:r>
    </w:p>
    <w:p w14:paraId="284B9B43" w14:textId="1B5A88C7" w:rsidR="00073E43" w:rsidRPr="00642AD2" w:rsidRDefault="00DD79F3" w:rsidP="00DA409B">
      <w:pPr>
        <w:rPr>
          <w:rFonts w:eastAsia="Arial" w:cs="Arial"/>
          <w:color w:val="000000" w:themeColor="text1"/>
          <w:lang w:eastAsia="en-AU"/>
        </w:rPr>
      </w:pPr>
      <w:r>
        <w:rPr>
          <w:rFonts w:cs="Avenir Next"/>
          <w:color w:val="000000"/>
        </w:rPr>
        <w:t>A</w:t>
      </w:r>
      <w:r w:rsidR="00073E43">
        <w:rPr>
          <w:lang w:eastAsia="en-AU"/>
        </w:rPr>
        <w:t xml:space="preserve">dolescent family </w:t>
      </w:r>
      <w:r w:rsidR="00073E43" w:rsidRPr="00642AD2">
        <w:rPr>
          <w:color w:val="000000" w:themeColor="text1"/>
          <w:lang w:eastAsia="en-AU"/>
        </w:rPr>
        <w:t>violence is a distinct phenomenon to adult-perpetrated intimate partner violence and requires a distinct response</w:t>
      </w:r>
      <w:r w:rsidR="1D54064A" w:rsidRPr="00642AD2">
        <w:rPr>
          <w:rFonts w:eastAsia="Arial" w:cs="Arial"/>
          <w:color w:val="000000" w:themeColor="text1"/>
          <w:lang w:eastAsia="en-AU"/>
        </w:rPr>
        <w:t xml:space="preserve">. </w:t>
      </w:r>
      <w:r w:rsidR="1D54064A" w:rsidRPr="00642AD2">
        <w:rPr>
          <w:rFonts w:eastAsia="Arial" w:cs="Arial"/>
          <w:color w:val="000000" w:themeColor="text1"/>
        </w:rPr>
        <w:t xml:space="preserve">This includes recognising that the adolescent may themselves also be a victim of family violence and potentially still </w:t>
      </w:r>
      <w:r w:rsidR="1AF1EFBF" w:rsidRPr="00642AD2">
        <w:rPr>
          <w:rFonts w:eastAsia="Arial" w:cs="Arial"/>
          <w:color w:val="000000" w:themeColor="text1"/>
        </w:rPr>
        <w:t>currently</w:t>
      </w:r>
      <w:r w:rsidR="6FFF762C" w:rsidRPr="00642AD2">
        <w:rPr>
          <w:rFonts w:eastAsia="Arial" w:cs="Arial"/>
          <w:color w:val="000000" w:themeColor="text1"/>
        </w:rPr>
        <w:t xml:space="preserve"> </w:t>
      </w:r>
      <w:r w:rsidR="1D54064A" w:rsidRPr="00642AD2">
        <w:rPr>
          <w:rFonts w:eastAsia="Arial" w:cs="Arial"/>
          <w:color w:val="000000" w:themeColor="text1"/>
        </w:rPr>
        <w:t>at risk of violence being perpetrated by a parent or other family member.</w:t>
      </w:r>
      <w:r w:rsidR="002055A8">
        <w:rPr>
          <w:rFonts w:eastAsia="Arial" w:cs="Arial"/>
          <w:color w:val="000000" w:themeColor="text1"/>
        </w:rPr>
        <w:t xml:space="preserve"> </w:t>
      </w:r>
      <w:r w:rsidR="00073E43" w:rsidRPr="00642AD2">
        <w:rPr>
          <w:rFonts w:eastAsia="Arial" w:cs="Arial"/>
          <w:color w:val="000000" w:themeColor="text1"/>
          <w:lang w:eastAsia="en-AU"/>
        </w:rPr>
        <w:t>Research has found that childhood trauma is a major contributor to adolescent use of violence in the home, yet our family violence court system does not systematically record or respond to this</w:t>
      </w:r>
      <w:r w:rsidR="49B31036" w:rsidRPr="00642AD2">
        <w:rPr>
          <w:rStyle w:val="FootnoteReference"/>
          <w:rFonts w:eastAsia="Arial" w:cs="Arial"/>
          <w:color w:val="000000" w:themeColor="text1"/>
          <w:sz w:val="22"/>
          <w:szCs w:val="22"/>
          <w:lang w:eastAsia="en-AU"/>
        </w:rPr>
        <w:t xml:space="preserve"> </w:t>
      </w:r>
      <w:r w:rsidR="49B31036" w:rsidRPr="00642AD2">
        <w:rPr>
          <w:rFonts w:eastAsia="Arial" w:cs="Arial"/>
          <w:color w:val="000000" w:themeColor="text1"/>
        </w:rPr>
        <w:t>or necessarily understand or respond to intergenerational violence and trauma</w:t>
      </w:r>
      <w:r w:rsidR="00F420C8">
        <w:rPr>
          <w:rFonts w:eastAsia="Arial" w:cs="Arial"/>
          <w:color w:val="000000" w:themeColor="text1"/>
        </w:rPr>
        <w:t xml:space="preserve">. </w:t>
      </w:r>
      <w:r w:rsidR="00073E43" w:rsidRPr="00642AD2">
        <w:rPr>
          <w:rFonts w:eastAsia="Arial" w:cs="Arial"/>
          <w:color w:val="000000" w:themeColor="text1"/>
          <w:lang w:eastAsia="en-AU"/>
        </w:rPr>
        <w:t xml:space="preserve"> </w:t>
      </w:r>
    </w:p>
    <w:p w14:paraId="1D55CAA5" w14:textId="51E6B06D" w:rsidR="00E429B6" w:rsidRPr="00642AD2" w:rsidRDefault="00DD79F3" w:rsidP="00DA409B">
      <w:pPr>
        <w:autoSpaceDE w:val="0"/>
        <w:autoSpaceDN w:val="0"/>
        <w:adjustRightInd w:val="0"/>
        <w:rPr>
          <w:rFonts w:eastAsia="Arial" w:cs="Arial"/>
          <w:color w:val="000000" w:themeColor="text1"/>
          <w:szCs w:val="22"/>
        </w:rPr>
      </w:pPr>
      <w:r w:rsidRPr="7A90EBBD">
        <w:rPr>
          <w:rFonts w:cs="Avenir Next"/>
          <w:color w:val="000000"/>
        </w:rPr>
        <w:t>While several of the recommendations of the Royal Commission related to AVITH have been implemented and the remaining recommendations are listed as ‘in progress</w:t>
      </w:r>
      <w:r>
        <w:rPr>
          <w:rFonts w:cs="Avenir Next"/>
          <w:color w:val="000000"/>
        </w:rPr>
        <w:t>’</w:t>
      </w:r>
      <w:r w:rsidRPr="7A90EBBD">
        <w:rPr>
          <w:rFonts w:cs="Avenir Next"/>
          <w:color w:val="000000"/>
        </w:rPr>
        <w:t xml:space="preserve">, </w:t>
      </w:r>
      <w:r w:rsidR="002055A8">
        <w:rPr>
          <w:rFonts w:eastAsia="Arial" w:cs="Arial"/>
          <w:color w:val="000000" w:themeColor="text1"/>
          <w:szCs w:val="22"/>
        </w:rPr>
        <w:t>t</w:t>
      </w:r>
      <w:r w:rsidR="46D34398" w:rsidRPr="00642AD2">
        <w:rPr>
          <w:rFonts w:eastAsia="Arial" w:cs="Arial"/>
          <w:color w:val="000000" w:themeColor="text1"/>
          <w:szCs w:val="22"/>
        </w:rPr>
        <w:t>wo of the most significant recommendations of the R</w:t>
      </w:r>
      <w:r w:rsidR="488738A6" w:rsidRPr="00642AD2">
        <w:rPr>
          <w:rFonts w:eastAsia="Arial" w:cs="Arial"/>
          <w:color w:val="000000" w:themeColor="text1"/>
          <w:szCs w:val="22"/>
        </w:rPr>
        <w:t xml:space="preserve">oyal </w:t>
      </w:r>
      <w:r w:rsidR="46D34398" w:rsidRPr="00642AD2">
        <w:rPr>
          <w:rFonts w:eastAsia="Arial" w:cs="Arial"/>
          <w:color w:val="000000" w:themeColor="text1"/>
          <w:szCs w:val="22"/>
        </w:rPr>
        <w:t>C</w:t>
      </w:r>
      <w:r w:rsidR="0828DD57" w:rsidRPr="00642AD2">
        <w:rPr>
          <w:rFonts w:eastAsia="Arial" w:cs="Arial"/>
          <w:color w:val="000000" w:themeColor="text1"/>
          <w:szCs w:val="22"/>
        </w:rPr>
        <w:t>ommission</w:t>
      </w:r>
      <w:r w:rsidR="46D34398" w:rsidRPr="00642AD2">
        <w:rPr>
          <w:rFonts w:eastAsia="Arial" w:cs="Arial"/>
          <w:color w:val="000000" w:themeColor="text1"/>
          <w:szCs w:val="22"/>
        </w:rPr>
        <w:t xml:space="preserve"> have still not been implemented in any substantive way, namely:   </w:t>
      </w:r>
    </w:p>
    <w:p w14:paraId="23D770EA" w14:textId="20EEEE26" w:rsidR="00E429B6" w:rsidRPr="00642AD2" w:rsidRDefault="46D34398" w:rsidP="00DA409B">
      <w:pPr>
        <w:pStyle w:val="ListParagraph"/>
        <w:numPr>
          <w:ilvl w:val="0"/>
          <w:numId w:val="14"/>
        </w:numPr>
        <w:autoSpaceDE w:val="0"/>
        <w:autoSpaceDN w:val="0"/>
        <w:adjustRightInd w:val="0"/>
        <w:spacing w:after="120" w:line="300" w:lineRule="atLeast"/>
        <w:rPr>
          <w:rFonts w:eastAsia="Arial" w:cs="Arial"/>
          <w:color w:val="000000" w:themeColor="text1"/>
        </w:rPr>
      </w:pPr>
      <w:r w:rsidRPr="00642AD2">
        <w:rPr>
          <w:rFonts w:ascii="Arial" w:eastAsia="Arial" w:hAnsi="Arial" w:cs="Arial"/>
          <w:color w:val="000000" w:themeColor="text1"/>
        </w:rPr>
        <w:t>Rec</w:t>
      </w:r>
      <w:r w:rsidR="3A5EF1E4" w:rsidRPr="00642AD2">
        <w:rPr>
          <w:rFonts w:ascii="Arial" w:eastAsia="Arial" w:hAnsi="Arial" w:cs="Arial"/>
          <w:color w:val="000000" w:themeColor="text1"/>
        </w:rPr>
        <w:t>ommendation</w:t>
      </w:r>
      <w:r w:rsidRPr="00642AD2">
        <w:rPr>
          <w:rFonts w:ascii="Arial" w:eastAsia="Arial" w:hAnsi="Arial" w:cs="Arial"/>
          <w:color w:val="000000" w:themeColor="text1"/>
        </w:rPr>
        <w:t xml:space="preserve"> 123</w:t>
      </w:r>
      <w:r w:rsidR="00642AD2">
        <w:rPr>
          <w:rFonts w:ascii="Arial" w:eastAsia="Arial" w:hAnsi="Arial" w:cs="Arial"/>
          <w:color w:val="000000" w:themeColor="text1"/>
        </w:rPr>
        <w:t xml:space="preserve"> </w:t>
      </w:r>
      <w:r w:rsidRPr="00642AD2">
        <w:rPr>
          <w:rFonts w:ascii="Arial" w:eastAsia="Arial" w:hAnsi="Arial" w:cs="Arial"/>
          <w:color w:val="000000" w:themeColor="text1"/>
        </w:rPr>
        <w:t>- state-wide roll out of Adolescent Family Violence Program, and</w:t>
      </w:r>
    </w:p>
    <w:p w14:paraId="7AB9A4B2" w14:textId="39DE9E16" w:rsidR="00E429B6" w:rsidRPr="00642AD2" w:rsidRDefault="46D34398" w:rsidP="00DA409B">
      <w:pPr>
        <w:pStyle w:val="ListParagraph"/>
        <w:numPr>
          <w:ilvl w:val="0"/>
          <w:numId w:val="14"/>
        </w:numPr>
        <w:autoSpaceDE w:val="0"/>
        <w:autoSpaceDN w:val="0"/>
        <w:adjustRightInd w:val="0"/>
        <w:spacing w:after="120" w:line="300" w:lineRule="atLeast"/>
        <w:rPr>
          <w:rFonts w:ascii="Arial" w:eastAsia="Arial" w:hAnsi="Arial" w:cs="Arial"/>
          <w:color w:val="000000" w:themeColor="text1"/>
        </w:rPr>
      </w:pPr>
      <w:r w:rsidRPr="00642AD2">
        <w:rPr>
          <w:rFonts w:ascii="Arial" w:eastAsia="Arial" w:hAnsi="Arial" w:cs="Arial"/>
          <w:color w:val="000000" w:themeColor="text1"/>
        </w:rPr>
        <w:lastRenderedPageBreak/>
        <w:t>Rec</w:t>
      </w:r>
      <w:r w:rsidR="6B4AB6CF" w:rsidRPr="00642AD2">
        <w:rPr>
          <w:rFonts w:ascii="Arial" w:eastAsia="Arial" w:hAnsi="Arial" w:cs="Arial"/>
          <w:color w:val="000000" w:themeColor="text1"/>
        </w:rPr>
        <w:t xml:space="preserve">ommendation </w:t>
      </w:r>
      <w:r w:rsidRPr="00642AD2">
        <w:rPr>
          <w:rFonts w:ascii="Arial" w:eastAsia="Arial" w:hAnsi="Arial" w:cs="Arial"/>
          <w:color w:val="000000" w:themeColor="text1"/>
        </w:rPr>
        <w:t>124 - additional crisis and longer term supported accommodation options for adolescents who use violence in the home</w:t>
      </w:r>
      <w:r w:rsidR="34B2EAED" w:rsidRPr="00642AD2">
        <w:rPr>
          <w:rFonts w:ascii="Arial" w:eastAsia="Arial" w:hAnsi="Arial" w:cs="Arial"/>
          <w:color w:val="000000" w:themeColor="text1"/>
        </w:rPr>
        <w:t>.</w:t>
      </w:r>
    </w:p>
    <w:p w14:paraId="0D93DCA6" w14:textId="385476C4" w:rsidR="00E429B6" w:rsidRPr="00642AD2" w:rsidRDefault="46D34398" w:rsidP="00DA409B">
      <w:pPr>
        <w:autoSpaceDE w:val="0"/>
        <w:autoSpaceDN w:val="0"/>
        <w:adjustRightInd w:val="0"/>
        <w:rPr>
          <w:rFonts w:eastAsia="Arial" w:cs="Arial"/>
          <w:color w:val="000000" w:themeColor="text1"/>
          <w:szCs w:val="22"/>
        </w:rPr>
      </w:pPr>
      <w:r w:rsidRPr="00642AD2">
        <w:rPr>
          <w:rFonts w:eastAsia="Arial" w:cs="Arial"/>
          <w:color w:val="000000" w:themeColor="text1"/>
          <w:szCs w:val="22"/>
        </w:rPr>
        <w:t>Despite these important recommendations</w:t>
      </w:r>
      <w:r w:rsidR="00F65964">
        <w:rPr>
          <w:rFonts w:eastAsia="Arial" w:cs="Arial"/>
          <w:color w:val="000000" w:themeColor="text1"/>
          <w:szCs w:val="22"/>
        </w:rPr>
        <w:t xml:space="preserve">, post Royal Commission </w:t>
      </w:r>
      <w:r w:rsidRPr="00642AD2">
        <w:rPr>
          <w:rFonts w:eastAsia="Arial" w:cs="Arial"/>
          <w:color w:val="000000" w:themeColor="text1"/>
          <w:szCs w:val="22"/>
        </w:rPr>
        <w:t xml:space="preserve">there is still a critical service gap in the family violence service system for adolescents who are using violence in the home and more specialist services and dedicated crisis accommodation </w:t>
      </w:r>
      <w:r w:rsidR="00E36DE0">
        <w:rPr>
          <w:rFonts w:eastAsia="Arial" w:cs="Arial"/>
          <w:color w:val="000000" w:themeColor="text1"/>
          <w:szCs w:val="22"/>
        </w:rPr>
        <w:t>is</w:t>
      </w:r>
      <w:r w:rsidRPr="00642AD2">
        <w:rPr>
          <w:rFonts w:eastAsia="Arial" w:cs="Arial"/>
          <w:color w:val="000000" w:themeColor="text1"/>
          <w:szCs w:val="22"/>
        </w:rPr>
        <w:t xml:space="preserve"> needed. </w:t>
      </w:r>
    </w:p>
    <w:p w14:paraId="2D095227" w14:textId="40516A5C" w:rsidR="00E429B6" w:rsidRPr="00642AD2" w:rsidRDefault="46D34398" w:rsidP="00DA409B">
      <w:pPr>
        <w:autoSpaceDE w:val="0"/>
        <w:autoSpaceDN w:val="0"/>
        <w:adjustRightInd w:val="0"/>
        <w:rPr>
          <w:rFonts w:eastAsia="Arial" w:cs="Arial"/>
          <w:color w:val="000000" w:themeColor="text1"/>
          <w:szCs w:val="22"/>
        </w:rPr>
      </w:pPr>
      <w:r w:rsidRPr="00642AD2">
        <w:rPr>
          <w:rFonts w:eastAsia="Arial" w:cs="Arial"/>
          <w:color w:val="000000" w:themeColor="text1"/>
          <w:szCs w:val="22"/>
        </w:rPr>
        <w:t>The recently released PIPA report provided a much needed and detailed examination of the policy response to AVITH, which expands on the analysis and recommendations made by the R</w:t>
      </w:r>
      <w:r w:rsidR="379EB7AE" w:rsidRPr="00642AD2">
        <w:rPr>
          <w:rFonts w:eastAsia="Arial" w:cs="Arial"/>
          <w:color w:val="000000" w:themeColor="text1"/>
          <w:szCs w:val="22"/>
        </w:rPr>
        <w:t xml:space="preserve">oyal </w:t>
      </w:r>
      <w:r w:rsidRPr="00642AD2">
        <w:rPr>
          <w:rFonts w:eastAsia="Arial" w:cs="Arial"/>
          <w:color w:val="000000" w:themeColor="text1"/>
          <w:szCs w:val="22"/>
        </w:rPr>
        <w:t>C</w:t>
      </w:r>
      <w:r w:rsidR="13AB4877" w:rsidRPr="00642AD2">
        <w:rPr>
          <w:rFonts w:eastAsia="Arial" w:cs="Arial"/>
          <w:color w:val="000000" w:themeColor="text1"/>
          <w:szCs w:val="22"/>
        </w:rPr>
        <w:t>ommission</w:t>
      </w:r>
      <w:r w:rsidRPr="00642AD2">
        <w:rPr>
          <w:rFonts w:eastAsia="Arial" w:cs="Arial"/>
          <w:color w:val="000000" w:themeColor="text1"/>
          <w:szCs w:val="22"/>
        </w:rPr>
        <w:t xml:space="preserve"> and seeks to fill these gaps by developing awareness of AVITH and identifying available response and service gaps across three jurisdictions: Tasmania, Western Australia and Victoria</w:t>
      </w:r>
      <w:r w:rsidR="00AE712B">
        <w:rPr>
          <w:rFonts w:eastAsia="Arial" w:cs="Arial"/>
          <w:color w:val="000000" w:themeColor="text1"/>
          <w:szCs w:val="22"/>
        </w:rPr>
        <w:t>.</w:t>
      </w:r>
      <w:r w:rsidR="00E429B6" w:rsidRPr="00642AD2">
        <w:rPr>
          <w:rStyle w:val="FootnoteReference"/>
          <w:rFonts w:eastAsia="Arial" w:cs="Arial"/>
          <w:color w:val="000000" w:themeColor="text1"/>
          <w:sz w:val="22"/>
          <w:szCs w:val="22"/>
        </w:rPr>
        <w:footnoteReference w:id="11"/>
      </w:r>
    </w:p>
    <w:p w14:paraId="6923A09A" w14:textId="77777777" w:rsidR="002C1AAC" w:rsidRDefault="00AE712B" w:rsidP="00DA409B">
      <w:pPr>
        <w:autoSpaceDE w:val="0"/>
        <w:autoSpaceDN w:val="0"/>
        <w:adjustRightInd w:val="0"/>
        <w:rPr>
          <w:rFonts w:eastAsia="Arial"/>
          <w:noProof/>
        </w:rPr>
      </w:pPr>
      <w:r>
        <w:rPr>
          <w:rFonts w:eastAsia="Arial" w:cs="Arial"/>
          <w:color w:val="000000" w:themeColor="text1"/>
          <w:szCs w:val="22"/>
        </w:rPr>
        <w:t xml:space="preserve">The </w:t>
      </w:r>
      <w:r w:rsidR="46D34398" w:rsidRPr="00642AD2">
        <w:rPr>
          <w:rFonts w:eastAsia="Arial" w:cs="Arial"/>
          <w:color w:val="000000" w:themeColor="text1"/>
          <w:szCs w:val="22"/>
        </w:rPr>
        <w:t>PIPA</w:t>
      </w:r>
      <w:r>
        <w:rPr>
          <w:rFonts w:eastAsia="Arial" w:cs="Arial"/>
          <w:color w:val="000000" w:themeColor="text1"/>
          <w:szCs w:val="22"/>
        </w:rPr>
        <w:t xml:space="preserve"> report</w:t>
      </w:r>
      <w:r w:rsidR="46D34398" w:rsidRPr="00642AD2">
        <w:rPr>
          <w:rFonts w:eastAsia="Arial" w:cs="Arial"/>
          <w:color w:val="000000" w:themeColor="text1"/>
          <w:szCs w:val="22"/>
        </w:rPr>
        <w:t xml:space="preserve"> found that police, courts, child protection services and social support services are not equipped to respond constructively and holistically to AVITH, and service responses are not tailored to the unique situation and vulnerabilities of adolescents who use violence in the home. </w:t>
      </w:r>
      <w:r w:rsidR="00E429B6" w:rsidRPr="00642AD2">
        <w:rPr>
          <w:rFonts w:cs="Arial"/>
          <w:color w:val="000000" w:themeColor="text1"/>
          <w:szCs w:val="22"/>
        </w:rPr>
        <w:t xml:space="preserve">Responding to </w:t>
      </w:r>
      <w:r w:rsidR="00C4036D">
        <w:rPr>
          <w:rFonts w:cs="Arial"/>
          <w:color w:val="000000" w:themeColor="text1"/>
          <w:szCs w:val="22"/>
        </w:rPr>
        <w:t xml:space="preserve">AVITH </w:t>
      </w:r>
      <w:r w:rsidR="00E429B6" w:rsidRPr="00642AD2">
        <w:rPr>
          <w:rFonts w:cs="Arial"/>
          <w:color w:val="000000" w:themeColor="text1"/>
          <w:szCs w:val="22"/>
        </w:rPr>
        <w:t xml:space="preserve">by preventing contact </w:t>
      </w:r>
      <w:r w:rsidR="00C4036D">
        <w:rPr>
          <w:rFonts w:cs="Arial"/>
          <w:color w:val="000000" w:themeColor="text1"/>
          <w:szCs w:val="22"/>
        </w:rPr>
        <w:t xml:space="preserve">between adolescents and </w:t>
      </w:r>
      <w:r w:rsidR="00E429B6" w:rsidRPr="00642AD2">
        <w:rPr>
          <w:rFonts w:cs="Arial"/>
          <w:color w:val="000000" w:themeColor="text1"/>
          <w:szCs w:val="22"/>
        </w:rPr>
        <w:t>their parents and criminalising their behaviour is not always appropriate and may sometimes be counterproductive. It may result in parent victims not seeking assistance from the police or support services for fear of the repercussions for their family life. This reduces victim safety and may also result in a missed opportunity to connect the child or young person with support services that will assist them to develop respectful relationship skills that they can carry with them through life.</w:t>
      </w:r>
      <w:r w:rsidR="002C1AAC" w:rsidRPr="002C1AAC">
        <w:rPr>
          <w:rFonts w:eastAsia="Arial"/>
          <w:noProof/>
        </w:rPr>
        <w:t xml:space="preserve"> </w:t>
      </w:r>
    </w:p>
    <w:p w14:paraId="7BFA2AC8" w14:textId="2108C96A" w:rsidR="00E429B6" w:rsidRDefault="002C1AAC" w:rsidP="00DA409B">
      <w:pPr>
        <w:autoSpaceDE w:val="0"/>
        <w:autoSpaceDN w:val="0"/>
        <w:adjustRightInd w:val="0"/>
        <w:rPr>
          <w:rFonts w:cs="Arial"/>
          <w:color w:val="000000" w:themeColor="text1"/>
          <w:szCs w:val="22"/>
        </w:rPr>
      </w:pPr>
      <w:r w:rsidRPr="001651B8">
        <w:rPr>
          <w:rFonts w:eastAsia="Arial"/>
          <w:noProof/>
        </w:rPr>
        <mc:AlternateContent>
          <mc:Choice Requires="wps">
            <w:drawing>
              <wp:inline distT="0" distB="0" distL="0" distR="0" wp14:anchorId="1ECEB86E" wp14:editId="7B861F1C">
                <wp:extent cx="6246495" cy="1381125"/>
                <wp:effectExtent l="0" t="0" r="1905" b="9525"/>
                <wp:docPr id="9" name="Text Box 9"/>
                <wp:cNvGraphicFramePr/>
                <a:graphic xmlns:a="http://schemas.openxmlformats.org/drawingml/2006/main">
                  <a:graphicData uri="http://schemas.microsoft.com/office/word/2010/wordprocessingShape">
                    <wps:wsp>
                      <wps:cNvSpPr txBox="1"/>
                      <wps:spPr>
                        <a:xfrm>
                          <a:off x="0" y="0"/>
                          <a:ext cx="6246495" cy="1381125"/>
                        </a:xfrm>
                        <a:prstGeom prst="rect">
                          <a:avLst/>
                        </a:prstGeom>
                        <a:solidFill>
                          <a:schemeClr val="accent5">
                            <a:lumMod val="20000"/>
                            <a:lumOff val="80000"/>
                          </a:schemeClr>
                        </a:solidFill>
                        <a:ln w="6350">
                          <a:noFill/>
                        </a:ln>
                      </wps:spPr>
                      <wps:txbx>
                        <w:txbxContent>
                          <w:p w14:paraId="105A3500" w14:textId="77777777" w:rsidR="002C1AAC" w:rsidRDefault="002C1AAC" w:rsidP="002C1AAC">
                            <w:pPr>
                              <w:rPr>
                                <w:b/>
                                <w:bCs/>
                              </w:rPr>
                            </w:pPr>
                            <w:r w:rsidRPr="00420B74">
                              <w:rPr>
                                <w:b/>
                                <w:bCs/>
                              </w:rPr>
                              <w:t xml:space="preserve">Looking forward – what is still required: </w:t>
                            </w:r>
                          </w:p>
                          <w:p w14:paraId="6FB0034F" w14:textId="77777777" w:rsidR="002C1AAC" w:rsidRDefault="002C1AAC" w:rsidP="002C1AAC">
                            <w:r>
                              <w:t>The Victorian Government should implement and adequately resource</w:t>
                            </w:r>
                            <w:r>
                              <w:rPr>
                                <w:rStyle w:val="FootnoteReference"/>
                              </w:rPr>
                              <w:footnoteRef/>
                            </w:r>
                            <w:r>
                              <w:t xml:space="preserve">: </w:t>
                            </w:r>
                          </w:p>
                          <w:p w14:paraId="4E7BE463" w14:textId="77777777" w:rsidR="002C1AAC" w:rsidRPr="00420B74" w:rsidRDefault="002C1AAC" w:rsidP="002C1AAC">
                            <w:pPr>
                              <w:pStyle w:val="ListParagraph"/>
                              <w:numPr>
                                <w:ilvl w:val="0"/>
                                <w:numId w:val="24"/>
                              </w:numPr>
                              <w:rPr>
                                <w:rFonts w:ascii="Arial" w:hAnsi="Arial" w:cs="Arial"/>
                              </w:rPr>
                            </w:pPr>
                            <w:r w:rsidRPr="00420B74">
                              <w:rPr>
                                <w:rFonts w:ascii="Arial" w:hAnsi="Arial" w:cs="Arial"/>
                              </w:rPr>
                              <w:t xml:space="preserve">recommendations 123 to 128 from the </w:t>
                            </w:r>
                            <w:r w:rsidRPr="00420B74">
                              <w:rPr>
                                <w:rFonts w:ascii="Arial" w:hAnsi="Arial" w:cs="Arial"/>
                                <w:i/>
                                <w:iCs/>
                              </w:rPr>
                              <w:t>Royal Commission into Family Violence</w:t>
                            </w:r>
                            <w:r w:rsidRPr="00420B74">
                              <w:rPr>
                                <w:rFonts w:ascii="Arial" w:hAnsi="Arial" w:cs="Arial"/>
                              </w:rPr>
                              <w:t xml:space="preserve"> for establishing a specialised response for adolescents; and</w:t>
                            </w:r>
                          </w:p>
                          <w:p w14:paraId="01F57905" w14:textId="77777777" w:rsidR="002C1AAC" w:rsidRPr="00420B74" w:rsidRDefault="002C1AAC" w:rsidP="002C1AAC">
                            <w:pPr>
                              <w:pStyle w:val="ListParagraph"/>
                              <w:numPr>
                                <w:ilvl w:val="0"/>
                                <w:numId w:val="24"/>
                              </w:numPr>
                              <w:rPr>
                                <w:rFonts w:cs="Arial"/>
                              </w:rPr>
                            </w:pPr>
                            <w:r w:rsidRPr="00420B74">
                              <w:rPr>
                                <w:rFonts w:ascii="Arial" w:hAnsi="Arial" w:cs="Arial"/>
                              </w:rPr>
                              <w:t>the recommendations of the PIPA project: Positive Interventions for Perpetrators of Adolescent violence in the home report (2020).</w:t>
                            </w:r>
                            <w:r w:rsidRPr="004C3968">
                              <w:rPr>
                                <w:rStyle w:val="FootnoteReference"/>
                                <w:rFonts w:cs="Arial"/>
                              </w:rPr>
                              <w:footnoteRef/>
                            </w:r>
                          </w:p>
                          <w:p w14:paraId="41305A22" w14:textId="77777777" w:rsidR="002C1AAC" w:rsidRDefault="002C1AAC" w:rsidP="002C1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CEB86E" id="Text Box 9" o:spid="_x0000_s1031" type="#_x0000_t202" style="width:491.8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" fillcolor="#deeaf6 [664]" stroked="f" strokeweight=".5pt">
                <v:textbox>
                  <w:txbxContent>
                    <w:p w14:paraId="105A3500" w14:textId="77777777" w:rsidR="002C1AAC" w:rsidRDefault="002C1AAC" w:rsidP="002C1AAC">
                      <w:pPr>
                        <w:rPr>
                          <w:b/>
                          <w:bCs/>
                        </w:rPr>
                      </w:pPr>
                      <w:r w:rsidRPr="00420B74">
                        <w:rPr>
                          <w:b/>
                          <w:bCs/>
                        </w:rPr>
                        <w:t xml:space="preserve">Looking forward – what is still required: </w:t>
                      </w:r>
                    </w:p>
                    <w:p w14:paraId="6FB0034F" w14:textId="77777777" w:rsidR="002C1AAC" w:rsidRDefault="002C1AAC" w:rsidP="002C1AAC">
                      <w:r>
                        <w:t>The Victorian Government should implement and adequately resource</w:t>
                      </w:r>
                      <w:r>
                        <w:rPr>
                          <w:rStyle w:val="FootnoteReference"/>
                        </w:rPr>
                        <w:footnoteRef/>
                      </w:r>
                      <w:r>
                        <w:t xml:space="preserve">: </w:t>
                      </w:r>
                    </w:p>
                    <w:p w14:paraId="4E7BE463" w14:textId="77777777" w:rsidR="002C1AAC" w:rsidRPr="00420B74" w:rsidRDefault="002C1AAC" w:rsidP="002C1AAC">
                      <w:pPr>
                        <w:pStyle w:val="ListParagraph"/>
                        <w:numPr>
                          <w:ilvl w:val="0"/>
                          <w:numId w:val="24"/>
                        </w:numPr>
                        <w:rPr>
                          <w:rFonts w:ascii="Arial" w:hAnsi="Arial" w:cs="Arial"/>
                        </w:rPr>
                      </w:pPr>
                      <w:r w:rsidRPr="00420B74">
                        <w:rPr>
                          <w:rFonts w:ascii="Arial" w:hAnsi="Arial" w:cs="Arial"/>
                        </w:rPr>
                        <w:t xml:space="preserve">recommendations 123 to 128 from the </w:t>
                      </w:r>
                      <w:r w:rsidRPr="00420B74">
                        <w:rPr>
                          <w:rFonts w:ascii="Arial" w:hAnsi="Arial" w:cs="Arial"/>
                          <w:i/>
                          <w:iCs/>
                        </w:rPr>
                        <w:t>Royal Commission into Family Violence</w:t>
                      </w:r>
                      <w:r w:rsidRPr="00420B74">
                        <w:rPr>
                          <w:rFonts w:ascii="Arial" w:hAnsi="Arial" w:cs="Arial"/>
                        </w:rPr>
                        <w:t xml:space="preserve"> for establishing a specialised response for adolescents; and</w:t>
                      </w:r>
                    </w:p>
                    <w:p w14:paraId="01F57905" w14:textId="77777777" w:rsidR="002C1AAC" w:rsidRPr="00420B74" w:rsidRDefault="002C1AAC" w:rsidP="002C1AAC">
                      <w:pPr>
                        <w:pStyle w:val="ListParagraph"/>
                        <w:numPr>
                          <w:ilvl w:val="0"/>
                          <w:numId w:val="24"/>
                        </w:numPr>
                        <w:rPr>
                          <w:rFonts w:cs="Arial"/>
                        </w:rPr>
                      </w:pPr>
                      <w:r w:rsidRPr="00420B74">
                        <w:rPr>
                          <w:rFonts w:ascii="Arial" w:hAnsi="Arial" w:cs="Arial"/>
                        </w:rPr>
                        <w:t>the recommendations of the PIPA project: Positive Interventions for Perpetrators of Adolescent violence in the home report (2020).</w:t>
                      </w:r>
                      <w:r w:rsidRPr="004C3968">
                        <w:rPr>
                          <w:rStyle w:val="FootnoteReference"/>
                          <w:rFonts w:cs="Arial"/>
                        </w:rPr>
                        <w:footnoteRef/>
                      </w:r>
                    </w:p>
                    <w:p w14:paraId="41305A22" w14:textId="77777777" w:rsidR="002C1AAC" w:rsidRDefault="002C1AAC" w:rsidP="002C1AAC"/>
                  </w:txbxContent>
                </v:textbox>
                <w10:anchorlock/>
              </v:shape>
            </w:pict>
          </mc:Fallback>
        </mc:AlternateContent>
      </w:r>
    </w:p>
    <w:p w14:paraId="036C94D7" w14:textId="0755B179" w:rsidR="004015F9" w:rsidRPr="001651B8" w:rsidRDefault="004015F9" w:rsidP="00DA409B">
      <w:pPr>
        <w:pStyle w:val="Heading3"/>
        <w:rPr>
          <w:rFonts w:eastAsia="Arial"/>
          <w:color w:val="000000" w:themeColor="text1"/>
          <w:szCs w:val="22"/>
        </w:rPr>
      </w:pPr>
      <w:bookmarkStart w:id="64" w:name="_Toc46146204"/>
      <w:bookmarkStart w:id="65" w:name="_Toc45698245"/>
      <w:bookmarkStart w:id="66" w:name="_Toc45698295"/>
      <w:r>
        <w:rPr>
          <w:rFonts w:eastAsia="Arial"/>
        </w:rPr>
        <w:t xml:space="preserve">Elder abuse </w:t>
      </w:r>
      <w:r w:rsidR="00336847">
        <w:rPr>
          <w:rFonts w:eastAsia="Arial"/>
        </w:rPr>
        <w:t>as a form of family violence</w:t>
      </w:r>
      <w:bookmarkEnd w:id="64"/>
      <w:r w:rsidR="00336847">
        <w:rPr>
          <w:rFonts w:eastAsia="Arial"/>
        </w:rPr>
        <w:t xml:space="preserve"> </w:t>
      </w:r>
    </w:p>
    <w:p w14:paraId="6DEEB3A4" w14:textId="6A4997D1" w:rsidR="00336847" w:rsidRDefault="00336847" w:rsidP="00DA409B">
      <w:r>
        <w:t>The Royal Commission</w:t>
      </w:r>
      <w:r w:rsidDel="00AE712B">
        <w:t xml:space="preserve"> </w:t>
      </w:r>
      <w:r w:rsidR="00AE712B">
        <w:t xml:space="preserve">also </w:t>
      </w:r>
      <w:r>
        <w:t xml:space="preserve">recognised that older people may have particular needs when engaging with the family violence system (when victims or perpetrators of </w:t>
      </w:r>
      <w:r w:rsidR="00134A07">
        <w:t>family</w:t>
      </w:r>
      <w:r>
        <w:t xml:space="preserve"> violence) and that elder abuse is a unique form of family violence, which requires tailored services and supports.</w:t>
      </w:r>
    </w:p>
    <w:p w14:paraId="796E8400" w14:textId="303F135B" w:rsidR="00336847" w:rsidRDefault="00336847" w:rsidP="00DA409B">
      <w:r>
        <w:t>There were a number of recommendations related directly to elder abuse which have been fully or partially implemented</w:t>
      </w:r>
      <w:r w:rsidR="00342F00">
        <w:t>,</w:t>
      </w:r>
      <w:r>
        <w:t xml:space="preserve"> including a trial of a police response to financial abuse (recommendation 155) and the development and delivery of information on family violence for older people, including a media campaign to raise awareness of elder abuse (recommendation 153).</w:t>
      </w:r>
      <w:r w:rsidR="00524B97">
        <w:t xml:space="preserve"> We also note the current work being undertaken by Family Safety Victoria (FSV) to </w:t>
      </w:r>
      <w:r w:rsidR="00F14F0E">
        <w:t>improve responses to elder abuse.</w:t>
      </w:r>
    </w:p>
    <w:p w14:paraId="3DC10A0B" w14:textId="37C8C188" w:rsidR="00F053F1" w:rsidRPr="00F053F1" w:rsidRDefault="00336847" w:rsidP="00DA409B">
      <w:r>
        <w:t xml:space="preserve">However, </w:t>
      </w:r>
      <w:r w:rsidR="00342F00">
        <w:t xml:space="preserve">despite </w:t>
      </w:r>
      <w:r w:rsidR="00450A5F">
        <w:t>Seniors Rights Victoria seeing a</w:t>
      </w:r>
      <w:r w:rsidR="00342F00">
        <w:t xml:space="preserve"> 60% increase in service demand for elder abuse since the Commission’s report</w:t>
      </w:r>
      <w:r w:rsidR="00450A5F">
        <w:t>,</w:t>
      </w:r>
      <w:r w:rsidR="00342F00">
        <w:t xml:space="preserve"> we continue to see </w:t>
      </w:r>
      <w:r>
        <w:t xml:space="preserve">elder abuse </w:t>
      </w:r>
      <w:r w:rsidR="009F0AC4">
        <w:t xml:space="preserve">minimised or </w:t>
      </w:r>
      <w:r w:rsidR="0066120B">
        <w:t>under-recognised</w:t>
      </w:r>
      <w:r w:rsidR="007F0D42">
        <w:t xml:space="preserve">. </w:t>
      </w:r>
      <w:r w:rsidR="00450A5F">
        <w:t xml:space="preserve">This is compounded by a </w:t>
      </w:r>
      <w:r w:rsidR="00F14651">
        <w:t xml:space="preserve">court system and the use of </w:t>
      </w:r>
      <w:r w:rsidR="00126DB7">
        <w:t xml:space="preserve">family violence intervention orders </w:t>
      </w:r>
      <w:r w:rsidR="00450A5F">
        <w:t>that</w:t>
      </w:r>
      <w:r w:rsidR="00F14651">
        <w:t xml:space="preserve"> can be a difficult system to navigate for older people, particularly those with age-related communication difficulties or from non-English speaking backgrounds. </w:t>
      </w:r>
    </w:p>
    <w:p w14:paraId="3CBC2A36" w14:textId="6EAF204B" w:rsidR="000854F8" w:rsidRDefault="0036725E" w:rsidP="00DA409B">
      <w:r>
        <w:lastRenderedPageBreak/>
        <w:t>Through our work we see the way in which p</w:t>
      </w:r>
      <w:r w:rsidR="00E470AA">
        <w:t xml:space="preserve">erpetrators of elder abuse are </w:t>
      </w:r>
      <w:r w:rsidR="00B2435C">
        <w:t>often not</w:t>
      </w:r>
      <w:r w:rsidR="00E470AA">
        <w:t xml:space="preserve"> held accountable for their actions</w:t>
      </w:r>
      <w:r w:rsidR="00FC561A">
        <w:t xml:space="preserve">. </w:t>
      </w:r>
      <w:r w:rsidR="00B2435C">
        <w:t xml:space="preserve">Currently </w:t>
      </w:r>
      <w:r w:rsidR="00A26176">
        <w:t>the</w:t>
      </w:r>
      <w:r w:rsidR="00E470AA">
        <w:t xml:space="preserve">re are no perpetrator interventions (including behaviour change programs) designed </w:t>
      </w:r>
      <w:r w:rsidR="00AC3EE7">
        <w:t>to respond to</w:t>
      </w:r>
      <w:r w:rsidR="00E470AA">
        <w:t xml:space="preserve"> elder abuse or </w:t>
      </w:r>
      <w:r w:rsidR="00FC561A">
        <w:t xml:space="preserve">that </w:t>
      </w:r>
      <w:r w:rsidR="00E470AA">
        <w:t>recognis</w:t>
      </w:r>
      <w:r w:rsidR="00FC561A">
        <w:t>e</w:t>
      </w:r>
      <w:r w:rsidR="00E470AA">
        <w:t xml:space="preserve"> ageism as a driver of such abuse. </w:t>
      </w:r>
    </w:p>
    <w:p w14:paraId="6D02BC3B" w14:textId="77777777" w:rsidR="002C1AAC" w:rsidRDefault="006B0053" w:rsidP="00DA409B">
      <w:r>
        <w:t xml:space="preserve">In many situations the older person wants the abuse to be resolved, but also holds concerns for the perpetrator. Many situations are complicated by external factors affecting the perpetrator such as financial difficulties, </w:t>
      </w:r>
      <w:r w:rsidR="00E67DC2">
        <w:t xml:space="preserve">experience of </w:t>
      </w:r>
      <w:r>
        <w:t xml:space="preserve">mental or physical health issues, substance abuse or </w:t>
      </w:r>
      <w:r w:rsidR="00056B2A">
        <w:t>a lack of</w:t>
      </w:r>
      <w:r>
        <w:t xml:space="preserve"> housing. A history of family conflict and family violence can also affect the parent–child relationship</w:t>
      </w:r>
      <w:r w:rsidR="0021331B" w:rsidRPr="001A10EE">
        <w:t>.</w:t>
      </w:r>
      <w:r w:rsidR="00D25BF4">
        <w:t xml:space="preserve"> </w:t>
      </w:r>
      <w:r w:rsidR="001A10EE">
        <w:t xml:space="preserve">As with other forms of family violence, the potential for elder abuse within families to be exacerbated by </w:t>
      </w:r>
      <w:r w:rsidR="00056B2A">
        <w:t>such external factors</w:t>
      </w:r>
      <w:r w:rsidR="00955874">
        <w:t xml:space="preserve"> </w:t>
      </w:r>
      <w:r w:rsidR="0000058F">
        <w:t>is</w:t>
      </w:r>
      <w:r w:rsidR="001A10EE">
        <w:t xml:space="preserve"> likely to increase during and </w:t>
      </w:r>
      <w:proofErr w:type="gramStart"/>
      <w:r w:rsidR="001A10EE">
        <w:t>as a result of</w:t>
      </w:r>
      <w:proofErr w:type="gramEnd"/>
      <w:r w:rsidR="001A10EE">
        <w:t xml:space="preserve"> the COVID-19 public health measures. </w:t>
      </w:r>
    </w:p>
    <w:p w14:paraId="5A437F47" w14:textId="474CEBE6" w:rsidR="00D25BF4" w:rsidRDefault="002C1AAC" w:rsidP="00DA409B">
      <w:r w:rsidRPr="00A0313B">
        <w:rPr>
          <w:noProof/>
          <w:szCs w:val="22"/>
        </w:rPr>
        <mc:AlternateContent>
          <mc:Choice Requires="wps">
            <w:drawing>
              <wp:inline distT="0" distB="0" distL="0" distR="0" wp14:anchorId="3BD26766" wp14:editId="11D5849B">
                <wp:extent cx="6196965" cy="2066925"/>
                <wp:effectExtent l="0" t="0" r="0" b="9525"/>
                <wp:docPr id="16" name="Text Box 16"/>
                <wp:cNvGraphicFramePr/>
                <a:graphic xmlns:a="http://schemas.openxmlformats.org/drawingml/2006/main">
                  <a:graphicData uri="http://schemas.microsoft.com/office/word/2010/wordprocessingShape">
                    <wps:wsp>
                      <wps:cNvSpPr txBox="1"/>
                      <wps:spPr>
                        <a:xfrm>
                          <a:off x="0" y="0"/>
                          <a:ext cx="6196965" cy="2066925"/>
                        </a:xfrm>
                        <a:prstGeom prst="rect">
                          <a:avLst/>
                        </a:prstGeom>
                        <a:solidFill>
                          <a:schemeClr val="accent5">
                            <a:lumMod val="20000"/>
                            <a:lumOff val="80000"/>
                          </a:schemeClr>
                        </a:solidFill>
                        <a:ln w="6350">
                          <a:noFill/>
                        </a:ln>
                      </wps:spPr>
                      <wps:txbx>
                        <w:txbxContent>
                          <w:p w14:paraId="139BF677" w14:textId="77777777" w:rsidR="002C1AAC" w:rsidRDefault="002C1AAC" w:rsidP="002C1AAC">
                            <w:pPr>
                              <w:rPr>
                                <w:b/>
                                <w:bCs/>
                              </w:rPr>
                            </w:pPr>
                            <w:r w:rsidRPr="00420B74">
                              <w:rPr>
                                <w:b/>
                                <w:bCs/>
                              </w:rPr>
                              <w:t xml:space="preserve">Looking forward – what is still required: </w:t>
                            </w:r>
                          </w:p>
                          <w:p w14:paraId="614AF876" w14:textId="77777777" w:rsidR="002C1AAC" w:rsidRDefault="002C1AAC" w:rsidP="002C1AAC">
                            <w:r>
                              <w:t xml:space="preserve">The Victorian Government should: </w:t>
                            </w:r>
                          </w:p>
                          <w:p w14:paraId="142AC0C7" w14:textId="77777777" w:rsidR="002C1AAC" w:rsidRPr="00734C44" w:rsidRDefault="002C1AAC" w:rsidP="002C1AAC">
                            <w:pPr>
                              <w:pStyle w:val="ListParagraph"/>
                              <w:numPr>
                                <w:ilvl w:val="0"/>
                                <w:numId w:val="28"/>
                              </w:numPr>
                              <w:rPr>
                                <w:rFonts w:ascii="Arial" w:hAnsi="Arial" w:cs="Arial"/>
                              </w:rPr>
                            </w:pPr>
                            <w:r>
                              <w:rPr>
                                <w:rFonts w:ascii="Arial" w:hAnsi="Arial" w:cs="Arial"/>
                              </w:rPr>
                              <w:t xml:space="preserve">continue current work in developing </w:t>
                            </w:r>
                            <w:r w:rsidRPr="00734C44">
                              <w:rPr>
                                <w:rFonts w:ascii="Arial" w:hAnsi="Arial" w:cs="Arial"/>
                              </w:rPr>
                              <w:t xml:space="preserve">an overriding framework that recognises and explains </w:t>
                            </w:r>
                            <w:r>
                              <w:rPr>
                                <w:rFonts w:ascii="Arial" w:hAnsi="Arial" w:cs="Arial"/>
                              </w:rPr>
                              <w:t>e</w:t>
                            </w:r>
                            <w:r w:rsidRPr="00734C44">
                              <w:rPr>
                                <w:rFonts w:ascii="Arial" w:hAnsi="Arial" w:cs="Arial"/>
                              </w:rPr>
                              <w:t>lder abuse as a specific form of family violence with its own drivers and risk factors.</w:t>
                            </w:r>
                            <w:r>
                              <w:rPr>
                                <w:rFonts w:ascii="Arial" w:hAnsi="Arial" w:cs="Arial"/>
                              </w:rPr>
                              <w:t xml:space="preserve"> </w:t>
                            </w:r>
                            <w:r w:rsidRPr="00734C44">
                              <w:rPr>
                                <w:rFonts w:ascii="Arial" w:hAnsi="Arial" w:cs="Arial"/>
                              </w:rPr>
                              <w:t>This framework should include specific responses to guide how the elder abuse system integrates with the family violence system</w:t>
                            </w:r>
                            <w:r>
                              <w:rPr>
                                <w:rFonts w:ascii="Arial" w:hAnsi="Arial" w:cs="Arial"/>
                              </w:rPr>
                              <w:t>.</w:t>
                            </w:r>
                          </w:p>
                          <w:p w14:paraId="47325A13" w14:textId="77777777" w:rsidR="002C1AAC" w:rsidRDefault="002C1AAC" w:rsidP="002C1AAC">
                            <w:pPr>
                              <w:pStyle w:val="ListParagraph"/>
                              <w:numPr>
                                <w:ilvl w:val="0"/>
                                <w:numId w:val="28"/>
                              </w:numPr>
                              <w:rPr>
                                <w:rFonts w:ascii="Arial" w:hAnsi="Arial" w:cs="Arial"/>
                              </w:rPr>
                            </w:pPr>
                            <w:r>
                              <w:rPr>
                                <w:rFonts w:ascii="Arial" w:hAnsi="Arial" w:cs="Arial"/>
                              </w:rPr>
                              <w:t xml:space="preserve">provide </w:t>
                            </w:r>
                            <w:r w:rsidRPr="00734C44">
                              <w:rPr>
                                <w:rFonts w:ascii="Arial" w:hAnsi="Arial" w:cs="Arial"/>
                              </w:rPr>
                              <w:t>ongoing and sustainable resourcing of services and programs to prevent and address elder abuse</w:t>
                            </w:r>
                            <w:r>
                              <w:rPr>
                                <w:rFonts w:ascii="Arial" w:hAnsi="Arial" w:cs="Arial"/>
                              </w:rPr>
                              <w:t>,</w:t>
                            </w:r>
                            <w:r w:rsidRPr="00734C44">
                              <w:rPr>
                                <w:rFonts w:ascii="Arial" w:hAnsi="Arial" w:cs="Arial"/>
                              </w:rPr>
                              <w:t xml:space="preserve"> </w:t>
                            </w:r>
                            <w:r>
                              <w:rPr>
                                <w:rFonts w:ascii="Arial" w:hAnsi="Arial" w:cs="Arial"/>
                              </w:rPr>
                              <w:t xml:space="preserve">including Men’s Behaviour Change Programs, </w:t>
                            </w:r>
                            <w:r w:rsidRPr="00734C44">
                              <w:rPr>
                                <w:rFonts w:ascii="Arial" w:hAnsi="Arial" w:cs="Arial"/>
                              </w:rPr>
                              <w:t>ensuring that those services, including the courts system and law enforcement, understand the unique characteristics of elder abuse and the responses needed</w:t>
                            </w:r>
                            <w:r>
                              <w:rPr>
                                <w:rFonts w:ascii="Arial" w:hAnsi="Arial" w:cs="Arial"/>
                              </w:rPr>
                              <w:t>.</w:t>
                            </w:r>
                          </w:p>
                          <w:p w14:paraId="71B66530" w14:textId="77777777" w:rsidR="002C1AAC" w:rsidRPr="00457244" w:rsidRDefault="002C1AAC" w:rsidP="002C1AAC">
                            <w:pPr>
                              <w:pStyle w:val="ListParagrap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D26766" id="Text Box 16" o:spid="_x0000_s1032" type="#_x0000_t202" style="width:487.95pt;height:1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" fillcolor="#deeaf6 [664]" stroked="f" strokeweight=".5pt">
                <v:textbox>
                  <w:txbxContent>
                    <w:p w14:paraId="139BF677" w14:textId="77777777" w:rsidR="002C1AAC" w:rsidRDefault="002C1AAC" w:rsidP="002C1AAC">
                      <w:pPr>
                        <w:rPr>
                          <w:b/>
                          <w:bCs/>
                        </w:rPr>
                      </w:pPr>
                      <w:r w:rsidRPr="00420B74">
                        <w:rPr>
                          <w:b/>
                          <w:bCs/>
                        </w:rPr>
                        <w:t xml:space="preserve">Looking forward – what is still required: </w:t>
                      </w:r>
                    </w:p>
                    <w:p w14:paraId="614AF876" w14:textId="77777777" w:rsidR="002C1AAC" w:rsidRDefault="002C1AAC" w:rsidP="002C1AAC">
                      <w:r>
                        <w:t xml:space="preserve">The Victorian Government should: </w:t>
                      </w:r>
                    </w:p>
                    <w:p w14:paraId="142AC0C7" w14:textId="77777777" w:rsidR="002C1AAC" w:rsidRPr="00734C44" w:rsidRDefault="002C1AAC" w:rsidP="002C1AAC">
                      <w:pPr>
                        <w:pStyle w:val="ListParagraph"/>
                        <w:numPr>
                          <w:ilvl w:val="0"/>
                          <w:numId w:val="28"/>
                        </w:numPr>
                        <w:rPr>
                          <w:rFonts w:ascii="Arial" w:hAnsi="Arial" w:cs="Arial"/>
                        </w:rPr>
                      </w:pPr>
                      <w:r>
                        <w:rPr>
                          <w:rFonts w:ascii="Arial" w:hAnsi="Arial" w:cs="Arial"/>
                        </w:rPr>
                        <w:t xml:space="preserve">continue current work in developing </w:t>
                      </w:r>
                      <w:r w:rsidRPr="00734C44">
                        <w:rPr>
                          <w:rFonts w:ascii="Arial" w:hAnsi="Arial" w:cs="Arial"/>
                        </w:rPr>
                        <w:t xml:space="preserve">an overriding framework that recognises and explains </w:t>
                      </w:r>
                      <w:r>
                        <w:rPr>
                          <w:rFonts w:ascii="Arial" w:hAnsi="Arial" w:cs="Arial"/>
                        </w:rPr>
                        <w:t>e</w:t>
                      </w:r>
                      <w:r w:rsidRPr="00734C44">
                        <w:rPr>
                          <w:rFonts w:ascii="Arial" w:hAnsi="Arial" w:cs="Arial"/>
                        </w:rPr>
                        <w:t>lder abuse as a specific form of family violence with its own drivers and risk factors.</w:t>
                      </w:r>
                      <w:r>
                        <w:rPr>
                          <w:rFonts w:ascii="Arial" w:hAnsi="Arial" w:cs="Arial"/>
                        </w:rPr>
                        <w:t xml:space="preserve"> </w:t>
                      </w:r>
                      <w:r w:rsidRPr="00734C44">
                        <w:rPr>
                          <w:rFonts w:ascii="Arial" w:hAnsi="Arial" w:cs="Arial"/>
                        </w:rPr>
                        <w:t>This framework should include specific responses to guide how the elder abuse system integrates with the family violence system</w:t>
                      </w:r>
                      <w:r>
                        <w:rPr>
                          <w:rFonts w:ascii="Arial" w:hAnsi="Arial" w:cs="Arial"/>
                        </w:rPr>
                        <w:t>.</w:t>
                      </w:r>
                    </w:p>
                    <w:p w14:paraId="47325A13" w14:textId="77777777" w:rsidR="002C1AAC" w:rsidRDefault="002C1AAC" w:rsidP="002C1AAC">
                      <w:pPr>
                        <w:pStyle w:val="ListParagraph"/>
                        <w:numPr>
                          <w:ilvl w:val="0"/>
                          <w:numId w:val="28"/>
                        </w:numPr>
                        <w:rPr>
                          <w:rFonts w:ascii="Arial" w:hAnsi="Arial" w:cs="Arial"/>
                        </w:rPr>
                      </w:pPr>
                      <w:r>
                        <w:rPr>
                          <w:rFonts w:ascii="Arial" w:hAnsi="Arial" w:cs="Arial"/>
                        </w:rPr>
                        <w:t xml:space="preserve">provide </w:t>
                      </w:r>
                      <w:r w:rsidRPr="00734C44">
                        <w:rPr>
                          <w:rFonts w:ascii="Arial" w:hAnsi="Arial" w:cs="Arial"/>
                        </w:rPr>
                        <w:t>ongoing and sustainable resourcing of services and programs to prevent and address elder abuse</w:t>
                      </w:r>
                      <w:r>
                        <w:rPr>
                          <w:rFonts w:ascii="Arial" w:hAnsi="Arial" w:cs="Arial"/>
                        </w:rPr>
                        <w:t>,</w:t>
                      </w:r>
                      <w:r w:rsidRPr="00734C44">
                        <w:rPr>
                          <w:rFonts w:ascii="Arial" w:hAnsi="Arial" w:cs="Arial"/>
                        </w:rPr>
                        <w:t xml:space="preserve"> </w:t>
                      </w:r>
                      <w:r>
                        <w:rPr>
                          <w:rFonts w:ascii="Arial" w:hAnsi="Arial" w:cs="Arial"/>
                        </w:rPr>
                        <w:t xml:space="preserve">including Men’s Behaviour Change Programs, </w:t>
                      </w:r>
                      <w:r w:rsidRPr="00734C44">
                        <w:rPr>
                          <w:rFonts w:ascii="Arial" w:hAnsi="Arial" w:cs="Arial"/>
                        </w:rPr>
                        <w:t>ensuring that those services, including the courts system and law enforcement, understand the unique characteristics of elder abuse and the responses needed</w:t>
                      </w:r>
                      <w:r>
                        <w:rPr>
                          <w:rFonts w:ascii="Arial" w:hAnsi="Arial" w:cs="Arial"/>
                        </w:rPr>
                        <w:t>.</w:t>
                      </w:r>
                    </w:p>
                    <w:p w14:paraId="71B66530" w14:textId="77777777" w:rsidR="002C1AAC" w:rsidRPr="00457244" w:rsidRDefault="002C1AAC" w:rsidP="002C1AAC">
                      <w:pPr>
                        <w:pStyle w:val="ListParagraph"/>
                        <w:rPr>
                          <w:rFonts w:ascii="Arial" w:hAnsi="Arial" w:cs="Arial"/>
                        </w:rPr>
                      </w:pPr>
                    </w:p>
                  </w:txbxContent>
                </v:textbox>
                <w10:anchorlock/>
              </v:shape>
            </w:pict>
          </mc:Fallback>
        </mc:AlternateContent>
      </w:r>
    </w:p>
    <w:p w14:paraId="530C1F56" w14:textId="289864A9" w:rsidR="00977075" w:rsidRPr="00A329B7" w:rsidRDefault="00977075" w:rsidP="00DA409B">
      <w:pPr>
        <w:pStyle w:val="Heading3"/>
        <w:rPr>
          <w:rFonts w:eastAsiaTheme="minorEastAsia"/>
        </w:rPr>
      </w:pPr>
      <w:bookmarkStart w:id="67" w:name="_Toc46146205"/>
      <w:r w:rsidRPr="00A329B7">
        <w:rPr>
          <w:rFonts w:eastAsia="Arial"/>
        </w:rPr>
        <w:t>Infringements</w:t>
      </w:r>
      <w:bookmarkEnd w:id="65"/>
      <w:bookmarkEnd w:id="66"/>
      <w:bookmarkEnd w:id="67"/>
      <w:r w:rsidRPr="00A329B7">
        <w:rPr>
          <w:rFonts w:eastAsia="Arial"/>
        </w:rPr>
        <w:t xml:space="preserve"> </w:t>
      </w:r>
    </w:p>
    <w:p w14:paraId="4A367A65" w14:textId="33EA527B" w:rsidR="00977075" w:rsidRPr="0034732F" w:rsidRDefault="2A5E379A" w:rsidP="00DA409B">
      <w:pPr>
        <w:rPr>
          <w:rFonts w:eastAsia="Arial" w:cs="Arial"/>
          <w:szCs w:val="22"/>
        </w:rPr>
      </w:pPr>
      <w:r w:rsidRPr="004E55A1">
        <w:rPr>
          <w:rFonts w:eastAsia="Arial" w:cs="Arial"/>
        </w:rPr>
        <w:t>The Federation, VLA and Financial Counselling Victoria’s Infringements Working Group</w:t>
      </w:r>
      <w:r w:rsidR="006A1FD3">
        <w:rPr>
          <w:rStyle w:val="FootnoteReference"/>
          <w:rFonts w:eastAsia="Arial" w:cs="Arial"/>
        </w:rPr>
        <w:footnoteReference w:id="12"/>
      </w:r>
      <w:r w:rsidRPr="004E55A1">
        <w:rPr>
          <w:rFonts w:eastAsia="Arial" w:cs="Arial"/>
        </w:rPr>
        <w:t xml:space="preserve"> welcomed the introduction of the Family Violence Scheme (</w:t>
      </w:r>
      <w:r w:rsidRPr="004E55A1">
        <w:rPr>
          <w:rFonts w:eastAsia="Arial" w:cs="Arial"/>
          <w:b/>
        </w:rPr>
        <w:t>FVS</w:t>
      </w:r>
      <w:r w:rsidRPr="004E55A1">
        <w:rPr>
          <w:rFonts w:eastAsia="Arial" w:cs="Arial"/>
        </w:rPr>
        <w:t xml:space="preserve">) </w:t>
      </w:r>
      <w:r w:rsidR="009442CF">
        <w:rPr>
          <w:rFonts w:eastAsia="Arial" w:cs="Arial"/>
        </w:rPr>
        <w:t xml:space="preserve">in the </w:t>
      </w:r>
      <w:r w:rsidR="009442CF" w:rsidRPr="004E55A1">
        <w:rPr>
          <w:rFonts w:eastAsia="Arial" w:cs="Arial"/>
          <w:i/>
          <w:iCs/>
        </w:rPr>
        <w:t>Fines Reform Act</w:t>
      </w:r>
      <w:r w:rsidR="009442CF">
        <w:rPr>
          <w:rFonts w:eastAsia="Arial" w:cs="Arial"/>
        </w:rPr>
        <w:t xml:space="preserve"> </w:t>
      </w:r>
      <w:r w:rsidR="009442CF" w:rsidRPr="00713922">
        <w:rPr>
          <w:rFonts w:eastAsia="Arial" w:cs="Arial"/>
          <w:i/>
        </w:rPr>
        <w:t>2014</w:t>
      </w:r>
      <w:r w:rsidR="003722AF">
        <w:rPr>
          <w:rFonts w:eastAsia="Arial" w:cs="Arial"/>
        </w:rPr>
        <w:t xml:space="preserve"> </w:t>
      </w:r>
      <w:r w:rsidRPr="004E55A1">
        <w:rPr>
          <w:rFonts w:eastAsia="Arial" w:cs="Arial"/>
        </w:rPr>
        <w:t xml:space="preserve">and the amendment to the </w:t>
      </w:r>
      <w:r w:rsidRPr="004E55A1">
        <w:rPr>
          <w:rFonts w:eastAsia="Arial" w:cs="Arial"/>
          <w:i/>
        </w:rPr>
        <w:t xml:space="preserve">Infringements Act </w:t>
      </w:r>
      <w:r w:rsidRPr="00713922">
        <w:rPr>
          <w:rFonts w:eastAsia="Arial" w:cs="Arial"/>
          <w:i/>
        </w:rPr>
        <w:t>2006</w:t>
      </w:r>
      <w:r w:rsidRPr="004E55A1">
        <w:rPr>
          <w:rFonts w:eastAsia="Arial" w:cs="Arial"/>
        </w:rPr>
        <w:t xml:space="preserve"> (Vic) to include family violence as a ‘special circumstance’, as part of the Victorian </w:t>
      </w:r>
      <w:r w:rsidR="00C97FC5">
        <w:rPr>
          <w:rFonts w:eastAsia="Arial" w:cs="Arial"/>
        </w:rPr>
        <w:t>G</w:t>
      </w:r>
      <w:r w:rsidRPr="004E55A1">
        <w:rPr>
          <w:rFonts w:eastAsia="Arial" w:cs="Arial"/>
        </w:rPr>
        <w:t>overnment’s implementation of recommendations 112 and 113</w:t>
      </w:r>
      <w:r w:rsidR="006A1FD3">
        <w:rPr>
          <w:rStyle w:val="FootnoteReference"/>
          <w:rFonts w:eastAsia="Arial" w:cs="Arial"/>
        </w:rPr>
        <w:footnoteReference w:id="13"/>
      </w:r>
      <w:r w:rsidRPr="004E55A1">
        <w:rPr>
          <w:rFonts w:eastAsia="Arial" w:cs="Arial"/>
        </w:rPr>
        <w:t xml:space="preserve"> of the Royal Commission into Family Violence.</w:t>
      </w:r>
    </w:p>
    <w:p w14:paraId="0C6B3D49" w14:textId="76941058" w:rsidR="006A1FD3" w:rsidRDefault="00FE5D19" w:rsidP="00DA409B">
      <w:pPr>
        <w:rPr>
          <w:rFonts w:eastAsia="Arial" w:cs="Arial"/>
        </w:rPr>
      </w:pPr>
      <w:r>
        <w:rPr>
          <w:rFonts w:eastAsia="Arial" w:cs="Arial"/>
        </w:rPr>
        <w:t>We</w:t>
      </w:r>
      <w:r w:rsidR="00977075" w:rsidRPr="65005A73">
        <w:rPr>
          <w:rFonts w:eastAsia="Arial" w:cs="Arial"/>
        </w:rPr>
        <w:t xml:space="preserve"> </w:t>
      </w:r>
      <w:r w:rsidR="00977075" w:rsidRPr="28D1EF7E">
        <w:rPr>
          <w:rFonts w:eastAsia="Arial" w:cs="Arial"/>
        </w:rPr>
        <w:t xml:space="preserve">welcome and support the FVS, which can provide an effective mechanism for victim/survivors to have their infringements and associated demerit points withdrawn. The majority of </w:t>
      </w:r>
      <w:r w:rsidR="617B532C" w:rsidRPr="28D1EF7E">
        <w:rPr>
          <w:rFonts w:eastAsia="Arial" w:cs="Arial"/>
        </w:rPr>
        <w:t>VLA</w:t>
      </w:r>
      <w:r w:rsidR="00B04FB7">
        <w:rPr>
          <w:rFonts w:eastAsia="Arial" w:cs="Arial"/>
        </w:rPr>
        <w:t xml:space="preserve"> and CLC</w:t>
      </w:r>
      <w:r w:rsidR="00977075" w:rsidRPr="28D1EF7E">
        <w:rPr>
          <w:rFonts w:eastAsia="Arial" w:cs="Arial"/>
        </w:rPr>
        <w:t xml:space="preserve"> applications to the FVS have resulted in successful outcomes, with clients expressing relief when their infringement debt has been waived in full.</w:t>
      </w:r>
      <w:r w:rsidR="24BBB776" w:rsidRPr="28D1EF7E">
        <w:rPr>
          <w:rFonts w:eastAsia="Arial" w:cs="Arial"/>
        </w:rPr>
        <w:t xml:space="preserve"> </w:t>
      </w:r>
    </w:p>
    <w:p w14:paraId="54A9B3BE" w14:textId="508D4FDE" w:rsidR="006A1FD3" w:rsidRDefault="00FE5D19" w:rsidP="00DA409B">
      <w:pPr>
        <w:rPr>
          <w:rFonts w:eastAsia="Arial" w:cs="Arial"/>
        </w:rPr>
      </w:pPr>
      <w:r>
        <w:rPr>
          <w:rFonts w:eastAsia="Arial" w:cs="Arial"/>
        </w:rPr>
        <w:t xml:space="preserve">Former Justice Connect client </w:t>
      </w:r>
      <w:r w:rsidR="24BBB776" w:rsidRPr="004E55A1">
        <w:rPr>
          <w:rFonts w:eastAsia="Arial" w:cs="Arial"/>
        </w:rPr>
        <w:t>Laila</w:t>
      </w:r>
      <w:r>
        <w:rPr>
          <w:rFonts w:eastAsia="Arial" w:cs="Arial"/>
        </w:rPr>
        <w:t xml:space="preserve">’s story below </w:t>
      </w:r>
      <w:r w:rsidR="24BBB776" w:rsidRPr="004E55A1">
        <w:rPr>
          <w:rFonts w:eastAsia="Arial" w:cs="Arial"/>
        </w:rPr>
        <w:t>highlights the importance of the FVS for victim/survivors facing fines.</w:t>
      </w:r>
    </w:p>
    <w:p w14:paraId="70898D7E" w14:textId="77777777" w:rsidR="00C6505C" w:rsidRPr="006A1FD3" w:rsidRDefault="00C6505C" w:rsidP="00DA409B">
      <w:pPr>
        <w:rPr>
          <w:rFonts w:eastAsia="Arial" w:cs="Arial"/>
          <w:szCs w:val="22"/>
        </w:rPr>
      </w:pPr>
    </w:p>
    <w:tbl>
      <w:tblPr>
        <w:tblStyle w:val="TableGrid"/>
        <w:tblW w:w="0" w:type="auto"/>
        <w:tblLayout w:type="fixed"/>
        <w:tblLook w:val="04A0" w:firstRow="1" w:lastRow="0" w:firstColumn="1" w:lastColumn="0" w:noHBand="0" w:noVBand="1"/>
      </w:tblPr>
      <w:tblGrid>
        <w:gridCol w:w="9864"/>
      </w:tblGrid>
      <w:tr w:rsidR="28D1EF7E" w14:paraId="4237D12C" w14:textId="77777777" w:rsidTr="006A1FD3">
        <w:tc>
          <w:tcPr>
            <w:tcW w:w="9864" w:type="dxa"/>
            <w:shd w:val="clear" w:color="auto" w:fill="D9D9D9" w:themeFill="background1" w:themeFillShade="D9"/>
          </w:tcPr>
          <w:p w14:paraId="162BFCC8" w14:textId="73088F3E" w:rsidR="28D1EF7E" w:rsidRPr="006A1FD3" w:rsidRDefault="008C0FB0" w:rsidP="00DA409B">
            <w:pPr>
              <w:rPr>
                <w:rFonts w:eastAsia="Arial" w:cs="Arial"/>
                <w:iCs/>
                <w:szCs w:val="22"/>
              </w:rPr>
            </w:pPr>
            <w:r>
              <w:rPr>
                <w:rFonts w:eastAsia="Arial" w:cs="Arial"/>
                <w:b/>
                <w:iCs/>
                <w:lang w:val="en-US"/>
              </w:rPr>
              <w:t>Laila’s experience</w:t>
            </w:r>
            <w:r w:rsidR="004111BB">
              <w:rPr>
                <w:rFonts w:eastAsia="Arial" w:cs="Arial"/>
                <w:b/>
                <w:iCs/>
                <w:lang w:val="en-US"/>
              </w:rPr>
              <w:t xml:space="preserve"> of the Family Violence Scheme </w:t>
            </w:r>
          </w:p>
          <w:p w14:paraId="6DBACF0A" w14:textId="530478E7" w:rsidR="28D1EF7E" w:rsidRDefault="28D1EF7E" w:rsidP="00DA409B">
            <w:pPr>
              <w:rPr>
                <w:rFonts w:eastAsia="Arial" w:cs="Arial"/>
                <w:szCs w:val="22"/>
              </w:rPr>
            </w:pPr>
            <w:r w:rsidRPr="006A1FD3">
              <w:rPr>
                <w:rFonts w:eastAsia="Arial" w:cs="Arial"/>
              </w:rPr>
              <w:lastRenderedPageBreak/>
              <w:t xml:space="preserve">Laila has experienced extensive family violence, is diagnosed with PTSD, grief disorder, depression and anxiety and is in remission from substance dependence. When she first spoke with community lawyers from Justice Connect, she had an outstanding arrest warrant for failing to appear at a Magistrates’ Court hearing involving s 165 of the FRA. </w:t>
            </w:r>
          </w:p>
          <w:p w14:paraId="09B643E5" w14:textId="4371F8E3" w:rsidR="28D1EF7E" w:rsidRDefault="28D1EF7E" w:rsidP="00DA409B">
            <w:pPr>
              <w:rPr>
                <w:rFonts w:eastAsia="Arial" w:cs="Arial"/>
                <w:szCs w:val="22"/>
              </w:rPr>
            </w:pPr>
            <w:r w:rsidRPr="006A1FD3">
              <w:rPr>
                <w:rFonts w:eastAsia="Arial" w:cs="Arial"/>
              </w:rPr>
              <w:t>A significant number of Laila’s historical infringements and fines had been incurred in the context of family violence a</w:t>
            </w:r>
            <w:r w:rsidR="0005095E">
              <w:rPr>
                <w:rFonts w:eastAsia="Arial" w:cs="Arial"/>
              </w:rPr>
              <w:t>s</w:t>
            </w:r>
            <w:r w:rsidRPr="006A1FD3">
              <w:rPr>
                <w:rFonts w:eastAsia="Arial" w:cs="Arial"/>
              </w:rPr>
              <w:t xml:space="preserve"> her ex-partner often drove the car which was registered in her name. Laila was highly anxious about going to court, but Justice </w:t>
            </w:r>
            <w:proofErr w:type="spellStart"/>
            <w:r w:rsidRPr="006A1FD3">
              <w:rPr>
                <w:rFonts w:eastAsia="Arial" w:cs="Arial"/>
              </w:rPr>
              <w:t>Connect’s</w:t>
            </w:r>
            <w:proofErr w:type="spellEnd"/>
            <w:r w:rsidRPr="006A1FD3">
              <w:rPr>
                <w:rFonts w:eastAsia="Arial" w:cs="Arial"/>
              </w:rPr>
              <w:t xml:space="preserve"> integrated legal and social work assistance ensured she was able to get the warrants executed and received a new court date. At the s 165 hearing, Laila’s infringements were waived in full on the grounds of family violence, mental health, and substance dependence. </w:t>
            </w:r>
          </w:p>
          <w:p w14:paraId="0C0A7648" w14:textId="77777777" w:rsidR="009C214C" w:rsidRDefault="28D1EF7E" w:rsidP="00DA409B">
            <w:pPr>
              <w:rPr>
                <w:rFonts w:eastAsia="Arial" w:cs="Arial"/>
              </w:rPr>
            </w:pPr>
            <w:r w:rsidRPr="006A1FD3">
              <w:rPr>
                <w:rFonts w:eastAsia="Arial" w:cs="Arial"/>
              </w:rPr>
              <w:t xml:space="preserve">Laila also had more recent infringements directly related to her experiences of family violence, which could not be dealt with as part of the s 165 hearing. Justice Connect helped Laila to lodge </w:t>
            </w:r>
            <w:proofErr w:type="gramStart"/>
            <w:r w:rsidRPr="006A1FD3">
              <w:rPr>
                <w:rFonts w:eastAsia="Arial" w:cs="Arial"/>
              </w:rPr>
              <w:t>a</w:t>
            </w:r>
            <w:proofErr w:type="gramEnd"/>
            <w:r w:rsidRPr="006A1FD3">
              <w:rPr>
                <w:rFonts w:eastAsia="Arial" w:cs="Arial"/>
              </w:rPr>
              <w:t xml:space="preserve"> FVS application in relation to those infringements, ensuring she experienced a tailored process that successfully exited her from the fines system without returning to court. </w:t>
            </w:r>
          </w:p>
          <w:p w14:paraId="389BD57E" w14:textId="28F3954C" w:rsidR="28D1EF7E" w:rsidRPr="006A1FD3" w:rsidRDefault="009C214C" w:rsidP="00DA409B">
            <w:pPr>
              <w:rPr>
                <w:rFonts w:eastAsia="Arial" w:cs="Arial"/>
                <w:szCs w:val="22"/>
              </w:rPr>
            </w:pPr>
            <w:r>
              <w:rPr>
                <w:rFonts w:eastAsia="Arial" w:cs="Arial"/>
              </w:rPr>
              <w:t xml:space="preserve">The fines that Laila was facing were significantly exacerbating her anxiety and Laila expressed her relief at the outcomes achieved in relation to her fines. Laila explained that resolution of her fines meant that she could start a new chapter of her life. As a result, </w:t>
            </w:r>
            <w:proofErr w:type="spellStart"/>
            <w:r>
              <w:rPr>
                <w:rFonts w:eastAsia="Arial" w:cs="Arial"/>
              </w:rPr>
              <w:t>Lalia</w:t>
            </w:r>
            <w:proofErr w:type="spellEnd"/>
            <w:r>
              <w:rPr>
                <w:rFonts w:eastAsia="Arial" w:cs="Arial"/>
              </w:rPr>
              <w:t xml:space="preserve"> has now been able prioritise her safety, addiction issues and ongoing health recovery.</w:t>
            </w:r>
          </w:p>
        </w:tc>
      </w:tr>
    </w:tbl>
    <w:p w14:paraId="7584E2F4" w14:textId="7BB5C9A0" w:rsidR="00EF68B1" w:rsidRPr="00EF68B1" w:rsidRDefault="00977075" w:rsidP="00DA409B">
      <w:pPr>
        <w:spacing w:before="120"/>
        <w:rPr>
          <w:rFonts w:cs="Arial"/>
          <w:szCs w:val="22"/>
        </w:rPr>
      </w:pPr>
      <w:r w:rsidRPr="000D4343" w:rsidDel="00501803">
        <w:rPr>
          <w:rFonts w:eastAsia="Arial" w:cs="Arial"/>
          <w:szCs w:val="22"/>
        </w:rPr>
        <w:lastRenderedPageBreak/>
        <w:t xml:space="preserve">However, </w:t>
      </w:r>
      <w:r w:rsidRPr="000D4343">
        <w:rPr>
          <w:rFonts w:eastAsia="Arial" w:cs="Arial"/>
          <w:szCs w:val="22"/>
        </w:rPr>
        <w:t>there</w:t>
      </w:r>
      <w:r w:rsidRPr="000D4343" w:rsidDel="00501803">
        <w:rPr>
          <w:rFonts w:eastAsia="Arial" w:cs="Arial"/>
          <w:szCs w:val="22"/>
        </w:rPr>
        <w:t xml:space="preserve"> have been unanticipated issues </w:t>
      </w:r>
      <w:r w:rsidR="00F461ED">
        <w:rPr>
          <w:rFonts w:eastAsia="Arial" w:cs="Arial"/>
          <w:szCs w:val="22"/>
        </w:rPr>
        <w:t>in</w:t>
      </w:r>
      <w:r w:rsidR="00F461ED" w:rsidRPr="000D4343">
        <w:rPr>
          <w:rFonts w:eastAsia="Arial" w:cs="Arial"/>
          <w:szCs w:val="22"/>
        </w:rPr>
        <w:t xml:space="preserve"> </w:t>
      </w:r>
      <w:r w:rsidRPr="000D4343" w:rsidDel="00501803">
        <w:rPr>
          <w:rFonts w:eastAsia="Arial" w:cs="Arial"/>
          <w:szCs w:val="22"/>
        </w:rPr>
        <w:t xml:space="preserve">the implementation of the FVS. When it commenced, the FVS was quick, with applications being processed within 6 to 8 weeks. Since then, processing times have lengthened – in some cases to over 12 months. Further, Fines Victoria has mandated a Statutory Declaration </w:t>
      </w:r>
      <w:r w:rsidR="004B614B">
        <w:rPr>
          <w:rFonts w:eastAsia="Arial" w:cs="Arial"/>
          <w:szCs w:val="22"/>
        </w:rPr>
        <w:t xml:space="preserve">from applicants </w:t>
      </w:r>
      <w:r w:rsidRPr="000D4343" w:rsidDel="00501803">
        <w:rPr>
          <w:rFonts w:eastAsia="Arial" w:cs="Arial"/>
          <w:szCs w:val="22"/>
        </w:rPr>
        <w:t xml:space="preserve">which explains in detail their experience of family violence and connection to their </w:t>
      </w:r>
      <w:r w:rsidRPr="000D4343">
        <w:rPr>
          <w:rFonts w:eastAsia="Arial" w:cs="Arial"/>
          <w:szCs w:val="22"/>
        </w:rPr>
        <w:t>infringement</w:t>
      </w:r>
      <w:r w:rsidR="00C7166F">
        <w:rPr>
          <w:rFonts w:eastAsia="Arial" w:cs="Arial"/>
          <w:szCs w:val="22"/>
        </w:rPr>
        <w:t>s</w:t>
      </w:r>
      <w:r w:rsidRPr="000D4343" w:rsidDel="00501803">
        <w:rPr>
          <w:rFonts w:eastAsia="Arial" w:cs="Arial"/>
          <w:szCs w:val="22"/>
        </w:rPr>
        <w:t xml:space="preserve">, even where this evidence is already provided in a </w:t>
      </w:r>
      <w:r w:rsidR="00126DB7">
        <w:rPr>
          <w:rFonts w:eastAsia="Arial" w:cs="Arial"/>
          <w:szCs w:val="22"/>
        </w:rPr>
        <w:t>family violence intervention order</w:t>
      </w:r>
      <w:r w:rsidR="00126DB7" w:rsidRPr="000D4343" w:rsidDel="00501803">
        <w:rPr>
          <w:rFonts w:eastAsia="Arial" w:cs="Arial"/>
          <w:szCs w:val="22"/>
        </w:rPr>
        <w:t xml:space="preserve"> </w:t>
      </w:r>
      <w:r w:rsidRPr="000D4343" w:rsidDel="00501803">
        <w:rPr>
          <w:rFonts w:eastAsia="Arial" w:cs="Arial"/>
          <w:szCs w:val="22"/>
        </w:rPr>
        <w:t xml:space="preserve">or a report. Fines Victoria has also applied an overly technical and inconsistent interpretation of the term “substantially contributed”, at times requiring detailed evidence of a direct causal and temporal nexus between an applicant’s experience of family violence and their infringements. These evidentiary requirements are not </w:t>
      </w:r>
      <w:r w:rsidR="002F7198">
        <w:rPr>
          <w:rFonts w:eastAsia="Arial" w:cs="Arial"/>
          <w:szCs w:val="22"/>
        </w:rPr>
        <w:t>mandated</w:t>
      </w:r>
      <w:r w:rsidR="002F7198" w:rsidRPr="000D4343">
        <w:rPr>
          <w:rFonts w:eastAsia="Arial" w:cs="Arial"/>
          <w:szCs w:val="22"/>
        </w:rPr>
        <w:t xml:space="preserve"> </w:t>
      </w:r>
      <w:r w:rsidRPr="000D4343" w:rsidDel="00501803">
        <w:rPr>
          <w:rFonts w:eastAsia="Arial" w:cs="Arial"/>
          <w:szCs w:val="22"/>
        </w:rPr>
        <w:t>under the FVS</w:t>
      </w:r>
      <w:r w:rsidR="007D69BB">
        <w:rPr>
          <w:rFonts w:eastAsia="Arial" w:cs="Arial"/>
          <w:szCs w:val="22"/>
        </w:rPr>
        <w:t>.</w:t>
      </w:r>
      <w:r w:rsidR="00005F4D">
        <w:rPr>
          <w:rFonts w:eastAsia="Arial" w:cs="Arial"/>
          <w:szCs w:val="22"/>
        </w:rPr>
        <w:t xml:space="preserve"> </w:t>
      </w:r>
      <w:r w:rsidR="007D69BB">
        <w:rPr>
          <w:rFonts w:eastAsia="Arial" w:cs="Arial"/>
          <w:szCs w:val="22"/>
        </w:rPr>
        <w:t>The delays and evidentiary requirements imposed by Fines Victoria</w:t>
      </w:r>
      <w:r w:rsidR="007D69BB" w:rsidRPr="000D4343">
        <w:rPr>
          <w:rFonts w:eastAsia="Arial" w:cs="Arial"/>
          <w:szCs w:val="22"/>
        </w:rPr>
        <w:t xml:space="preserve"> </w:t>
      </w:r>
      <w:r w:rsidR="00A40760">
        <w:rPr>
          <w:rFonts w:eastAsia="Arial" w:cs="Arial"/>
          <w:szCs w:val="22"/>
        </w:rPr>
        <w:t xml:space="preserve">have </w:t>
      </w:r>
      <w:r w:rsidR="007D69BB" w:rsidRPr="000D4343">
        <w:rPr>
          <w:rFonts w:eastAsia="Arial" w:cs="Arial"/>
          <w:szCs w:val="22"/>
        </w:rPr>
        <w:t xml:space="preserve">created anxiety and uncertainty for applicants </w:t>
      </w:r>
      <w:r w:rsidR="00B579C5">
        <w:rPr>
          <w:rFonts w:eastAsia="Arial" w:cs="Arial"/>
          <w:szCs w:val="22"/>
        </w:rPr>
        <w:t xml:space="preserve">and </w:t>
      </w:r>
      <w:r w:rsidR="005061A1">
        <w:rPr>
          <w:rFonts w:eastAsia="Arial" w:cs="Arial"/>
          <w:szCs w:val="22"/>
        </w:rPr>
        <w:t xml:space="preserve">have </w:t>
      </w:r>
      <w:r w:rsidRPr="000D4343" w:rsidDel="00501803">
        <w:rPr>
          <w:rFonts w:eastAsia="Arial" w:cs="Arial"/>
          <w:szCs w:val="22"/>
        </w:rPr>
        <w:t xml:space="preserve">even </w:t>
      </w:r>
      <w:r w:rsidR="005061A1">
        <w:rPr>
          <w:rFonts w:eastAsia="Arial" w:cs="Arial"/>
          <w:szCs w:val="22"/>
        </w:rPr>
        <w:t xml:space="preserve">been </w:t>
      </w:r>
      <w:r w:rsidRPr="000D4343" w:rsidDel="00501803">
        <w:rPr>
          <w:rFonts w:eastAsia="Arial" w:cs="Arial"/>
          <w:szCs w:val="22"/>
        </w:rPr>
        <w:t>retraumatising</w:t>
      </w:r>
      <w:r w:rsidR="00717C8F">
        <w:rPr>
          <w:rFonts w:eastAsia="Arial" w:cs="Arial"/>
          <w:szCs w:val="22"/>
        </w:rPr>
        <w:t xml:space="preserve"> for some clients,</w:t>
      </w:r>
      <w:r w:rsidRPr="000D4343" w:rsidDel="00501803">
        <w:rPr>
          <w:rFonts w:eastAsia="Arial" w:cs="Arial"/>
          <w:szCs w:val="22"/>
        </w:rPr>
        <w:t xml:space="preserve"> unduly </w:t>
      </w:r>
      <w:r w:rsidRPr="000D4343">
        <w:rPr>
          <w:rFonts w:eastAsia="Arial" w:cs="Arial"/>
          <w:szCs w:val="22"/>
        </w:rPr>
        <w:t>limit</w:t>
      </w:r>
      <w:r w:rsidR="0022610F">
        <w:rPr>
          <w:rFonts w:eastAsia="Arial" w:cs="Arial"/>
          <w:szCs w:val="22"/>
        </w:rPr>
        <w:t>ing</w:t>
      </w:r>
      <w:r w:rsidRPr="000D4343" w:rsidDel="00501803">
        <w:rPr>
          <w:rFonts w:eastAsia="Arial" w:cs="Arial"/>
          <w:szCs w:val="22"/>
        </w:rPr>
        <w:t xml:space="preserve"> access to the FVS.</w:t>
      </w:r>
      <w:r w:rsidR="00E44D1E">
        <w:rPr>
          <w:rFonts w:cs="Arial"/>
          <w:szCs w:val="22"/>
        </w:rPr>
        <w:t xml:space="preserve"> </w:t>
      </w:r>
      <w:r w:rsidRPr="0034732F">
        <w:rPr>
          <w:rFonts w:eastAsia="Arial" w:cs="Arial"/>
          <w:szCs w:val="22"/>
        </w:rPr>
        <w:t>The FVS also excludes excessive speed infringements, meaning that victim/survivors who fail to</w:t>
      </w:r>
      <w:r w:rsidR="00E44D1E">
        <w:rPr>
          <w:rFonts w:eastAsia="Arial" w:cs="Arial"/>
          <w:szCs w:val="22"/>
        </w:rPr>
        <w:t xml:space="preserve"> </w:t>
      </w:r>
      <w:r w:rsidRPr="0034732F">
        <w:rPr>
          <w:rFonts w:eastAsia="Arial" w:cs="Arial"/>
          <w:szCs w:val="22"/>
        </w:rPr>
        <w:t xml:space="preserve">nominate within 28 days are penalised financially, with a licence suspension or cancellation, and a conviction recorded on their criminal record, even where they were not the driver. </w:t>
      </w:r>
      <w:r w:rsidR="004920FD">
        <w:rPr>
          <w:rFonts w:eastAsia="Arial" w:cs="Arial"/>
          <w:szCs w:val="22"/>
        </w:rPr>
        <w:t xml:space="preserve"> </w:t>
      </w:r>
    </w:p>
    <w:p w14:paraId="6EDB161B" w14:textId="4FA685A1" w:rsidR="00714C6B" w:rsidRPr="00714C6B" w:rsidRDefault="00977075" w:rsidP="00DA409B">
      <w:pPr>
        <w:rPr>
          <w:rFonts w:eastAsia="Arial" w:cs="Arial"/>
          <w:szCs w:val="22"/>
        </w:rPr>
      </w:pPr>
      <w:r w:rsidRPr="0034732F">
        <w:rPr>
          <w:rFonts w:eastAsia="Arial" w:cs="Arial"/>
          <w:color w:val="222222"/>
          <w:szCs w:val="22"/>
        </w:rPr>
        <w:t>Victim/su</w:t>
      </w:r>
      <w:r w:rsidRPr="0034732F">
        <w:rPr>
          <w:rFonts w:eastAsia="Arial" w:cs="Arial"/>
          <w:szCs w:val="22"/>
        </w:rPr>
        <w:t>rvivors are also excluded from the FVS unless they apply within seven days of receiving a 7-day notice. In many cases, service of a 7-day notice is the first time a person becomes aware of the infringements and seven days is too short for most applicants to compile an FVS application.</w:t>
      </w:r>
      <w:bookmarkStart w:id="68" w:name="_Toc45698246"/>
      <w:bookmarkStart w:id="69" w:name="_Toc45698296"/>
      <w:bookmarkStart w:id="70" w:name="_Toc46146206"/>
    </w:p>
    <w:p w14:paraId="52CAAD8E" w14:textId="4261604F" w:rsidR="00977075" w:rsidRPr="00A329B7" w:rsidRDefault="00B759E1" w:rsidP="00DA409B">
      <w:pPr>
        <w:pStyle w:val="Heading3"/>
        <w:rPr>
          <w:rFonts w:eastAsiaTheme="minorEastAsia"/>
        </w:rPr>
      </w:pPr>
      <w:r w:rsidRPr="001651B8">
        <w:rPr>
          <w:rFonts w:eastAsia="Arial"/>
          <w:noProof/>
        </w:rPr>
        <w:lastRenderedPageBreak/>
        <mc:AlternateContent>
          <mc:Choice Requires="wps">
            <w:drawing>
              <wp:inline distT="0" distB="0" distL="0" distR="0" wp14:anchorId="43E49E74" wp14:editId="3962159C">
                <wp:extent cx="6194425" cy="1985645"/>
                <wp:effectExtent l="0" t="0" r="0" b="0"/>
                <wp:docPr id="26" name="Text Box 26"/>
                <wp:cNvGraphicFramePr/>
                <a:graphic xmlns:a="http://schemas.openxmlformats.org/drawingml/2006/main">
                  <a:graphicData uri="http://schemas.microsoft.com/office/word/2010/wordprocessingShape">
                    <wps:wsp>
                      <wps:cNvSpPr txBox="1"/>
                      <wps:spPr>
                        <a:xfrm>
                          <a:off x="0" y="0"/>
                          <a:ext cx="6194425" cy="1985645"/>
                        </a:xfrm>
                        <a:prstGeom prst="rect">
                          <a:avLst/>
                        </a:prstGeom>
                        <a:solidFill>
                          <a:schemeClr val="accent5">
                            <a:lumMod val="20000"/>
                            <a:lumOff val="80000"/>
                          </a:schemeClr>
                        </a:solidFill>
                        <a:ln w="6350">
                          <a:noFill/>
                        </a:ln>
                      </wps:spPr>
                      <wps:txbx>
                        <w:txbxContent>
                          <w:p w14:paraId="665F23AC" w14:textId="77777777" w:rsidR="00213982" w:rsidRDefault="00213982" w:rsidP="00213982">
                            <w:pPr>
                              <w:rPr>
                                <w:b/>
                                <w:bCs/>
                              </w:rPr>
                            </w:pPr>
                            <w:r w:rsidRPr="00420B74">
                              <w:rPr>
                                <w:b/>
                                <w:bCs/>
                              </w:rPr>
                              <w:t xml:space="preserve">Looking forward – what is still required: </w:t>
                            </w:r>
                          </w:p>
                          <w:p w14:paraId="60DB30B6" w14:textId="5A64F3A7" w:rsidR="00213982" w:rsidRPr="00213982" w:rsidRDefault="00213982" w:rsidP="00213982">
                            <w:pPr>
                              <w:pStyle w:val="ListParagraph"/>
                              <w:numPr>
                                <w:ilvl w:val="0"/>
                                <w:numId w:val="24"/>
                              </w:numPr>
                              <w:rPr>
                                <w:rFonts w:ascii="Arial" w:hAnsi="Arial" w:cs="Arial"/>
                              </w:rPr>
                            </w:pPr>
                            <w:r w:rsidRPr="004A67B6">
                              <w:rPr>
                                <w:rFonts w:ascii="Arial" w:hAnsi="Arial" w:cs="Arial"/>
                              </w:rPr>
                              <w:t xml:space="preserve">We consider that increased uptake and efficiency of the FVS could be achieved </w:t>
                            </w:r>
                            <w:proofErr w:type="gramStart"/>
                            <w:r w:rsidRPr="004A67B6">
                              <w:rPr>
                                <w:rFonts w:ascii="Arial" w:hAnsi="Arial" w:cs="Arial"/>
                              </w:rPr>
                              <w:t>through:</w:t>
                            </w:r>
                            <w:proofErr w:type="gramEnd"/>
                            <w:r w:rsidR="004A67B6">
                              <w:rPr>
                                <w:rFonts w:ascii="Arial" w:hAnsi="Arial" w:cs="Arial"/>
                              </w:rPr>
                              <w:t xml:space="preserve"> </w:t>
                            </w:r>
                            <w:r w:rsidRPr="00213982">
                              <w:rPr>
                                <w:rFonts w:ascii="Arial" w:hAnsi="Arial" w:cs="Arial"/>
                              </w:rPr>
                              <w:t>improving efficiency of FVS applications by Fines Victoria, including implementing a policy to process an FVS application within three months.</w:t>
                            </w:r>
                          </w:p>
                          <w:p w14:paraId="53E8A4DC"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ensuring that FVS applications are assessed in a legally correct, transparent, and consistent way, without requiring detailed evidence of a direct causal or temporal nexus.</w:t>
                            </w:r>
                          </w:p>
                          <w:p w14:paraId="1F097799"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amending the evidentiary requirements for FVS applications by removing the statutory declaration requirement.</w:t>
                            </w:r>
                          </w:p>
                          <w:p w14:paraId="493DDCBB"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further legislative reform to make excessive speeding fines eligible for the FVS; and</w:t>
                            </w:r>
                          </w:p>
                          <w:p w14:paraId="6549DBF5"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allow all applications to the FVS after expiry of a 7-day notice.</w:t>
                            </w:r>
                          </w:p>
                          <w:p w14:paraId="4A1B8E9A" w14:textId="77777777" w:rsidR="00213982" w:rsidRDefault="00213982" w:rsidP="00213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E49E74" id="Text Box 26" o:spid="_x0000_s1033" type="#_x0000_t202" style="width:487.75pt;height:15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" fillcolor="#deeaf6 [664]" stroked="f" strokeweight=".5pt">
                <v:textbox>
                  <w:txbxContent>
                    <w:p w14:paraId="665F23AC" w14:textId="77777777" w:rsidR="00213982" w:rsidRDefault="00213982" w:rsidP="00213982">
                      <w:pPr>
                        <w:rPr>
                          <w:b/>
                          <w:bCs/>
                        </w:rPr>
                      </w:pPr>
                      <w:r w:rsidRPr="00420B74">
                        <w:rPr>
                          <w:b/>
                          <w:bCs/>
                        </w:rPr>
                        <w:t xml:space="preserve">Looking forward – what is still required: </w:t>
                      </w:r>
                    </w:p>
                    <w:p w14:paraId="60DB30B6" w14:textId="5A64F3A7" w:rsidR="00213982" w:rsidRPr="00213982" w:rsidRDefault="00213982" w:rsidP="00213982">
                      <w:pPr>
                        <w:pStyle w:val="ListParagraph"/>
                        <w:numPr>
                          <w:ilvl w:val="0"/>
                          <w:numId w:val="24"/>
                        </w:numPr>
                        <w:rPr>
                          <w:rFonts w:ascii="Arial" w:hAnsi="Arial" w:cs="Arial"/>
                        </w:rPr>
                      </w:pPr>
                      <w:r w:rsidRPr="004A67B6">
                        <w:rPr>
                          <w:rFonts w:ascii="Arial" w:hAnsi="Arial" w:cs="Arial"/>
                        </w:rPr>
                        <w:t xml:space="preserve">We consider that increased uptake and efficiency of the FVS could be achieved </w:t>
                      </w:r>
                      <w:proofErr w:type="gramStart"/>
                      <w:r w:rsidRPr="004A67B6">
                        <w:rPr>
                          <w:rFonts w:ascii="Arial" w:hAnsi="Arial" w:cs="Arial"/>
                        </w:rPr>
                        <w:t>through:</w:t>
                      </w:r>
                      <w:proofErr w:type="gramEnd"/>
                      <w:r w:rsidR="004A67B6">
                        <w:rPr>
                          <w:rFonts w:ascii="Arial" w:hAnsi="Arial" w:cs="Arial"/>
                        </w:rPr>
                        <w:t xml:space="preserve"> </w:t>
                      </w:r>
                      <w:r w:rsidRPr="00213982">
                        <w:rPr>
                          <w:rFonts w:ascii="Arial" w:hAnsi="Arial" w:cs="Arial"/>
                        </w:rPr>
                        <w:t>improving efficiency of FVS applications by Fines Victoria, including implementing a policy to process an FVS application within three months.</w:t>
                      </w:r>
                    </w:p>
                    <w:p w14:paraId="53E8A4DC"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ensuring that FVS applications are assessed in a legally correct, transparent, and consistent way, without requiring detailed evidence of a direct causal or temporal nexus.</w:t>
                      </w:r>
                    </w:p>
                    <w:p w14:paraId="1F097799"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amending the evidentiary requirements for FVS applications by removing the statutory declaration requirement.</w:t>
                      </w:r>
                    </w:p>
                    <w:p w14:paraId="493DDCBB"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further legislative reform to make excessive speeding fines eligible for the FVS; and</w:t>
                      </w:r>
                    </w:p>
                    <w:p w14:paraId="6549DBF5" w14:textId="77777777" w:rsidR="00213982" w:rsidRPr="00213982" w:rsidRDefault="00213982" w:rsidP="00213982">
                      <w:pPr>
                        <w:pStyle w:val="ListParagraph"/>
                        <w:numPr>
                          <w:ilvl w:val="0"/>
                          <w:numId w:val="24"/>
                        </w:numPr>
                        <w:rPr>
                          <w:rFonts w:ascii="Arial" w:hAnsi="Arial" w:cs="Arial"/>
                        </w:rPr>
                      </w:pPr>
                      <w:r w:rsidRPr="00213982">
                        <w:rPr>
                          <w:rFonts w:ascii="Arial" w:hAnsi="Arial" w:cs="Arial"/>
                        </w:rPr>
                        <w:t>allow all applications to the FVS after expiry of a 7-day notice.</w:t>
                      </w:r>
                    </w:p>
                    <w:p w14:paraId="4A1B8E9A" w14:textId="77777777" w:rsidR="00213982" w:rsidRDefault="00213982" w:rsidP="00213982"/>
                  </w:txbxContent>
                </v:textbox>
                <w10:anchorlock/>
              </v:shape>
            </w:pict>
          </mc:Fallback>
        </mc:AlternateContent>
      </w:r>
      <w:r w:rsidR="00977075" w:rsidRPr="00A329B7">
        <w:rPr>
          <w:rFonts w:eastAsia="Arial"/>
        </w:rPr>
        <w:t>Tenancy</w:t>
      </w:r>
      <w:bookmarkEnd w:id="68"/>
      <w:bookmarkEnd w:id="69"/>
      <w:bookmarkEnd w:id="70"/>
    </w:p>
    <w:p w14:paraId="52E543E7" w14:textId="0CB0E8C4" w:rsidR="00741717" w:rsidRDefault="000001C3" w:rsidP="00DA409B">
      <w:pPr>
        <w:rPr>
          <w:rFonts w:eastAsia="Arial" w:cs="Arial"/>
          <w:color w:val="000000" w:themeColor="text1"/>
        </w:rPr>
      </w:pPr>
      <w:r>
        <w:rPr>
          <w:rFonts w:eastAsia="Arial" w:cs="Arial"/>
          <w:color w:val="000000" w:themeColor="text1"/>
        </w:rPr>
        <w:t>Recent reforms to</w:t>
      </w:r>
      <w:r w:rsidR="00D05FF9">
        <w:rPr>
          <w:rFonts w:eastAsia="Arial" w:cs="Arial"/>
          <w:color w:val="000000" w:themeColor="text1"/>
        </w:rPr>
        <w:t xml:space="preserve"> sections 233A-233D of</w:t>
      </w:r>
      <w:r>
        <w:rPr>
          <w:rFonts w:eastAsia="Arial" w:cs="Arial"/>
          <w:color w:val="000000" w:themeColor="text1"/>
        </w:rPr>
        <w:t xml:space="preserve"> the</w:t>
      </w:r>
      <w:r w:rsidR="00A030B5">
        <w:rPr>
          <w:rFonts w:eastAsia="Arial" w:cs="Arial"/>
          <w:color w:val="000000" w:themeColor="text1"/>
        </w:rPr>
        <w:t xml:space="preserve"> </w:t>
      </w:r>
      <w:r w:rsidR="7B8CB046" w:rsidRPr="00D900EA">
        <w:rPr>
          <w:rFonts w:eastAsia="Arial" w:cs="Arial"/>
          <w:i/>
          <w:iCs/>
          <w:color w:val="000000" w:themeColor="text1"/>
        </w:rPr>
        <w:t>Residential Tenancies Act</w:t>
      </w:r>
      <w:r w:rsidR="7B8CB046" w:rsidRPr="00D900EA">
        <w:rPr>
          <w:rFonts w:eastAsia="Arial" w:cs="Arial"/>
          <w:color w:val="000000" w:themeColor="text1"/>
        </w:rPr>
        <w:t xml:space="preserve"> (</w:t>
      </w:r>
      <w:r w:rsidR="7B8CB046" w:rsidRPr="00D900EA">
        <w:rPr>
          <w:rFonts w:eastAsia="Arial" w:cs="Arial"/>
          <w:b/>
          <w:bCs/>
          <w:color w:val="000000" w:themeColor="text1"/>
        </w:rPr>
        <w:t>RTA</w:t>
      </w:r>
      <w:r w:rsidR="7B8CB046" w:rsidRPr="00D900EA">
        <w:rPr>
          <w:rFonts w:eastAsia="Arial" w:cs="Arial"/>
          <w:color w:val="000000" w:themeColor="text1"/>
        </w:rPr>
        <w:t xml:space="preserve">) make it </w:t>
      </w:r>
      <w:r w:rsidR="00A030B5">
        <w:rPr>
          <w:rFonts w:eastAsia="Arial" w:cs="Arial"/>
          <w:color w:val="000000" w:themeColor="text1"/>
        </w:rPr>
        <w:t xml:space="preserve">easier for </w:t>
      </w:r>
      <w:r w:rsidR="00A030B5" w:rsidRPr="00D900EA">
        <w:rPr>
          <w:rFonts w:eastAsia="Arial" w:cs="Arial"/>
          <w:color w:val="000000" w:themeColor="text1"/>
        </w:rPr>
        <w:t xml:space="preserve">victims/survivors </w:t>
      </w:r>
      <w:r w:rsidR="00A030B5">
        <w:rPr>
          <w:rFonts w:eastAsia="Arial" w:cs="Arial"/>
          <w:color w:val="000000" w:themeColor="text1"/>
        </w:rPr>
        <w:t>of family violence</w:t>
      </w:r>
      <w:r w:rsidR="00A030B5" w:rsidRPr="00D900EA">
        <w:rPr>
          <w:rFonts w:eastAsia="Arial" w:cs="Arial"/>
          <w:color w:val="000000" w:themeColor="text1"/>
        </w:rPr>
        <w:t xml:space="preserve"> </w:t>
      </w:r>
      <w:r w:rsidR="7B8CB046" w:rsidRPr="00D900EA">
        <w:rPr>
          <w:rFonts w:eastAsia="Arial" w:cs="Arial"/>
          <w:color w:val="000000" w:themeColor="text1"/>
        </w:rPr>
        <w:t>to apply to end a tenancy or create a new tenancy where there is family violence</w:t>
      </w:r>
      <w:r w:rsidR="00126DB7">
        <w:rPr>
          <w:rFonts w:eastAsia="Arial" w:cs="Arial"/>
          <w:color w:val="000000" w:themeColor="text1"/>
        </w:rPr>
        <w:t xml:space="preserve">. </w:t>
      </w:r>
      <w:r w:rsidR="00741717">
        <w:rPr>
          <w:rFonts w:eastAsia="Arial" w:cs="Arial"/>
          <w:color w:val="000000" w:themeColor="text1"/>
        </w:rPr>
        <w:t xml:space="preserve"> </w:t>
      </w:r>
      <w:r w:rsidR="00126DB7">
        <w:rPr>
          <w:rFonts w:eastAsia="Arial" w:cs="Arial"/>
          <w:color w:val="000000" w:themeColor="text1"/>
        </w:rPr>
        <w:t xml:space="preserve">These reforms </w:t>
      </w:r>
      <w:r w:rsidR="00741717">
        <w:rPr>
          <w:rFonts w:eastAsia="Arial" w:cs="Arial"/>
          <w:color w:val="000000" w:themeColor="text1"/>
        </w:rPr>
        <w:t>are welcome</w:t>
      </w:r>
      <w:r w:rsidR="0088615D">
        <w:rPr>
          <w:rFonts w:eastAsia="Arial" w:cs="Arial"/>
          <w:color w:val="000000" w:themeColor="text1"/>
        </w:rPr>
        <w:t xml:space="preserve"> and implement </w:t>
      </w:r>
      <w:r w:rsidR="002C4953">
        <w:rPr>
          <w:rFonts w:eastAsia="Arial" w:cs="Arial"/>
          <w:color w:val="000000" w:themeColor="text1"/>
        </w:rPr>
        <w:t>recommendation 116</w:t>
      </w:r>
      <w:r w:rsidR="00126DB7">
        <w:rPr>
          <w:rFonts w:eastAsia="Arial" w:cs="Arial"/>
          <w:color w:val="000000" w:themeColor="text1"/>
        </w:rPr>
        <w:t xml:space="preserve"> of the Commission</w:t>
      </w:r>
      <w:r w:rsidR="7B8CB046" w:rsidRPr="00D900EA">
        <w:rPr>
          <w:rFonts w:eastAsia="Arial" w:cs="Arial"/>
          <w:color w:val="000000" w:themeColor="text1"/>
        </w:rPr>
        <w:t xml:space="preserve">. </w:t>
      </w:r>
    </w:p>
    <w:p w14:paraId="7930A1EB" w14:textId="1141600A" w:rsidR="00312C19" w:rsidRDefault="7B8CB046" w:rsidP="00DA409B">
      <w:pPr>
        <w:rPr>
          <w:rFonts w:eastAsia="Arial" w:cs="Arial"/>
          <w:color w:val="000000" w:themeColor="text1"/>
        </w:rPr>
      </w:pPr>
      <w:r w:rsidRPr="00D900EA">
        <w:rPr>
          <w:rFonts w:eastAsia="Arial" w:cs="Arial"/>
          <w:color w:val="000000" w:themeColor="text1"/>
        </w:rPr>
        <w:t>However, s</w:t>
      </w:r>
      <w:r w:rsidR="00C65C97">
        <w:rPr>
          <w:rFonts w:eastAsia="Arial" w:cs="Arial"/>
          <w:color w:val="000000" w:themeColor="text1"/>
        </w:rPr>
        <w:t>ubs</w:t>
      </w:r>
      <w:r w:rsidRPr="00D900EA">
        <w:rPr>
          <w:rFonts w:eastAsia="Arial" w:cs="Arial"/>
          <w:color w:val="000000" w:themeColor="text1"/>
        </w:rPr>
        <w:t>ection 233</w:t>
      </w:r>
      <w:proofErr w:type="gramStart"/>
      <w:r w:rsidRPr="00D900EA">
        <w:rPr>
          <w:rFonts w:eastAsia="Arial" w:cs="Arial"/>
          <w:color w:val="000000" w:themeColor="text1"/>
        </w:rPr>
        <w:t>B(</w:t>
      </w:r>
      <w:proofErr w:type="gramEnd"/>
      <w:r w:rsidRPr="00D900EA">
        <w:rPr>
          <w:rFonts w:eastAsia="Arial" w:cs="Arial"/>
          <w:color w:val="000000" w:themeColor="text1"/>
        </w:rPr>
        <w:t>2) of the RTA requires further legislative amendment to be fully effective.</w:t>
      </w:r>
      <w:r w:rsidR="00741717">
        <w:rPr>
          <w:rFonts w:eastAsia="Arial" w:cs="Arial"/>
          <w:color w:val="000000" w:themeColor="text1"/>
        </w:rPr>
        <w:t xml:space="preserve"> </w:t>
      </w:r>
      <w:r w:rsidR="00A028A8">
        <w:rPr>
          <w:rFonts w:eastAsia="Arial" w:cs="Arial"/>
          <w:color w:val="000000" w:themeColor="text1"/>
        </w:rPr>
        <w:t>As presently drafted</w:t>
      </w:r>
      <w:r w:rsidRPr="00D900EA">
        <w:rPr>
          <w:rFonts w:eastAsia="Arial" w:cs="Arial"/>
          <w:color w:val="000000" w:themeColor="text1"/>
        </w:rPr>
        <w:t>, a person wanting to leave a tenancy early due to family violence needs to show that they can reasonably be expected to comply with the duties of a tenant under a tenancy agreement and that they would suffer hardship if they were compelled to leave.</w:t>
      </w:r>
      <w:r w:rsidR="00977075" w:rsidRPr="00D900EA">
        <w:rPr>
          <w:rStyle w:val="FootnoteReference"/>
          <w:rFonts w:eastAsia="Arial" w:cs="Arial"/>
          <w:color w:val="000000" w:themeColor="text1"/>
          <w:sz w:val="22"/>
          <w:szCs w:val="22"/>
        </w:rPr>
        <w:footnoteReference w:id="14"/>
      </w:r>
      <w:r w:rsidRPr="00D900EA">
        <w:rPr>
          <w:rFonts w:eastAsia="Arial" w:cs="Arial"/>
          <w:color w:val="000000" w:themeColor="text1"/>
        </w:rPr>
        <w:t xml:space="preserve"> </w:t>
      </w:r>
      <w:r w:rsidR="00D271D9">
        <w:rPr>
          <w:rFonts w:eastAsia="Arial" w:cs="Arial"/>
          <w:color w:val="000000" w:themeColor="text1"/>
        </w:rPr>
        <w:t>T</w:t>
      </w:r>
      <w:r w:rsidRPr="00D900EA">
        <w:rPr>
          <w:rFonts w:eastAsia="Arial" w:cs="Arial"/>
          <w:color w:val="000000" w:themeColor="text1"/>
        </w:rPr>
        <w:t>hese tests should only apply to application</w:t>
      </w:r>
      <w:r w:rsidR="00D271D9">
        <w:rPr>
          <w:rFonts w:eastAsia="Arial" w:cs="Arial"/>
          <w:color w:val="000000" w:themeColor="text1"/>
        </w:rPr>
        <w:t>s</w:t>
      </w:r>
      <w:r w:rsidRPr="00D900EA">
        <w:rPr>
          <w:rFonts w:eastAsia="Arial" w:cs="Arial"/>
          <w:color w:val="000000" w:themeColor="text1"/>
        </w:rPr>
        <w:t xml:space="preserve"> to end an existing tenancy and then create a new tenan</w:t>
      </w:r>
      <w:r w:rsidR="127B9637" w:rsidRPr="00D900EA">
        <w:rPr>
          <w:rFonts w:eastAsia="Arial" w:cs="Arial"/>
          <w:color w:val="000000" w:themeColor="text1"/>
        </w:rPr>
        <w:t xml:space="preserve">cy, </w:t>
      </w:r>
      <w:r w:rsidRPr="00D900EA">
        <w:rPr>
          <w:rFonts w:eastAsia="Arial" w:cs="Arial"/>
          <w:color w:val="000000" w:themeColor="text1"/>
        </w:rPr>
        <w:t>not application</w:t>
      </w:r>
      <w:r w:rsidR="00D271D9">
        <w:rPr>
          <w:rFonts w:eastAsia="Arial" w:cs="Arial"/>
          <w:color w:val="000000" w:themeColor="text1"/>
        </w:rPr>
        <w:t>s</w:t>
      </w:r>
      <w:r w:rsidRPr="00D900EA">
        <w:rPr>
          <w:rFonts w:eastAsia="Arial" w:cs="Arial"/>
          <w:color w:val="000000" w:themeColor="text1"/>
        </w:rPr>
        <w:t xml:space="preserve"> </w:t>
      </w:r>
      <w:r w:rsidR="00D271D9">
        <w:rPr>
          <w:rFonts w:eastAsia="Arial" w:cs="Arial"/>
          <w:color w:val="000000" w:themeColor="text1"/>
        </w:rPr>
        <w:t xml:space="preserve">only </w:t>
      </w:r>
      <w:r w:rsidRPr="00D900EA">
        <w:rPr>
          <w:rFonts w:eastAsia="Arial" w:cs="Arial"/>
          <w:color w:val="000000" w:themeColor="text1"/>
        </w:rPr>
        <w:t>to end an existing tenancy.</w:t>
      </w:r>
    </w:p>
    <w:p w14:paraId="3A9E9BC3" w14:textId="7BC03CB6" w:rsidR="00D271D9" w:rsidRDefault="009609DE" w:rsidP="00DA409B">
      <w:pPr>
        <w:rPr>
          <w:rFonts w:eastAsia="Arial" w:cs="Arial"/>
          <w:color w:val="000000" w:themeColor="text1"/>
        </w:rPr>
      </w:pPr>
      <w:r>
        <w:rPr>
          <w:rFonts w:eastAsia="Arial" w:cs="Arial"/>
          <w:color w:val="000000" w:themeColor="text1"/>
        </w:rPr>
        <w:t xml:space="preserve">Recommendation 117 </w:t>
      </w:r>
      <w:r w:rsidR="000936D8">
        <w:rPr>
          <w:rFonts w:eastAsia="Arial" w:cs="Arial"/>
          <w:color w:val="000000" w:themeColor="text1"/>
        </w:rPr>
        <w:t>encouraged</w:t>
      </w:r>
      <w:r>
        <w:rPr>
          <w:rFonts w:eastAsia="Arial" w:cs="Arial"/>
          <w:color w:val="000000" w:themeColor="text1"/>
        </w:rPr>
        <w:t xml:space="preserve"> the use of </w:t>
      </w:r>
      <w:r w:rsidR="000936D8">
        <w:rPr>
          <w:rFonts w:eastAsia="Arial" w:cs="Arial"/>
          <w:color w:val="000000" w:themeColor="text1"/>
        </w:rPr>
        <w:t>applications</w:t>
      </w:r>
      <w:r>
        <w:rPr>
          <w:rFonts w:eastAsia="Arial" w:cs="Arial"/>
          <w:color w:val="000000" w:themeColor="text1"/>
        </w:rPr>
        <w:t xml:space="preserve"> under section 233A of the RTA</w:t>
      </w:r>
      <w:r w:rsidR="000936D8">
        <w:rPr>
          <w:rFonts w:eastAsia="Arial" w:cs="Arial"/>
          <w:color w:val="000000" w:themeColor="text1"/>
        </w:rPr>
        <w:t xml:space="preserve">, including through training and education. </w:t>
      </w:r>
      <w:r w:rsidR="00186476">
        <w:rPr>
          <w:rFonts w:eastAsia="Arial" w:cs="Arial"/>
          <w:color w:val="000000" w:themeColor="text1"/>
        </w:rPr>
        <w:t xml:space="preserve">Applications must be made in the tenancy jurisdiction, which is heard by the Victorian Civil and Administrative Tribunal. </w:t>
      </w:r>
      <w:r w:rsidR="00884241">
        <w:rPr>
          <w:rFonts w:eastAsia="Arial" w:cs="Arial"/>
          <w:color w:val="000000" w:themeColor="text1"/>
        </w:rPr>
        <w:t>However, g</w:t>
      </w:r>
      <w:r w:rsidR="000936D8">
        <w:rPr>
          <w:rFonts w:eastAsia="Arial" w:cs="Arial"/>
          <w:color w:val="000000" w:themeColor="text1"/>
        </w:rPr>
        <w:t xml:space="preserve">iven that </w:t>
      </w:r>
      <w:r w:rsidR="00CA31F0">
        <w:rPr>
          <w:rFonts w:eastAsia="Arial" w:cs="Arial"/>
          <w:color w:val="000000" w:themeColor="text1"/>
        </w:rPr>
        <w:t>m</w:t>
      </w:r>
      <w:r w:rsidR="4454EFC0" w:rsidRPr="00D900EA">
        <w:rPr>
          <w:rFonts w:eastAsia="Arial" w:cs="Arial"/>
          <w:color w:val="000000" w:themeColor="text1"/>
        </w:rPr>
        <w:t xml:space="preserve">any clients </w:t>
      </w:r>
      <w:r w:rsidR="00D271D9">
        <w:rPr>
          <w:rFonts w:eastAsia="Arial" w:cs="Arial"/>
          <w:color w:val="000000" w:themeColor="text1"/>
        </w:rPr>
        <w:t xml:space="preserve">experience </w:t>
      </w:r>
      <w:r w:rsidR="4454EFC0" w:rsidRPr="00D900EA">
        <w:rPr>
          <w:rFonts w:eastAsia="Arial" w:cs="Arial"/>
          <w:color w:val="000000" w:themeColor="text1"/>
        </w:rPr>
        <w:t xml:space="preserve">family violence, family law, </w:t>
      </w:r>
      <w:proofErr w:type="gramStart"/>
      <w:r w:rsidR="4454EFC0" w:rsidRPr="00D900EA">
        <w:rPr>
          <w:rFonts w:eastAsia="Arial" w:cs="Arial"/>
          <w:color w:val="000000" w:themeColor="text1"/>
        </w:rPr>
        <w:t>tenancy</w:t>
      </w:r>
      <w:proofErr w:type="gramEnd"/>
      <w:r w:rsidR="4454EFC0" w:rsidRPr="00D900EA">
        <w:rPr>
          <w:rFonts w:eastAsia="Arial" w:cs="Arial"/>
          <w:color w:val="000000" w:themeColor="text1"/>
        </w:rPr>
        <w:t xml:space="preserve"> and financial </w:t>
      </w:r>
      <w:r w:rsidR="00D271D9">
        <w:rPr>
          <w:rFonts w:eastAsia="Arial" w:cs="Arial"/>
          <w:color w:val="000000" w:themeColor="text1"/>
        </w:rPr>
        <w:t xml:space="preserve">problems </w:t>
      </w:r>
      <w:r w:rsidR="4454EFC0" w:rsidRPr="00D900EA">
        <w:rPr>
          <w:rFonts w:eastAsia="Arial" w:cs="Arial"/>
          <w:color w:val="000000" w:themeColor="text1"/>
        </w:rPr>
        <w:t>simultaneously</w:t>
      </w:r>
      <w:r w:rsidR="00C0269F">
        <w:rPr>
          <w:rFonts w:eastAsia="Arial" w:cs="Arial"/>
          <w:color w:val="000000" w:themeColor="text1"/>
        </w:rPr>
        <w:t>, this</w:t>
      </w:r>
      <w:r w:rsidR="4454EFC0" w:rsidRPr="00D900EA">
        <w:rPr>
          <w:rFonts w:eastAsia="Arial" w:cs="Arial"/>
          <w:color w:val="000000" w:themeColor="text1"/>
        </w:rPr>
        <w:t xml:space="preserve"> usually </w:t>
      </w:r>
      <w:r w:rsidR="00C0269F">
        <w:rPr>
          <w:rFonts w:eastAsia="Arial" w:cs="Arial"/>
          <w:color w:val="000000" w:themeColor="text1"/>
        </w:rPr>
        <w:t>means</w:t>
      </w:r>
      <w:r w:rsidR="4454EFC0" w:rsidRPr="00D900EA">
        <w:rPr>
          <w:rFonts w:eastAsia="Arial" w:cs="Arial"/>
          <w:color w:val="000000" w:themeColor="text1"/>
        </w:rPr>
        <w:t xml:space="preserve"> separate applications in separate courts and jurisdictions. </w:t>
      </w:r>
    </w:p>
    <w:p w14:paraId="580BF1CF" w14:textId="758BB5CC" w:rsidR="00C6505C" w:rsidRDefault="00C0269F" w:rsidP="00DA409B">
      <w:pPr>
        <w:rPr>
          <w:rFonts w:eastAsia="Arial" w:cs="Arial"/>
          <w:color w:val="000000" w:themeColor="text1"/>
        </w:rPr>
      </w:pPr>
      <w:r>
        <w:rPr>
          <w:rFonts w:eastAsia="Arial" w:cs="Arial"/>
          <w:color w:val="000000" w:themeColor="text1"/>
        </w:rPr>
        <w:t xml:space="preserve">To encourage </w:t>
      </w:r>
      <w:r w:rsidR="00884241">
        <w:rPr>
          <w:rFonts w:eastAsia="Arial" w:cs="Arial"/>
          <w:color w:val="000000" w:themeColor="text1"/>
        </w:rPr>
        <w:t>greater</w:t>
      </w:r>
      <w:r>
        <w:rPr>
          <w:rFonts w:eastAsia="Arial" w:cs="Arial"/>
          <w:color w:val="000000" w:themeColor="text1"/>
        </w:rPr>
        <w:t xml:space="preserve"> use of applications under section 233A of the RTA, t</w:t>
      </w:r>
      <w:r w:rsidR="00B43715">
        <w:rPr>
          <w:rFonts w:eastAsia="Arial" w:cs="Arial"/>
          <w:color w:val="000000" w:themeColor="text1"/>
        </w:rPr>
        <w:t>he</w:t>
      </w:r>
      <w:r w:rsidR="74C59818" w:rsidRPr="00D900EA">
        <w:rPr>
          <w:rFonts w:eastAsia="Arial" w:cs="Arial"/>
          <w:color w:val="000000" w:themeColor="text1"/>
        </w:rPr>
        <w:t xml:space="preserve"> </w:t>
      </w:r>
      <w:r w:rsidR="03B645CE" w:rsidRPr="00D900EA">
        <w:rPr>
          <w:rFonts w:eastAsia="Arial" w:cs="Arial"/>
          <w:color w:val="000000" w:themeColor="text1"/>
        </w:rPr>
        <w:t xml:space="preserve">Magistrates’ Court </w:t>
      </w:r>
      <w:r w:rsidR="00B43715">
        <w:rPr>
          <w:rFonts w:eastAsia="Arial" w:cs="Arial"/>
          <w:color w:val="000000" w:themeColor="text1"/>
        </w:rPr>
        <w:t xml:space="preserve">should </w:t>
      </w:r>
      <w:r w:rsidR="00300D25">
        <w:rPr>
          <w:rFonts w:eastAsia="Arial" w:cs="Arial"/>
          <w:color w:val="000000" w:themeColor="text1"/>
        </w:rPr>
        <w:t xml:space="preserve">also </w:t>
      </w:r>
      <w:r w:rsidR="00B43715">
        <w:rPr>
          <w:rFonts w:eastAsia="Arial" w:cs="Arial"/>
          <w:color w:val="000000" w:themeColor="text1"/>
        </w:rPr>
        <w:t>have jurisdiction</w:t>
      </w:r>
      <w:r w:rsidR="03B645CE" w:rsidRPr="00D900EA">
        <w:rPr>
          <w:rFonts w:eastAsia="Arial" w:cs="Arial"/>
          <w:color w:val="000000" w:themeColor="text1"/>
        </w:rPr>
        <w:t xml:space="preserve"> to deal with </w:t>
      </w:r>
      <w:r w:rsidR="001322A4" w:rsidRPr="00D900EA">
        <w:rPr>
          <w:rFonts w:eastAsia="Arial" w:cs="Arial"/>
          <w:color w:val="000000" w:themeColor="text1"/>
        </w:rPr>
        <w:t>matters arising</w:t>
      </w:r>
      <w:r w:rsidR="03B645CE" w:rsidRPr="00D900EA">
        <w:rPr>
          <w:rFonts w:eastAsia="Arial" w:cs="Arial"/>
          <w:color w:val="000000" w:themeColor="text1"/>
        </w:rPr>
        <w:t xml:space="preserve"> under the family violence provisions </w:t>
      </w:r>
      <w:r w:rsidR="00D653FB" w:rsidRPr="00D900EA">
        <w:rPr>
          <w:rFonts w:eastAsia="Arial" w:cs="Arial"/>
          <w:color w:val="000000" w:themeColor="text1"/>
        </w:rPr>
        <w:t>in sections 233A-233D</w:t>
      </w:r>
      <w:r w:rsidR="03B645CE" w:rsidRPr="00D900EA">
        <w:rPr>
          <w:rFonts w:eastAsia="Arial" w:cs="Arial"/>
          <w:color w:val="000000" w:themeColor="text1"/>
        </w:rPr>
        <w:t xml:space="preserve"> of the RTA. This would allow the </w:t>
      </w:r>
      <w:r w:rsidR="001322A4" w:rsidRPr="00D900EA">
        <w:rPr>
          <w:rFonts w:eastAsia="Arial" w:cs="Arial"/>
          <w:color w:val="000000" w:themeColor="text1"/>
        </w:rPr>
        <w:t>tenancy agreement</w:t>
      </w:r>
      <w:r w:rsidR="03B645CE" w:rsidRPr="00D900EA">
        <w:rPr>
          <w:rFonts w:eastAsia="Arial" w:cs="Arial"/>
          <w:color w:val="000000" w:themeColor="text1"/>
        </w:rPr>
        <w:t xml:space="preserve"> to be dealt with at the first hearing of </w:t>
      </w:r>
      <w:r w:rsidR="00884241">
        <w:rPr>
          <w:rFonts w:eastAsia="Arial" w:cs="Arial"/>
          <w:color w:val="000000" w:themeColor="text1"/>
        </w:rPr>
        <w:t>an</w:t>
      </w:r>
      <w:r w:rsidR="00884241" w:rsidRPr="00D900EA">
        <w:rPr>
          <w:rFonts w:eastAsia="Arial" w:cs="Arial"/>
          <w:color w:val="000000" w:themeColor="text1"/>
        </w:rPr>
        <w:t xml:space="preserve"> </w:t>
      </w:r>
      <w:r w:rsidR="03B645CE" w:rsidRPr="00D900EA">
        <w:rPr>
          <w:rFonts w:eastAsia="Arial" w:cs="Arial"/>
          <w:color w:val="000000" w:themeColor="text1"/>
        </w:rPr>
        <w:t xml:space="preserve">intervention order application. It would ensure applicants do not have to make multiple applications to deal with family violence and its related impacts, including changing a </w:t>
      </w:r>
      <w:r w:rsidR="00F411B4" w:rsidRPr="00D900EA">
        <w:rPr>
          <w:rFonts w:eastAsia="Arial" w:cs="Arial"/>
          <w:color w:val="000000" w:themeColor="text1"/>
        </w:rPr>
        <w:t>tenancy</w:t>
      </w:r>
      <w:r w:rsidR="03B645CE" w:rsidRPr="00D900EA">
        <w:rPr>
          <w:rFonts w:eastAsia="Arial" w:cs="Arial"/>
          <w:color w:val="000000" w:themeColor="text1"/>
        </w:rPr>
        <w:t xml:space="preserve"> agreement due to </w:t>
      </w:r>
      <w:r w:rsidR="007E50D2">
        <w:rPr>
          <w:rFonts w:eastAsia="Arial" w:cs="Arial"/>
          <w:color w:val="000000" w:themeColor="text1"/>
        </w:rPr>
        <w:t xml:space="preserve">leaving </w:t>
      </w:r>
      <w:r w:rsidR="03B645CE" w:rsidRPr="00D900EA">
        <w:rPr>
          <w:rFonts w:eastAsia="Arial" w:cs="Arial"/>
          <w:color w:val="000000" w:themeColor="text1"/>
        </w:rPr>
        <w:t>the rental property or having another tenant excluded</w:t>
      </w:r>
      <w:r w:rsidR="002C4F92" w:rsidRPr="00D900EA">
        <w:rPr>
          <w:rFonts w:eastAsia="Arial" w:cs="Arial"/>
          <w:color w:val="000000" w:themeColor="text1"/>
        </w:rPr>
        <w:t xml:space="preserve"> and a new tenancy agreement create</w:t>
      </w:r>
      <w:r w:rsidR="00936E50" w:rsidRPr="00D900EA">
        <w:rPr>
          <w:rFonts w:eastAsia="Arial" w:cs="Arial"/>
          <w:color w:val="000000" w:themeColor="text1"/>
        </w:rPr>
        <w:t>d</w:t>
      </w:r>
      <w:r w:rsidR="03B645CE" w:rsidRPr="00D900EA">
        <w:rPr>
          <w:rFonts w:eastAsia="Arial" w:cs="Arial"/>
          <w:color w:val="000000" w:themeColor="text1"/>
        </w:rPr>
        <w:t>.</w:t>
      </w:r>
    </w:p>
    <w:p w14:paraId="32DDF7CD" w14:textId="637F056C" w:rsidR="002C1AAC" w:rsidRDefault="002C1AAC" w:rsidP="00DA409B">
      <w:pPr>
        <w:pStyle w:val="Heading3"/>
        <w:rPr>
          <w:rFonts w:eastAsia="Arial"/>
        </w:rPr>
      </w:pPr>
      <w:bookmarkStart w:id="71" w:name="_Toc46146207"/>
      <w:r>
        <w:rPr>
          <w:noProof/>
          <w:szCs w:val="22"/>
        </w:rPr>
        <w:lastRenderedPageBreak/>
        <mc:AlternateContent>
          <mc:Choice Requires="wps">
            <w:drawing>
              <wp:inline distT="0" distB="0" distL="0" distR="0" wp14:anchorId="1AFFFA25" wp14:editId="692C2538">
                <wp:extent cx="6256655" cy="1562100"/>
                <wp:effectExtent l="0" t="0" r="0" b="0"/>
                <wp:docPr id="14" name="Text Box 14"/>
                <wp:cNvGraphicFramePr/>
                <a:graphic xmlns:a="http://schemas.openxmlformats.org/drawingml/2006/main">
                  <a:graphicData uri="http://schemas.microsoft.com/office/word/2010/wordprocessingShape">
                    <wps:wsp>
                      <wps:cNvSpPr txBox="1"/>
                      <wps:spPr>
                        <a:xfrm>
                          <a:off x="0" y="0"/>
                          <a:ext cx="6256655" cy="1562100"/>
                        </a:xfrm>
                        <a:prstGeom prst="rect">
                          <a:avLst/>
                        </a:prstGeom>
                        <a:solidFill>
                          <a:schemeClr val="accent5">
                            <a:lumMod val="20000"/>
                            <a:lumOff val="80000"/>
                          </a:schemeClr>
                        </a:solidFill>
                        <a:ln w="6350">
                          <a:noFill/>
                        </a:ln>
                      </wps:spPr>
                      <wps:txbx>
                        <w:txbxContent>
                          <w:p w14:paraId="0878442D" w14:textId="77777777" w:rsidR="002C1AAC" w:rsidRDefault="002C1AAC" w:rsidP="002C1AAC">
                            <w:pPr>
                              <w:rPr>
                                <w:b/>
                                <w:bCs/>
                              </w:rPr>
                            </w:pPr>
                            <w:r w:rsidRPr="004D2601">
                              <w:rPr>
                                <w:b/>
                                <w:bCs/>
                              </w:rPr>
                              <w:t xml:space="preserve">Looking forward – what is still required: </w:t>
                            </w:r>
                          </w:p>
                          <w:p w14:paraId="08DC1784" w14:textId="77777777" w:rsidR="002C1AAC" w:rsidRPr="00DE2A19" w:rsidRDefault="002C1AAC" w:rsidP="002C1AAC">
                            <w:pPr>
                              <w:pStyle w:val="ListParagraph"/>
                              <w:numPr>
                                <w:ilvl w:val="0"/>
                                <w:numId w:val="24"/>
                              </w:numPr>
                              <w:tabs>
                                <w:tab w:val="num" w:pos="360"/>
                              </w:tabs>
                              <w:ind w:left="0" w:firstLine="0"/>
                              <w:contextualSpacing w:val="0"/>
                              <w:rPr>
                                <w:rFonts w:ascii="Arial" w:hAnsi="Arial" w:cs="Arial"/>
                              </w:rPr>
                            </w:pPr>
                            <w:r w:rsidRPr="00DE2A19">
                              <w:rPr>
                                <w:rFonts w:ascii="Arial" w:hAnsi="Arial" w:cs="Arial"/>
                              </w:rPr>
                              <w:t xml:space="preserve">We recommend that s 233B of the RTA be further amended so that the matters in subsections (2)(a) and (b) only apply where a person wants an order under s 233B(1)(b) to create a new tenancy agreement due to family violence and not to an application under s 233B(1)(a) to end a tenancy. </w:t>
                            </w:r>
                          </w:p>
                          <w:p w14:paraId="7E7EDA06" w14:textId="77777777" w:rsidR="002C1AAC" w:rsidRPr="00DE2A19" w:rsidRDefault="002C1AAC" w:rsidP="002C1AAC">
                            <w:pPr>
                              <w:pStyle w:val="ListParagraph"/>
                              <w:numPr>
                                <w:ilvl w:val="0"/>
                                <w:numId w:val="24"/>
                              </w:numPr>
                              <w:tabs>
                                <w:tab w:val="num" w:pos="360"/>
                              </w:tabs>
                              <w:ind w:left="0" w:firstLine="0"/>
                              <w:contextualSpacing w:val="0"/>
                              <w:rPr>
                                <w:rFonts w:ascii="Arial" w:hAnsi="Arial" w:cs="Arial"/>
                              </w:rPr>
                            </w:pPr>
                            <w:r w:rsidRPr="00DE2A19">
                              <w:rPr>
                                <w:rFonts w:ascii="Arial" w:hAnsi="Arial" w:cs="Arial"/>
                              </w:rPr>
                              <w:t>To encourage use of s 233A of the RTA, the Magistrates’ Court should have jurisdiction to deal with matters arising under the family violence provisions in sections 233A-233D of the 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FFFA25" id="Text Box 14" o:spid="_x0000_s1034" type="#_x0000_t202" style="width:492.6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" fillcolor="#deeaf6 [664]" stroked="f" strokeweight=".5pt">
                <v:textbox>
                  <w:txbxContent>
                    <w:p w14:paraId="0878442D" w14:textId="77777777" w:rsidR="002C1AAC" w:rsidRDefault="002C1AAC" w:rsidP="002C1AAC">
                      <w:pPr>
                        <w:rPr>
                          <w:b/>
                          <w:bCs/>
                        </w:rPr>
                      </w:pPr>
                      <w:r w:rsidRPr="004D2601">
                        <w:rPr>
                          <w:b/>
                          <w:bCs/>
                        </w:rPr>
                        <w:t xml:space="preserve">Looking forward – what is still required: </w:t>
                      </w:r>
                    </w:p>
                    <w:p w14:paraId="08DC1784" w14:textId="77777777" w:rsidR="002C1AAC" w:rsidRPr="00DE2A19" w:rsidRDefault="002C1AAC" w:rsidP="002C1AAC">
                      <w:pPr>
                        <w:pStyle w:val="ListParagraph"/>
                        <w:numPr>
                          <w:ilvl w:val="0"/>
                          <w:numId w:val="24"/>
                        </w:numPr>
                        <w:tabs>
                          <w:tab w:val="num" w:pos="360"/>
                        </w:tabs>
                        <w:ind w:left="0" w:firstLine="0"/>
                        <w:contextualSpacing w:val="0"/>
                        <w:rPr>
                          <w:rFonts w:ascii="Arial" w:hAnsi="Arial" w:cs="Arial"/>
                        </w:rPr>
                      </w:pPr>
                      <w:r w:rsidRPr="00DE2A19">
                        <w:rPr>
                          <w:rFonts w:ascii="Arial" w:hAnsi="Arial" w:cs="Arial"/>
                        </w:rPr>
                        <w:t xml:space="preserve">We recommend that s 233B of the RTA be further amended so that the matters in subsections (2)(a) and (b) only apply where a person wants an order under s 233B(1)(b) to create a new tenancy agreement due to family violence and not to an application under s 233B(1)(a) to end a tenancy. </w:t>
                      </w:r>
                    </w:p>
                    <w:p w14:paraId="7E7EDA06" w14:textId="77777777" w:rsidR="002C1AAC" w:rsidRPr="00DE2A19" w:rsidRDefault="002C1AAC" w:rsidP="002C1AAC">
                      <w:pPr>
                        <w:pStyle w:val="ListParagraph"/>
                        <w:numPr>
                          <w:ilvl w:val="0"/>
                          <w:numId w:val="24"/>
                        </w:numPr>
                        <w:tabs>
                          <w:tab w:val="num" w:pos="360"/>
                        </w:tabs>
                        <w:ind w:left="0" w:firstLine="0"/>
                        <w:contextualSpacing w:val="0"/>
                        <w:rPr>
                          <w:rFonts w:ascii="Arial" w:hAnsi="Arial" w:cs="Arial"/>
                        </w:rPr>
                      </w:pPr>
                      <w:r w:rsidRPr="00DE2A19">
                        <w:rPr>
                          <w:rFonts w:ascii="Arial" w:hAnsi="Arial" w:cs="Arial"/>
                        </w:rPr>
                        <w:t>To encourage use of s 233A of the RTA, the Magistrates’ Court should have jurisdiction to deal with matters arising under the family violence provisions in sections 233A-233D of the RTA.</w:t>
                      </w:r>
                    </w:p>
                  </w:txbxContent>
                </v:textbox>
                <w10:anchorlock/>
              </v:shape>
            </w:pict>
          </mc:Fallback>
        </mc:AlternateContent>
      </w:r>
    </w:p>
    <w:p w14:paraId="365E859A" w14:textId="7CE9DD5B" w:rsidR="00977075" w:rsidRPr="00A329B7" w:rsidRDefault="00587AED" w:rsidP="00DA409B">
      <w:pPr>
        <w:pStyle w:val="Heading3"/>
        <w:rPr>
          <w:rFonts w:eastAsiaTheme="minorEastAsia"/>
        </w:rPr>
      </w:pPr>
      <w:r>
        <w:rPr>
          <w:rFonts w:eastAsia="Arial"/>
        </w:rPr>
        <w:t>The m</w:t>
      </w:r>
      <w:r w:rsidR="00365D96">
        <w:rPr>
          <w:rFonts w:eastAsia="Arial"/>
        </w:rPr>
        <w:t>ental health</w:t>
      </w:r>
      <w:r>
        <w:rPr>
          <w:rFonts w:eastAsia="Arial"/>
        </w:rPr>
        <w:t xml:space="preserve"> system</w:t>
      </w:r>
      <w:r w:rsidR="00C8331C">
        <w:rPr>
          <w:rFonts w:eastAsia="Arial"/>
        </w:rPr>
        <w:t xml:space="preserve"> and family violence</w:t>
      </w:r>
      <w:bookmarkEnd w:id="71"/>
    </w:p>
    <w:p w14:paraId="7F24BC36" w14:textId="57E3F12F" w:rsidR="00A853FF" w:rsidRDefault="00A853FF" w:rsidP="00DA409B">
      <w:pPr>
        <w:rPr>
          <w:rFonts w:eastAsia="Arial" w:cs="Arial"/>
          <w:szCs w:val="22"/>
        </w:rPr>
      </w:pPr>
      <w:r>
        <w:rPr>
          <w:rFonts w:eastAsia="Arial" w:cs="Arial"/>
          <w:szCs w:val="22"/>
        </w:rPr>
        <w:t>We note</w:t>
      </w:r>
      <w:r w:rsidR="00977075" w:rsidRPr="0034732F">
        <w:rPr>
          <w:rFonts w:eastAsia="Arial" w:cs="Arial"/>
          <w:szCs w:val="22"/>
        </w:rPr>
        <w:t xml:space="preserve"> the recorded implementation of </w:t>
      </w:r>
      <w:r w:rsidR="0016526A">
        <w:rPr>
          <w:rFonts w:eastAsia="Arial" w:cs="Arial"/>
          <w:szCs w:val="22"/>
        </w:rPr>
        <w:t>r</w:t>
      </w:r>
      <w:r w:rsidR="00977075" w:rsidRPr="0034732F">
        <w:rPr>
          <w:rFonts w:eastAsia="Arial" w:cs="Arial"/>
          <w:szCs w:val="22"/>
        </w:rPr>
        <w:t>ecommendations 98 and 99</w:t>
      </w:r>
      <w:r w:rsidR="00B97938">
        <w:rPr>
          <w:rFonts w:eastAsia="Arial" w:cs="Arial"/>
          <w:szCs w:val="22"/>
        </w:rPr>
        <w:t>. H</w:t>
      </w:r>
      <w:r w:rsidR="00977075" w:rsidRPr="0034732F">
        <w:rPr>
          <w:rFonts w:eastAsia="Arial" w:cs="Arial"/>
          <w:szCs w:val="22"/>
        </w:rPr>
        <w:t>owever</w:t>
      </w:r>
      <w:r w:rsidR="00B97938">
        <w:rPr>
          <w:rFonts w:eastAsia="Arial" w:cs="Arial"/>
          <w:szCs w:val="22"/>
        </w:rPr>
        <w:t>,</w:t>
      </w:r>
      <w:r w:rsidR="00977075" w:rsidRPr="0034732F">
        <w:rPr>
          <w:rFonts w:eastAsia="Arial" w:cs="Arial"/>
          <w:szCs w:val="22"/>
        </w:rPr>
        <w:t xml:space="preserve"> in our experience </w:t>
      </w:r>
      <w:r w:rsidR="00E46DD2" w:rsidRPr="008B6C3F">
        <w:rPr>
          <w:lang w:eastAsia="en-AU"/>
        </w:rPr>
        <w:t>family violence and the experience of trauma</w:t>
      </w:r>
      <w:r w:rsidR="006A4BF9" w:rsidRPr="008B6C3F">
        <w:rPr>
          <w:lang w:eastAsia="en-AU"/>
        </w:rPr>
        <w:t xml:space="preserve"> continues to be</w:t>
      </w:r>
      <w:r w:rsidR="00E46DD2" w:rsidRPr="008B6C3F">
        <w:rPr>
          <w:lang w:eastAsia="en-AU"/>
        </w:rPr>
        <w:t xml:space="preserve"> under-recognised and too frequently responded to solely as an individualised mental health issue</w:t>
      </w:r>
      <w:r w:rsidR="008B6C3F" w:rsidRPr="008B6C3F">
        <w:rPr>
          <w:lang w:eastAsia="en-AU"/>
        </w:rPr>
        <w:t>. There</w:t>
      </w:r>
      <w:r w:rsidR="00977075" w:rsidRPr="0034732F">
        <w:rPr>
          <w:rFonts w:eastAsia="Arial" w:cs="Arial"/>
          <w:szCs w:val="22"/>
        </w:rPr>
        <w:t xml:space="preserve"> remains a lack of </w:t>
      </w:r>
      <w:r w:rsidR="002A2D07">
        <w:rPr>
          <w:rFonts w:eastAsia="Arial" w:cs="Arial"/>
          <w:szCs w:val="22"/>
        </w:rPr>
        <w:t xml:space="preserve">collaboration between </w:t>
      </w:r>
      <w:r w:rsidR="005957E3">
        <w:rPr>
          <w:rFonts w:eastAsia="Arial" w:cs="Arial"/>
          <w:szCs w:val="22"/>
        </w:rPr>
        <w:t xml:space="preserve">mental </w:t>
      </w:r>
      <w:r w:rsidR="00165167">
        <w:rPr>
          <w:rFonts w:eastAsia="Arial" w:cs="Arial"/>
          <w:szCs w:val="22"/>
        </w:rPr>
        <w:t>health</w:t>
      </w:r>
      <w:r w:rsidR="005957E3">
        <w:rPr>
          <w:rFonts w:eastAsia="Arial" w:cs="Arial"/>
          <w:szCs w:val="22"/>
        </w:rPr>
        <w:t xml:space="preserve"> and </w:t>
      </w:r>
      <w:r w:rsidR="00165167">
        <w:rPr>
          <w:rFonts w:eastAsia="Arial" w:cs="Arial"/>
          <w:szCs w:val="22"/>
        </w:rPr>
        <w:t>family violence service</w:t>
      </w:r>
      <w:r w:rsidR="001040FA">
        <w:rPr>
          <w:rFonts w:eastAsia="Arial" w:cs="Arial"/>
          <w:szCs w:val="22"/>
        </w:rPr>
        <w:t>s</w:t>
      </w:r>
      <w:r w:rsidR="00165167">
        <w:rPr>
          <w:rFonts w:eastAsia="Arial" w:cs="Arial"/>
          <w:szCs w:val="22"/>
        </w:rPr>
        <w:t xml:space="preserve"> </w:t>
      </w:r>
      <w:r w:rsidR="00E53D54">
        <w:rPr>
          <w:rFonts w:eastAsia="Arial" w:cs="Arial"/>
          <w:szCs w:val="22"/>
        </w:rPr>
        <w:t>to provide trauma</w:t>
      </w:r>
      <w:r w:rsidR="00A66A8C">
        <w:rPr>
          <w:rFonts w:eastAsia="Arial" w:cs="Arial"/>
          <w:szCs w:val="22"/>
        </w:rPr>
        <w:t>-</w:t>
      </w:r>
      <w:r w:rsidR="00E53D54">
        <w:rPr>
          <w:rFonts w:eastAsia="Arial" w:cs="Arial"/>
          <w:szCs w:val="22"/>
        </w:rPr>
        <w:t>informed responses and</w:t>
      </w:r>
      <w:r w:rsidR="00841815">
        <w:rPr>
          <w:rFonts w:eastAsia="Arial" w:cs="Arial"/>
          <w:szCs w:val="22"/>
        </w:rPr>
        <w:t xml:space="preserve"> active referral processes into the family violence sector from mental health services</w:t>
      </w:r>
      <w:r w:rsidR="00A66A8C">
        <w:rPr>
          <w:rFonts w:eastAsia="Arial" w:cs="Arial"/>
          <w:szCs w:val="22"/>
        </w:rPr>
        <w:t>. There is also a</w:t>
      </w:r>
      <w:r w:rsidR="00977075" w:rsidRPr="0034732F">
        <w:rPr>
          <w:rFonts w:eastAsia="Arial" w:cs="Arial"/>
          <w:szCs w:val="22"/>
        </w:rPr>
        <w:t xml:space="preserve"> </w:t>
      </w:r>
      <w:r w:rsidR="003F0599">
        <w:rPr>
          <w:rFonts w:eastAsia="Arial" w:cs="Arial"/>
          <w:szCs w:val="22"/>
        </w:rPr>
        <w:t>lack of</w:t>
      </w:r>
      <w:r w:rsidR="00977075" w:rsidRPr="0034732F">
        <w:rPr>
          <w:rFonts w:eastAsia="Arial" w:cs="Arial"/>
          <w:szCs w:val="22"/>
        </w:rPr>
        <w:t xml:space="preserve"> adequate access to appropriate mental health supports and services in the community for people who use and experience family violence, which contributes to increased risk</w:t>
      </w:r>
      <w:r w:rsidR="00B35CCE">
        <w:rPr>
          <w:rStyle w:val="FootnoteReference"/>
          <w:rFonts w:eastAsia="Arial" w:cs="Arial"/>
          <w:szCs w:val="22"/>
        </w:rPr>
        <w:footnoteReference w:id="15"/>
      </w:r>
      <w:r w:rsidR="00977075" w:rsidRPr="0034732F">
        <w:rPr>
          <w:rFonts w:eastAsia="Arial" w:cs="Arial"/>
          <w:szCs w:val="22"/>
        </w:rPr>
        <w:t xml:space="preserve">. </w:t>
      </w:r>
    </w:p>
    <w:p w14:paraId="1856EB45" w14:textId="77777777" w:rsidR="000F255D" w:rsidRPr="002B38B4" w:rsidRDefault="00986171" w:rsidP="00DA409B">
      <w:pPr>
        <w:rPr>
          <w:lang w:eastAsia="en-AU"/>
        </w:rPr>
      </w:pPr>
      <w:r w:rsidRPr="777DB324">
        <w:rPr>
          <w:rFonts w:eastAsia="Arial" w:cs="Arial"/>
        </w:rPr>
        <w:t>VLA’s Independent Mental Health Advocacy non-legal advocates have continued to see mental health services either dismissing people who disclose family violence or sexual assault</w:t>
      </w:r>
      <w:r>
        <w:rPr>
          <w:rFonts w:eastAsia="Arial" w:cs="Arial"/>
        </w:rPr>
        <w:t xml:space="preserve"> or</w:t>
      </w:r>
      <w:r w:rsidRPr="777DB324">
        <w:rPr>
          <w:rFonts w:eastAsia="Arial" w:cs="Arial"/>
        </w:rPr>
        <w:t xml:space="preserve"> considering it to be a </w:t>
      </w:r>
      <w:r w:rsidRPr="007A50A7">
        <w:rPr>
          <w:rFonts w:eastAsia="Arial" w:cs="Arial"/>
          <w:szCs w:val="22"/>
        </w:rPr>
        <w:t>symptom</w:t>
      </w:r>
      <w:r w:rsidRPr="777DB324">
        <w:rPr>
          <w:rFonts w:eastAsia="Arial" w:cs="Arial"/>
        </w:rPr>
        <w:t xml:space="preserve"> of their mental health issues.</w:t>
      </w:r>
      <w:r w:rsidR="001855B3">
        <w:rPr>
          <w:rFonts w:eastAsia="Arial" w:cs="Arial"/>
        </w:rPr>
        <w:t xml:space="preserve"> </w:t>
      </w:r>
      <w:r w:rsidR="000F255D" w:rsidRPr="002B38B4">
        <w:rPr>
          <w:lang w:eastAsia="en-AU"/>
        </w:rPr>
        <w:t>VLA client experiences demonstrat</w:t>
      </w:r>
      <w:r w:rsidR="000F255D">
        <w:rPr>
          <w:lang w:eastAsia="en-AU"/>
        </w:rPr>
        <w:t>ing</w:t>
      </w:r>
      <w:r w:rsidR="000F255D" w:rsidRPr="002B38B4">
        <w:rPr>
          <w:lang w:eastAsia="en-AU"/>
        </w:rPr>
        <w:t xml:space="preserve"> the ramifications </w:t>
      </w:r>
      <w:r w:rsidR="000F255D">
        <w:rPr>
          <w:lang w:eastAsia="en-AU"/>
        </w:rPr>
        <w:t xml:space="preserve">of </w:t>
      </w:r>
      <w:r w:rsidR="000F255D" w:rsidRPr="002B38B4">
        <w:rPr>
          <w:lang w:eastAsia="en-AU"/>
        </w:rPr>
        <w:t>a poor understanding of family violence</w:t>
      </w:r>
      <w:r w:rsidR="000F255D">
        <w:rPr>
          <w:lang w:eastAsia="en-AU"/>
        </w:rPr>
        <w:t>, include:</w:t>
      </w:r>
      <w:r w:rsidR="000F255D">
        <w:rPr>
          <w:rStyle w:val="FootnoteReference"/>
          <w:lang w:eastAsia="en-AU"/>
        </w:rPr>
        <w:footnoteReference w:id="16"/>
      </w:r>
    </w:p>
    <w:p w14:paraId="598C7A40" w14:textId="77777777" w:rsidR="000F255D" w:rsidRPr="005100DC" w:rsidRDefault="000F255D" w:rsidP="00DA409B">
      <w:pPr>
        <w:pStyle w:val="ListParagraph"/>
        <w:numPr>
          <w:ilvl w:val="0"/>
          <w:numId w:val="29"/>
        </w:numPr>
        <w:spacing w:after="120" w:line="300" w:lineRule="atLeast"/>
        <w:rPr>
          <w:rFonts w:ascii="Arial" w:hAnsi="Arial" w:cs="Arial"/>
        </w:rPr>
      </w:pPr>
      <w:r w:rsidRPr="005100DC">
        <w:rPr>
          <w:rFonts w:ascii="Arial" w:hAnsi="Arial" w:cs="Arial"/>
        </w:rPr>
        <w:t xml:space="preserve">As part of their control or abuse, perpetrators of family violence can make allegations that the victim is experiencing mental health issues. We have seen women admitted to mental health units solely </w:t>
      </w:r>
      <w:proofErr w:type="gramStart"/>
      <w:r w:rsidRPr="005100DC">
        <w:rPr>
          <w:rFonts w:ascii="Arial" w:hAnsi="Arial" w:cs="Arial"/>
        </w:rPr>
        <w:t>on the basis of</w:t>
      </w:r>
      <w:proofErr w:type="gramEnd"/>
      <w:r w:rsidRPr="005100DC">
        <w:rPr>
          <w:rFonts w:ascii="Arial" w:hAnsi="Arial" w:cs="Arial"/>
        </w:rPr>
        <w:t xml:space="preserve"> their partners’ reports of their behaviour or mental state; and</w:t>
      </w:r>
    </w:p>
    <w:p w14:paraId="5D9F9159" w14:textId="0EB16578" w:rsidR="000F255D" w:rsidRPr="000F255D" w:rsidRDefault="000F255D" w:rsidP="00DA409B">
      <w:pPr>
        <w:pStyle w:val="ListParagraph"/>
        <w:numPr>
          <w:ilvl w:val="0"/>
          <w:numId w:val="29"/>
        </w:numPr>
        <w:spacing w:after="120" w:line="300" w:lineRule="atLeast"/>
        <w:rPr>
          <w:rFonts w:ascii="Arial" w:hAnsi="Arial" w:cs="Arial"/>
        </w:rPr>
      </w:pPr>
      <w:r w:rsidRPr="005100DC">
        <w:rPr>
          <w:rFonts w:ascii="Arial" w:hAnsi="Arial" w:cs="Arial"/>
        </w:rPr>
        <w:t xml:space="preserve">Reports of family violence can be dismissed as symptomatic of mental health issues, therefore not properly </w:t>
      </w:r>
      <w:proofErr w:type="gramStart"/>
      <w:r w:rsidRPr="005100DC">
        <w:rPr>
          <w:rFonts w:ascii="Arial" w:hAnsi="Arial" w:cs="Arial"/>
        </w:rPr>
        <w:t>addressed</w:t>
      </w:r>
      <w:proofErr w:type="gramEnd"/>
      <w:r w:rsidRPr="005100DC">
        <w:rPr>
          <w:rFonts w:ascii="Arial" w:hAnsi="Arial" w:cs="Arial"/>
        </w:rPr>
        <w:t xml:space="preserve"> or responded to.</w:t>
      </w:r>
    </w:p>
    <w:p w14:paraId="087164C5" w14:textId="77777777" w:rsidR="002C1AAC" w:rsidRDefault="00B31B5D" w:rsidP="00DA409B">
      <w:pPr>
        <w:rPr>
          <w:lang w:eastAsia="en-AU"/>
        </w:rPr>
      </w:pPr>
      <w:r w:rsidRPr="002B38B4">
        <w:rPr>
          <w:lang w:eastAsia="en-AU"/>
        </w:rPr>
        <w:t>This can lead to clients missing out on early access to legal and non-legal support and family violence services</w:t>
      </w:r>
      <w:r w:rsidR="001855B3">
        <w:rPr>
          <w:lang w:eastAsia="en-AU"/>
        </w:rPr>
        <w:t>. It can also</w:t>
      </w:r>
      <w:r w:rsidRPr="002B38B4">
        <w:rPr>
          <w:lang w:eastAsia="en-AU"/>
        </w:rPr>
        <w:t xml:space="preserve"> cause or exacerbate mental health issues, putting women </w:t>
      </w:r>
      <w:proofErr w:type="gramStart"/>
      <w:r w:rsidRPr="002B38B4">
        <w:rPr>
          <w:lang w:eastAsia="en-AU"/>
        </w:rPr>
        <w:t>in particular at</w:t>
      </w:r>
      <w:proofErr w:type="gramEnd"/>
      <w:r w:rsidRPr="002B38B4">
        <w:rPr>
          <w:lang w:eastAsia="en-AU"/>
        </w:rPr>
        <w:t xml:space="preserve"> greater risk of experiencing legal problems</w:t>
      </w:r>
      <w:r>
        <w:rPr>
          <w:lang w:eastAsia="en-AU"/>
        </w:rPr>
        <w:t>, including child protection involvement,</w:t>
      </w:r>
      <w:r w:rsidRPr="002B38B4">
        <w:rPr>
          <w:lang w:eastAsia="en-AU"/>
        </w:rPr>
        <w:t xml:space="preserve"> and the continuation of family violence.</w:t>
      </w:r>
      <w:r w:rsidR="002C1AAC">
        <w:rPr>
          <w:rFonts w:eastAsia="Arial" w:cs="Arial"/>
        </w:rPr>
        <w:t xml:space="preserve"> </w:t>
      </w:r>
      <w:r w:rsidRPr="002B38B4">
        <w:rPr>
          <w:lang w:eastAsia="en-AU"/>
        </w:rPr>
        <w:t xml:space="preserve">A better understanding of the dynamics of family violence may prevent tipping people into the mental health system and keep them safer. </w:t>
      </w:r>
    </w:p>
    <w:p w14:paraId="1EAE1D8D" w14:textId="133F8F84" w:rsidR="00AB001E" w:rsidRPr="002C1AAC" w:rsidRDefault="002C1AAC" w:rsidP="00DA409B">
      <w:pPr>
        <w:rPr>
          <w:rFonts w:eastAsia="Arial" w:cs="Arial"/>
          <w:highlight w:val="yellow"/>
        </w:rPr>
      </w:pPr>
      <w:r>
        <w:rPr>
          <w:rFonts w:cs="Arial"/>
          <w:noProof/>
          <w:szCs w:val="22"/>
        </w:rPr>
        <w:lastRenderedPageBreak/>
        <mc:AlternateContent>
          <mc:Choice Requires="wps">
            <w:drawing>
              <wp:inline distT="0" distB="0" distL="0" distR="0" wp14:anchorId="54124B82" wp14:editId="004286F2">
                <wp:extent cx="6263640" cy="2767451"/>
                <wp:effectExtent l="0" t="0" r="3810" b="0"/>
                <wp:docPr id="15" name="Text Box 15"/>
                <wp:cNvGraphicFramePr/>
                <a:graphic xmlns:a="http://schemas.openxmlformats.org/drawingml/2006/main">
                  <a:graphicData uri="http://schemas.microsoft.com/office/word/2010/wordprocessingShape">
                    <wps:wsp>
                      <wps:cNvSpPr txBox="1"/>
                      <wps:spPr>
                        <a:xfrm>
                          <a:off x="0" y="0"/>
                          <a:ext cx="6263640" cy="2767451"/>
                        </a:xfrm>
                        <a:prstGeom prst="rect">
                          <a:avLst/>
                        </a:prstGeom>
                        <a:solidFill>
                          <a:schemeClr val="accent5">
                            <a:lumMod val="20000"/>
                            <a:lumOff val="80000"/>
                          </a:schemeClr>
                        </a:solidFill>
                        <a:ln w="6350">
                          <a:noFill/>
                        </a:ln>
                      </wps:spPr>
                      <wps:txbx>
                        <w:txbxContent>
                          <w:p w14:paraId="18E4C4A0" w14:textId="77777777" w:rsidR="002C1AAC" w:rsidRDefault="002C1AAC" w:rsidP="002C1AAC">
                            <w:pPr>
                              <w:rPr>
                                <w:b/>
                                <w:bCs/>
                              </w:rPr>
                            </w:pPr>
                            <w:r w:rsidRPr="004D2601">
                              <w:rPr>
                                <w:b/>
                                <w:bCs/>
                              </w:rPr>
                              <w:t xml:space="preserve">Looking forward – what is still required: </w:t>
                            </w:r>
                          </w:p>
                          <w:p w14:paraId="1B57E0DB" w14:textId="77777777" w:rsidR="002C1AAC" w:rsidRDefault="002C1AAC" w:rsidP="002C1AAC">
                            <w:pPr>
                              <w:rPr>
                                <w:rFonts w:eastAsia="Arial" w:cs="Arial"/>
                                <w:szCs w:val="22"/>
                              </w:rPr>
                            </w:pPr>
                            <w:r>
                              <w:rPr>
                                <w:rFonts w:eastAsia="Arial" w:cs="Arial"/>
                                <w:szCs w:val="22"/>
                              </w:rPr>
                              <w:t>T</w:t>
                            </w:r>
                            <w:r w:rsidRPr="0034732F">
                              <w:rPr>
                                <w:rFonts w:eastAsia="Arial" w:cs="Arial"/>
                                <w:szCs w:val="22"/>
                              </w:rPr>
                              <w:t xml:space="preserve">he Victorian Government </w:t>
                            </w:r>
                            <w:r>
                              <w:rPr>
                                <w:rFonts w:eastAsia="Arial" w:cs="Arial"/>
                                <w:szCs w:val="22"/>
                              </w:rPr>
                              <w:t>should:</w:t>
                            </w:r>
                          </w:p>
                          <w:p w14:paraId="1559E3EA" w14:textId="77777777" w:rsidR="002C1AAC" w:rsidRPr="006719D0" w:rsidRDefault="002C1AAC" w:rsidP="002C1AAC">
                            <w:pPr>
                              <w:numPr>
                                <w:ilvl w:val="0"/>
                                <w:numId w:val="24"/>
                              </w:numPr>
                              <w:rPr>
                                <w:rFonts w:cs="Arial"/>
                              </w:rPr>
                            </w:pPr>
                            <w:r w:rsidRPr="006719D0">
                              <w:rPr>
                                <w:rFonts w:cs="Arial"/>
                              </w:rPr>
                              <w:t xml:space="preserve">require and fund mental health services to develop policies to ensure family violence risk screening is undertaken as part of the intake process within the mental health system (e.g. risk identification, referrals to family violence services for safety planning). </w:t>
                            </w:r>
                          </w:p>
                          <w:p w14:paraId="34893DE2" w14:textId="77777777" w:rsidR="002C1AAC" w:rsidRPr="006719D0" w:rsidRDefault="002C1AAC" w:rsidP="002C1AAC">
                            <w:pPr>
                              <w:numPr>
                                <w:ilvl w:val="0"/>
                                <w:numId w:val="24"/>
                              </w:numPr>
                              <w:rPr>
                                <w:rFonts w:cs="Arial"/>
                              </w:rPr>
                            </w:pPr>
                            <w:r w:rsidRPr="006719D0">
                              <w:rPr>
                                <w:rFonts w:cs="Arial"/>
                              </w:rPr>
                              <w:t>•provide guidance to require all aspects of the mental health and justice systems (e.g. mental health services, Victoria Police, courts) to improve their responses to people who use family violence and are experiencing mental health issues.</w:t>
                            </w:r>
                          </w:p>
                          <w:p w14:paraId="1017D195" w14:textId="77777777" w:rsidR="002C1AAC" w:rsidRDefault="002C1AAC" w:rsidP="002C1AAC">
                            <w:r w:rsidRPr="00DE603E">
                              <w:rPr>
                                <w:rFonts w:eastAsia="Arial" w:cs="Arial"/>
                              </w:rPr>
                              <w:t xml:space="preserve">We also encourage any family violence reform to consider the findings and recommendations of the current Royal Commission into Victoria’s Mental Health system (RCVMHS), particularly any recommendations that </w:t>
                            </w:r>
                            <w:r>
                              <w:t>support people who experience and use family violence to access family violence services, and seek to improve responses to family violence in the mental health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4124B82" id="Text Box 15" o:spid="_x0000_s1035" type="#_x0000_t202" style="width:493.2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" fillcolor="#deeaf6 [664]" stroked="f" strokeweight=".5pt">
                <v:textbox>
                  <w:txbxContent>
                    <w:p w14:paraId="18E4C4A0" w14:textId="77777777" w:rsidR="002C1AAC" w:rsidRDefault="002C1AAC" w:rsidP="002C1AAC">
                      <w:pPr>
                        <w:rPr>
                          <w:b/>
                          <w:bCs/>
                        </w:rPr>
                      </w:pPr>
                      <w:r w:rsidRPr="004D2601">
                        <w:rPr>
                          <w:b/>
                          <w:bCs/>
                        </w:rPr>
                        <w:t xml:space="preserve">Looking forward – what is still required: </w:t>
                      </w:r>
                    </w:p>
                    <w:p w14:paraId="1B57E0DB" w14:textId="77777777" w:rsidR="002C1AAC" w:rsidRDefault="002C1AAC" w:rsidP="002C1AAC">
                      <w:pPr>
                        <w:rPr>
                          <w:rFonts w:eastAsia="Arial" w:cs="Arial"/>
                          <w:szCs w:val="22"/>
                        </w:rPr>
                      </w:pPr>
                      <w:r>
                        <w:rPr>
                          <w:rFonts w:eastAsia="Arial" w:cs="Arial"/>
                          <w:szCs w:val="22"/>
                        </w:rPr>
                        <w:t>T</w:t>
                      </w:r>
                      <w:r w:rsidRPr="0034732F">
                        <w:rPr>
                          <w:rFonts w:eastAsia="Arial" w:cs="Arial"/>
                          <w:szCs w:val="22"/>
                        </w:rPr>
                        <w:t xml:space="preserve">he Victorian Government </w:t>
                      </w:r>
                      <w:r>
                        <w:rPr>
                          <w:rFonts w:eastAsia="Arial" w:cs="Arial"/>
                          <w:szCs w:val="22"/>
                        </w:rPr>
                        <w:t>should:</w:t>
                      </w:r>
                    </w:p>
                    <w:p w14:paraId="1559E3EA" w14:textId="77777777" w:rsidR="002C1AAC" w:rsidRPr="006719D0" w:rsidRDefault="002C1AAC" w:rsidP="002C1AAC">
                      <w:pPr>
                        <w:numPr>
                          <w:ilvl w:val="0"/>
                          <w:numId w:val="24"/>
                        </w:numPr>
                        <w:rPr>
                          <w:rFonts w:cs="Arial"/>
                        </w:rPr>
                      </w:pPr>
                      <w:r w:rsidRPr="006719D0">
                        <w:rPr>
                          <w:rFonts w:cs="Arial"/>
                        </w:rPr>
                        <w:t xml:space="preserve">require and fund mental health services to develop policies to ensure family violence risk screening is undertaken as part of the intake process within the mental health system (e.g. risk identification, referrals to family violence services for safety planning). </w:t>
                      </w:r>
                    </w:p>
                    <w:p w14:paraId="34893DE2" w14:textId="77777777" w:rsidR="002C1AAC" w:rsidRPr="006719D0" w:rsidRDefault="002C1AAC" w:rsidP="002C1AAC">
                      <w:pPr>
                        <w:numPr>
                          <w:ilvl w:val="0"/>
                          <w:numId w:val="24"/>
                        </w:numPr>
                        <w:rPr>
                          <w:rFonts w:cs="Arial"/>
                        </w:rPr>
                      </w:pPr>
                      <w:r w:rsidRPr="006719D0">
                        <w:rPr>
                          <w:rFonts w:cs="Arial"/>
                        </w:rPr>
                        <w:t>•provide guidance to require all aspects of the mental health and justice systems (e.g. mental health services, Victoria Police, courts) to improve their responses to people who use family violence and are experiencing mental health issues.</w:t>
                      </w:r>
                    </w:p>
                    <w:p w14:paraId="1017D195" w14:textId="77777777" w:rsidR="002C1AAC" w:rsidRDefault="002C1AAC" w:rsidP="002C1AAC">
                      <w:r w:rsidRPr="00DE603E">
                        <w:rPr>
                          <w:rFonts w:eastAsia="Arial" w:cs="Arial"/>
                        </w:rPr>
                        <w:t xml:space="preserve">We also encourage any family violence reform to consider the findings and recommendations of the current Royal Commission into Victoria’s Mental Health system (RCVMHS), particularly any recommendations that </w:t>
                      </w:r>
                      <w:r>
                        <w:t>support people who experience and use family violence to access family violence services, and seek to improve responses to family violence in the mental health system.</w:t>
                      </w:r>
                    </w:p>
                  </w:txbxContent>
                </v:textbox>
                <w10:anchorlock/>
              </v:shape>
            </w:pict>
          </mc:Fallback>
        </mc:AlternateContent>
      </w:r>
    </w:p>
    <w:sectPr w:rsidR="00AB001E" w:rsidRPr="002C1AAC" w:rsidSect="00AB001E">
      <w:pgSz w:w="11906" w:h="16838" w:code="9"/>
      <w:pgMar w:top="851" w:right="1021" w:bottom="851" w:left="1021" w:header="851"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AE06" w14:textId="77777777" w:rsidR="00976902" w:rsidRDefault="00976902">
      <w:r>
        <w:separator/>
      </w:r>
    </w:p>
    <w:p w14:paraId="07790169" w14:textId="77777777" w:rsidR="00976902" w:rsidRDefault="00976902"/>
    <w:p w14:paraId="4837DBD5" w14:textId="77777777" w:rsidR="00976902" w:rsidRDefault="00976902"/>
  </w:endnote>
  <w:endnote w:type="continuationSeparator" w:id="0">
    <w:p w14:paraId="732C9084" w14:textId="77777777" w:rsidR="00976902" w:rsidRDefault="00976902">
      <w:r>
        <w:continuationSeparator/>
      </w:r>
    </w:p>
    <w:p w14:paraId="0FB10BDF" w14:textId="77777777" w:rsidR="00976902" w:rsidRDefault="00976902"/>
    <w:p w14:paraId="16211D7E" w14:textId="77777777" w:rsidR="00976902" w:rsidRDefault="00976902"/>
  </w:endnote>
  <w:endnote w:type="continuationNotice" w:id="1">
    <w:p w14:paraId="19DCFD05" w14:textId="77777777" w:rsidR="00976902" w:rsidRDefault="00976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venir Next">
    <w:altName w:val="Calibri"/>
    <w:charset w:val="00"/>
    <w:family w:val="swiss"/>
    <w:pitch w:val="variable"/>
    <w:sig w:usb0="8000002F" w:usb1="5000204A" w:usb2="00000000" w:usb3="00000000" w:csb0="0000009B"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18"/>
      </w:rPr>
      <w:id w:val="689806785"/>
      <w:docPartObj>
        <w:docPartGallery w:val="Page Numbers (Bottom of Page)"/>
        <w:docPartUnique/>
      </w:docPartObj>
    </w:sdtPr>
    <w:sdtEndPr/>
    <w:sdtContent>
      <w:p w14:paraId="4C9D3DE5" w14:textId="2E8C506B" w:rsidR="00D049DD" w:rsidRDefault="00D049DD" w:rsidP="008D31CF">
        <w:pPr>
          <w:pStyle w:val="Filename"/>
          <w:tabs>
            <w:tab w:val="clear" w:pos="9240"/>
            <w:tab w:val="right" w:pos="9864"/>
          </w:tabs>
          <w:jc w:val="center"/>
        </w:pPr>
        <w:r>
          <w:t>A joint submission of VLA, the Federation and WLSV to the FVRIM - July 2020</w:t>
        </w:r>
      </w:p>
      <w:p w14:paraId="25DD11AB" w14:textId="538C4CBA" w:rsidR="00D049DD" w:rsidRPr="00AE4D43" w:rsidRDefault="00D049DD">
        <w:pPr>
          <w:pStyle w:val="Footer"/>
          <w:jc w:val="center"/>
          <w:rPr>
            <w:sz w:val="18"/>
            <w:szCs w:val="18"/>
          </w:rPr>
        </w:pPr>
        <w:r w:rsidRPr="00AE4D43">
          <w:rPr>
            <w:sz w:val="18"/>
            <w:szCs w:val="18"/>
          </w:rPr>
          <w:fldChar w:fldCharType="begin"/>
        </w:r>
        <w:r w:rsidRPr="004015F9">
          <w:rPr>
            <w:sz w:val="18"/>
            <w:szCs w:val="18"/>
          </w:rPr>
          <w:instrText xml:space="preserve"> PAGE   \* MERGEFORMAT </w:instrText>
        </w:r>
        <w:r w:rsidRPr="00AE4D43">
          <w:rPr>
            <w:sz w:val="18"/>
            <w:szCs w:val="18"/>
          </w:rPr>
          <w:fldChar w:fldCharType="separate"/>
        </w:r>
        <w:r w:rsidRPr="004015F9">
          <w:rPr>
            <w:noProof/>
            <w:sz w:val="18"/>
            <w:szCs w:val="18"/>
          </w:rPr>
          <w:t>2</w:t>
        </w:r>
        <w:r w:rsidRPr="00AE4D43">
          <w:rPr>
            <w:noProof/>
            <w:sz w:val="18"/>
            <w:szCs w:val="18"/>
          </w:rPr>
          <w:fldChar w:fldCharType="end"/>
        </w:r>
      </w:p>
    </w:sdtContent>
  </w:sdt>
  <w:p w14:paraId="7DD96745" w14:textId="77777777" w:rsidR="00D049DD" w:rsidRDefault="00D04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1A498" w14:textId="77777777" w:rsidR="00D049DD" w:rsidRPr="0040537D" w:rsidRDefault="00D049DD" w:rsidP="0040537D">
    <w:pPr>
      <w:pStyle w:val="Filename"/>
      <w:pBdr>
        <w:top w:val="none" w:sz="0" w:space="0" w:color="auto"/>
      </w:pBdr>
      <w:tabs>
        <w:tab w:val="clear" w:pos="9240"/>
      </w:tabs>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EF2C" w14:textId="7BD9B00C" w:rsidR="00D049DD" w:rsidRDefault="00D049DD" w:rsidP="003C1ADD">
    <w:pPr>
      <w:pStyle w:val="Filename"/>
      <w:tabs>
        <w:tab w:val="clear" w:pos="9240"/>
        <w:tab w:val="left" w:pos="1985"/>
      </w:tabs>
      <w:ind w:firstLine="1440"/>
    </w:pPr>
    <w:r>
      <w:t>A joint submission of VLA, the Federation and WLSV to the FVRIM - July 2020</w:t>
    </w:r>
  </w:p>
  <w:p w14:paraId="542C1937" w14:textId="77777777" w:rsidR="00D049DD" w:rsidRPr="002B4970" w:rsidRDefault="00D049DD" w:rsidP="00161EEF">
    <w:pPr>
      <w:pStyle w:val="Filename"/>
      <w:pBdr>
        <w:top w:val="none" w:sz="0" w:space="0" w:color="auto"/>
      </w:pBdr>
      <w:tabs>
        <w:tab w:val="clear" w:pos="9240"/>
      </w:tabs>
      <w:jc w:val="center"/>
      <w:rPr>
        <w:szCs w:val="18"/>
      </w:rPr>
    </w:pPr>
    <w:r w:rsidRPr="004015F9">
      <w:rPr>
        <w:rStyle w:val="PageNumber"/>
      </w:rPr>
      <w:fldChar w:fldCharType="begin"/>
    </w:r>
    <w:r w:rsidRPr="004015F9">
      <w:rPr>
        <w:rStyle w:val="PageNumber"/>
        <w:rFonts w:cs="Arial"/>
        <w:szCs w:val="18"/>
      </w:rPr>
      <w:instrText xml:space="preserve"> PAGE </w:instrText>
    </w:r>
    <w:r w:rsidRPr="004015F9">
      <w:rPr>
        <w:rStyle w:val="PageNumber"/>
        <w:rFonts w:cs="Arial"/>
        <w:szCs w:val="18"/>
      </w:rPr>
      <w:fldChar w:fldCharType="separate"/>
    </w:r>
    <w:r w:rsidRPr="004015F9">
      <w:rPr>
        <w:rStyle w:val="PageNumber"/>
        <w:rFonts w:cs="Arial"/>
        <w:noProof/>
        <w:szCs w:val="18"/>
      </w:rPr>
      <w:t>1</w:t>
    </w:r>
    <w:r w:rsidRPr="004015F9">
      <w:rPr>
        <w:rStyle w:val="PageNumbe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3275" w14:textId="77777777" w:rsidR="00976902" w:rsidRPr="00E9228F" w:rsidRDefault="00976902" w:rsidP="00E9228F">
      <w:pPr>
        <w:rPr>
          <w:sz w:val="18"/>
          <w:szCs w:val="18"/>
        </w:rPr>
      </w:pPr>
      <w:r w:rsidRPr="006831FC">
        <w:rPr>
          <w:sz w:val="18"/>
        </w:rPr>
        <w:separator/>
      </w:r>
    </w:p>
  </w:footnote>
  <w:footnote w:type="continuationSeparator" w:id="0">
    <w:p w14:paraId="1EF82A43" w14:textId="77777777" w:rsidR="00976902" w:rsidRDefault="00976902">
      <w:r>
        <w:continuationSeparator/>
      </w:r>
    </w:p>
    <w:p w14:paraId="317A01B1" w14:textId="77777777" w:rsidR="00976902" w:rsidRDefault="00976902"/>
    <w:p w14:paraId="309FA35E" w14:textId="77777777" w:rsidR="00976902" w:rsidRDefault="00976902"/>
  </w:footnote>
  <w:footnote w:type="continuationNotice" w:id="1">
    <w:p w14:paraId="152157C1" w14:textId="77777777" w:rsidR="00976902" w:rsidRDefault="00976902">
      <w:pPr>
        <w:spacing w:after="0" w:line="240" w:lineRule="auto"/>
      </w:pPr>
    </w:p>
  </w:footnote>
  <w:footnote w:id="2">
    <w:p w14:paraId="7C028137" w14:textId="77777777" w:rsidR="005157AF" w:rsidRDefault="005157AF" w:rsidP="005157AF">
      <w:pPr>
        <w:pStyle w:val="FootnoteText"/>
        <w:spacing w:after="0" w:line="240" w:lineRule="auto"/>
      </w:pPr>
      <w:r>
        <w:rPr>
          <w:rStyle w:val="FootnoteReference"/>
        </w:rPr>
        <w:footnoteRef/>
      </w:r>
      <w:r>
        <w:t xml:space="preserve"> The family violence service system is treated in the Legal Practice Model as including, but not limited to, legal services, Police, specialist family violence services, universal community and social services, The Orange </w:t>
      </w:r>
      <w:proofErr w:type="gramStart"/>
      <w:r>
        <w:t>Door</w:t>
      </w:r>
      <w:proofErr w:type="gramEnd"/>
      <w:r>
        <w:t xml:space="preserve"> and the Courts.</w:t>
      </w:r>
    </w:p>
  </w:footnote>
  <w:footnote w:id="3">
    <w:p w14:paraId="07241498" w14:textId="77777777" w:rsidR="005157AF" w:rsidRPr="0075553C" w:rsidRDefault="005157AF" w:rsidP="005157AF">
      <w:pPr>
        <w:pStyle w:val="FootnoteText"/>
        <w:spacing w:after="0" w:line="240" w:lineRule="auto"/>
        <w:ind w:left="0" w:firstLine="0"/>
      </w:pPr>
      <w:r>
        <w:rPr>
          <w:rStyle w:val="FootnoteReference"/>
        </w:rPr>
        <w:footnoteRef/>
      </w:r>
      <w:r>
        <w:t xml:space="preserve"> </w:t>
      </w:r>
      <w:r>
        <w:rPr>
          <w:rFonts w:cs="Arial"/>
          <w:szCs w:val="18"/>
        </w:rPr>
        <w:t xml:space="preserve">Cloverdale, Richard, </w:t>
      </w:r>
      <w:r>
        <w:rPr>
          <w:rFonts w:cs="Arial"/>
          <w:i/>
          <w:iCs/>
          <w:szCs w:val="18"/>
        </w:rPr>
        <w:t xml:space="preserve">Postcode Justice Rural and Regional Disadvantage in the Administration of Law </w:t>
      </w:r>
      <w:r>
        <w:rPr>
          <w:rFonts w:cs="Arial"/>
          <w:szCs w:val="18"/>
        </w:rPr>
        <w:t>in Deakin Law Review Vol 16, No.1 (2011) p156</w:t>
      </w:r>
    </w:p>
  </w:footnote>
  <w:footnote w:id="4">
    <w:p w14:paraId="2D49B8B3" w14:textId="552A429F" w:rsidR="00D049DD" w:rsidRDefault="00D049DD" w:rsidP="00DF1D8C">
      <w:pPr>
        <w:pStyle w:val="FootnoteText"/>
        <w:spacing w:after="0" w:line="240" w:lineRule="auto"/>
      </w:pPr>
      <w:r w:rsidRPr="00F313CD">
        <w:rPr>
          <w:rStyle w:val="FootnoteReference"/>
        </w:rPr>
        <w:footnoteRef/>
      </w:r>
      <w:r w:rsidRPr="00F313CD">
        <w:t xml:space="preserve"> Department of Justice and Regulation, </w:t>
      </w:r>
      <w:r w:rsidRPr="00F313CD">
        <w:rPr>
          <w:i/>
          <w:iCs/>
        </w:rPr>
        <w:t>Access to Justice Review (Full Report)</w:t>
      </w:r>
      <w:r>
        <w:rPr>
          <w:i/>
          <w:iCs/>
        </w:rPr>
        <w:t>,</w:t>
      </w:r>
      <w:r w:rsidRPr="00F313CD">
        <w:rPr>
          <w:i/>
          <w:iCs/>
        </w:rPr>
        <w:t xml:space="preserve"> </w:t>
      </w:r>
      <w:r w:rsidRPr="00F313CD">
        <w:t>(August 2016) p73</w:t>
      </w:r>
    </w:p>
  </w:footnote>
  <w:footnote w:id="5">
    <w:p w14:paraId="4210FFC0" w14:textId="2F469419" w:rsidR="00D049DD" w:rsidRDefault="00D049DD" w:rsidP="00DF1D8C">
      <w:pPr>
        <w:pStyle w:val="FootnoteText"/>
        <w:spacing w:after="0" w:line="240" w:lineRule="auto"/>
      </w:pPr>
      <w:r>
        <w:rPr>
          <w:rStyle w:val="FootnoteReference"/>
        </w:rPr>
        <w:footnoteRef/>
      </w:r>
      <w:r>
        <w:t xml:space="preserve"> Ibid.</w:t>
      </w:r>
    </w:p>
  </w:footnote>
  <w:footnote w:id="6">
    <w:p w14:paraId="781BFF9F" w14:textId="6287BF8D" w:rsidR="00D049DD" w:rsidRPr="00CA633D" w:rsidRDefault="00D049DD" w:rsidP="00102C45">
      <w:pPr>
        <w:pStyle w:val="FootnoteText"/>
        <w:spacing w:after="0" w:line="240" w:lineRule="auto"/>
      </w:pPr>
      <w:r>
        <w:rPr>
          <w:rStyle w:val="FootnoteReference"/>
        </w:rPr>
        <w:footnoteRef/>
      </w:r>
      <w:r>
        <w:t xml:space="preserve"> Victorian Auditor General’s Report, </w:t>
      </w:r>
      <w:r>
        <w:rPr>
          <w:i/>
          <w:iCs/>
        </w:rPr>
        <w:t xml:space="preserve">The Support and Safety Hubs </w:t>
      </w:r>
      <w:r>
        <w:t>(May 2020) pp12</w:t>
      </w:r>
    </w:p>
  </w:footnote>
  <w:footnote w:id="7">
    <w:p w14:paraId="68B52BBD" w14:textId="77777777" w:rsidR="00D049DD" w:rsidRDefault="00D049DD" w:rsidP="001E6D1C">
      <w:pPr>
        <w:pStyle w:val="FootnoteText"/>
        <w:spacing w:after="0" w:line="240" w:lineRule="auto"/>
      </w:pPr>
      <w:r>
        <w:rPr>
          <w:rStyle w:val="FootnoteReference"/>
        </w:rPr>
        <w:footnoteRef/>
      </w:r>
      <w:r>
        <w:t xml:space="preserve"> Ibid p16</w:t>
      </w:r>
    </w:p>
  </w:footnote>
  <w:footnote w:id="8">
    <w:p w14:paraId="29A2EA00" w14:textId="40A90C6C" w:rsidR="00D049DD" w:rsidRDefault="00D049DD" w:rsidP="009664CD">
      <w:pPr>
        <w:pStyle w:val="FootnoteText"/>
        <w:spacing w:after="0" w:line="240" w:lineRule="auto"/>
        <w:ind w:left="0" w:firstLine="0"/>
      </w:pPr>
      <w:r>
        <w:rPr>
          <w:rStyle w:val="FootnoteReference"/>
        </w:rPr>
        <w:footnoteRef/>
      </w:r>
      <w:r>
        <w:t xml:space="preserve"> ‘These components’ refers to a range of a ‘future set of functions’ including legal services to expand the function of the Hubs “An example of a component in the future hub model is co</w:t>
      </w:r>
      <w:r>
        <w:rPr>
          <w:rFonts w:ascii="Cambria Math" w:hAnsi="Cambria Math" w:cs="Cambria Math"/>
        </w:rPr>
        <w:t>‐</w:t>
      </w:r>
      <w:r>
        <w:t>locating other services in hubs, such as legal services”</w:t>
      </w:r>
    </w:p>
  </w:footnote>
  <w:footnote w:id="9">
    <w:p w14:paraId="53036B06" w14:textId="4CC0A836" w:rsidR="00D049DD" w:rsidRDefault="00D049DD" w:rsidP="009664CD">
      <w:pPr>
        <w:pStyle w:val="FootnoteText"/>
        <w:spacing w:after="0" w:line="240" w:lineRule="auto"/>
        <w:ind w:left="0" w:firstLine="0"/>
      </w:pPr>
      <w:r>
        <w:rPr>
          <w:rStyle w:val="FootnoteReference"/>
        </w:rPr>
        <w:footnoteRef/>
      </w:r>
      <w:r>
        <w:t xml:space="preserve"> Ibid p12</w:t>
      </w:r>
    </w:p>
  </w:footnote>
  <w:footnote w:id="10">
    <w:p w14:paraId="188BF366" w14:textId="7C46A512" w:rsidR="00D049DD" w:rsidRDefault="00D049DD" w:rsidP="00102C45">
      <w:pPr>
        <w:pStyle w:val="FootnoteText"/>
        <w:spacing w:after="0" w:line="240" w:lineRule="auto"/>
      </w:pPr>
      <w:r>
        <w:rPr>
          <w:rStyle w:val="FootnoteReference"/>
        </w:rPr>
        <w:footnoteRef/>
      </w:r>
      <w:r>
        <w:t xml:space="preserve"> Ibid p14</w:t>
      </w:r>
    </w:p>
  </w:footnote>
  <w:footnote w:id="11">
    <w:p w14:paraId="49D1F4FB" w14:textId="2F3E00AD" w:rsidR="00D049DD" w:rsidRDefault="00D049DD" w:rsidP="00B15205">
      <w:pPr>
        <w:pStyle w:val="FootnoteText"/>
        <w:spacing w:after="0" w:line="240" w:lineRule="auto"/>
      </w:pPr>
      <w:r w:rsidRPr="7A90EBBD">
        <w:rPr>
          <w:rStyle w:val="FootnoteReference"/>
        </w:rPr>
        <w:footnoteRef/>
      </w:r>
      <w:r>
        <w:t xml:space="preserve"> </w:t>
      </w:r>
      <w:r w:rsidRPr="7A90EBBD">
        <w:rPr>
          <w:rFonts w:cs="Avenir Next"/>
          <w:color w:val="000000" w:themeColor="text1"/>
        </w:rPr>
        <w:t xml:space="preserve"> </w:t>
      </w:r>
      <w:r w:rsidRPr="7A90EBBD">
        <w:rPr>
          <w:rStyle w:val="A0"/>
        </w:rPr>
        <w:t xml:space="preserve">Campbell, E., Richter, J., Howard, J., &amp; Cockburn, H. (2020). </w:t>
      </w:r>
      <w:r w:rsidRPr="7A90EBBD">
        <w:rPr>
          <w:rStyle w:val="A0"/>
          <w:i/>
          <w:iCs/>
        </w:rPr>
        <w:t xml:space="preserve">The PIPA project: Positive interventions for perpetrators of adolescent violence in the home (AVITH) </w:t>
      </w:r>
      <w:r w:rsidRPr="7A90EBBD">
        <w:rPr>
          <w:rStyle w:val="A0"/>
        </w:rPr>
        <w:t xml:space="preserve">(Research report, 04/2020). Sydney, NSW: ANROWS </w:t>
      </w:r>
      <w:r w:rsidRPr="7A90EBBD">
        <w:rPr>
          <w:rFonts w:cs="Avenir Next"/>
          <w:color w:val="000000" w:themeColor="text1"/>
        </w:rPr>
        <w:t>p.211</w:t>
      </w:r>
    </w:p>
  </w:footnote>
  <w:footnote w:id="12">
    <w:p w14:paraId="43428434" w14:textId="2AE8BA9B" w:rsidR="00D049DD" w:rsidRDefault="00D049DD" w:rsidP="006A1FD3">
      <w:pPr>
        <w:pStyle w:val="FootnoteText"/>
        <w:spacing w:after="0" w:line="240" w:lineRule="auto"/>
        <w:rPr>
          <w:rFonts w:eastAsia="Calibri Light"/>
        </w:rPr>
      </w:pPr>
      <w:r>
        <w:rPr>
          <w:rStyle w:val="FootnoteReference"/>
        </w:rPr>
        <w:footnoteRef/>
      </w:r>
      <w:r>
        <w:t xml:space="preserve"> </w:t>
      </w:r>
      <w:r w:rsidRPr="00920D9D">
        <w:rPr>
          <w:rFonts w:eastAsia="Calibri Light" w:cs="Arial"/>
          <w:szCs w:val="18"/>
        </w:rPr>
        <w:t xml:space="preserve">The Infringements Working Group, which is co-convened by Justice Connect, </w:t>
      </w:r>
      <w:proofErr w:type="spellStart"/>
      <w:r w:rsidRPr="00920D9D">
        <w:rPr>
          <w:rFonts w:eastAsia="Calibri Light" w:cs="Arial"/>
          <w:szCs w:val="18"/>
        </w:rPr>
        <w:t>WEstjustice</w:t>
      </w:r>
      <w:proofErr w:type="spellEnd"/>
      <w:r w:rsidRPr="00920D9D">
        <w:rPr>
          <w:rFonts w:eastAsia="Calibri Light" w:cs="Arial"/>
          <w:szCs w:val="18"/>
        </w:rPr>
        <w:t xml:space="preserve"> and Uniting, is an alliance of 38 organisations from the legal assistance and financial counselling sectors that provide frontline help with infringements to vulnerable Victorians, including family violence victim/survivors.</w:t>
      </w:r>
    </w:p>
  </w:footnote>
  <w:footnote w:id="13">
    <w:p w14:paraId="5C4F4CD6" w14:textId="05ADE8DB" w:rsidR="00D049DD" w:rsidRDefault="00D049DD" w:rsidP="006A1FD3">
      <w:pPr>
        <w:pStyle w:val="FootnoteText"/>
        <w:spacing w:after="0" w:line="240" w:lineRule="auto"/>
        <w:rPr>
          <w:rFonts w:eastAsia="Arial" w:cs="Arial"/>
        </w:rPr>
      </w:pPr>
      <w:r>
        <w:rPr>
          <w:rStyle w:val="FootnoteReference"/>
        </w:rPr>
        <w:footnoteRef/>
      </w:r>
      <w:r>
        <w:t xml:space="preserve"> </w:t>
      </w:r>
      <w:r w:rsidRPr="00920D9D">
        <w:rPr>
          <w:rFonts w:eastAsia="Calibri Light" w:cs="Arial"/>
          <w:szCs w:val="18"/>
        </w:rPr>
        <w:t>Royal Commission into Family Violence, Report and Recommendations, available at: &lt;</w:t>
      </w:r>
      <w:r w:rsidRPr="00920D9D">
        <w:rPr>
          <w:rStyle w:val="Hyperlink"/>
          <w:rFonts w:eastAsia="Calibri Light" w:cs="Arial"/>
          <w:szCs w:val="18"/>
        </w:rPr>
        <w:t>http://rcfv.archive.royalcommission.vic.gov.au/Report-Recommendations.html</w:t>
      </w:r>
      <w:r w:rsidRPr="00920D9D">
        <w:rPr>
          <w:rFonts w:eastAsia="Calibri Light" w:cs="Arial"/>
          <w:szCs w:val="18"/>
        </w:rPr>
        <w:t>&gt;</w:t>
      </w:r>
    </w:p>
  </w:footnote>
  <w:footnote w:id="14">
    <w:p w14:paraId="5F65EF50" w14:textId="77777777" w:rsidR="00D049DD" w:rsidRPr="005B0CD4" w:rsidRDefault="00D049DD" w:rsidP="00977075">
      <w:pPr>
        <w:rPr>
          <w:rFonts w:eastAsia="Arial" w:cs="Arial"/>
          <w:sz w:val="18"/>
          <w:szCs w:val="18"/>
          <w:highlight w:val="yellow"/>
        </w:rPr>
      </w:pPr>
      <w:r w:rsidRPr="005B0CD4">
        <w:rPr>
          <w:rStyle w:val="FootnoteReference"/>
          <w:rFonts w:cs="Arial"/>
          <w:szCs w:val="18"/>
        </w:rPr>
        <w:footnoteRef/>
      </w:r>
      <w:r w:rsidRPr="005B0CD4">
        <w:rPr>
          <w:rFonts w:cs="Arial"/>
          <w:sz w:val="18"/>
          <w:szCs w:val="18"/>
        </w:rPr>
        <w:t xml:space="preserve"> </w:t>
      </w:r>
      <w:r w:rsidRPr="005B0CD4">
        <w:rPr>
          <w:rFonts w:eastAsia="Arial" w:cs="Arial"/>
          <w:sz w:val="18"/>
          <w:szCs w:val="18"/>
        </w:rPr>
        <w:t>s233B(2)(a) and (b) of the RTA</w:t>
      </w:r>
    </w:p>
  </w:footnote>
  <w:footnote w:id="15">
    <w:p w14:paraId="26AA4C54" w14:textId="6068BB01" w:rsidR="00D049DD" w:rsidRPr="00B31B5D" w:rsidRDefault="00D049DD" w:rsidP="00002C6D">
      <w:pPr>
        <w:pStyle w:val="FootnoteText"/>
        <w:spacing w:after="0" w:line="240" w:lineRule="auto"/>
        <w:ind w:left="0" w:firstLine="0"/>
        <w:rPr>
          <w:szCs w:val="18"/>
        </w:rPr>
      </w:pPr>
      <w:r w:rsidRPr="00B31B5D">
        <w:rPr>
          <w:rStyle w:val="FootnoteReference"/>
          <w:szCs w:val="18"/>
        </w:rPr>
        <w:footnoteRef/>
      </w:r>
      <w:r w:rsidRPr="00B31B5D">
        <w:rPr>
          <w:szCs w:val="18"/>
        </w:rPr>
        <w:t xml:space="preserve"> </w:t>
      </w:r>
      <w:r w:rsidRPr="00002C6D">
        <w:rPr>
          <w:rStyle w:val="FootnoteReference"/>
          <w:rFonts w:cs="Arial"/>
          <w:szCs w:val="18"/>
          <w:vertAlign w:val="baseline"/>
        </w:rPr>
        <w:t>Victoria</w:t>
      </w:r>
      <w:r w:rsidRPr="00B31B5D">
        <w:rPr>
          <w:szCs w:val="18"/>
        </w:rPr>
        <w:t xml:space="preserve"> Legal Aid, Submissions to the Royal Commission into Victoria’s Mental Health System, </w:t>
      </w:r>
      <w:r w:rsidRPr="00B31B5D">
        <w:rPr>
          <w:i/>
          <w:szCs w:val="18"/>
        </w:rPr>
        <w:t xml:space="preserve">Roads to Recovery: Building a better </w:t>
      </w:r>
      <w:r w:rsidRPr="00002C6D">
        <w:rPr>
          <w:rStyle w:val="FootnoteReference"/>
          <w:rFonts w:cs="Arial"/>
          <w:szCs w:val="18"/>
          <w:vertAlign w:val="baseline"/>
        </w:rPr>
        <w:t>system</w:t>
      </w:r>
      <w:r w:rsidRPr="00B31B5D">
        <w:rPr>
          <w:i/>
          <w:szCs w:val="18"/>
        </w:rPr>
        <w:t xml:space="preserve"> for people experiencing mental health in Victoria </w:t>
      </w:r>
      <w:r w:rsidRPr="00B31B5D">
        <w:rPr>
          <w:szCs w:val="18"/>
        </w:rPr>
        <w:t xml:space="preserve">(July 2019) and </w:t>
      </w:r>
      <w:r w:rsidRPr="00B31B5D">
        <w:rPr>
          <w:i/>
          <w:szCs w:val="18"/>
        </w:rPr>
        <w:t xml:space="preserve">Paving the Roads to Recovery: Our recommendations </w:t>
      </w:r>
      <w:r w:rsidRPr="00B31B5D">
        <w:rPr>
          <w:szCs w:val="18"/>
        </w:rPr>
        <w:t>(</w:t>
      </w:r>
      <w:r w:rsidRPr="00002C6D">
        <w:rPr>
          <w:rFonts w:cs="Arial"/>
          <w:szCs w:val="18"/>
        </w:rPr>
        <w:t>May 2020)</w:t>
      </w:r>
    </w:p>
  </w:footnote>
  <w:footnote w:id="16">
    <w:p w14:paraId="296AC089" w14:textId="7B2C999B" w:rsidR="000F255D" w:rsidRPr="00AF1182" w:rsidRDefault="000F255D" w:rsidP="000F255D">
      <w:pPr>
        <w:pStyle w:val="FootnoteText"/>
        <w:spacing w:after="0" w:line="240" w:lineRule="auto"/>
      </w:pPr>
      <w:r w:rsidRPr="00B31B5D">
        <w:rPr>
          <w:rStyle w:val="FootnoteReference"/>
          <w:szCs w:val="18"/>
        </w:rPr>
        <w:footnoteRef/>
      </w:r>
      <w:r w:rsidRPr="00B31B5D">
        <w:rPr>
          <w:szCs w:val="18"/>
        </w:rPr>
        <w:t xml:space="preserve"> Roads to Recovery</w:t>
      </w:r>
      <w:r w:rsidR="0065584E">
        <w:rPr>
          <w:szCs w:val="18"/>
        </w:rPr>
        <w:t xml:space="preserve">, </w:t>
      </w:r>
      <w:r w:rsidR="00E01101">
        <w:rPr>
          <w:szCs w:val="18"/>
        </w:rPr>
        <w:t>above,</w:t>
      </w:r>
      <w:r w:rsidRPr="00B31B5D">
        <w:rPr>
          <w:szCs w:val="18"/>
        </w:rPr>
        <w:t xml:space="preserve"> </w:t>
      </w:r>
      <w:r w:rsidR="004331E2">
        <w:rPr>
          <w:szCs w:val="18"/>
        </w:rPr>
        <w:t>p.</w:t>
      </w:r>
      <w:r w:rsidRPr="00B31B5D">
        <w:rPr>
          <w:szCs w:val="18"/>
        </w:rPr>
        <w:t>53.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8043F" w14:textId="1BD47DDE" w:rsidR="00D049DD" w:rsidRDefault="00D049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C743" w14:textId="55F5EB85" w:rsidR="00D049DD" w:rsidRDefault="00D049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F8E5A" w14:textId="2CC3AB59" w:rsidR="00D049DD" w:rsidRPr="006014A8" w:rsidRDefault="00AB185D" w:rsidP="0043189B">
    <w:pPr>
      <w:tabs>
        <w:tab w:val="left" w:pos="21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46A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07460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ED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3612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E84A3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3"/>
    <w:multiLevelType w:val="singleLevel"/>
    <w:tmpl w:val="6A8A9AA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954F19A"/>
    <w:lvl w:ilvl="0">
      <w:start w:val="1"/>
      <w:numFmt w:val="decimal"/>
      <w:pStyle w:val="ListNumber"/>
      <w:lvlText w:val="%1."/>
      <w:lvlJc w:val="left"/>
      <w:pPr>
        <w:tabs>
          <w:tab w:val="num" w:pos="360"/>
        </w:tabs>
        <w:ind w:left="360" w:hanging="360"/>
      </w:pPr>
    </w:lvl>
  </w:abstractNum>
  <w:abstractNum w:abstractNumId="7" w15:restartNumberingAfterBreak="0">
    <w:nsid w:val="09524A48"/>
    <w:multiLevelType w:val="hybridMultilevel"/>
    <w:tmpl w:val="F308F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A37137"/>
    <w:multiLevelType w:val="hybridMultilevel"/>
    <w:tmpl w:val="24485AB6"/>
    <w:lvl w:ilvl="0" w:tplc="6E961128">
      <w:start w:val="1"/>
      <w:numFmt w:val="bullet"/>
      <w:lvlText w:val=""/>
      <w:lvlJc w:val="left"/>
      <w:pPr>
        <w:ind w:left="720" w:hanging="360"/>
      </w:pPr>
      <w:rPr>
        <w:rFonts w:ascii="Symbol" w:hAnsi="Symbol" w:hint="default"/>
      </w:rPr>
    </w:lvl>
    <w:lvl w:ilvl="1" w:tplc="90D495EA">
      <w:start w:val="1"/>
      <w:numFmt w:val="bullet"/>
      <w:lvlText w:val="o"/>
      <w:lvlJc w:val="left"/>
      <w:pPr>
        <w:ind w:left="1440" w:hanging="360"/>
      </w:pPr>
      <w:rPr>
        <w:rFonts w:ascii="Courier New" w:hAnsi="Courier New" w:hint="default"/>
      </w:rPr>
    </w:lvl>
    <w:lvl w:ilvl="2" w:tplc="A6D25E0A">
      <w:start w:val="1"/>
      <w:numFmt w:val="bullet"/>
      <w:lvlText w:val=""/>
      <w:lvlJc w:val="left"/>
      <w:pPr>
        <w:ind w:left="2160" w:hanging="360"/>
      </w:pPr>
      <w:rPr>
        <w:rFonts w:ascii="Wingdings" w:hAnsi="Wingdings" w:hint="default"/>
      </w:rPr>
    </w:lvl>
    <w:lvl w:ilvl="3" w:tplc="39D8856E">
      <w:start w:val="1"/>
      <w:numFmt w:val="bullet"/>
      <w:lvlText w:val=""/>
      <w:lvlJc w:val="left"/>
      <w:pPr>
        <w:ind w:left="2880" w:hanging="360"/>
      </w:pPr>
      <w:rPr>
        <w:rFonts w:ascii="Symbol" w:hAnsi="Symbol" w:hint="default"/>
      </w:rPr>
    </w:lvl>
    <w:lvl w:ilvl="4" w:tplc="53BEFA50">
      <w:start w:val="1"/>
      <w:numFmt w:val="bullet"/>
      <w:lvlText w:val="o"/>
      <w:lvlJc w:val="left"/>
      <w:pPr>
        <w:ind w:left="3600" w:hanging="360"/>
      </w:pPr>
      <w:rPr>
        <w:rFonts w:ascii="Courier New" w:hAnsi="Courier New" w:hint="default"/>
      </w:rPr>
    </w:lvl>
    <w:lvl w:ilvl="5" w:tplc="6A70A902">
      <w:start w:val="1"/>
      <w:numFmt w:val="bullet"/>
      <w:lvlText w:val=""/>
      <w:lvlJc w:val="left"/>
      <w:pPr>
        <w:ind w:left="4320" w:hanging="360"/>
      </w:pPr>
      <w:rPr>
        <w:rFonts w:ascii="Wingdings" w:hAnsi="Wingdings" w:hint="default"/>
      </w:rPr>
    </w:lvl>
    <w:lvl w:ilvl="6" w:tplc="48369DAA">
      <w:start w:val="1"/>
      <w:numFmt w:val="bullet"/>
      <w:lvlText w:val=""/>
      <w:lvlJc w:val="left"/>
      <w:pPr>
        <w:ind w:left="5040" w:hanging="360"/>
      </w:pPr>
      <w:rPr>
        <w:rFonts w:ascii="Symbol" w:hAnsi="Symbol" w:hint="default"/>
      </w:rPr>
    </w:lvl>
    <w:lvl w:ilvl="7" w:tplc="179ADC16">
      <w:start w:val="1"/>
      <w:numFmt w:val="bullet"/>
      <w:lvlText w:val="o"/>
      <w:lvlJc w:val="left"/>
      <w:pPr>
        <w:ind w:left="5760" w:hanging="360"/>
      </w:pPr>
      <w:rPr>
        <w:rFonts w:ascii="Courier New" w:hAnsi="Courier New" w:hint="default"/>
      </w:rPr>
    </w:lvl>
    <w:lvl w:ilvl="8" w:tplc="C2D27A76">
      <w:start w:val="1"/>
      <w:numFmt w:val="bullet"/>
      <w:lvlText w:val=""/>
      <w:lvlJc w:val="left"/>
      <w:pPr>
        <w:ind w:left="6480" w:hanging="360"/>
      </w:pPr>
      <w:rPr>
        <w:rFonts w:ascii="Wingdings" w:hAnsi="Wingdings" w:hint="default"/>
      </w:rPr>
    </w:lvl>
  </w:abstractNum>
  <w:abstractNum w:abstractNumId="9" w15:restartNumberingAfterBreak="0">
    <w:nsid w:val="0A325E9E"/>
    <w:multiLevelType w:val="hybridMultilevel"/>
    <w:tmpl w:val="52E6A8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BF3DE1"/>
    <w:multiLevelType w:val="hybridMultilevel"/>
    <w:tmpl w:val="5418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1A7D5911"/>
    <w:multiLevelType w:val="hybridMultilevel"/>
    <w:tmpl w:val="50A0870E"/>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E7594"/>
    <w:multiLevelType w:val="hybridMultilevel"/>
    <w:tmpl w:val="DF206CA4"/>
    <w:lvl w:ilvl="0" w:tplc="E1A8812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2EE13C27"/>
    <w:multiLevelType w:val="hybridMultilevel"/>
    <w:tmpl w:val="C494E83A"/>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3E2A1E"/>
    <w:multiLevelType w:val="hybridMultilevel"/>
    <w:tmpl w:val="FA32F3D0"/>
    <w:lvl w:ilvl="0" w:tplc="0C090001">
      <w:start w:val="1"/>
      <w:numFmt w:val="bullet"/>
      <w:lvlText w:val=""/>
      <w:lvlJc w:val="left"/>
      <w:pPr>
        <w:ind w:left="720" w:hanging="360"/>
      </w:pPr>
      <w:rPr>
        <w:rFonts w:ascii="Symbol" w:hAnsi="Symbol" w:hint="default"/>
        <w:color w:val="333333"/>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E342A"/>
    <w:multiLevelType w:val="multilevel"/>
    <w:tmpl w:val="1ED8B4EC"/>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AB3209C"/>
    <w:multiLevelType w:val="hybridMultilevel"/>
    <w:tmpl w:val="6E46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E142E4"/>
    <w:multiLevelType w:val="hybridMultilevel"/>
    <w:tmpl w:val="CD2A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121F56"/>
    <w:multiLevelType w:val="hybridMultilevel"/>
    <w:tmpl w:val="FFFFFFFF"/>
    <w:lvl w:ilvl="0" w:tplc="C6623BB2">
      <w:start w:val="1"/>
      <w:numFmt w:val="bullet"/>
      <w:lvlText w:val=""/>
      <w:lvlJc w:val="left"/>
      <w:pPr>
        <w:ind w:left="720" w:hanging="360"/>
      </w:pPr>
      <w:rPr>
        <w:rFonts w:ascii="Symbol" w:hAnsi="Symbol" w:hint="default"/>
      </w:rPr>
    </w:lvl>
    <w:lvl w:ilvl="1" w:tplc="6B8C6ACE">
      <w:start w:val="1"/>
      <w:numFmt w:val="bullet"/>
      <w:lvlText w:val="o"/>
      <w:lvlJc w:val="left"/>
      <w:pPr>
        <w:ind w:left="1440" w:hanging="360"/>
      </w:pPr>
      <w:rPr>
        <w:rFonts w:ascii="Courier New" w:hAnsi="Courier New" w:hint="default"/>
      </w:rPr>
    </w:lvl>
    <w:lvl w:ilvl="2" w:tplc="D32242F2">
      <w:start w:val="1"/>
      <w:numFmt w:val="bullet"/>
      <w:lvlText w:val=""/>
      <w:lvlJc w:val="left"/>
      <w:pPr>
        <w:ind w:left="2160" w:hanging="360"/>
      </w:pPr>
      <w:rPr>
        <w:rFonts w:ascii="Wingdings" w:hAnsi="Wingdings" w:hint="default"/>
      </w:rPr>
    </w:lvl>
    <w:lvl w:ilvl="3" w:tplc="B35A2662">
      <w:start w:val="1"/>
      <w:numFmt w:val="bullet"/>
      <w:lvlText w:val=""/>
      <w:lvlJc w:val="left"/>
      <w:pPr>
        <w:ind w:left="2880" w:hanging="360"/>
      </w:pPr>
      <w:rPr>
        <w:rFonts w:ascii="Symbol" w:hAnsi="Symbol" w:hint="default"/>
      </w:rPr>
    </w:lvl>
    <w:lvl w:ilvl="4" w:tplc="026C3ACE">
      <w:start w:val="1"/>
      <w:numFmt w:val="bullet"/>
      <w:lvlText w:val="o"/>
      <w:lvlJc w:val="left"/>
      <w:pPr>
        <w:ind w:left="3600" w:hanging="360"/>
      </w:pPr>
      <w:rPr>
        <w:rFonts w:ascii="Courier New" w:hAnsi="Courier New" w:hint="default"/>
      </w:rPr>
    </w:lvl>
    <w:lvl w:ilvl="5" w:tplc="7C8ED380">
      <w:start w:val="1"/>
      <w:numFmt w:val="bullet"/>
      <w:lvlText w:val=""/>
      <w:lvlJc w:val="left"/>
      <w:pPr>
        <w:ind w:left="4320" w:hanging="360"/>
      </w:pPr>
      <w:rPr>
        <w:rFonts w:ascii="Wingdings" w:hAnsi="Wingdings" w:hint="default"/>
      </w:rPr>
    </w:lvl>
    <w:lvl w:ilvl="6" w:tplc="96CEF024">
      <w:start w:val="1"/>
      <w:numFmt w:val="bullet"/>
      <w:lvlText w:val=""/>
      <w:lvlJc w:val="left"/>
      <w:pPr>
        <w:ind w:left="5040" w:hanging="360"/>
      </w:pPr>
      <w:rPr>
        <w:rFonts w:ascii="Symbol" w:hAnsi="Symbol" w:hint="default"/>
      </w:rPr>
    </w:lvl>
    <w:lvl w:ilvl="7" w:tplc="2012DB6A">
      <w:start w:val="1"/>
      <w:numFmt w:val="bullet"/>
      <w:lvlText w:val="o"/>
      <w:lvlJc w:val="left"/>
      <w:pPr>
        <w:ind w:left="5760" w:hanging="360"/>
      </w:pPr>
      <w:rPr>
        <w:rFonts w:ascii="Courier New" w:hAnsi="Courier New" w:hint="default"/>
      </w:rPr>
    </w:lvl>
    <w:lvl w:ilvl="8" w:tplc="048839B2">
      <w:start w:val="1"/>
      <w:numFmt w:val="bullet"/>
      <w:lvlText w:val=""/>
      <w:lvlJc w:val="left"/>
      <w:pPr>
        <w:ind w:left="6480" w:hanging="360"/>
      </w:pPr>
      <w:rPr>
        <w:rFonts w:ascii="Wingdings" w:hAnsi="Wingdings" w:hint="default"/>
      </w:rPr>
    </w:lvl>
  </w:abstractNum>
  <w:abstractNum w:abstractNumId="22" w15:restartNumberingAfterBreak="0">
    <w:nsid w:val="3F8169F8"/>
    <w:multiLevelType w:val="hybridMultilevel"/>
    <w:tmpl w:val="FFFFFFFF"/>
    <w:lvl w:ilvl="0" w:tplc="357C5718">
      <w:start w:val="1"/>
      <w:numFmt w:val="bullet"/>
      <w:lvlText w:val=""/>
      <w:lvlJc w:val="left"/>
      <w:pPr>
        <w:ind w:left="720" w:hanging="360"/>
      </w:pPr>
      <w:rPr>
        <w:rFonts w:ascii="Symbol" w:hAnsi="Symbol" w:hint="default"/>
      </w:rPr>
    </w:lvl>
    <w:lvl w:ilvl="1" w:tplc="CF044E60">
      <w:start w:val="1"/>
      <w:numFmt w:val="bullet"/>
      <w:lvlText w:val="o"/>
      <w:lvlJc w:val="left"/>
      <w:pPr>
        <w:ind w:left="1440" w:hanging="360"/>
      </w:pPr>
      <w:rPr>
        <w:rFonts w:ascii="Courier New" w:hAnsi="Courier New" w:hint="default"/>
      </w:rPr>
    </w:lvl>
    <w:lvl w:ilvl="2" w:tplc="090E9D22">
      <w:start w:val="1"/>
      <w:numFmt w:val="bullet"/>
      <w:lvlText w:val=""/>
      <w:lvlJc w:val="left"/>
      <w:pPr>
        <w:ind w:left="2160" w:hanging="360"/>
      </w:pPr>
      <w:rPr>
        <w:rFonts w:ascii="Wingdings" w:hAnsi="Wingdings" w:hint="default"/>
      </w:rPr>
    </w:lvl>
    <w:lvl w:ilvl="3" w:tplc="A72CD398">
      <w:start w:val="1"/>
      <w:numFmt w:val="bullet"/>
      <w:lvlText w:val=""/>
      <w:lvlJc w:val="left"/>
      <w:pPr>
        <w:ind w:left="2880" w:hanging="360"/>
      </w:pPr>
      <w:rPr>
        <w:rFonts w:ascii="Symbol" w:hAnsi="Symbol" w:hint="default"/>
      </w:rPr>
    </w:lvl>
    <w:lvl w:ilvl="4" w:tplc="05CCA3E4">
      <w:start w:val="1"/>
      <w:numFmt w:val="bullet"/>
      <w:lvlText w:val="o"/>
      <w:lvlJc w:val="left"/>
      <w:pPr>
        <w:ind w:left="3600" w:hanging="360"/>
      </w:pPr>
      <w:rPr>
        <w:rFonts w:ascii="Courier New" w:hAnsi="Courier New" w:hint="default"/>
      </w:rPr>
    </w:lvl>
    <w:lvl w:ilvl="5" w:tplc="14E61752">
      <w:start w:val="1"/>
      <w:numFmt w:val="bullet"/>
      <w:lvlText w:val=""/>
      <w:lvlJc w:val="left"/>
      <w:pPr>
        <w:ind w:left="4320" w:hanging="360"/>
      </w:pPr>
      <w:rPr>
        <w:rFonts w:ascii="Wingdings" w:hAnsi="Wingdings" w:hint="default"/>
      </w:rPr>
    </w:lvl>
    <w:lvl w:ilvl="6" w:tplc="2E14FC16">
      <w:start w:val="1"/>
      <w:numFmt w:val="bullet"/>
      <w:lvlText w:val=""/>
      <w:lvlJc w:val="left"/>
      <w:pPr>
        <w:ind w:left="5040" w:hanging="360"/>
      </w:pPr>
      <w:rPr>
        <w:rFonts w:ascii="Symbol" w:hAnsi="Symbol" w:hint="default"/>
      </w:rPr>
    </w:lvl>
    <w:lvl w:ilvl="7" w:tplc="A4BAEA70">
      <w:start w:val="1"/>
      <w:numFmt w:val="bullet"/>
      <w:lvlText w:val="o"/>
      <w:lvlJc w:val="left"/>
      <w:pPr>
        <w:ind w:left="5760" w:hanging="360"/>
      </w:pPr>
      <w:rPr>
        <w:rFonts w:ascii="Courier New" w:hAnsi="Courier New" w:hint="default"/>
      </w:rPr>
    </w:lvl>
    <w:lvl w:ilvl="8" w:tplc="5656B26A">
      <w:start w:val="1"/>
      <w:numFmt w:val="bullet"/>
      <w:lvlText w:val=""/>
      <w:lvlJc w:val="left"/>
      <w:pPr>
        <w:ind w:left="6480" w:hanging="360"/>
      </w:pPr>
      <w:rPr>
        <w:rFonts w:ascii="Wingdings" w:hAnsi="Wingdings" w:hint="default"/>
      </w:rPr>
    </w:lvl>
  </w:abstractNum>
  <w:abstractNum w:abstractNumId="23" w15:restartNumberingAfterBreak="0">
    <w:nsid w:val="43A960FB"/>
    <w:multiLevelType w:val="hybridMultilevel"/>
    <w:tmpl w:val="A09CEA7C"/>
    <w:lvl w:ilvl="0" w:tplc="5460700C">
      <w:start w:val="1"/>
      <w:numFmt w:val="bullet"/>
      <w:lvlText w:val=""/>
      <w:lvlJc w:val="left"/>
      <w:pPr>
        <w:ind w:left="720" w:hanging="360"/>
      </w:pPr>
      <w:rPr>
        <w:rFonts w:ascii="Symbol" w:hAnsi="Symbol" w:hint="default"/>
      </w:rPr>
    </w:lvl>
    <w:lvl w:ilvl="1" w:tplc="D8283364">
      <w:start w:val="1"/>
      <w:numFmt w:val="bullet"/>
      <w:lvlText w:val="o"/>
      <w:lvlJc w:val="left"/>
      <w:pPr>
        <w:ind w:left="1440" w:hanging="360"/>
      </w:pPr>
      <w:rPr>
        <w:rFonts w:ascii="Courier New" w:hAnsi="Courier New" w:hint="default"/>
      </w:rPr>
    </w:lvl>
    <w:lvl w:ilvl="2" w:tplc="F52EA7E0">
      <w:start w:val="1"/>
      <w:numFmt w:val="bullet"/>
      <w:lvlText w:val=""/>
      <w:lvlJc w:val="left"/>
      <w:pPr>
        <w:ind w:left="2160" w:hanging="360"/>
      </w:pPr>
      <w:rPr>
        <w:rFonts w:ascii="Wingdings" w:hAnsi="Wingdings" w:hint="default"/>
      </w:rPr>
    </w:lvl>
    <w:lvl w:ilvl="3" w:tplc="AFD624C2">
      <w:start w:val="1"/>
      <w:numFmt w:val="bullet"/>
      <w:lvlText w:val=""/>
      <w:lvlJc w:val="left"/>
      <w:pPr>
        <w:ind w:left="2880" w:hanging="360"/>
      </w:pPr>
      <w:rPr>
        <w:rFonts w:ascii="Symbol" w:hAnsi="Symbol" w:hint="default"/>
      </w:rPr>
    </w:lvl>
    <w:lvl w:ilvl="4" w:tplc="819E2162">
      <w:start w:val="1"/>
      <w:numFmt w:val="bullet"/>
      <w:lvlText w:val="o"/>
      <w:lvlJc w:val="left"/>
      <w:pPr>
        <w:ind w:left="3600" w:hanging="360"/>
      </w:pPr>
      <w:rPr>
        <w:rFonts w:ascii="Courier New" w:hAnsi="Courier New" w:hint="default"/>
      </w:rPr>
    </w:lvl>
    <w:lvl w:ilvl="5" w:tplc="1B722586">
      <w:start w:val="1"/>
      <w:numFmt w:val="bullet"/>
      <w:lvlText w:val=""/>
      <w:lvlJc w:val="left"/>
      <w:pPr>
        <w:ind w:left="4320" w:hanging="360"/>
      </w:pPr>
      <w:rPr>
        <w:rFonts w:ascii="Wingdings" w:hAnsi="Wingdings" w:hint="default"/>
      </w:rPr>
    </w:lvl>
    <w:lvl w:ilvl="6" w:tplc="DF28ABD2">
      <w:start w:val="1"/>
      <w:numFmt w:val="bullet"/>
      <w:lvlText w:val=""/>
      <w:lvlJc w:val="left"/>
      <w:pPr>
        <w:ind w:left="5040" w:hanging="360"/>
      </w:pPr>
      <w:rPr>
        <w:rFonts w:ascii="Symbol" w:hAnsi="Symbol" w:hint="default"/>
      </w:rPr>
    </w:lvl>
    <w:lvl w:ilvl="7" w:tplc="3C0AA7D0">
      <w:start w:val="1"/>
      <w:numFmt w:val="bullet"/>
      <w:lvlText w:val="o"/>
      <w:lvlJc w:val="left"/>
      <w:pPr>
        <w:ind w:left="5760" w:hanging="360"/>
      </w:pPr>
      <w:rPr>
        <w:rFonts w:ascii="Courier New" w:hAnsi="Courier New" w:hint="default"/>
      </w:rPr>
    </w:lvl>
    <w:lvl w:ilvl="8" w:tplc="5832D580">
      <w:start w:val="1"/>
      <w:numFmt w:val="bullet"/>
      <w:lvlText w:val=""/>
      <w:lvlJc w:val="left"/>
      <w:pPr>
        <w:ind w:left="6480" w:hanging="360"/>
      </w:pPr>
      <w:rPr>
        <w:rFonts w:ascii="Wingdings" w:hAnsi="Wingdings" w:hint="default"/>
      </w:rPr>
    </w:lvl>
  </w:abstractNum>
  <w:abstractNum w:abstractNumId="24" w15:restartNumberingAfterBreak="0">
    <w:nsid w:val="478A47FE"/>
    <w:multiLevelType w:val="hybridMultilevel"/>
    <w:tmpl w:val="FEC0B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6" w15:restartNumberingAfterBreak="0">
    <w:nsid w:val="541604D6"/>
    <w:multiLevelType w:val="hybridMultilevel"/>
    <w:tmpl w:val="9B1ADFA8"/>
    <w:lvl w:ilvl="0" w:tplc="8F729D22">
      <w:start w:val="1"/>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8" w15:restartNumberingAfterBreak="0">
    <w:nsid w:val="57436255"/>
    <w:multiLevelType w:val="hybridMultilevel"/>
    <w:tmpl w:val="3DE4B34A"/>
    <w:lvl w:ilvl="0" w:tplc="E1A8812C">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9556BDF"/>
    <w:multiLevelType w:val="hybridMultilevel"/>
    <w:tmpl w:val="A572B070"/>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6E4E87"/>
    <w:multiLevelType w:val="hybridMultilevel"/>
    <w:tmpl w:val="B9300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1C51D07"/>
    <w:multiLevelType w:val="hybridMultilevel"/>
    <w:tmpl w:val="75F0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6D3318B6"/>
    <w:multiLevelType w:val="hybridMultilevel"/>
    <w:tmpl w:val="77DCAEAE"/>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8F29AA"/>
    <w:multiLevelType w:val="hybridMultilevel"/>
    <w:tmpl w:val="3948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7" w15:restartNumberingAfterBreak="0">
    <w:nsid w:val="7B037BBE"/>
    <w:multiLevelType w:val="hybridMultilevel"/>
    <w:tmpl w:val="1826C866"/>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327C64"/>
    <w:multiLevelType w:val="multilevel"/>
    <w:tmpl w:val="B78CF440"/>
    <w:lvl w:ilvl="0">
      <w:start w:val="1"/>
      <w:numFmt w:val="bullet"/>
      <w:pStyle w:val="Listbulletcoloured"/>
      <w:lvlText w:val=""/>
      <w:lvlJc w:val="left"/>
      <w:pPr>
        <w:ind w:left="510" w:hanging="170"/>
      </w:pPr>
      <w:rPr>
        <w:rFonts w:ascii="Symbol" w:hAnsi="Symbol" w:hint="default"/>
        <w:color w:val="009DBD"/>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9" w15:restartNumberingAfterBreak="0">
    <w:nsid w:val="7D8E1323"/>
    <w:multiLevelType w:val="hybridMultilevel"/>
    <w:tmpl w:val="BC8A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CE2477"/>
    <w:multiLevelType w:val="hybridMultilevel"/>
    <w:tmpl w:val="61768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E31AB9"/>
    <w:multiLevelType w:val="hybridMultilevel"/>
    <w:tmpl w:val="A4641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7"/>
  </w:num>
  <w:num w:numId="4">
    <w:abstractNumId w:val="6"/>
  </w:num>
  <w:num w:numId="5">
    <w:abstractNumId w:val="3"/>
  </w:num>
  <w:num w:numId="6">
    <w:abstractNumId w:val="2"/>
  </w:num>
  <w:num w:numId="7">
    <w:abstractNumId w:val="1"/>
  </w:num>
  <w:num w:numId="8">
    <w:abstractNumId w:val="0"/>
  </w:num>
  <w:num w:numId="9">
    <w:abstractNumId w:val="38"/>
  </w:num>
  <w:num w:numId="10">
    <w:abstractNumId w:val="29"/>
  </w:num>
  <w:num w:numId="11">
    <w:abstractNumId w:val="26"/>
  </w:num>
  <w:num w:numId="12">
    <w:abstractNumId w:val="16"/>
  </w:num>
  <w:num w:numId="13">
    <w:abstractNumId w:val="23"/>
  </w:num>
  <w:num w:numId="14">
    <w:abstractNumId w:val="8"/>
  </w:num>
  <w:num w:numId="15">
    <w:abstractNumId w:val="21"/>
  </w:num>
  <w:num w:numId="16">
    <w:abstractNumId w:val="34"/>
  </w:num>
  <w:num w:numId="17">
    <w:abstractNumId w:val="12"/>
  </w:num>
  <w:num w:numId="18">
    <w:abstractNumId w:val="15"/>
  </w:num>
  <w:num w:numId="19">
    <w:abstractNumId w:val="37"/>
  </w:num>
  <w:num w:numId="20">
    <w:abstractNumId w:val="22"/>
  </w:num>
  <w:num w:numId="21">
    <w:abstractNumId w:val="9"/>
  </w:num>
  <w:num w:numId="22">
    <w:abstractNumId w:val="24"/>
  </w:num>
  <w:num w:numId="23">
    <w:abstractNumId w:val="35"/>
  </w:num>
  <w:num w:numId="24">
    <w:abstractNumId w:val="30"/>
  </w:num>
  <w:num w:numId="25">
    <w:abstractNumId w:val="41"/>
  </w:num>
  <w:num w:numId="26">
    <w:abstractNumId w:val="10"/>
  </w:num>
  <w:num w:numId="27">
    <w:abstractNumId w:val="20"/>
  </w:num>
  <w:num w:numId="28">
    <w:abstractNumId w:val="32"/>
  </w:num>
  <w:num w:numId="29">
    <w:abstractNumId w:val="7"/>
  </w:num>
  <w:num w:numId="30">
    <w:abstractNumId w:val="5"/>
  </w:num>
  <w:num w:numId="31">
    <w:abstractNumId w:val="19"/>
  </w:num>
  <w:num w:numId="32">
    <w:abstractNumId w:val="40"/>
  </w:num>
  <w:num w:numId="33">
    <w:abstractNumId w:val="39"/>
  </w:num>
  <w:num w:numId="34">
    <w:abstractNumId w:val="13"/>
  </w:num>
  <w:num w:numId="35">
    <w:abstractNumId w:val="28"/>
  </w:num>
  <w:num w:numId="3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08"/>
    <w:rsid w:val="000001C3"/>
    <w:rsid w:val="0000058F"/>
    <w:rsid w:val="00002C6D"/>
    <w:rsid w:val="0000389D"/>
    <w:rsid w:val="00003ED3"/>
    <w:rsid w:val="000044C0"/>
    <w:rsid w:val="00004E4F"/>
    <w:rsid w:val="00005D24"/>
    <w:rsid w:val="00005F4D"/>
    <w:rsid w:val="000073BF"/>
    <w:rsid w:val="00007914"/>
    <w:rsid w:val="00011432"/>
    <w:rsid w:val="000114E6"/>
    <w:rsid w:val="00011B5F"/>
    <w:rsid w:val="00011CA5"/>
    <w:rsid w:val="000121EB"/>
    <w:rsid w:val="000128DB"/>
    <w:rsid w:val="0001522B"/>
    <w:rsid w:val="000155A6"/>
    <w:rsid w:val="00017B7B"/>
    <w:rsid w:val="000201C7"/>
    <w:rsid w:val="00020680"/>
    <w:rsid w:val="00020AA9"/>
    <w:rsid w:val="00022C70"/>
    <w:rsid w:val="00022C83"/>
    <w:rsid w:val="00022F0E"/>
    <w:rsid w:val="00022F62"/>
    <w:rsid w:val="00023DB2"/>
    <w:rsid w:val="000240FD"/>
    <w:rsid w:val="00024642"/>
    <w:rsid w:val="00024928"/>
    <w:rsid w:val="000253DB"/>
    <w:rsid w:val="000255B2"/>
    <w:rsid w:val="00025A33"/>
    <w:rsid w:val="000265F7"/>
    <w:rsid w:val="00026A67"/>
    <w:rsid w:val="0002729E"/>
    <w:rsid w:val="0003048F"/>
    <w:rsid w:val="00030F63"/>
    <w:rsid w:val="00030F95"/>
    <w:rsid w:val="00030F97"/>
    <w:rsid w:val="00031265"/>
    <w:rsid w:val="0003250C"/>
    <w:rsid w:val="00032AF3"/>
    <w:rsid w:val="00032E33"/>
    <w:rsid w:val="00033CA5"/>
    <w:rsid w:val="00034A14"/>
    <w:rsid w:val="000350A7"/>
    <w:rsid w:val="00035BE9"/>
    <w:rsid w:val="000374D8"/>
    <w:rsid w:val="00040297"/>
    <w:rsid w:val="0004029A"/>
    <w:rsid w:val="000405A7"/>
    <w:rsid w:val="000406AF"/>
    <w:rsid w:val="00041460"/>
    <w:rsid w:val="00041512"/>
    <w:rsid w:val="000415F0"/>
    <w:rsid w:val="00041BA8"/>
    <w:rsid w:val="000423C3"/>
    <w:rsid w:val="0004280D"/>
    <w:rsid w:val="00042D19"/>
    <w:rsid w:val="000432B5"/>
    <w:rsid w:val="000437AD"/>
    <w:rsid w:val="00043FD7"/>
    <w:rsid w:val="000447FC"/>
    <w:rsid w:val="00044FFA"/>
    <w:rsid w:val="0004518B"/>
    <w:rsid w:val="00045AF7"/>
    <w:rsid w:val="0004738B"/>
    <w:rsid w:val="0005095E"/>
    <w:rsid w:val="00052B08"/>
    <w:rsid w:val="00052C02"/>
    <w:rsid w:val="00052CA4"/>
    <w:rsid w:val="00053637"/>
    <w:rsid w:val="000538F4"/>
    <w:rsid w:val="00053BFC"/>
    <w:rsid w:val="00054835"/>
    <w:rsid w:val="0005492F"/>
    <w:rsid w:val="00055123"/>
    <w:rsid w:val="00055491"/>
    <w:rsid w:val="000556E0"/>
    <w:rsid w:val="00055B69"/>
    <w:rsid w:val="00055DCE"/>
    <w:rsid w:val="00055F37"/>
    <w:rsid w:val="00056B2A"/>
    <w:rsid w:val="00056D16"/>
    <w:rsid w:val="00057979"/>
    <w:rsid w:val="000579AC"/>
    <w:rsid w:val="0006088D"/>
    <w:rsid w:val="00060928"/>
    <w:rsid w:val="0006092A"/>
    <w:rsid w:val="00060BD2"/>
    <w:rsid w:val="000610FC"/>
    <w:rsid w:val="00061147"/>
    <w:rsid w:val="000611B4"/>
    <w:rsid w:val="00061235"/>
    <w:rsid w:val="00062444"/>
    <w:rsid w:val="00062699"/>
    <w:rsid w:val="00062A23"/>
    <w:rsid w:val="00062DBF"/>
    <w:rsid w:val="000636AF"/>
    <w:rsid w:val="000638B7"/>
    <w:rsid w:val="00063A70"/>
    <w:rsid w:val="00063E7B"/>
    <w:rsid w:val="00063FDF"/>
    <w:rsid w:val="00064B2A"/>
    <w:rsid w:val="00064C98"/>
    <w:rsid w:val="00065D1A"/>
    <w:rsid w:val="00066906"/>
    <w:rsid w:val="00066BD8"/>
    <w:rsid w:val="00066E08"/>
    <w:rsid w:val="00070F6E"/>
    <w:rsid w:val="00071392"/>
    <w:rsid w:val="000714F9"/>
    <w:rsid w:val="00071E40"/>
    <w:rsid w:val="000723CC"/>
    <w:rsid w:val="0007297B"/>
    <w:rsid w:val="000730D0"/>
    <w:rsid w:val="00073E43"/>
    <w:rsid w:val="00074C94"/>
    <w:rsid w:val="00074F05"/>
    <w:rsid w:val="00076D6B"/>
    <w:rsid w:val="000770D9"/>
    <w:rsid w:val="00077109"/>
    <w:rsid w:val="000804B4"/>
    <w:rsid w:val="00080B00"/>
    <w:rsid w:val="00080D06"/>
    <w:rsid w:val="00082277"/>
    <w:rsid w:val="00082CBC"/>
    <w:rsid w:val="0008309C"/>
    <w:rsid w:val="00083376"/>
    <w:rsid w:val="00083883"/>
    <w:rsid w:val="000841FB"/>
    <w:rsid w:val="00084C6C"/>
    <w:rsid w:val="000850ED"/>
    <w:rsid w:val="000854F8"/>
    <w:rsid w:val="00085C16"/>
    <w:rsid w:val="00090373"/>
    <w:rsid w:val="000903E3"/>
    <w:rsid w:val="00091CF6"/>
    <w:rsid w:val="000936D8"/>
    <w:rsid w:val="000940AB"/>
    <w:rsid w:val="000944B7"/>
    <w:rsid w:val="00095F88"/>
    <w:rsid w:val="000960D5"/>
    <w:rsid w:val="00097F4C"/>
    <w:rsid w:val="000A0211"/>
    <w:rsid w:val="000A09EA"/>
    <w:rsid w:val="000A196A"/>
    <w:rsid w:val="000A197A"/>
    <w:rsid w:val="000A1BF2"/>
    <w:rsid w:val="000A2F3D"/>
    <w:rsid w:val="000A38E3"/>
    <w:rsid w:val="000A3B4A"/>
    <w:rsid w:val="000A522D"/>
    <w:rsid w:val="000A5713"/>
    <w:rsid w:val="000A58D1"/>
    <w:rsid w:val="000A5C8B"/>
    <w:rsid w:val="000A6EFB"/>
    <w:rsid w:val="000A711A"/>
    <w:rsid w:val="000A72CE"/>
    <w:rsid w:val="000A7F3E"/>
    <w:rsid w:val="000B01C2"/>
    <w:rsid w:val="000B02D8"/>
    <w:rsid w:val="000B0AB6"/>
    <w:rsid w:val="000B1280"/>
    <w:rsid w:val="000B1752"/>
    <w:rsid w:val="000B1CEF"/>
    <w:rsid w:val="000B2382"/>
    <w:rsid w:val="000B23EA"/>
    <w:rsid w:val="000B278C"/>
    <w:rsid w:val="000B2C64"/>
    <w:rsid w:val="000B3224"/>
    <w:rsid w:val="000B5B2E"/>
    <w:rsid w:val="000B61D7"/>
    <w:rsid w:val="000B620D"/>
    <w:rsid w:val="000B64A0"/>
    <w:rsid w:val="000B6CC3"/>
    <w:rsid w:val="000B7294"/>
    <w:rsid w:val="000B73F0"/>
    <w:rsid w:val="000B76C9"/>
    <w:rsid w:val="000B77E2"/>
    <w:rsid w:val="000B7C10"/>
    <w:rsid w:val="000C05E1"/>
    <w:rsid w:val="000C09E4"/>
    <w:rsid w:val="000C0B84"/>
    <w:rsid w:val="000C0CED"/>
    <w:rsid w:val="000C0EA4"/>
    <w:rsid w:val="000C1829"/>
    <w:rsid w:val="000C1DC3"/>
    <w:rsid w:val="000C2BBA"/>
    <w:rsid w:val="000C4023"/>
    <w:rsid w:val="000C448B"/>
    <w:rsid w:val="000C4785"/>
    <w:rsid w:val="000C4B0B"/>
    <w:rsid w:val="000C5A68"/>
    <w:rsid w:val="000C7886"/>
    <w:rsid w:val="000C78A7"/>
    <w:rsid w:val="000D081F"/>
    <w:rsid w:val="000D0A1D"/>
    <w:rsid w:val="000D1916"/>
    <w:rsid w:val="000D2FB3"/>
    <w:rsid w:val="000D2FB4"/>
    <w:rsid w:val="000D31B9"/>
    <w:rsid w:val="000D3350"/>
    <w:rsid w:val="000D366A"/>
    <w:rsid w:val="000D41D7"/>
    <w:rsid w:val="000D4343"/>
    <w:rsid w:val="000D4627"/>
    <w:rsid w:val="000D4E7B"/>
    <w:rsid w:val="000D4F97"/>
    <w:rsid w:val="000D6368"/>
    <w:rsid w:val="000D66A9"/>
    <w:rsid w:val="000D6FA6"/>
    <w:rsid w:val="000D700E"/>
    <w:rsid w:val="000D76BA"/>
    <w:rsid w:val="000E01A8"/>
    <w:rsid w:val="000E03FF"/>
    <w:rsid w:val="000E041C"/>
    <w:rsid w:val="000E1150"/>
    <w:rsid w:val="000E1F65"/>
    <w:rsid w:val="000E31AF"/>
    <w:rsid w:val="000E4B9B"/>
    <w:rsid w:val="000E5EDB"/>
    <w:rsid w:val="000E65DF"/>
    <w:rsid w:val="000E6F48"/>
    <w:rsid w:val="000E7142"/>
    <w:rsid w:val="000E7230"/>
    <w:rsid w:val="000E736C"/>
    <w:rsid w:val="000F09BB"/>
    <w:rsid w:val="000F12DD"/>
    <w:rsid w:val="000F1AEF"/>
    <w:rsid w:val="000F255D"/>
    <w:rsid w:val="000F290F"/>
    <w:rsid w:val="000F2A7F"/>
    <w:rsid w:val="000F38B9"/>
    <w:rsid w:val="000F3BCD"/>
    <w:rsid w:val="000F470D"/>
    <w:rsid w:val="000F4714"/>
    <w:rsid w:val="000F6951"/>
    <w:rsid w:val="00101C7C"/>
    <w:rsid w:val="00101CBD"/>
    <w:rsid w:val="00102237"/>
    <w:rsid w:val="001022E8"/>
    <w:rsid w:val="0010249A"/>
    <w:rsid w:val="00102C0B"/>
    <w:rsid w:val="00102C45"/>
    <w:rsid w:val="0010324C"/>
    <w:rsid w:val="00103C89"/>
    <w:rsid w:val="001040FA"/>
    <w:rsid w:val="001043AD"/>
    <w:rsid w:val="00104417"/>
    <w:rsid w:val="001047BF"/>
    <w:rsid w:val="00104883"/>
    <w:rsid w:val="00105178"/>
    <w:rsid w:val="001101C6"/>
    <w:rsid w:val="00110658"/>
    <w:rsid w:val="00110B4C"/>
    <w:rsid w:val="00111CAC"/>
    <w:rsid w:val="0011228A"/>
    <w:rsid w:val="00112834"/>
    <w:rsid w:val="00112D6A"/>
    <w:rsid w:val="001133DE"/>
    <w:rsid w:val="0011342C"/>
    <w:rsid w:val="001134AE"/>
    <w:rsid w:val="00113EA9"/>
    <w:rsid w:val="00114586"/>
    <w:rsid w:val="00114C07"/>
    <w:rsid w:val="00114C38"/>
    <w:rsid w:val="00114EE2"/>
    <w:rsid w:val="001154DC"/>
    <w:rsid w:val="0011572E"/>
    <w:rsid w:val="00116C1F"/>
    <w:rsid w:val="00117938"/>
    <w:rsid w:val="00117E5C"/>
    <w:rsid w:val="001201E5"/>
    <w:rsid w:val="001217D5"/>
    <w:rsid w:val="00121CA4"/>
    <w:rsid w:val="00121CF8"/>
    <w:rsid w:val="001230EE"/>
    <w:rsid w:val="00123D71"/>
    <w:rsid w:val="00124416"/>
    <w:rsid w:val="001249A8"/>
    <w:rsid w:val="00124BF2"/>
    <w:rsid w:val="00124D25"/>
    <w:rsid w:val="001252DB"/>
    <w:rsid w:val="001255BE"/>
    <w:rsid w:val="00126DB7"/>
    <w:rsid w:val="00127D47"/>
    <w:rsid w:val="00130286"/>
    <w:rsid w:val="001322A4"/>
    <w:rsid w:val="00132E35"/>
    <w:rsid w:val="00133E5B"/>
    <w:rsid w:val="00133FBF"/>
    <w:rsid w:val="0013455C"/>
    <w:rsid w:val="00134A07"/>
    <w:rsid w:val="001350B7"/>
    <w:rsid w:val="00136270"/>
    <w:rsid w:val="00136B82"/>
    <w:rsid w:val="0013791D"/>
    <w:rsid w:val="00137C42"/>
    <w:rsid w:val="001404C6"/>
    <w:rsid w:val="00141D29"/>
    <w:rsid w:val="0014231D"/>
    <w:rsid w:val="0014267B"/>
    <w:rsid w:val="0014270F"/>
    <w:rsid w:val="00144385"/>
    <w:rsid w:val="00145B27"/>
    <w:rsid w:val="00146226"/>
    <w:rsid w:val="0014630B"/>
    <w:rsid w:val="001479F2"/>
    <w:rsid w:val="0015057D"/>
    <w:rsid w:val="0015061A"/>
    <w:rsid w:val="00150826"/>
    <w:rsid w:val="00150961"/>
    <w:rsid w:val="00150982"/>
    <w:rsid w:val="00151436"/>
    <w:rsid w:val="0015185C"/>
    <w:rsid w:val="0015216F"/>
    <w:rsid w:val="00152812"/>
    <w:rsid w:val="00153211"/>
    <w:rsid w:val="001536D7"/>
    <w:rsid w:val="0015479A"/>
    <w:rsid w:val="0015554E"/>
    <w:rsid w:val="00155C2F"/>
    <w:rsid w:val="0015635C"/>
    <w:rsid w:val="00156CF5"/>
    <w:rsid w:val="00157488"/>
    <w:rsid w:val="001578A0"/>
    <w:rsid w:val="00160345"/>
    <w:rsid w:val="00160BA2"/>
    <w:rsid w:val="00160E77"/>
    <w:rsid w:val="001617A6"/>
    <w:rsid w:val="00161EEF"/>
    <w:rsid w:val="00162050"/>
    <w:rsid w:val="00163A5D"/>
    <w:rsid w:val="0016435D"/>
    <w:rsid w:val="00164B7E"/>
    <w:rsid w:val="00164FB1"/>
    <w:rsid w:val="001650B1"/>
    <w:rsid w:val="00165167"/>
    <w:rsid w:val="001651B8"/>
    <w:rsid w:val="0016526A"/>
    <w:rsid w:val="001655F7"/>
    <w:rsid w:val="001661FC"/>
    <w:rsid w:val="001663BE"/>
    <w:rsid w:val="001663ED"/>
    <w:rsid w:val="00166614"/>
    <w:rsid w:val="00166B5F"/>
    <w:rsid w:val="00170A89"/>
    <w:rsid w:val="00171459"/>
    <w:rsid w:val="00171C9E"/>
    <w:rsid w:val="001725DF"/>
    <w:rsid w:val="001727C6"/>
    <w:rsid w:val="00173D5F"/>
    <w:rsid w:val="0017409F"/>
    <w:rsid w:val="00174716"/>
    <w:rsid w:val="00175308"/>
    <w:rsid w:val="00175B64"/>
    <w:rsid w:val="00175C25"/>
    <w:rsid w:val="00175D56"/>
    <w:rsid w:val="00176E51"/>
    <w:rsid w:val="00177639"/>
    <w:rsid w:val="00177FEE"/>
    <w:rsid w:val="00180F3C"/>
    <w:rsid w:val="0018168F"/>
    <w:rsid w:val="00181B7E"/>
    <w:rsid w:val="00181CC7"/>
    <w:rsid w:val="00182638"/>
    <w:rsid w:val="001830BA"/>
    <w:rsid w:val="00183135"/>
    <w:rsid w:val="00183F7F"/>
    <w:rsid w:val="001855B3"/>
    <w:rsid w:val="00186098"/>
    <w:rsid w:val="001862D3"/>
    <w:rsid w:val="00186476"/>
    <w:rsid w:val="0018660A"/>
    <w:rsid w:val="00186BC6"/>
    <w:rsid w:val="00186E5B"/>
    <w:rsid w:val="00187163"/>
    <w:rsid w:val="00187A34"/>
    <w:rsid w:val="001901CA"/>
    <w:rsid w:val="00192EE8"/>
    <w:rsid w:val="001934D1"/>
    <w:rsid w:val="001939F7"/>
    <w:rsid w:val="001946A8"/>
    <w:rsid w:val="001968C7"/>
    <w:rsid w:val="00196B7D"/>
    <w:rsid w:val="00197306"/>
    <w:rsid w:val="00197FDA"/>
    <w:rsid w:val="001A08CB"/>
    <w:rsid w:val="001A0EAD"/>
    <w:rsid w:val="001A10EE"/>
    <w:rsid w:val="001A1121"/>
    <w:rsid w:val="001A134A"/>
    <w:rsid w:val="001A1778"/>
    <w:rsid w:val="001A17AA"/>
    <w:rsid w:val="001A1EC7"/>
    <w:rsid w:val="001A1F56"/>
    <w:rsid w:val="001A2832"/>
    <w:rsid w:val="001A32A1"/>
    <w:rsid w:val="001A4892"/>
    <w:rsid w:val="001A4C46"/>
    <w:rsid w:val="001A640B"/>
    <w:rsid w:val="001A6FE1"/>
    <w:rsid w:val="001A7789"/>
    <w:rsid w:val="001A7CD7"/>
    <w:rsid w:val="001B0EAB"/>
    <w:rsid w:val="001B1C9B"/>
    <w:rsid w:val="001B20EE"/>
    <w:rsid w:val="001B270D"/>
    <w:rsid w:val="001B28D6"/>
    <w:rsid w:val="001B39DC"/>
    <w:rsid w:val="001B4D69"/>
    <w:rsid w:val="001B50D9"/>
    <w:rsid w:val="001B5A26"/>
    <w:rsid w:val="001B62AA"/>
    <w:rsid w:val="001B64EA"/>
    <w:rsid w:val="001B6C66"/>
    <w:rsid w:val="001B6F9A"/>
    <w:rsid w:val="001B71AE"/>
    <w:rsid w:val="001B7409"/>
    <w:rsid w:val="001C02C8"/>
    <w:rsid w:val="001C0AA8"/>
    <w:rsid w:val="001C1180"/>
    <w:rsid w:val="001C14D2"/>
    <w:rsid w:val="001C17EC"/>
    <w:rsid w:val="001C1A92"/>
    <w:rsid w:val="001C2C06"/>
    <w:rsid w:val="001C2F71"/>
    <w:rsid w:val="001C3791"/>
    <w:rsid w:val="001C3AC7"/>
    <w:rsid w:val="001C4BC6"/>
    <w:rsid w:val="001C5197"/>
    <w:rsid w:val="001C5327"/>
    <w:rsid w:val="001C6F52"/>
    <w:rsid w:val="001C720C"/>
    <w:rsid w:val="001C7D00"/>
    <w:rsid w:val="001D0006"/>
    <w:rsid w:val="001D1501"/>
    <w:rsid w:val="001D247B"/>
    <w:rsid w:val="001D279F"/>
    <w:rsid w:val="001D2944"/>
    <w:rsid w:val="001D2D85"/>
    <w:rsid w:val="001D4BE6"/>
    <w:rsid w:val="001D5588"/>
    <w:rsid w:val="001D5590"/>
    <w:rsid w:val="001D5AE4"/>
    <w:rsid w:val="001D62DF"/>
    <w:rsid w:val="001D70BF"/>
    <w:rsid w:val="001D70DE"/>
    <w:rsid w:val="001D7714"/>
    <w:rsid w:val="001D7FA2"/>
    <w:rsid w:val="001E0654"/>
    <w:rsid w:val="001E0A52"/>
    <w:rsid w:val="001E122B"/>
    <w:rsid w:val="001E1C84"/>
    <w:rsid w:val="001E289F"/>
    <w:rsid w:val="001E2D8B"/>
    <w:rsid w:val="001E2F06"/>
    <w:rsid w:val="001E35AA"/>
    <w:rsid w:val="001E3999"/>
    <w:rsid w:val="001E5143"/>
    <w:rsid w:val="001E52B0"/>
    <w:rsid w:val="001E68E9"/>
    <w:rsid w:val="001E6D1C"/>
    <w:rsid w:val="001E730B"/>
    <w:rsid w:val="001E7D77"/>
    <w:rsid w:val="001E7E60"/>
    <w:rsid w:val="001F15B5"/>
    <w:rsid w:val="001F21A4"/>
    <w:rsid w:val="001F2A66"/>
    <w:rsid w:val="001F2B30"/>
    <w:rsid w:val="001F352E"/>
    <w:rsid w:val="001F4073"/>
    <w:rsid w:val="001F4CD3"/>
    <w:rsid w:val="001F5582"/>
    <w:rsid w:val="001F5717"/>
    <w:rsid w:val="001F5DB9"/>
    <w:rsid w:val="001F5DEB"/>
    <w:rsid w:val="001F650F"/>
    <w:rsid w:val="001F6FFA"/>
    <w:rsid w:val="001F71D0"/>
    <w:rsid w:val="001F720E"/>
    <w:rsid w:val="001F7353"/>
    <w:rsid w:val="00200168"/>
    <w:rsid w:val="002019E3"/>
    <w:rsid w:val="002024AC"/>
    <w:rsid w:val="0020254E"/>
    <w:rsid w:val="0020410E"/>
    <w:rsid w:val="00204737"/>
    <w:rsid w:val="00204B8E"/>
    <w:rsid w:val="00204EF1"/>
    <w:rsid w:val="002055A8"/>
    <w:rsid w:val="002057A0"/>
    <w:rsid w:val="0020700A"/>
    <w:rsid w:val="00207C93"/>
    <w:rsid w:val="00210620"/>
    <w:rsid w:val="00210838"/>
    <w:rsid w:val="002119B4"/>
    <w:rsid w:val="00211CD1"/>
    <w:rsid w:val="00212D3C"/>
    <w:rsid w:val="00212EB8"/>
    <w:rsid w:val="0021331B"/>
    <w:rsid w:val="00213982"/>
    <w:rsid w:val="002140AC"/>
    <w:rsid w:val="002140DD"/>
    <w:rsid w:val="00214CEF"/>
    <w:rsid w:val="00214F3F"/>
    <w:rsid w:val="00215743"/>
    <w:rsid w:val="00215855"/>
    <w:rsid w:val="0021585A"/>
    <w:rsid w:val="00215FDB"/>
    <w:rsid w:val="00216CCF"/>
    <w:rsid w:val="00216DF8"/>
    <w:rsid w:val="002171B0"/>
    <w:rsid w:val="002172A2"/>
    <w:rsid w:val="00217716"/>
    <w:rsid w:val="00217889"/>
    <w:rsid w:val="00220085"/>
    <w:rsid w:val="002204C3"/>
    <w:rsid w:val="00220E52"/>
    <w:rsid w:val="002226D9"/>
    <w:rsid w:val="002228E1"/>
    <w:rsid w:val="002230F3"/>
    <w:rsid w:val="00223DB4"/>
    <w:rsid w:val="002247E9"/>
    <w:rsid w:val="00225221"/>
    <w:rsid w:val="002258BF"/>
    <w:rsid w:val="0022610F"/>
    <w:rsid w:val="002266A3"/>
    <w:rsid w:val="002267FE"/>
    <w:rsid w:val="002278E8"/>
    <w:rsid w:val="002301C1"/>
    <w:rsid w:val="00230463"/>
    <w:rsid w:val="002307DE"/>
    <w:rsid w:val="002310E7"/>
    <w:rsid w:val="00231143"/>
    <w:rsid w:val="0023193E"/>
    <w:rsid w:val="0023215E"/>
    <w:rsid w:val="00232662"/>
    <w:rsid w:val="002341A0"/>
    <w:rsid w:val="002343EB"/>
    <w:rsid w:val="00234F36"/>
    <w:rsid w:val="002364DA"/>
    <w:rsid w:val="00241904"/>
    <w:rsid w:val="0024190F"/>
    <w:rsid w:val="002419DA"/>
    <w:rsid w:val="00241B26"/>
    <w:rsid w:val="00242789"/>
    <w:rsid w:val="00242CDD"/>
    <w:rsid w:val="00242EAF"/>
    <w:rsid w:val="00243549"/>
    <w:rsid w:val="002435C9"/>
    <w:rsid w:val="002444CA"/>
    <w:rsid w:val="00245A66"/>
    <w:rsid w:val="0024720A"/>
    <w:rsid w:val="002472CB"/>
    <w:rsid w:val="002473AE"/>
    <w:rsid w:val="002473DC"/>
    <w:rsid w:val="00252002"/>
    <w:rsid w:val="00252AB2"/>
    <w:rsid w:val="00253269"/>
    <w:rsid w:val="002534FD"/>
    <w:rsid w:val="00255910"/>
    <w:rsid w:val="00255BB4"/>
    <w:rsid w:val="00255D27"/>
    <w:rsid w:val="00255EF9"/>
    <w:rsid w:val="00256EAC"/>
    <w:rsid w:val="002574E0"/>
    <w:rsid w:val="002614A6"/>
    <w:rsid w:val="002616AB"/>
    <w:rsid w:val="00262D02"/>
    <w:rsid w:val="0026312B"/>
    <w:rsid w:val="002636C5"/>
    <w:rsid w:val="00263885"/>
    <w:rsid w:val="00263945"/>
    <w:rsid w:val="00263D0C"/>
    <w:rsid w:val="00263EC6"/>
    <w:rsid w:val="002643C3"/>
    <w:rsid w:val="00264853"/>
    <w:rsid w:val="0026544F"/>
    <w:rsid w:val="00265655"/>
    <w:rsid w:val="0026649B"/>
    <w:rsid w:val="002664A2"/>
    <w:rsid w:val="00266E57"/>
    <w:rsid w:val="002670C3"/>
    <w:rsid w:val="00270681"/>
    <w:rsid w:val="00271030"/>
    <w:rsid w:val="002718A6"/>
    <w:rsid w:val="00271BA4"/>
    <w:rsid w:val="00273A60"/>
    <w:rsid w:val="00276027"/>
    <w:rsid w:val="00276092"/>
    <w:rsid w:val="002769FB"/>
    <w:rsid w:val="00276AA4"/>
    <w:rsid w:val="0028152C"/>
    <w:rsid w:val="002843DF"/>
    <w:rsid w:val="0028471D"/>
    <w:rsid w:val="00285AD4"/>
    <w:rsid w:val="00286634"/>
    <w:rsid w:val="00286690"/>
    <w:rsid w:val="0028676A"/>
    <w:rsid w:val="0028689D"/>
    <w:rsid w:val="00286BAC"/>
    <w:rsid w:val="00286D5D"/>
    <w:rsid w:val="00287784"/>
    <w:rsid w:val="00287C27"/>
    <w:rsid w:val="00290790"/>
    <w:rsid w:val="00291742"/>
    <w:rsid w:val="00291C81"/>
    <w:rsid w:val="002926C2"/>
    <w:rsid w:val="00292921"/>
    <w:rsid w:val="0029348C"/>
    <w:rsid w:val="00293944"/>
    <w:rsid w:val="00293B25"/>
    <w:rsid w:val="00293EE6"/>
    <w:rsid w:val="00294136"/>
    <w:rsid w:val="0029571D"/>
    <w:rsid w:val="002959C8"/>
    <w:rsid w:val="0029648B"/>
    <w:rsid w:val="00296E94"/>
    <w:rsid w:val="00296F85"/>
    <w:rsid w:val="0029727E"/>
    <w:rsid w:val="00297DF5"/>
    <w:rsid w:val="002A0353"/>
    <w:rsid w:val="002A0B2A"/>
    <w:rsid w:val="002A0C82"/>
    <w:rsid w:val="002A13F9"/>
    <w:rsid w:val="002A1E39"/>
    <w:rsid w:val="002A2100"/>
    <w:rsid w:val="002A2D07"/>
    <w:rsid w:val="002A31C4"/>
    <w:rsid w:val="002A3227"/>
    <w:rsid w:val="002A363F"/>
    <w:rsid w:val="002A3D1D"/>
    <w:rsid w:val="002A3FCE"/>
    <w:rsid w:val="002A6233"/>
    <w:rsid w:val="002A6C13"/>
    <w:rsid w:val="002A728F"/>
    <w:rsid w:val="002A7304"/>
    <w:rsid w:val="002A7402"/>
    <w:rsid w:val="002A75ED"/>
    <w:rsid w:val="002B0245"/>
    <w:rsid w:val="002B02BB"/>
    <w:rsid w:val="002B1933"/>
    <w:rsid w:val="002B1D71"/>
    <w:rsid w:val="002B3672"/>
    <w:rsid w:val="002B3ED6"/>
    <w:rsid w:val="002B3F06"/>
    <w:rsid w:val="002B4234"/>
    <w:rsid w:val="002B4970"/>
    <w:rsid w:val="002B5752"/>
    <w:rsid w:val="002B594A"/>
    <w:rsid w:val="002B6497"/>
    <w:rsid w:val="002B65A2"/>
    <w:rsid w:val="002B664D"/>
    <w:rsid w:val="002B6E76"/>
    <w:rsid w:val="002B7822"/>
    <w:rsid w:val="002B7C75"/>
    <w:rsid w:val="002C01BF"/>
    <w:rsid w:val="002C1601"/>
    <w:rsid w:val="002C1AAC"/>
    <w:rsid w:val="002C1D4B"/>
    <w:rsid w:val="002C290D"/>
    <w:rsid w:val="002C2BC0"/>
    <w:rsid w:val="002C2C8F"/>
    <w:rsid w:val="002C45A7"/>
    <w:rsid w:val="002C4953"/>
    <w:rsid w:val="002C4A66"/>
    <w:rsid w:val="002C4F92"/>
    <w:rsid w:val="002C51F5"/>
    <w:rsid w:val="002C646C"/>
    <w:rsid w:val="002C6483"/>
    <w:rsid w:val="002C69F7"/>
    <w:rsid w:val="002C6B2E"/>
    <w:rsid w:val="002C6E3E"/>
    <w:rsid w:val="002C7200"/>
    <w:rsid w:val="002C7B76"/>
    <w:rsid w:val="002D00DC"/>
    <w:rsid w:val="002D1741"/>
    <w:rsid w:val="002D1CB5"/>
    <w:rsid w:val="002D2250"/>
    <w:rsid w:val="002D2292"/>
    <w:rsid w:val="002D2373"/>
    <w:rsid w:val="002D2EDB"/>
    <w:rsid w:val="002D3921"/>
    <w:rsid w:val="002D3A4A"/>
    <w:rsid w:val="002D4204"/>
    <w:rsid w:val="002D6875"/>
    <w:rsid w:val="002D6B2E"/>
    <w:rsid w:val="002D6CB3"/>
    <w:rsid w:val="002D7181"/>
    <w:rsid w:val="002D75AF"/>
    <w:rsid w:val="002E0699"/>
    <w:rsid w:val="002E16CD"/>
    <w:rsid w:val="002E1913"/>
    <w:rsid w:val="002E2203"/>
    <w:rsid w:val="002E2B91"/>
    <w:rsid w:val="002E376F"/>
    <w:rsid w:val="002E3988"/>
    <w:rsid w:val="002E5812"/>
    <w:rsid w:val="002E61DA"/>
    <w:rsid w:val="002E64B6"/>
    <w:rsid w:val="002E7D6F"/>
    <w:rsid w:val="002F027D"/>
    <w:rsid w:val="002F0691"/>
    <w:rsid w:val="002F20FB"/>
    <w:rsid w:val="002F3133"/>
    <w:rsid w:val="002F461E"/>
    <w:rsid w:val="002F6BCB"/>
    <w:rsid w:val="002F709F"/>
    <w:rsid w:val="002F7198"/>
    <w:rsid w:val="003006DC"/>
    <w:rsid w:val="0030087B"/>
    <w:rsid w:val="00300D25"/>
    <w:rsid w:val="00302A22"/>
    <w:rsid w:val="00304C60"/>
    <w:rsid w:val="0030591D"/>
    <w:rsid w:val="00305A8C"/>
    <w:rsid w:val="00305D85"/>
    <w:rsid w:val="003064D2"/>
    <w:rsid w:val="00307C02"/>
    <w:rsid w:val="00307CDE"/>
    <w:rsid w:val="00307DC8"/>
    <w:rsid w:val="00310AB6"/>
    <w:rsid w:val="00310C24"/>
    <w:rsid w:val="003119A9"/>
    <w:rsid w:val="00311C3B"/>
    <w:rsid w:val="00312C19"/>
    <w:rsid w:val="003130C9"/>
    <w:rsid w:val="003147BE"/>
    <w:rsid w:val="00314CF1"/>
    <w:rsid w:val="00314D62"/>
    <w:rsid w:val="003151E3"/>
    <w:rsid w:val="0031642E"/>
    <w:rsid w:val="00317AA6"/>
    <w:rsid w:val="00320089"/>
    <w:rsid w:val="003205F7"/>
    <w:rsid w:val="00320AFD"/>
    <w:rsid w:val="00321BDE"/>
    <w:rsid w:val="003220C9"/>
    <w:rsid w:val="00322106"/>
    <w:rsid w:val="003222F5"/>
    <w:rsid w:val="00322B9C"/>
    <w:rsid w:val="00323F00"/>
    <w:rsid w:val="0032426B"/>
    <w:rsid w:val="00324462"/>
    <w:rsid w:val="0032481E"/>
    <w:rsid w:val="003254E9"/>
    <w:rsid w:val="00325DA3"/>
    <w:rsid w:val="0032613E"/>
    <w:rsid w:val="0032649E"/>
    <w:rsid w:val="00326ECB"/>
    <w:rsid w:val="00327AD5"/>
    <w:rsid w:val="00330580"/>
    <w:rsid w:val="003316B8"/>
    <w:rsid w:val="00331D4F"/>
    <w:rsid w:val="00332EE0"/>
    <w:rsid w:val="003339B9"/>
    <w:rsid w:val="00333F57"/>
    <w:rsid w:val="00334110"/>
    <w:rsid w:val="00334818"/>
    <w:rsid w:val="0033494C"/>
    <w:rsid w:val="00335127"/>
    <w:rsid w:val="003352B3"/>
    <w:rsid w:val="003352EE"/>
    <w:rsid w:val="00335CBD"/>
    <w:rsid w:val="00336847"/>
    <w:rsid w:val="0033725B"/>
    <w:rsid w:val="00340CFD"/>
    <w:rsid w:val="0034101C"/>
    <w:rsid w:val="00341390"/>
    <w:rsid w:val="0034163E"/>
    <w:rsid w:val="00341B4F"/>
    <w:rsid w:val="00341E57"/>
    <w:rsid w:val="00342BEE"/>
    <w:rsid w:val="00342F00"/>
    <w:rsid w:val="00343538"/>
    <w:rsid w:val="00343DAA"/>
    <w:rsid w:val="00344962"/>
    <w:rsid w:val="003454E0"/>
    <w:rsid w:val="00345CD6"/>
    <w:rsid w:val="0034605A"/>
    <w:rsid w:val="00346779"/>
    <w:rsid w:val="00346D50"/>
    <w:rsid w:val="0034725F"/>
    <w:rsid w:val="003505F5"/>
    <w:rsid w:val="00350D0F"/>
    <w:rsid w:val="00350F81"/>
    <w:rsid w:val="00350FED"/>
    <w:rsid w:val="00351446"/>
    <w:rsid w:val="00351DE8"/>
    <w:rsid w:val="003521C5"/>
    <w:rsid w:val="00352866"/>
    <w:rsid w:val="00352C93"/>
    <w:rsid w:val="00352DD5"/>
    <w:rsid w:val="00352E87"/>
    <w:rsid w:val="003535E4"/>
    <w:rsid w:val="00354ACF"/>
    <w:rsid w:val="00354D76"/>
    <w:rsid w:val="00354E3C"/>
    <w:rsid w:val="003558C1"/>
    <w:rsid w:val="00355CCD"/>
    <w:rsid w:val="003574A6"/>
    <w:rsid w:val="003575D9"/>
    <w:rsid w:val="0035774B"/>
    <w:rsid w:val="00360372"/>
    <w:rsid w:val="0036067C"/>
    <w:rsid w:val="00360ECD"/>
    <w:rsid w:val="00361DD7"/>
    <w:rsid w:val="003621E3"/>
    <w:rsid w:val="00364431"/>
    <w:rsid w:val="00364612"/>
    <w:rsid w:val="003646A6"/>
    <w:rsid w:val="00364B31"/>
    <w:rsid w:val="0036511B"/>
    <w:rsid w:val="00365D96"/>
    <w:rsid w:val="00365E50"/>
    <w:rsid w:val="0036656F"/>
    <w:rsid w:val="0036725E"/>
    <w:rsid w:val="00367D75"/>
    <w:rsid w:val="00370A5A"/>
    <w:rsid w:val="00370A5E"/>
    <w:rsid w:val="00371282"/>
    <w:rsid w:val="003722AF"/>
    <w:rsid w:val="003722B1"/>
    <w:rsid w:val="00372327"/>
    <w:rsid w:val="003726CD"/>
    <w:rsid w:val="00372ABC"/>
    <w:rsid w:val="00372BA4"/>
    <w:rsid w:val="0037329F"/>
    <w:rsid w:val="003734AA"/>
    <w:rsid w:val="0037364E"/>
    <w:rsid w:val="00373B17"/>
    <w:rsid w:val="00374A54"/>
    <w:rsid w:val="00374C90"/>
    <w:rsid w:val="00375D05"/>
    <w:rsid w:val="00376112"/>
    <w:rsid w:val="00376FB7"/>
    <w:rsid w:val="003775EB"/>
    <w:rsid w:val="003777C7"/>
    <w:rsid w:val="00377A4B"/>
    <w:rsid w:val="00380953"/>
    <w:rsid w:val="003818C7"/>
    <w:rsid w:val="00381B8A"/>
    <w:rsid w:val="0038284B"/>
    <w:rsid w:val="00383710"/>
    <w:rsid w:val="00384660"/>
    <w:rsid w:val="003848F3"/>
    <w:rsid w:val="00385E41"/>
    <w:rsid w:val="003866A5"/>
    <w:rsid w:val="00386C0D"/>
    <w:rsid w:val="0038722B"/>
    <w:rsid w:val="00387DEB"/>
    <w:rsid w:val="0039007C"/>
    <w:rsid w:val="00390BE1"/>
    <w:rsid w:val="003930E1"/>
    <w:rsid w:val="00393786"/>
    <w:rsid w:val="00394313"/>
    <w:rsid w:val="00394F11"/>
    <w:rsid w:val="00395013"/>
    <w:rsid w:val="00396260"/>
    <w:rsid w:val="00397416"/>
    <w:rsid w:val="0039771D"/>
    <w:rsid w:val="003A061C"/>
    <w:rsid w:val="003A09D5"/>
    <w:rsid w:val="003A13C9"/>
    <w:rsid w:val="003A13F2"/>
    <w:rsid w:val="003A2170"/>
    <w:rsid w:val="003A2302"/>
    <w:rsid w:val="003A28F4"/>
    <w:rsid w:val="003A358B"/>
    <w:rsid w:val="003A4F78"/>
    <w:rsid w:val="003A5649"/>
    <w:rsid w:val="003A5726"/>
    <w:rsid w:val="003A6C09"/>
    <w:rsid w:val="003A6D9E"/>
    <w:rsid w:val="003B0F70"/>
    <w:rsid w:val="003B0F7D"/>
    <w:rsid w:val="003B1197"/>
    <w:rsid w:val="003B146D"/>
    <w:rsid w:val="003B14CB"/>
    <w:rsid w:val="003B1612"/>
    <w:rsid w:val="003B1CFC"/>
    <w:rsid w:val="003B201F"/>
    <w:rsid w:val="003B2959"/>
    <w:rsid w:val="003B313F"/>
    <w:rsid w:val="003B3B5F"/>
    <w:rsid w:val="003B43CE"/>
    <w:rsid w:val="003B4731"/>
    <w:rsid w:val="003B4738"/>
    <w:rsid w:val="003B4CA2"/>
    <w:rsid w:val="003B552B"/>
    <w:rsid w:val="003B5B92"/>
    <w:rsid w:val="003B6366"/>
    <w:rsid w:val="003B68EC"/>
    <w:rsid w:val="003B7DFA"/>
    <w:rsid w:val="003C1ADD"/>
    <w:rsid w:val="003C2F49"/>
    <w:rsid w:val="003C44B3"/>
    <w:rsid w:val="003C4A7F"/>
    <w:rsid w:val="003C4C05"/>
    <w:rsid w:val="003C5100"/>
    <w:rsid w:val="003C56B0"/>
    <w:rsid w:val="003C5C6F"/>
    <w:rsid w:val="003C5FE7"/>
    <w:rsid w:val="003C6FFD"/>
    <w:rsid w:val="003C7A7F"/>
    <w:rsid w:val="003C7AF3"/>
    <w:rsid w:val="003C7BC2"/>
    <w:rsid w:val="003D075A"/>
    <w:rsid w:val="003D0D4E"/>
    <w:rsid w:val="003D100B"/>
    <w:rsid w:val="003D29C2"/>
    <w:rsid w:val="003D36C6"/>
    <w:rsid w:val="003D3956"/>
    <w:rsid w:val="003D45F8"/>
    <w:rsid w:val="003D460D"/>
    <w:rsid w:val="003D4F26"/>
    <w:rsid w:val="003D57E5"/>
    <w:rsid w:val="003D6D9A"/>
    <w:rsid w:val="003D715F"/>
    <w:rsid w:val="003E06FD"/>
    <w:rsid w:val="003E0981"/>
    <w:rsid w:val="003E11AF"/>
    <w:rsid w:val="003E11D5"/>
    <w:rsid w:val="003E1228"/>
    <w:rsid w:val="003E16FE"/>
    <w:rsid w:val="003E17D1"/>
    <w:rsid w:val="003E1C11"/>
    <w:rsid w:val="003E231C"/>
    <w:rsid w:val="003E3600"/>
    <w:rsid w:val="003E409C"/>
    <w:rsid w:val="003E412D"/>
    <w:rsid w:val="003E529E"/>
    <w:rsid w:val="003E5D82"/>
    <w:rsid w:val="003E6FFF"/>
    <w:rsid w:val="003E79CA"/>
    <w:rsid w:val="003E7CCB"/>
    <w:rsid w:val="003E7FD9"/>
    <w:rsid w:val="003F0599"/>
    <w:rsid w:val="003F1236"/>
    <w:rsid w:val="003F1C1E"/>
    <w:rsid w:val="003F4703"/>
    <w:rsid w:val="003F48A9"/>
    <w:rsid w:val="003F55A5"/>
    <w:rsid w:val="003F5774"/>
    <w:rsid w:val="003F6005"/>
    <w:rsid w:val="003F6765"/>
    <w:rsid w:val="003F6FCD"/>
    <w:rsid w:val="003F78D2"/>
    <w:rsid w:val="00400C9C"/>
    <w:rsid w:val="004013E4"/>
    <w:rsid w:val="004015F9"/>
    <w:rsid w:val="00401BA2"/>
    <w:rsid w:val="00402679"/>
    <w:rsid w:val="004039F7"/>
    <w:rsid w:val="00404412"/>
    <w:rsid w:val="004046A9"/>
    <w:rsid w:val="0040505A"/>
    <w:rsid w:val="0040537D"/>
    <w:rsid w:val="004058DA"/>
    <w:rsid w:val="00405AE4"/>
    <w:rsid w:val="00405B2D"/>
    <w:rsid w:val="00405E18"/>
    <w:rsid w:val="004060AD"/>
    <w:rsid w:val="0040692D"/>
    <w:rsid w:val="004069C4"/>
    <w:rsid w:val="00406A50"/>
    <w:rsid w:val="00406AC0"/>
    <w:rsid w:val="0040743F"/>
    <w:rsid w:val="00407A59"/>
    <w:rsid w:val="00410B57"/>
    <w:rsid w:val="00410CCF"/>
    <w:rsid w:val="004111BB"/>
    <w:rsid w:val="00411398"/>
    <w:rsid w:val="00411526"/>
    <w:rsid w:val="0041170D"/>
    <w:rsid w:val="0041175E"/>
    <w:rsid w:val="0041181E"/>
    <w:rsid w:val="00411C0F"/>
    <w:rsid w:val="00412330"/>
    <w:rsid w:val="0041370C"/>
    <w:rsid w:val="0041405F"/>
    <w:rsid w:val="0041483D"/>
    <w:rsid w:val="0041489C"/>
    <w:rsid w:val="00415083"/>
    <w:rsid w:val="0041536C"/>
    <w:rsid w:val="00415EC2"/>
    <w:rsid w:val="00417F4C"/>
    <w:rsid w:val="00420B74"/>
    <w:rsid w:val="00421AD2"/>
    <w:rsid w:val="00421B17"/>
    <w:rsid w:val="00422922"/>
    <w:rsid w:val="00423CC7"/>
    <w:rsid w:val="00423D78"/>
    <w:rsid w:val="00423DE6"/>
    <w:rsid w:val="00424A4B"/>
    <w:rsid w:val="00425C30"/>
    <w:rsid w:val="00427A6C"/>
    <w:rsid w:val="00430359"/>
    <w:rsid w:val="004304BB"/>
    <w:rsid w:val="00431040"/>
    <w:rsid w:val="0043189B"/>
    <w:rsid w:val="004319C7"/>
    <w:rsid w:val="00432265"/>
    <w:rsid w:val="004322A7"/>
    <w:rsid w:val="00432AD2"/>
    <w:rsid w:val="004331E2"/>
    <w:rsid w:val="00433A0C"/>
    <w:rsid w:val="00433B27"/>
    <w:rsid w:val="004345A2"/>
    <w:rsid w:val="00434BB3"/>
    <w:rsid w:val="00434BD3"/>
    <w:rsid w:val="0043533C"/>
    <w:rsid w:val="00435691"/>
    <w:rsid w:val="004365C6"/>
    <w:rsid w:val="00437707"/>
    <w:rsid w:val="00437B44"/>
    <w:rsid w:val="0044059F"/>
    <w:rsid w:val="004405B6"/>
    <w:rsid w:val="00441EDA"/>
    <w:rsid w:val="00442077"/>
    <w:rsid w:val="00442272"/>
    <w:rsid w:val="00442DBC"/>
    <w:rsid w:val="004445BA"/>
    <w:rsid w:val="0044524F"/>
    <w:rsid w:val="0044631F"/>
    <w:rsid w:val="00446477"/>
    <w:rsid w:val="004473C7"/>
    <w:rsid w:val="00447CAC"/>
    <w:rsid w:val="00450A5F"/>
    <w:rsid w:val="00450FF3"/>
    <w:rsid w:val="00451322"/>
    <w:rsid w:val="00452204"/>
    <w:rsid w:val="00452246"/>
    <w:rsid w:val="004527B6"/>
    <w:rsid w:val="00452879"/>
    <w:rsid w:val="00452E01"/>
    <w:rsid w:val="00453E8E"/>
    <w:rsid w:val="0045435F"/>
    <w:rsid w:val="00454824"/>
    <w:rsid w:val="0045657E"/>
    <w:rsid w:val="00456D6A"/>
    <w:rsid w:val="00457244"/>
    <w:rsid w:val="00457CC3"/>
    <w:rsid w:val="004605E8"/>
    <w:rsid w:val="00460963"/>
    <w:rsid w:val="00460B33"/>
    <w:rsid w:val="00461436"/>
    <w:rsid w:val="004619C5"/>
    <w:rsid w:val="00461AE2"/>
    <w:rsid w:val="00461EB9"/>
    <w:rsid w:val="00462915"/>
    <w:rsid w:val="00462BA5"/>
    <w:rsid w:val="00462C13"/>
    <w:rsid w:val="00463042"/>
    <w:rsid w:val="004637BC"/>
    <w:rsid w:val="004637CA"/>
    <w:rsid w:val="00463B9F"/>
    <w:rsid w:val="0046432A"/>
    <w:rsid w:val="0046492C"/>
    <w:rsid w:val="0046548B"/>
    <w:rsid w:val="0046577B"/>
    <w:rsid w:val="004661BF"/>
    <w:rsid w:val="00466613"/>
    <w:rsid w:val="00467AFA"/>
    <w:rsid w:val="00470A5F"/>
    <w:rsid w:val="00471374"/>
    <w:rsid w:val="00471DAE"/>
    <w:rsid w:val="004724D8"/>
    <w:rsid w:val="00472891"/>
    <w:rsid w:val="00472D1A"/>
    <w:rsid w:val="00472E13"/>
    <w:rsid w:val="00473643"/>
    <w:rsid w:val="0047395F"/>
    <w:rsid w:val="004739AC"/>
    <w:rsid w:val="0047495A"/>
    <w:rsid w:val="0047531F"/>
    <w:rsid w:val="00476793"/>
    <w:rsid w:val="0048037C"/>
    <w:rsid w:val="004807DE"/>
    <w:rsid w:val="00480AE1"/>
    <w:rsid w:val="00480DC2"/>
    <w:rsid w:val="00481371"/>
    <w:rsid w:val="004815B9"/>
    <w:rsid w:val="00481894"/>
    <w:rsid w:val="00482C0A"/>
    <w:rsid w:val="00483A26"/>
    <w:rsid w:val="00484BD8"/>
    <w:rsid w:val="0048540E"/>
    <w:rsid w:val="00485E2F"/>
    <w:rsid w:val="004863E5"/>
    <w:rsid w:val="00487306"/>
    <w:rsid w:val="0048757C"/>
    <w:rsid w:val="00487F19"/>
    <w:rsid w:val="004920FD"/>
    <w:rsid w:val="00492B35"/>
    <w:rsid w:val="00493B23"/>
    <w:rsid w:val="00493CED"/>
    <w:rsid w:val="00493E13"/>
    <w:rsid w:val="00494839"/>
    <w:rsid w:val="00495490"/>
    <w:rsid w:val="00496242"/>
    <w:rsid w:val="0049645D"/>
    <w:rsid w:val="0049666D"/>
    <w:rsid w:val="004975A3"/>
    <w:rsid w:val="00497A50"/>
    <w:rsid w:val="004A0A3E"/>
    <w:rsid w:val="004A1236"/>
    <w:rsid w:val="004A1445"/>
    <w:rsid w:val="004A1AB8"/>
    <w:rsid w:val="004A1C81"/>
    <w:rsid w:val="004A1EBF"/>
    <w:rsid w:val="004A20B2"/>
    <w:rsid w:val="004A30E2"/>
    <w:rsid w:val="004A35B8"/>
    <w:rsid w:val="004A3F36"/>
    <w:rsid w:val="004A489B"/>
    <w:rsid w:val="004A4A80"/>
    <w:rsid w:val="004A4C30"/>
    <w:rsid w:val="004A4D67"/>
    <w:rsid w:val="004A5620"/>
    <w:rsid w:val="004A64D6"/>
    <w:rsid w:val="004A67B6"/>
    <w:rsid w:val="004A6D1F"/>
    <w:rsid w:val="004A7FEF"/>
    <w:rsid w:val="004B03EE"/>
    <w:rsid w:val="004B12B4"/>
    <w:rsid w:val="004B1992"/>
    <w:rsid w:val="004B228B"/>
    <w:rsid w:val="004B287A"/>
    <w:rsid w:val="004B325B"/>
    <w:rsid w:val="004B37CA"/>
    <w:rsid w:val="004B3D56"/>
    <w:rsid w:val="004B4335"/>
    <w:rsid w:val="004B52BE"/>
    <w:rsid w:val="004B60A9"/>
    <w:rsid w:val="004B614B"/>
    <w:rsid w:val="004B6C17"/>
    <w:rsid w:val="004B6FE7"/>
    <w:rsid w:val="004C0281"/>
    <w:rsid w:val="004C0D1B"/>
    <w:rsid w:val="004C11F6"/>
    <w:rsid w:val="004C2880"/>
    <w:rsid w:val="004C3968"/>
    <w:rsid w:val="004C41A6"/>
    <w:rsid w:val="004C4B01"/>
    <w:rsid w:val="004C4DF1"/>
    <w:rsid w:val="004C520B"/>
    <w:rsid w:val="004C53D8"/>
    <w:rsid w:val="004C592B"/>
    <w:rsid w:val="004C5CE9"/>
    <w:rsid w:val="004C6473"/>
    <w:rsid w:val="004C6902"/>
    <w:rsid w:val="004C6988"/>
    <w:rsid w:val="004D01CF"/>
    <w:rsid w:val="004D0758"/>
    <w:rsid w:val="004D0950"/>
    <w:rsid w:val="004D119A"/>
    <w:rsid w:val="004D144B"/>
    <w:rsid w:val="004D2601"/>
    <w:rsid w:val="004D3B12"/>
    <w:rsid w:val="004D431D"/>
    <w:rsid w:val="004D4334"/>
    <w:rsid w:val="004D4590"/>
    <w:rsid w:val="004D4E8D"/>
    <w:rsid w:val="004D6484"/>
    <w:rsid w:val="004D7307"/>
    <w:rsid w:val="004E0688"/>
    <w:rsid w:val="004E1C34"/>
    <w:rsid w:val="004E2C5B"/>
    <w:rsid w:val="004E429F"/>
    <w:rsid w:val="004E47D5"/>
    <w:rsid w:val="004E4F3E"/>
    <w:rsid w:val="004E511B"/>
    <w:rsid w:val="004E55A1"/>
    <w:rsid w:val="004E634E"/>
    <w:rsid w:val="004E6880"/>
    <w:rsid w:val="004E6D6E"/>
    <w:rsid w:val="004F166F"/>
    <w:rsid w:val="004F1880"/>
    <w:rsid w:val="004F2CD9"/>
    <w:rsid w:val="004F2FC0"/>
    <w:rsid w:val="004F3832"/>
    <w:rsid w:val="004F3B12"/>
    <w:rsid w:val="004F3FD7"/>
    <w:rsid w:val="004F4BCF"/>
    <w:rsid w:val="004F4F93"/>
    <w:rsid w:val="004F5397"/>
    <w:rsid w:val="004F5459"/>
    <w:rsid w:val="004F5EBF"/>
    <w:rsid w:val="004F6093"/>
    <w:rsid w:val="004F7C02"/>
    <w:rsid w:val="005017D4"/>
    <w:rsid w:val="00501803"/>
    <w:rsid w:val="005033C8"/>
    <w:rsid w:val="00503B71"/>
    <w:rsid w:val="0050415B"/>
    <w:rsid w:val="00504452"/>
    <w:rsid w:val="00504DD7"/>
    <w:rsid w:val="00505B39"/>
    <w:rsid w:val="005061A1"/>
    <w:rsid w:val="0050631E"/>
    <w:rsid w:val="00506E6B"/>
    <w:rsid w:val="005074B7"/>
    <w:rsid w:val="0050788C"/>
    <w:rsid w:val="005100DC"/>
    <w:rsid w:val="00511A8F"/>
    <w:rsid w:val="00514397"/>
    <w:rsid w:val="00514E8B"/>
    <w:rsid w:val="0051514D"/>
    <w:rsid w:val="005157AF"/>
    <w:rsid w:val="00516735"/>
    <w:rsid w:val="005168E1"/>
    <w:rsid w:val="00516BAB"/>
    <w:rsid w:val="0051759E"/>
    <w:rsid w:val="0051771B"/>
    <w:rsid w:val="005209FB"/>
    <w:rsid w:val="00520FB3"/>
    <w:rsid w:val="005212CC"/>
    <w:rsid w:val="0052159D"/>
    <w:rsid w:val="00521620"/>
    <w:rsid w:val="00521801"/>
    <w:rsid w:val="00521993"/>
    <w:rsid w:val="005220ED"/>
    <w:rsid w:val="005223C6"/>
    <w:rsid w:val="005225D4"/>
    <w:rsid w:val="00522740"/>
    <w:rsid w:val="00522746"/>
    <w:rsid w:val="00524B97"/>
    <w:rsid w:val="00525E4A"/>
    <w:rsid w:val="00526785"/>
    <w:rsid w:val="00526948"/>
    <w:rsid w:val="00526CF3"/>
    <w:rsid w:val="00526D9F"/>
    <w:rsid w:val="005272D5"/>
    <w:rsid w:val="00527EBA"/>
    <w:rsid w:val="00530850"/>
    <w:rsid w:val="005308A4"/>
    <w:rsid w:val="00530FBF"/>
    <w:rsid w:val="0053134B"/>
    <w:rsid w:val="005314CA"/>
    <w:rsid w:val="00531C83"/>
    <w:rsid w:val="005321FF"/>
    <w:rsid w:val="00532CDD"/>
    <w:rsid w:val="005331E3"/>
    <w:rsid w:val="005335BA"/>
    <w:rsid w:val="005340C3"/>
    <w:rsid w:val="00534791"/>
    <w:rsid w:val="005348F9"/>
    <w:rsid w:val="00536B7D"/>
    <w:rsid w:val="005372E3"/>
    <w:rsid w:val="005373DA"/>
    <w:rsid w:val="005375A4"/>
    <w:rsid w:val="00540184"/>
    <w:rsid w:val="00540CE9"/>
    <w:rsid w:val="00541247"/>
    <w:rsid w:val="005423C3"/>
    <w:rsid w:val="00542A55"/>
    <w:rsid w:val="00544431"/>
    <w:rsid w:val="00545079"/>
    <w:rsid w:val="00546E59"/>
    <w:rsid w:val="0054738D"/>
    <w:rsid w:val="00550486"/>
    <w:rsid w:val="005506DC"/>
    <w:rsid w:val="005522B5"/>
    <w:rsid w:val="00552CBB"/>
    <w:rsid w:val="005531AA"/>
    <w:rsid w:val="00553FB5"/>
    <w:rsid w:val="00554301"/>
    <w:rsid w:val="005543A0"/>
    <w:rsid w:val="00554558"/>
    <w:rsid w:val="00554A5E"/>
    <w:rsid w:val="0055500B"/>
    <w:rsid w:val="00555DE7"/>
    <w:rsid w:val="00556148"/>
    <w:rsid w:val="00556E75"/>
    <w:rsid w:val="0055701F"/>
    <w:rsid w:val="00557398"/>
    <w:rsid w:val="0055769C"/>
    <w:rsid w:val="0056041C"/>
    <w:rsid w:val="005607E9"/>
    <w:rsid w:val="00560870"/>
    <w:rsid w:val="005609AC"/>
    <w:rsid w:val="00560ACE"/>
    <w:rsid w:val="0056148F"/>
    <w:rsid w:val="00561CB6"/>
    <w:rsid w:val="00562178"/>
    <w:rsid w:val="0056221A"/>
    <w:rsid w:val="00563F9E"/>
    <w:rsid w:val="00564079"/>
    <w:rsid w:val="0056461A"/>
    <w:rsid w:val="0056464E"/>
    <w:rsid w:val="00564B88"/>
    <w:rsid w:val="005650B7"/>
    <w:rsid w:val="00565A27"/>
    <w:rsid w:val="00565E81"/>
    <w:rsid w:val="00566816"/>
    <w:rsid w:val="00567614"/>
    <w:rsid w:val="00567B5C"/>
    <w:rsid w:val="00571560"/>
    <w:rsid w:val="00571B71"/>
    <w:rsid w:val="00572E6A"/>
    <w:rsid w:val="005731B6"/>
    <w:rsid w:val="0057341E"/>
    <w:rsid w:val="00573DBD"/>
    <w:rsid w:val="005744D0"/>
    <w:rsid w:val="005750F2"/>
    <w:rsid w:val="005756CC"/>
    <w:rsid w:val="00575894"/>
    <w:rsid w:val="00576A40"/>
    <w:rsid w:val="0057751D"/>
    <w:rsid w:val="0058031E"/>
    <w:rsid w:val="005821B0"/>
    <w:rsid w:val="00582DD7"/>
    <w:rsid w:val="0058313D"/>
    <w:rsid w:val="00583F9E"/>
    <w:rsid w:val="00584351"/>
    <w:rsid w:val="005845FA"/>
    <w:rsid w:val="005849CA"/>
    <w:rsid w:val="00584DE1"/>
    <w:rsid w:val="005850AB"/>
    <w:rsid w:val="00586648"/>
    <w:rsid w:val="00586EE9"/>
    <w:rsid w:val="005871F1"/>
    <w:rsid w:val="00587AED"/>
    <w:rsid w:val="00587DD5"/>
    <w:rsid w:val="005900FC"/>
    <w:rsid w:val="0059136C"/>
    <w:rsid w:val="00592136"/>
    <w:rsid w:val="005921B0"/>
    <w:rsid w:val="0059256A"/>
    <w:rsid w:val="005927DD"/>
    <w:rsid w:val="005938D7"/>
    <w:rsid w:val="00593DF9"/>
    <w:rsid w:val="00593E84"/>
    <w:rsid w:val="005944CE"/>
    <w:rsid w:val="005949AA"/>
    <w:rsid w:val="005957E3"/>
    <w:rsid w:val="00595DB3"/>
    <w:rsid w:val="00595F3B"/>
    <w:rsid w:val="00597FC4"/>
    <w:rsid w:val="005A0026"/>
    <w:rsid w:val="005A01BE"/>
    <w:rsid w:val="005A0402"/>
    <w:rsid w:val="005A1727"/>
    <w:rsid w:val="005A1B5D"/>
    <w:rsid w:val="005A1E91"/>
    <w:rsid w:val="005A2FCF"/>
    <w:rsid w:val="005A32B9"/>
    <w:rsid w:val="005A4794"/>
    <w:rsid w:val="005A52AB"/>
    <w:rsid w:val="005A556E"/>
    <w:rsid w:val="005A57BC"/>
    <w:rsid w:val="005A5843"/>
    <w:rsid w:val="005A5BD9"/>
    <w:rsid w:val="005A636A"/>
    <w:rsid w:val="005A694F"/>
    <w:rsid w:val="005A737D"/>
    <w:rsid w:val="005A7F72"/>
    <w:rsid w:val="005B04FE"/>
    <w:rsid w:val="005B0DE0"/>
    <w:rsid w:val="005B14D2"/>
    <w:rsid w:val="005B2676"/>
    <w:rsid w:val="005B2BCA"/>
    <w:rsid w:val="005B3000"/>
    <w:rsid w:val="005B3508"/>
    <w:rsid w:val="005B368C"/>
    <w:rsid w:val="005B378D"/>
    <w:rsid w:val="005B3880"/>
    <w:rsid w:val="005B42D6"/>
    <w:rsid w:val="005B43DD"/>
    <w:rsid w:val="005B4BAD"/>
    <w:rsid w:val="005B4D8D"/>
    <w:rsid w:val="005B516D"/>
    <w:rsid w:val="005B533A"/>
    <w:rsid w:val="005B56EA"/>
    <w:rsid w:val="005B5BA0"/>
    <w:rsid w:val="005B609C"/>
    <w:rsid w:val="005B6235"/>
    <w:rsid w:val="005B652E"/>
    <w:rsid w:val="005B67C6"/>
    <w:rsid w:val="005B69C5"/>
    <w:rsid w:val="005C0441"/>
    <w:rsid w:val="005C1036"/>
    <w:rsid w:val="005C195E"/>
    <w:rsid w:val="005C2680"/>
    <w:rsid w:val="005C3E6D"/>
    <w:rsid w:val="005C4C81"/>
    <w:rsid w:val="005C5638"/>
    <w:rsid w:val="005C6237"/>
    <w:rsid w:val="005C7997"/>
    <w:rsid w:val="005C7E3D"/>
    <w:rsid w:val="005D0083"/>
    <w:rsid w:val="005D0239"/>
    <w:rsid w:val="005D103A"/>
    <w:rsid w:val="005D11D9"/>
    <w:rsid w:val="005D1354"/>
    <w:rsid w:val="005D266C"/>
    <w:rsid w:val="005D28D4"/>
    <w:rsid w:val="005D2BF5"/>
    <w:rsid w:val="005D3DB0"/>
    <w:rsid w:val="005D3DD0"/>
    <w:rsid w:val="005D3E2F"/>
    <w:rsid w:val="005D40BF"/>
    <w:rsid w:val="005D5637"/>
    <w:rsid w:val="005D5FA2"/>
    <w:rsid w:val="005D5FBC"/>
    <w:rsid w:val="005D72C7"/>
    <w:rsid w:val="005D78A2"/>
    <w:rsid w:val="005D7C79"/>
    <w:rsid w:val="005D7F91"/>
    <w:rsid w:val="005D7FB4"/>
    <w:rsid w:val="005E1335"/>
    <w:rsid w:val="005E220F"/>
    <w:rsid w:val="005E248A"/>
    <w:rsid w:val="005E2D5F"/>
    <w:rsid w:val="005E3CA0"/>
    <w:rsid w:val="005E419A"/>
    <w:rsid w:val="005E5A7A"/>
    <w:rsid w:val="005E673B"/>
    <w:rsid w:val="005E6AEF"/>
    <w:rsid w:val="005E7C7F"/>
    <w:rsid w:val="005F060A"/>
    <w:rsid w:val="005F0C62"/>
    <w:rsid w:val="005F10BC"/>
    <w:rsid w:val="005F193F"/>
    <w:rsid w:val="005F24B7"/>
    <w:rsid w:val="005F2AA5"/>
    <w:rsid w:val="005F2B60"/>
    <w:rsid w:val="005F2FB0"/>
    <w:rsid w:val="005F37D9"/>
    <w:rsid w:val="005F4618"/>
    <w:rsid w:val="005F54BB"/>
    <w:rsid w:val="005F57BE"/>
    <w:rsid w:val="005F66F4"/>
    <w:rsid w:val="005F7D8E"/>
    <w:rsid w:val="006009D5"/>
    <w:rsid w:val="006014A8"/>
    <w:rsid w:val="00601929"/>
    <w:rsid w:val="006032C6"/>
    <w:rsid w:val="006032E3"/>
    <w:rsid w:val="00603E89"/>
    <w:rsid w:val="0060449D"/>
    <w:rsid w:val="00604558"/>
    <w:rsid w:val="00604C30"/>
    <w:rsid w:val="00605250"/>
    <w:rsid w:val="006052F4"/>
    <w:rsid w:val="00605C95"/>
    <w:rsid w:val="00605E0F"/>
    <w:rsid w:val="00606B1C"/>
    <w:rsid w:val="00607F94"/>
    <w:rsid w:val="00610296"/>
    <w:rsid w:val="006124E7"/>
    <w:rsid w:val="00612743"/>
    <w:rsid w:val="00613562"/>
    <w:rsid w:val="0061468C"/>
    <w:rsid w:val="006151E7"/>
    <w:rsid w:val="00615291"/>
    <w:rsid w:val="00616AD1"/>
    <w:rsid w:val="006171CC"/>
    <w:rsid w:val="00617E94"/>
    <w:rsid w:val="00620550"/>
    <w:rsid w:val="006207F1"/>
    <w:rsid w:val="00621401"/>
    <w:rsid w:val="006219AD"/>
    <w:rsid w:val="00621C0B"/>
    <w:rsid w:val="00621F65"/>
    <w:rsid w:val="00622BCF"/>
    <w:rsid w:val="006237AD"/>
    <w:rsid w:val="00623C15"/>
    <w:rsid w:val="00624570"/>
    <w:rsid w:val="00624721"/>
    <w:rsid w:val="006260BB"/>
    <w:rsid w:val="00626934"/>
    <w:rsid w:val="006275E4"/>
    <w:rsid w:val="0063026C"/>
    <w:rsid w:val="006306CB"/>
    <w:rsid w:val="006307D4"/>
    <w:rsid w:val="006313EF"/>
    <w:rsid w:val="00633A1F"/>
    <w:rsid w:val="00635A11"/>
    <w:rsid w:val="00635B3E"/>
    <w:rsid w:val="00635CF1"/>
    <w:rsid w:val="0064025E"/>
    <w:rsid w:val="00640994"/>
    <w:rsid w:val="00641A97"/>
    <w:rsid w:val="006429CB"/>
    <w:rsid w:val="00642AD2"/>
    <w:rsid w:val="00642BC6"/>
    <w:rsid w:val="006432CC"/>
    <w:rsid w:val="006440D2"/>
    <w:rsid w:val="00644263"/>
    <w:rsid w:val="006455C8"/>
    <w:rsid w:val="00645C1D"/>
    <w:rsid w:val="00646224"/>
    <w:rsid w:val="00646EB1"/>
    <w:rsid w:val="00647B5E"/>
    <w:rsid w:val="00647C94"/>
    <w:rsid w:val="006514D6"/>
    <w:rsid w:val="006522BA"/>
    <w:rsid w:val="00652303"/>
    <w:rsid w:val="00653753"/>
    <w:rsid w:val="006537D2"/>
    <w:rsid w:val="00653D29"/>
    <w:rsid w:val="00653DD4"/>
    <w:rsid w:val="006556A0"/>
    <w:rsid w:val="0065584E"/>
    <w:rsid w:val="00655F1B"/>
    <w:rsid w:val="006564D9"/>
    <w:rsid w:val="0065780F"/>
    <w:rsid w:val="00657BC3"/>
    <w:rsid w:val="006607D6"/>
    <w:rsid w:val="00660912"/>
    <w:rsid w:val="0066120B"/>
    <w:rsid w:val="0066180F"/>
    <w:rsid w:val="00662064"/>
    <w:rsid w:val="0066260E"/>
    <w:rsid w:val="0066265F"/>
    <w:rsid w:val="00662BB3"/>
    <w:rsid w:val="0066391F"/>
    <w:rsid w:val="00664985"/>
    <w:rsid w:val="00665568"/>
    <w:rsid w:val="00665886"/>
    <w:rsid w:val="00666D52"/>
    <w:rsid w:val="00666E86"/>
    <w:rsid w:val="00667414"/>
    <w:rsid w:val="00667FA3"/>
    <w:rsid w:val="00670978"/>
    <w:rsid w:val="0067177F"/>
    <w:rsid w:val="006719D0"/>
    <w:rsid w:val="00672853"/>
    <w:rsid w:val="00673322"/>
    <w:rsid w:val="0067348A"/>
    <w:rsid w:val="00673B8F"/>
    <w:rsid w:val="00673E2A"/>
    <w:rsid w:val="006740DE"/>
    <w:rsid w:val="00674E85"/>
    <w:rsid w:val="00674FD9"/>
    <w:rsid w:val="00675BF8"/>
    <w:rsid w:val="00677505"/>
    <w:rsid w:val="0068067D"/>
    <w:rsid w:val="006808C6"/>
    <w:rsid w:val="00680A3C"/>
    <w:rsid w:val="006819A3"/>
    <w:rsid w:val="0068281F"/>
    <w:rsid w:val="00682940"/>
    <w:rsid w:val="0068301D"/>
    <w:rsid w:val="006830E5"/>
    <w:rsid w:val="006831FC"/>
    <w:rsid w:val="00683A95"/>
    <w:rsid w:val="00683F81"/>
    <w:rsid w:val="00683F8A"/>
    <w:rsid w:val="006852EA"/>
    <w:rsid w:val="006858EA"/>
    <w:rsid w:val="00687605"/>
    <w:rsid w:val="006878DF"/>
    <w:rsid w:val="006906E2"/>
    <w:rsid w:val="0069082C"/>
    <w:rsid w:val="00690CF6"/>
    <w:rsid w:val="006923F2"/>
    <w:rsid w:val="00692F1D"/>
    <w:rsid w:val="0069372E"/>
    <w:rsid w:val="00693CF8"/>
    <w:rsid w:val="006945AD"/>
    <w:rsid w:val="0069560A"/>
    <w:rsid w:val="006957C7"/>
    <w:rsid w:val="00695A11"/>
    <w:rsid w:val="0069656E"/>
    <w:rsid w:val="00696923"/>
    <w:rsid w:val="00696B02"/>
    <w:rsid w:val="00696BAC"/>
    <w:rsid w:val="00696D30"/>
    <w:rsid w:val="006974EF"/>
    <w:rsid w:val="0069759F"/>
    <w:rsid w:val="00697C75"/>
    <w:rsid w:val="00697CF7"/>
    <w:rsid w:val="006A01D1"/>
    <w:rsid w:val="006A02CF"/>
    <w:rsid w:val="006A19E7"/>
    <w:rsid w:val="006A1CDE"/>
    <w:rsid w:val="006A1FD3"/>
    <w:rsid w:val="006A255D"/>
    <w:rsid w:val="006A33BC"/>
    <w:rsid w:val="006A4BF9"/>
    <w:rsid w:val="006A5F7D"/>
    <w:rsid w:val="006A608B"/>
    <w:rsid w:val="006A69F1"/>
    <w:rsid w:val="006A6A7D"/>
    <w:rsid w:val="006A7AC6"/>
    <w:rsid w:val="006A7EB8"/>
    <w:rsid w:val="006B0053"/>
    <w:rsid w:val="006B0201"/>
    <w:rsid w:val="006B04D9"/>
    <w:rsid w:val="006B0A33"/>
    <w:rsid w:val="006B0AD3"/>
    <w:rsid w:val="006B1046"/>
    <w:rsid w:val="006B19CD"/>
    <w:rsid w:val="006B2384"/>
    <w:rsid w:val="006B316B"/>
    <w:rsid w:val="006B382A"/>
    <w:rsid w:val="006B3ACA"/>
    <w:rsid w:val="006B4441"/>
    <w:rsid w:val="006B4C64"/>
    <w:rsid w:val="006B4EA0"/>
    <w:rsid w:val="006B535C"/>
    <w:rsid w:val="006B53EE"/>
    <w:rsid w:val="006B70A2"/>
    <w:rsid w:val="006B7DD2"/>
    <w:rsid w:val="006B7E7A"/>
    <w:rsid w:val="006B7FD7"/>
    <w:rsid w:val="006C0369"/>
    <w:rsid w:val="006C2025"/>
    <w:rsid w:val="006C23A2"/>
    <w:rsid w:val="006C27A5"/>
    <w:rsid w:val="006C341E"/>
    <w:rsid w:val="006C354D"/>
    <w:rsid w:val="006C3947"/>
    <w:rsid w:val="006C3D4C"/>
    <w:rsid w:val="006C4CA7"/>
    <w:rsid w:val="006C4EB3"/>
    <w:rsid w:val="006C504C"/>
    <w:rsid w:val="006C555C"/>
    <w:rsid w:val="006C5663"/>
    <w:rsid w:val="006C65EE"/>
    <w:rsid w:val="006C6A56"/>
    <w:rsid w:val="006C6FC8"/>
    <w:rsid w:val="006D024D"/>
    <w:rsid w:val="006D02E3"/>
    <w:rsid w:val="006D20C2"/>
    <w:rsid w:val="006D2C71"/>
    <w:rsid w:val="006D3219"/>
    <w:rsid w:val="006D3DA0"/>
    <w:rsid w:val="006D4C51"/>
    <w:rsid w:val="006D4E21"/>
    <w:rsid w:val="006D5553"/>
    <w:rsid w:val="006D5C51"/>
    <w:rsid w:val="006D64A5"/>
    <w:rsid w:val="006D73DB"/>
    <w:rsid w:val="006D7794"/>
    <w:rsid w:val="006D7D6C"/>
    <w:rsid w:val="006D7E05"/>
    <w:rsid w:val="006E01C4"/>
    <w:rsid w:val="006E02B1"/>
    <w:rsid w:val="006E1999"/>
    <w:rsid w:val="006E1FD9"/>
    <w:rsid w:val="006E2882"/>
    <w:rsid w:val="006E2AD6"/>
    <w:rsid w:val="006E2FA2"/>
    <w:rsid w:val="006E3195"/>
    <w:rsid w:val="006E3E72"/>
    <w:rsid w:val="006E4395"/>
    <w:rsid w:val="006E7596"/>
    <w:rsid w:val="006E769F"/>
    <w:rsid w:val="006F0919"/>
    <w:rsid w:val="006F1772"/>
    <w:rsid w:val="006F184B"/>
    <w:rsid w:val="006F32B7"/>
    <w:rsid w:val="006F4340"/>
    <w:rsid w:val="006F45C1"/>
    <w:rsid w:val="006F4D1C"/>
    <w:rsid w:val="006F5198"/>
    <w:rsid w:val="006F57F6"/>
    <w:rsid w:val="006F5B93"/>
    <w:rsid w:val="006F5CA8"/>
    <w:rsid w:val="006F629B"/>
    <w:rsid w:val="006F648E"/>
    <w:rsid w:val="006F6EAB"/>
    <w:rsid w:val="006F74C5"/>
    <w:rsid w:val="0070051E"/>
    <w:rsid w:val="00700745"/>
    <w:rsid w:val="00700C0A"/>
    <w:rsid w:val="007023D6"/>
    <w:rsid w:val="007036EB"/>
    <w:rsid w:val="00703776"/>
    <w:rsid w:val="007037D4"/>
    <w:rsid w:val="0070415C"/>
    <w:rsid w:val="007044B8"/>
    <w:rsid w:val="007075D9"/>
    <w:rsid w:val="00707970"/>
    <w:rsid w:val="00707A35"/>
    <w:rsid w:val="00707B1D"/>
    <w:rsid w:val="00710D53"/>
    <w:rsid w:val="0071132C"/>
    <w:rsid w:val="00712E44"/>
    <w:rsid w:val="0071324F"/>
    <w:rsid w:val="00713922"/>
    <w:rsid w:val="007142FA"/>
    <w:rsid w:val="00714771"/>
    <w:rsid w:val="00714C6B"/>
    <w:rsid w:val="00716188"/>
    <w:rsid w:val="007161E2"/>
    <w:rsid w:val="007167EC"/>
    <w:rsid w:val="007171D1"/>
    <w:rsid w:val="0071721D"/>
    <w:rsid w:val="007179EF"/>
    <w:rsid w:val="00717C8F"/>
    <w:rsid w:val="00720807"/>
    <w:rsid w:val="0072369C"/>
    <w:rsid w:val="007248EE"/>
    <w:rsid w:val="00725011"/>
    <w:rsid w:val="0072594A"/>
    <w:rsid w:val="00726E9C"/>
    <w:rsid w:val="00730343"/>
    <w:rsid w:val="007304B3"/>
    <w:rsid w:val="00730CF6"/>
    <w:rsid w:val="00730EF3"/>
    <w:rsid w:val="007312F8"/>
    <w:rsid w:val="00733473"/>
    <w:rsid w:val="00733542"/>
    <w:rsid w:val="00733602"/>
    <w:rsid w:val="007349CA"/>
    <w:rsid w:val="00734C44"/>
    <w:rsid w:val="0073592B"/>
    <w:rsid w:val="00735E34"/>
    <w:rsid w:val="00735F87"/>
    <w:rsid w:val="00736267"/>
    <w:rsid w:val="007362E3"/>
    <w:rsid w:val="007371F3"/>
    <w:rsid w:val="00737614"/>
    <w:rsid w:val="00740502"/>
    <w:rsid w:val="00740972"/>
    <w:rsid w:val="00741717"/>
    <w:rsid w:val="00741C09"/>
    <w:rsid w:val="00741DEB"/>
    <w:rsid w:val="007425D2"/>
    <w:rsid w:val="0074277A"/>
    <w:rsid w:val="007439BF"/>
    <w:rsid w:val="00744CEE"/>
    <w:rsid w:val="007453B8"/>
    <w:rsid w:val="00745ADB"/>
    <w:rsid w:val="0074673F"/>
    <w:rsid w:val="0075055A"/>
    <w:rsid w:val="0075081A"/>
    <w:rsid w:val="0075191D"/>
    <w:rsid w:val="00751C0F"/>
    <w:rsid w:val="007527C8"/>
    <w:rsid w:val="0075285A"/>
    <w:rsid w:val="00753599"/>
    <w:rsid w:val="00753864"/>
    <w:rsid w:val="007538CC"/>
    <w:rsid w:val="007550FB"/>
    <w:rsid w:val="0075553C"/>
    <w:rsid w:val="007556CE"/>
    <w:rsid w:val="00756788"/>
    <w:rsid w:val="0075706B"/>
    <w:rsid w:val="007600C3"/>
    <w:rsid w:val="0076116D"/>
    <w:rsid w:val="007612A7"/>
    <w:rsid w:val="00761309"/>
    <w:rsid w:val="007616C3"/>
    <w:rsid w:val="00761A18"/>
    <w:rsid w:val="00761C1E"/>
    <w:rsid w:val="00761E60"/>
    <w:rsid w:val="00762F81"/>
    <w:rsid w:val="0076370D"/>
    <w:rsid w:val="00764441"/>
    <w:rsid w:val="00764CA1"/>
    <w:rsid w:val="00764D00"/>
    <w:rsid w:val="00765B81"/>
    <w:rsid w:val="00765C02"/>
    <w:rsid w:val="007663E6"/>
    <w:rsid w:val="00766900"/>
    <w:rsid w:val="00766AD1"/>
    <w:rsid w:val="00767808"/>
    <w:rsid w:val="00770711"/>
    <w:rsid w:val="007713F5"/>
    <w:rsid w:val="007714C4"/>
    <w:rsid w:val="0077162F"/>
    <w:rsid w:val="00771A4C"/>
    <w:rsid w:val="00772E47"/>
    <w:rsid w:val="00773293"/>
    <w:rsid w:val="007733CF"/>
    <w:rsid w:val="00774F66"/>
    <w:rsid w:val="00774F94"/>
    <w:rsid w:val="00776282"/>
    <w:rsid w:val="007767BB"/>
    <w:rsid w:val="007767BD"/>
    <w:rsid w:val="00776BD7"/>
    <w:rsid w:val="007778DB"/>
    <w:rsid w:val="00777BD4"/>
    <w:rsid w:val="00777F74"/>
    <w:rsid w:val="0078022B"/>
    <w:rsid w:val="007803BB"/>
    <w:rsid w:val="007814E2"/>
    <w:rsid w:val="007818AD"/>
    <w:rsid w:val="00782588"/>
    <w:rsid w:val="007825F3"/>
    <w:rsid w:val="0078296A"/>
    <w:rsid w:val="00783185"/>
    <w:rsid w:val="0078385D"/>
    <w:rsid w:val="00783E5D"/>
    <w:rsid w:val="007842AE"/>
    <w:rsid w:val="00785958"/>
    <w:rsid w:val="00785EA4"/>
    <w:rsid w:val="007866C5"/>
    <w:rsid w:val="00786BAE"/>
    <w:rsid w:val="00786BE4"/>
    <w:rsid w:val="00787209"/>
    <w:rsid w:val="0078742F"/>
    <w:rsid w:val="0079025B"/>
    <w:rsid w:val="007902E8"/>
    <w:rsid w:val="007912C5"/>
    <w:rsid w:val="007917B4"/>
    <w:rsid w:val="00792C2D"/>
    <w:rsid w:val="00793118"/>
    <w:rsid w:val="007933F4"/>
    <w:rsid w:val="00794645"/>
    <w:rsid w:val="0079509E"/>
    <w:rsid w:val="007952AE"/>
    <w:rsid w:val="00795652"/>
    <w:rsid w:val="007966A5"/>
    <w:rsid w:val="007976FE"/>
    <w:rsid w:val="007A0F76"/>
    <w:rsid w:val="007A1351"/>
    <w:rsid w:val="007A24BC"/>
    <w:rsid w:val="007A3018"/>
    <w:rsid w:val="007A409A"/>
    <w:rsid w:val="007A50A7"/>
    <w:rsid w:val="007A58F8"/>
    <w:rsid w:val="007A71B8"/>
    <w:rsid w:val="007A7E63"/>
    <w:rsid w:val="007B00B4"/>
    <w:rsid w:val="007B0336"/>
    <w:rsid w:val="007B0A9A"/>
    <w:rsid w:val="007B0E54"/>
    <w:rsid w:val="007B205F"/>
    <w:rsid w:val="007B2964"/>
    <w:rsid w:val="007B384C"/>
    <w:rsid w:val="007B4306"/>
    <w:rsid w:val="007B5179"/>
    <w:rsid w:val="007B6501"/>
    <w:rsid w:val="007B6D12"/>
    <w:rsid w:val="007B7937"/>
    <w:rsid w:val="007B7B48"/>
    <w:rsid w:val="007B7D37"/>
    <w:rsid w:val="007C009C"/>
    <w:rsid w:val="007C07DB"/>
    <w:rsid w:val="007C0AC0"/>
    <w:rsid w:val="007C0FD6"/>
    <w:rsid w:val="007C12BC"/>
    <w:rsid w:val="007C1E12"/>
    <w:rsid w:val="007C256F"/>
    <w:rsid w:val="007C28C5"/>
    <w:rsid w:val="007C2EE9"/>
    <w:rsid w:val="007C3C73"/>
    <w:rsid w:val="007C4AFF"/>
    <w:rsid w:val="007C5222"/>
    <w:rsid w:val="007C57D6"/>
    <w:rsid w:val="007C5BB0"/>
    <w:rsid w:val="007C6A64"/>
    <w:rsid w:val="007C75D1"/>
    <w:rsid w:val="007D08B2"/>
    <w:rsid w:val="007D099B"/>
    <w:rsid w:val="007D0E3D"/>
    <w:rsid w:val="007D2FF6"/>
    <w:rsid w:val="007D3BCC"/>
    <w:rsid w:val="007D5200"/>
    <w:rsid w:val="007D521D"/>
    <w:rsid w:val="007D69BB"/>
    <w:rsid w:val="007D69E4"/>
    <w:rsid w:val="007D6F0C"/>
    <w:rsid w:val="007D7535"/>
    <w:rsid w:val="007D7A05"/>
    <w:rsid w:val="007D7C76"/>
    <w:rsid w:val="007D7D0F"/>
    <w:rsid w:val="007E0DE2"/>
    <w:rsid w:val="007E0F29"/>
    <w:rsid w:val="007E1094"/>
    <w:rsid w:val="007E124E"/>
    <w:rsid w:val="007E1F14"/>
    <w:rsid w:val="007E20A1"/>
    <w:rsid w:val="007E2A7E"/>
    <w:rsid w:val="007E30D2"/>
    <w:rsid w:val="007E3577"/>
    <w:rsid w:val="007E4506"/>
    <w:rsid w:val="007E4CB8"/>
    <w:rsid w:val="007E4D13"/>
    <w:rsid w:val="007E50D2"/>
    <w:rsid w:val="007E54F6"/>
    <w:rsid w:val="007E5DDD"/>
    <w:rsid w:val="007E643D"/>
    <w:rsid w:val="007E68F8"/>
    <w:rsid w:val="007E76DB"/>
    <w:rsid w:val="007F0233"/>
    <w:rsid w:val="007F0510"/>
    <w:rsid w:val="007F0C42"/>
    <w:rsid w:val="007F0D42"/>
    <w:rsid w:val="007F11E2"/>
    <w:rsid w:val="007F2DCD"/>
    <w:rsid w:val="007F32AF"/>
    <w:rsid w:val="007F3AD7"/>
    <w:rsid w:val="007F3DC7"/>
    <w:rsid w:val="007F46E6"/>
    <w:rsid w:val="007F47CE"/>
    <w:rsid w:val="007F481B"/>
    <w:rsid w:val="007F52A9"/>
    <w:rsid w:val="007F5D7F"/>
    <w:rsid w:val="007F6FD9"/>
    <w:rsid w:val="007F7664"/>
    <w:rsid w:val="00800301"/>
    <w:rsid w:val="00800720"/>
    <w:rsid w:val="00801356"/>
    <w:rsid w:val="00802065"/>
    <w:rsid w:val="00802D67"/>
    <w:rsid w:val="00804661"/>
    <w:rsid w:val="00804997"/>
    <w:rsid w:val="00804A0F"/>
    <w:rsid w:val="00806841"/>
    <w:rsid w:val="00806904"/>
    <w:rsid w:val="00807B4A"/>
    <w:rsid w:val="00807C39"/>
    <w:rsid w:val="00810495"/>
    <w:rsid w:val="00811FE7"/>
    <w:rsid w:val="00812051"/>
    <w:rsid w:val="00813DE5"/>
    <w:rsid w:val="008149F1"/>
    <w:rsid w:val="00814AD0"/>
    <w:rsid w:val="00814EB3"/>
    <w:rsid w:val="008154F6"/>
    <w:rsid w:val="0081583F"/>
    <w:rsid w:val="008162ED"/>
    <w:rsid w:val="00816DAF"/>
    <w:rsid w:val="00820442"/>
    <w:rsid w:val="008205C0"/>
    <w:rsid w:val="0082066A"/>
    <w:rsid w:val="008229AE"/>
    <w:rsid w:val="008238FF"/>
    <w:rsid w:val="00823CE3"/>
    <w:rsid w:val="00823D21"/>
    <w:rsid w:val="00825465"/>
    <w:rsid w:val="00827522"/>
    <w:rsid w:val="0083009F"/>
    <w:rsid w:val="008303E5"/>
    <w:rsid w:val="008307B2"/>
    <w:rsid w:val="00830A87"/>
    <w:rsid w:val="00830D67"/>
    <w:rsid w:val="00830F5B"/>
    <w:rsid w:val="008325A6"/>
    <w:rsid w:val="008329C3"/>
    <w:rsid w:val="00832B9B"/>
    <w:rsid w:val="0083353F"/>
    <w:rsid w:val="00833DF2"/>
    <w:rsid w:val="00833F26"/>
    <w:rsid w:val="00835289"/>
    <w:rsid w:val="00835928"/>
    <w:rsid w:val="00835AA2"/>
    <w:rsid w:val="00835DCC"/>
    <w:rsid w:val="00835EB3"/>
    <w:rsid w:val="00836342"/>
    <w:rsid w:val="008364CA"/>
    <w:rsid w:val="008377A1"/>
    <w:rsid w:val="00837841"/>
    <w:rsid w:val="00837A1C"/>
    <w:rsid w:val="00837D1D"/>
    <w:rsid w:val="00837E32"/>
    <w:rsid w:val="008404C8"/>
    <w:rsid w:val="00841815"/>
    <w:rsid w:val="00841F49"/>
    <w:rsid w:val="00842141"/>
    <w:rsid w:val="008425B2"/>
    <w:rsid w:val="008425B3"/>
    <w:rsid w:val="008431F6"/>
    <w:rsid w:val="00843BA7"/>
    <w:rsid w:val="008450E7"/>
    <w:rsid w:val="00846D06"/>
    <w:rsid w:val="0084756E"/>
    <w:rsid w:val="00847792"/>
    <w:rsid w:val="00847ED8"/>
    <w:rsid w:val="00850401"/>
    <w:rsid w:val="0085065D"/>
    <w:rsid w:val="00850E54"/>
    <w:rsid w:val="00851766"/>
    <w:rsid w:val="00852587"/>
    <w:rsid w:val="008526E3"/>
    <w:rsid w:val="0085321D"/>
    <w:rsid w:val="00853BDA"/>
    <w:rsid w:val="00854476"/>
    <w:rsid w:val="00855337"/>
    <w:rsid w:val="0085554C"/>
    <w:rsid w:val="0085559C"/>
    <w:rsid w:val="00855D9B"/>
    <w:rsid w:val="008560C1"/>
    <w:rsid w:val="00856965"/>
    <w:rsid w:val="00856A48"/>
    <w:rsid w:val="0085710F"/>
    <w:rsid w:val="008578A2"/>
    <w:rsid w:val="00857CCD"/>
    <w:rsid w:val="0086017F"/>
    <w:rsid w:val="008601D4"/>
    <w:rsid w:val="0086055B"/>
    <w:rsid w:val="008605DD"/>
    <w:rsid w:val="0086132A"/>
    <w:rsid w:val="008626CF"/>
    <w:rsid w:val="00862E61"/>
    <w:rsid w:val="008636CA"/>
    <w:rsid w:val="00863A0D"/>
    <w:rsid w:val="00864A98"/>
    <w:rsid w:val="00865FB8"/>
    <w:rsid w:val="00866C7A"/>
    <w:rsid w:val="00870F00"/>
    <w:rsid w:val="00871EEC"/>
    <w:rsid w:val="00871F14"/>
    <w:rsid w:val="0087247F"/>
    <w:rsid w:val="00872B73"/>
    <w:rsid w:val="00872FF1"/>
    <w:rsid w:val="00873FFA"/>
    <w:rsid w:val="008740F8"/>
    <w:rsid w:val="0087435C"/>
    <w:rsid w:val="008747DE"/>
    <w:rsid w:val="00875F2F"/>
    <w:rsid w:val="00876562"/>
    <w:rsid w:val="00876EFC"/>
    <w:rsid w:val="00876FB3"/>
    <w:rsid w:val="00877034"/>
    <w:rsid w:val="008779F2"/>
    <w:rsid w:val="0088018C"/>
    <w:rsid w:val="008809A7"/>
    <w:rsid w:val="00880F6F"/>
    <w:rsid w:val="0088256C"/>
    <w:rsid w:val="00882778"/>
    <w:rsid w:val="00882A78"/>
    <w:rsid w:val="00884241"/>
    <w:rsid w:val="00884E33"/>
    <w:rsid w:val="00885238"/>
    <w:rsid w:val="00885C62"/>
    <w:rsid w:val="0088615D"/>
    <w:rsid w:val="008865F7"/>
    <w:rsid w:val="00886EBB"/>
    <w:rsid w:val="0088767B"/>
    <w:rsid w:val="008904AB"/>
    <w:rsid w:val="00890B03"/>
    <w:rsid w:val="008911F7"/>
    <w:rsid w:val="00891E12"/>
    <w:rsid w:val="0089313A"/>
    <w:rsid w:val="00893432"/>
    <w:rsid w:val="0089389D"/>
    <w:rsid w:val="00893B50"/>
    <w:rsid w:val="00894FE4"/>
    <w:rsid w:val="00895D95"/>
    <w:rsid w:val="008964F4"/>
    <w:rsid w:val="0089657E"/>
    <w:rsid w:val="00896713"/>
    <w:rsid w:val="00896BC3"/>
    <w:rsid w:val="00897422"/>
    <w:rsid w:val="008974EA"/>
    <w:rsid w:val="00897F54"/>
    <w:rsid w:val="008A0004"/>
    <w:rsid w:val="008A0151"/>
    <w:rsid w:val="008A067C"/>
    <w:rsid w:val="008A12CD"/>
    <w:rsid w:val="008A17EC"/>
    <w:rsid w:val="008A1998"/>
    <w:rsid w:val="008A19FB"/>
    <w:rsid w:val="008A3264"/>
    <w:rsid w:val="008A3878"/>
    <w:rsid w:val="008A38C0"/>
    <w:rsid w:val="008A43CB"/>
    <w:rsid w:val="008A4542"/>
    <w:rsid w:val="008A46EF"/>
    <w:rsid w:val="008A4B31"/>
    <w:rsid w:val="008A4B4E"/>
    <w:rsid w:val="008A6EAA"/>
    <w:rsid w:val="008A7109"/>
    <w:rsid w:val="008A7281"/>
    <w:rsid w:val="008A72AB"/>
    <w:rsid w:val="008B07C2"/>
    <w:rsid w:val="008B0B34"/>
    <w:rsid w:val="008B0E7A"/>
    <w:rsid w:val="008B1072"/>
    <w:rsid w:val="008B1085"/>
    <w:rsid w:val="008B1409"/>
    <w:rsid w:val="008B32AA"/>
    <w:rsid w:val="008B34BA"/>
    <w:rsid w:val="008B3680"/>
    <w:rsid w:val="008B3BF3"/>
    <w:rsid w:val="008B3DD4"/>
    <w:rsid w:val="008B3DFE"/>
    <w:rsid w:val="008B52CE"/>
    <w:rsid w:val="008B5757"/>
    <w:rsid w:val="008B6052"/>
    <w:rsid w:val="008B6507"/>
    <w:rsid w:val="008B6C3F"/>
    <w:rsid w:val="008B6EEB"/>
    <w:rsid w:val="008C00D8"/>
    <w:rsid w:val="008C072E"/>
    <w:rsid w:val="008C0ADA"/>
    <w:rsid w:val="008C0FB0"/>
    <w:rsid w:val="008C4A03"/>
    <w:rsid w:val="008C4E01"/>
    <w:rsid w:val="008C554E"/>
    <w:rsid w:val="008C5C43"/>
    <w:rsid w:val="008C5DFB"/>
    <w:rsid w:val="008C6563"/>
    <w:rsid w:val="008D052C"/>
    <w:rsid w:val="008D0CA6"/>
    <w:rsid w:val="008D25D2"/>
    <w:rsid w:val="008D31CF"/>
    <w:rsid w:val="008D688C"/>
    <w:rsid w:val="008D734D"/>
    <w:rsid w:val="008D7435"/>
    <w:rsid w:val="008D7B36"/>
    <w:rsid w:val="008E0777"/>
    <w:rsid w:val="008E285C"/>
    <w:rsid w:val="008E3B1B"/>
    <w:rsid w:val="008E73E0"/>
    <w:rsid w:val="008E77FF"/>
    <w:rsid w:val="008E7CD0"/>
    <w:rsid w:val="008F0579"/>
    <w:rsid w:val="008F057C"/>
    <w:rsid w:val="008F12E6"/>
    <w:rsid w:val="008F1A5A"/>
    <w:rsid w:val="008F1BF7"/>
    <w:rsid w:val="008F1C36"/>
    <w:rsid w:val="008F1F0B"/>
    <w:rsid w:val="008F21DB"/>
    <w:rsid w:val="008F317D"/>
    <w:rsid w:val="008F3496"/>
    <w:rsid w:val="008F36EC"/>
    <w:rsid w:val="008F4441"/>
    <w:rsid w:val="008F481A"/>
    <w:rsid w:val="008F6197"/>
    <w:rsid w:val="008F63E2"/>
    <w:rsid w:val="008F6D19"/>
    <w:rsid w:val="008F726E"/>
    <w:rsid w:val="008F73A4"/>
    <w:rsid w:val="00900649"/>
    <w:rsid w:val="00901710"/>
    <w:rsid w:val="009023CF"/>
    <w:rsid w:val="00903278"/>
    <w:rsid w:val="00903694"/>
    <w:rsid w:val="0090399A"/>
    <w:rsid w:val="00903A14"/>
    <w:rsid w:val="00904A32"/>
    <w:rsid w:val="00904B6E"/>
    <w:rsid w:val="00905687"/>
    <w:rsid w:val="00905E89"/>
    <w:rsid w:val="0090707D"/>
    <w:rsid w:val="009072CD"/>
    <w:rsid w:val="00907495"/>
    <w:rsid w:val="0090761B"/>
    <w:rsid w:val="00907A1F"/>
    <w:rsid w:val="00907EC1"/>
    <w:rsid w:val="00910BF8"/>
    <w:rsid w:val="00911151"/>
    <w:rsid w:val="009119C6"/>
    <w:rsid w:val="00912769"/>
    <w:rsid w:val="0091361D"/>
    <w:rsid w:val="00915064"/>
    <w:rsid w:val="009155F9"/>
    <w:rsid w:val="009170C2"/>
    <w:rsid w:val="00917A77"/>
    <w:rsid w:val="00917BD6"/>
    <w:rsid w:val="00917DE9"/>
    <w:rsid w:val="00920629"/>
    <w:rsid w:val="00920D9D"/>
    <w:rsid w:val="00920EEC"/>
    <w:rsid w:val="0092180D"/>
    <w:rsid w:val="00921B36"/>
    <w:rsid w:val="00921F1A"/>
    <w:rsid w:val="009225F0"/>
    <w:rsid w:val="00922AFE"/>
    <w:rsid w:val="0092333D"/>
    <w:rsid w:val="00923382"/>
    <w:rsid w:val="00923623"/>
    <w:rsid w:val="00923FF0"/>
    <w:rsid w:val="009243D6"/>
    <w:rsid w:val="0092472E"/>
    <w:rsid w:val="009247D1"/>
    <w:rsid w:val="00924935"/>
    <w:rsid w:val="00925178"/>
    <w:rsid w:val="00925672"/>
    <w:rsid w:val="00927125"/>
    <w:rsid w:val="0092736C"/>
    <w:rsid w:val="00927C3A"/>
    <w:rsid w:val="00930987"/>
    <w:rsid w:val="00930D03"/>
    <w:rsid w:val="00931716"/>
    <w:rsid w:val="0093203F"/>
    <w:rsid w:val="009333A6"/>
    <w:rsid w:val="009334C9"/>
    <w:rsid w:val="0093361D"/>
    <w:rsid w:val="009341F8"/>
    <w:rsid w:val="00934ABD"/>
    <w:rsid w:val="00935859"/>
    <w:rsid w:val="00935CC8"/>
    <w:rsid w:val="00936977"/>
    <w:rsid w:val="00936E50"/>
    <w:rsid w:val="00937DBF"/>
    <w:rsid w:val="0094120C"/>
    <w:rsid w:val="0094223E"/>
    <w:rsid w:val="0094252E"/>
    <w:rsid w:val="00942A7F"/>
    <w:rsid w:val="00943868"/>
    <w:rsid w:val="009442CF"/>
    <w:rsid w:val="00944D2E"/>
    <w:rsid w:val="009452BC"/>
    <w:rsid w:val="009456B4"/>
    <w:rsid w:val="00945C0D"/>
    <w:rsid w:val="00945CC7"/>
    <w:rsid w:val="00945E43"/>
    <w:rsid w:val="00946120"/>
    <w:rsid w:val="00946548"/>
    <w:rsid w:val="00946A21"/>
    <w:rsid w:val="00946EFA"/>
    <w:rsid w:val="0094776F"/>
    <w:rsid w:val="00947D1B"/>
    <w:rsid w:val="0095104C"/>
    <w:rsid w:val="00951D88"/>
    <w:rsid w:val="009521E0"/>
    <w:rsid w:val="0095264E"/>
    <w:rsid w:val="00952B31"/>
    <w:rsid w:val="00952F69"/>
    <w:rsid w:val="00953ADC"/>
    <w:rsid w:val="00954FFD"/>
    <w:rsid w:val="00955874"/>
    <w:rsid w:val="0095636C"/>
    <w:rsid w:val="0095674B"/>
    <w:rsid w:val="00957221"/>
    <w:rsid w:val="00957453"/>
    <w:rsid w:val="0095750E"/>
    <w:rsid w:val="00957A92"/>
    <w:rsid w:val="009609DE"/>
    <w:rsid w:val="0096105F"/>
    <w:rsid w:val="0096198A"/>
    <w:rsid w:val="0096229D"/>
    <w:rsid w:val="009642AF"/>
    <w:rsid w:val="009664CD"/>
    <w:rsid w:val="0096726B"/>
    <w:rsid w:val="0097026D"/>
    <w:rsid w:val="00970852"/>
    <w:rsid w:val="00971811"/>
    <w:rsid w:val="0097226B"/>
    <w:rsid w:val="009734ED"/>
    <w:rsid w:val="00973DE0"/>
    <w:rsid w:val="00974FD3"/>
    <w:rsid w:val="00975F00"/>
    <w:rsid w:val="00976246"/>
    <w:rsid w:val="009765BD"/>
    <w:rsid w:val="009765E1"/>
    <w:rsid w:val="00976902"/>
    <w:rsid w:val="00976E3D"/>
    <w:rsid w:val="00977075"/>
    <w:rsid w:val="00981115"/>
    <w:rsid w:val="00982159"/>
    <w:rsid w:val="009845B9"/>
    <w:rsid w:val="00984754"/>
    <w:rsid w:val="00985FC0"/>
    <w:rsid w:val="00986171"/>
    <w:rsid w:val="009867F5"/>
    <w:rsid w:val="00986905"/>
    <w:rsid w:val="00986AF1"/>
    <w:rsid w:val="00986CA8"/>
    <w:rsid w:val="009874D3"/>
    <w:rsid w:val="00990801"/>
    <w:rsid w:val="00990BCF"/>
    <w:rsid w:val="00990CD1"/>
    <w:rsid w:val="00990E4A"/>
    <w:rsid w:val="00992271"/>
    <w:rsid w:val="009922E5"/>
    <w:rsid w:val="00992D94"/>
    <w:rsid w:val="00993C42"/>
    <w:rsid w:val="00993E61"/>
    <w:rsid w:val="00994B26"/>
    <w:rsid w:val="00995250"/>
    <w:rsid w:val="00995564"/>
    <w:rsid w:val="0099584D"/>
    <w:rsid w:val="00995D0B"/>
    <w:rsid w:val="00997552"/>
    <w:rsid w:val="00997D75"/>
    <w:rsid w:val="00997F37"/>
    <w:rsid w:val="009A0360"/>
    <w:rsid w:val="009A0D6B"/>
    <w:rsid w:val="009A0DE9"/>
    <w:rsid w:val="009A0F0F"/>
    <w:rsid w:val="009A158B"/>
    <w:rsid w:val="009A1CA4"/>
    <w:rsid w:val="009A227B"/>
    <w:rsid w:val="009A23DB"/>
    <w:rsid w:val="009A2930"/>
    <w:rsid w:val="009A2F38"/>
    <w:rsid w:val="009A422A"/>
    <w:rsid w:val="009A492E"/>
    <w:rsid w:val="009A4DDD"/>
    <w:rsid w:val="009A572F"/>
    <w:rsid w:val="009B0F20"/>
    <w:rsid w:val="009B17BD"/>
    <w:rsid w:val="009B2A22"/>
    <w:rsid w:val="009B2B77"/>
    <w:rsid w:val="009B3663"/>
    <w:rsid w:val="009B4051"/>
    <w:rsid w:val="009B446A"/>
    <w:rsid w:val="009B5ED0"/>
    <w:rsid w:val="009B6D40"/>
    <w:rsid w:val="009B7107"/>
    <w:rsid w:val="009B7513"/>
    <w:rsid w:val="009B7738"/>
    <w:rsid w:val="009B7FDF"/>
    <w:rsid w:val="009C029B"/>
    <w:rsid w:val="009C083C"/>
    <w:rsid w:val="009C098D"/>
    <w:rsid w:val="009C0F32"/>
    <w:rsid w:val="009C1230"/>
    <w:rsid w:val="009C12DD"/>
    <w:rsid w:val="009C1533"/>
    <w:rsid w:val="009C214C"/>
    <w:rsid w:val="009C2C4E"/>
    <w:rsid w:val="009C3480"/>
    <w:rsid w:val="009C3A2B"/>
    <w:rsid w:val="009C3CBC"/>
    <w:rsid w:val="009C422A"/>
    <w:rsid w:val="009C51A5"/>
    <w:rsid w:val="009C5B17"/>
    <w:rsid w:val="009C6116"/>
    <w:rsid w:val="009C741C"/>
    <w:rsid w:val="009C7509"/>
    <w:rsid w:val="009C7816"/>
    <w:rsid w:val="009C7EE0"/>
    <w:rsid w:val="009D04A0"/>
    <w:rsid w:val="009D0564"/>
    <w:rsid w:val="009D0DBD"/>
    <w:rsid w:val="009D0F76"/>
    <w:rsid w:val="009D16D5"/>
    <w:rsid w:val="009D2258"/>
    <w:rsid w:val="009D2CBD"/>
    <w:rsid w:val="009D2F68"/>
    <w:rsid w:val="009D329F"/>
    <w:rsid w:val="009D3968"/>
    <w:rsid w:val="009D4470"/>
    <w:rsid w:val="009D4CBD"/>
    <w:rsid w:val="009D51AE"/>
    <w:rsid w:val="009D635A"/>
    <w:rsid w:val="009D6573"/>
    <w:rsid w:val="009D70F8"/>
    <w:rsid w:val="009D71C7"/>
    <w:rsid w:val="009D736C"/>
    <w:rsid w:val="009D77D8"/>
    <w:rsid w:val="009D7A7A"/>
    <w:rsid w:val="009D7DFD"/>
    <w:rsid w:val="009E017E"/>
    <w:rsid w:val="009E0B3F"/>
    <w:rsid w:val="009E2735"/>
    <w:rsid w:val="009E3681"/>
    <w:rsid w:val="009E3DE2"/>
    <w:rsid w:val="009E42E8"/>
    <w:rsid w:val="009E512E"/>
    <w:rsid w:val="009E51F0"/>
    <w:rsid w:val="009E5550"/>
    <w:rsid w:val="009E57DA"/>
    <w:rsid w:val="009E5DEE"/>
    <w:rsid w:val="009E6313"/>
    <w:rsid w:val="009E64CF"/>
    <w:rsid w:val="009E6561"/>
    <w:rsid w:val="009E6AA5"/>
    <w:rsid w:val="009F0AC4"/>
    <w:rsid w:val="009F1CA8"/>
    <w:rsid w:val="009F2795"/>
    <w:rsid w:val="009F2F9E"/>
    <w:rsid w:val="009F439D"/>
    <w:rsid w:val="009F4DEF"/>
    <w:rsid w:val="009F5A8C"/>
    <w:rsid w:val="009F60AD"/>
    <w:rsid w:val="009F67F7"/>
    <w:rsid w:val="009F6A51"/>
    <w:rsid w:val="009F6B6A"/>
    <w:rsid w:val="009F6F22"/>
    <w:rsid w:val="009F7295"/>
    <w:rsid w:val="009F7A4E"/>
    <w:rsid w:val="009F7A60"/>
    <w:rsid w:val="009F7E54"/>
    <w:rsid w:val="00A0056B"/>
    <w:rsid w:val="00A00DB4"/>
    <w:rsid w:val="00A0153C"/>
    <w:rsid w:val="00A02446"/>
    <w:rsid w:val="00A02613"/>
    <w:rsid w:val="00A0268C"/>
    <w:rsid w:val="00A028A8"/>
    <w:rsid w:val="00A030B5"/>
    <w:rsid w:val="00A0313B"/>
    <w:rsid w:val="00A04204"/>
    <w:rsid w:val="00A0583B"/>
    <w:rsid w:val="00A060C7"/>
    <w:rsid w:val="00A061E2"/>
    <w:rsid w:val="00A10018"/>
    <w:rsid w:val="00A1004B"/>
    <w:rsid w:val="00A11391"/>
    <w:rsid w:val="00A123AD"/>
    <w:rsid w:val="00A12E0A"/>
    <w:rsid w:val="00A132E9"/>
    <w:rsid w:val="00A134FD"/>
    <w:rsid w:val="00A140B0"/>
    <w:rsid w:val="00A1455C"/>
    <w:rsid w:val="00A15959"/>
    <w:rsid w:val="00A15CF7"/>
    <w:rsid w:val="00A17179"/>
    <w:rsid w:val="00A171DA"/>
    <w:rsid w:val="00A17908"/>
    <w:rsid w:val="00A17EFB"/>
    <w:rsid w:val="00A209F2"/>
    <w:rsid w:val="00A20C0F"/>
    <w:rsid w:val="00A20DC5"/>
    <w:rsid w:val="00A20FF2"/>
    <w:rsid w:val="00A2129D"/>
    <w:rsid w:val="00A225F9"/>
    <w:rsid w:val="00A23890"/>
    <w:rsid w:val="00A23EC3"/>
    <w:rsid w:val="00A249F9"/>
    <w:rsid w:val="00A25235"/>
    <w:rsid w:val="00A2572B"/>
    <w:rsid w:val="00A258A3"/>
    <w:rsid w:val="00A26176"/>
    <w:rsid w:val="00A265B4"/>
    <w:rsid w:val="00A279C6"/>
    <w:rsid w:val="00A30BAE"/>
    <w:rsid w:val="00A30C8A"/>
    <w:rsid w:val="00A312E7"/>
    <w:rsid w:val="00A329B7"/>
    <w:rsid w:val="00A3319A"/>
    <w:rsid w:val="00A34060"/>
    <w:rsid w:val="00A345AA"/>
    <w:rsid w:val="00A349CA"/>
    <w:rsid w:val="00A353EE"/>
    <w:rsid w:val="00A358F5"/>
    <w:rsid w:val="00A35ED1"/>
    <w:rsid w:val="00A360BB"/>
    <w:rsid w:val="00A36B0E"/>
    <w:rsid w:val="00A37477"/>
    <w:rsid w:val="00A379C0"/>
    <w:rsid w:val="00A40760"/>
    <w:rsid w:val="00A41946"/>
    <w:rsid w:val="00A419FA"/>
    <w:rsid w:val="00A420FB"/>
    <w:rsid w:val="00A42637"/>
    <w:rsid w:val="00A42D13"/>
    <w:rsid w:val="00A4389C"/>
    <w:rsid w:val="00A448DA"/>
    <w:rsid w:val="00A45E24"/>
    <w:rsid w:val="00A4600D"/>
    <w:rsid w:val="00A468C5"/>
    <w:rsid w:val="00A46901"/>
    <w:rsid w:val="00A47116"/>
    <w:rsid w:val="00A478CD"/>
    <w:rsid w:val="00A47AEB"/>
    <w:rsid w:val="00A50E5A"/>
    <w:rsid w:val="00A51346"/>
    <w:rsid w:val="00A52448"/>
    <w:rsid w:val="00A5381C"/>
    <w:rsid w:val="00A538D7"/>
    <w:rsid w:val="00A54C7C"/>
    <w:rsid w:val="00A551BE"/>
    <w:rsid w:val="00A56953"/>
    <w:rsid w:val="00A600B8"/>
    <w:rsid w:val="00A6132E"/>
    <w:rsid w:val="00A61A68"/>
    <w:rsid w:val="00A61C72"/>
    <w:rsid w:val="00A6201E"/>
    <w:rsid w:val="00A627DE"/>
    <w:rsid w:val="00A62A35"/>
    <w:rsid w:val="00A63217"/>
    <w:rsid w:val="00A63371"/>
    <w:rsid w:val="00A6341E"/>
    <w:rsid w:val="00A637B1"/>
    <w:rsid w:val="00A6394F"/>
    <w:rsid w:val="00A63A0A"/>
    <w:rsid w:val="00A647F4"/>
    <w:rsid w:val="00A6580F"/>
    <w:rsid w:val="00A65871"/>
    <w:rsid w:val="00A6690E"/>
    <w:rsid w:val="00A66A8C"/>
    <w:rsid w:val="00A66DA9"/>
    <w:rsid w:val="00A66F9C"/>
    <w:rsid w:val="00A677B1"/>
    <w:rsid w:val="00A67825"/>
    <w:rsid w:val="00A67D41"/>
    <w:rsid w:val="00A7096F"/>
    <w:rsid w:val="00A712DE"/>
    <w:rsid w:val="00A71686"/>
    <w:rsid w:val="00A716BC"/>
    <w:rsid w:val="00A7204A"/>
    <w:rsid w:val="00A726CB"/>
    <w:rsid w:val="00A72999"/>
    <w:rsid w:val="00A72B02"/>
    <w:rsid w:val="00A72D61"/>
    <w:rsid w:val="00A75299"/>
    <w:rsid w:val="00A77CDF"/>
    <w:rsid w:val="00A80176"/>
    <w:rsid w:val="00A80860"/>
    <w:rsid w:val="00A80FFC"/>
    <w:rsid w:val="00A81B5D"/>
    <w:rsid w:val="00A82075"/>
    <w:rsid w:val="00A820FE"/>
    <w:rsid w:val="00A821A1"/>
    <w:rsid w:val="00A821F5"/>
    <w:rsid w:val="00A82893"/>
    <w:rsid w:val="00A84775"/>
    <w:rsid w:val="00A84BC9"/>
    <w:rsid w:val="00A853FF"/>
    <w:rsid w:val="00A85AC6"/>
    <w:rsid w:val="00A864DE"/>
    <w:rsid w:val="00A90444"/>
    <w:rsid w:val="00A914DA"/>
    <w:rsid w:val="00A93D2D"/>
    <w:rsid w:val="00A940C0"/>
    <w:rsid w:val="00A94213"/>
    <w:rsid w:val="00A94752"/>
    <w:rsid w:val="00A958A6"/>
    <w:rsid w:val="00A95ABA"/>
    <w:rsid w:val="00A95E88"/>
    <w:rsid w:val="00AA064D"/>
    <w:rsid w:val="00AA1C41"/>
    <w:rsid w:val="00AA1D33"/>
    <w:rsid w:val="00AA2CCE"/>
    <w:rsid w:val="00AA2D3A"/>
    <w:rsid w:val="00AA5335"/>
    <w:rsid w:val="00AA574F"/>
    <w:rsid w:val="00AA61F2"/>
    <w:rsid w:val="00AA6B57"/>
    <w:rsid w:val="00AB001E"/>
    <w:rsid w:val="00AB119E"/>
    <w:rsid w:val="00AB185D"/>
    <w:rsid w:val="00AB2303"/>
    <w:rsid w:val="00AB2BF1"/>
    <w:rsid w:val="00AB35B3"/>
    <w:rsid w:val="00AB3E7B"/>
    <w:rsid w:val="00AB470D"/>
    <w:rsid w:val="00AB55F1"/>
    <w:rsid w:val="00AB583F"/>
    <w:rsid w:val="00AB5A63"/>
    <w:rsid w:val="00AB5E8F"/>
    <w:rsid w:val="00AB5F14"/>
    <w:rsid w:val="00AB6941"/>
    <w:rsid w:val="00AB6BFF"/>
    <w:rsid w:val="00AB73AD"/>
    <w:rsid w:val="00AC043F"/>
    <w:rsid w:val="00AC0CE6"/>
    <w:rsid w:val="00AC0F10"/>
    <w:rsid w:val="00AC1A05"/>
    <w:rsid w:val="00AC1C29"/>
    <w:rsid w:val="00AC1D04"/>
    <w:rsid w:val="00AC285F"/>
    <w:rsid w:val="00AC2B72"/>
    <w:rsid w:val="00AC2FE1"/>
    <w:rsid w:val="00AC3EE7"/>
    <w:rsid w:val="00AC3EEA"/>
    <w:rsid w:val="00AC4272"/>
    <w:rsid w:val="00AC44C6"/>
    <w:rsid w:val="00AC44CF"/>
    <w:rsid w:val="00AC464A"/>
    <w:rsid w:val="00AC69DA"/>
    <w:rsid w:val="00AC7805"/>
    <w:rsid w:val="00AC7C1C"/>
    <w:rsid w:val="00AD23F2"/>
    <w:rsid w:val="00AD2A21"/>
    <w:rsid w:val="00AD2E6D"/>
    <w:rsid w:val="00AD2F11"/>
    <w:rsid w:val="00AD3261"/>
    <w:rsid w:val="00AD349F"/>
    <w:rsid w:val="00AD3B2B"/>
    <w:rsid w:val="00AD3CF8"/>
    <w:rsid w:val="00AD3D29"/>
    <w:rsid w:val="00AD3D9B"/>
    <w:rsid w:val="00AD3E05"/>
    <w:rsid w:val="00AD48D7"/>
    <w:rsid w:val="00AD63AF"/>
    <w:rsid w:val="00AD7EA8"/>
    <w:rsid w:val="00AE0035"/>
    <w:rsid w:val="00AE00C2"/>
    <w:rsid w:val="00AE146B"/>
    <w:rsid w:val="00AE1D8D"/>
    <w:rsid w:val="00AE2036"/>
    <w:rsid w:val="00AE29E1"/>
    <w:rsid w:val="00AE3407"/>
    <w:rsid w:val="00AE35BF"/>
    <w:rsid w:val="00AE3808"/>
    <w:rsid w:val="00AE4D43"/>
    <w:rsid w:val="00AE712B"/>
    <w:rsid w:val="00AF0902"/>
    <w:rsid w:val="00AF0C72"/>
    <w:rsid w:val="00AF0E62"/>
    <w:rsid w:val="00AF1D41"/>
    <w:rsid w:val="00AF2E63"/>
    <w:rsid w:val="00AF3375"/>
    <w:rsid w:val="00AF3A1E"/>
    <w:rsid w:val="00AF3AC7"/>
    <w:rsid w:val="00AF3DC9"/>
    <w:rsid w:val="00AF3F87"/>
    <w:rsid w:val="00AF40C1"/>
    <w:rsid w:val="00AF42A6"/>
    <w:rsid w:val="00AF50F6"/>
    <w:rsid w:val="00AF56AB"/>
    <w:rsid w:val="00AF5BCF"/>
    <w:rsid w:val="00AF5D4C"/>
    <w:rsid w:val="00AF5ECE"/>
    <w:rsid w:val="00AF71A4"/>
    <w:rsid w:val="00AF7327"/>
    <w:rsid w:val="00AF7BC0"/>
    <w:rsid w:val="00AF7C91"/>
    <w:rsid w:val="00AF7E62"/>
    <w:rsid w:val="00B0000B"/>
    <w:rsid w:val="00B00200"/>
    <w:rsid w:val="00B00A88"/>
    <w:rsid w:val="00B00E2E"/>
    <w:rsid w:val="00B011BC"/>
    <w:rsid w:val="00B0137B"/>
    <w:rsid w:val="00B01519"/>
    <w:rsid w:val="00B01EBE"/>
    <w:rsid w:val="00B0334E"/>
    <w:rsid w:val="00B0363D"/>
    <w:rsid w:val="00B03A06"/>
    <w:rsid w:val="00B042D4"/>
    <w:rsid w:val="00B0455C"/>
    <w:rsid w:val="00B04635"/>
    <w:rsid w:val="00B04AC0"/>
    <w:rsid w:val="00B04FB7"/>
    <w:rsid w:val="00B05684"/>
    <w:rsid w:val="00B060B3"/>
    <w:rsid w:val="00B0688A"/>
    <w:rsid w:val="00B07747"/>
    <w:rsid w:val="00B10008"/>
    <w:rsid w:val="00B10323"/>
    <w:rsid w:val="00B10A7F"/>
    <w:rsid w:val="00B10A92"/>
    <w:rsid w:val="00B10C34"/>
    <w:rsid w:val="00B10D3E"/>
    <w:rsid w:val="00B10FA5"/>
    <w:rsid w:val="00B11CCA"/>
    <w:rsid w:val="00B11E09"/>
    <w:rsid w:val="00B11F16"/>
    <w:rsid w:val="00B120A0"/>
    <w:rsid w:val="00B12497"/>
    <w:rsid w:val="00B1261B"/>
    <w:rsid w:val="00B12BBC"/>
    <w:rsid w:val="00B12DC3"/>
    <w:rsid w:val="00B12F19"/>
    <w:rsid w:val="00B13250"/>
    <w:rsid w:val="00B133D0"/>
    <w:rsid w:val="00B13842"/>
    <w:rsid w:val="00B14D70"/>
    <w:rsid w:val="00B15205"/>
    <w:rsid w:val="00B15495"/>
    <w:rsid w:val="00B15929"/>
    <w:rsid w:val="00B1619F"/>
    <w:rsid w:val="00B1635F"/>
    <w:rsid w:val="00B164DD"/>
    <w:rsid w:val="00B17303"/>
    <w:rsid w:val="00B20530"/>
    <w:rsid w:val="00B21CC0"/>
    <w:rsid w:val="00B2251E"/>
    <w:rsid w:val="00B22672"/>
    <w:rsid w:val="00B23F19"/>
    <w:rsid w:val="00B2435C"/>
    <w:rsid w:val="00B2595F"/>
    <w:rsid w:val="00B26490"/>
    <w:rsid w:val="00B26866"/>
    <w:rsid w:val="00B31141"/>
    <w:rsid w:val="00B3125C"/>
    <w:rsid w:val="00B31B5D"/>
    <w:rsid w:val="00B32C66"/>
    <w:rsid w:val="00B33CE1"/>
    <w:rsid w:val="00B34231"/>
    <w:rsid w:val="00B34531"/>
    <w:rsid w:val="00B34DEB"/>
    <w:rsid w:val="00B35CCE"/>
    <w:rsid w:val="00B36103"/>
    <w:rsid w:val="00B36197"/>
    <w:rsid w:val="00B362CA"/>
    <w:rsid w:val="00B36E38"/>
    <w:rsid w:val="00B37742"/>
    <w:rsid w:val="00B37955"/>
    <w:rsid w:val="00B40C78"/>
    <w:rsid w:val="00B41378"/>
    <w:rsid w:val="00B414B4"/>
    <w:rsid w:val="00B41C13"/>
    <w:rsid w:val="00B43497"/>
    <w:rsid w:val="00B43715"/>
    <w:rsid w:val="00B43ACC"/>
    <w:rsid w:val="00B43AE3"/>
    <w:rsid w:val="00B44791"/>
    <w:rsid w:val="00B44AD2"/>
    <w:rsid w:val="00B4523B"/>
    <w:rsid w:val="00B456B5"/>
    <w:rsid w:val="00B46268"/>
    <w:rsid w:val="00B46BEC"/>
    <w:rsid w:val="00B5016C"/>
    <w:rsid w:val="00B502CB"/>
    <w:rsid w:val="00B5060A"/>
    <w:rsid w:val="00B50780"/>
    <w:rsid w:val="00B50966"/>
    <w:rsid w:val="00B50A2C"/>
    <w:rsid w:val="00B51D95"/>
    <w:rsid w:val="00B51F72"/>
    <w:rsid w:val="00B527AB"/>
    <w:rsid w:val="00B52BCE"/>
    <w:rsid w:val="00B52D6C"/>
    <w:rsid w:val="00B535AB"/>
    <w:rsid w:val="00B55315"/>
    <w:rsid w:val="00B55652"/>
    <w:rsid w:val="00B556D7"/>
    <w:rsid w:val="00B55A2A"/>
    <w:rsid w:val="00B564CB"/>
    <w:rsid w:val="00B564F6"/>
    <w:rsid w:val="00B56543"/>
    <w:rsid w:val="00B56F07"/>
    <w:rsid w:val="00B5725B"/>
    <w:rsid w:val="00B57422"/>
    <w:rsid w:val="00B579C5"/>
    <w:rsid w:val="00B57FA0"/>
    <w:rsid w:val="00B60042"/>
    <w:rsid w:val="00B6020C"/>
    <w:rsid w:val="00B603DD"/>
    <w:rsid w:val="00B60A4B"/>
    <w:rsid w:val="00B6276B"/>
    <w:rsid w:val="00B62861"/>
    <w:rsid w:val="00B647BB"/>
    <w:rsid w:val="00B656B8"/>
    <w:rsid w:val="00B65E06"/>
    <w:rsid w:val="00B660D2"/>
    <w:rsid w:val="00B675E1"/>
    <w:rsid w:val="00B67950"/>
    <w:rsid w:val="00B67EA0"/>
    <w:rsid w:val="00B67FCE"/>
    <w:rsid w:val="00B70752"/>
    <w:rsid w:val="00B70E99"/>
    <w:rsid w:val="00B719E7"/>
    <w:rsid w:val="00B71AB2"/>
    <w:rsid w:val="00B72093"/>
    <w:rsid w:val="00B728AE"/>
    <w:rsid w:val="00B72AB2"/>
    <w:rsid w:val="00B73586"/>
    <w:rsid w:val="00B738E5"/>
    <w:rsid w:val="00B73A7A"/>
    <w:rsid w:val="00B7401C"/>
    <w:rsid w:val="00B7404B"/>
    <w:rsid w:val="00B7447B"/>
    <w:rsid w:val="00B74789"/>
    <w:rsid w:val="00B74C02"/>
    <w:rsid w:val="00B74E52"/>
    <w:rsid w:val="00B754C2"/>
    <w:rsid w:val="00B759E1"/>
    <w:rsid w:val="00B76B6B"/>
    <w:rsid w:val="00B7715F"/>
    <w:rsid w:val="00B77A36"/>
    <w:rsid w:val="00B809CA"/>
    <w:rsid w:val="00B80CDB"/>
    <w:rsid w:val="00B80F40"/>
    <w:rsid w:val="00B81312"/>
    <w:rsid w:val="00B81ADB"/>
    <w:rsid w:val="00B81CBE"/>
    <w:rsid w:val="00B81FD9"/>
    <w:rsid w:val="00B82AA1"/>
    <w:rsid w:val="00B82ACA"/>
    <w:rsid w:val="00B8316F"/>
    <w:rsid w:val="00B83325"/>
    <w:rsid w:val="00B834CC"/>
    <w:rsid w:val="00B8364F"/>
    <w:rsid w:val="00B83A60"/>
    <w:rsid w:val="00B83AE4"/>
    <w:rsid w:val="00B844A3"/>
    <w:rsid w:val="00B844E3"/>
    <w:rsid w:val="00B859ED"/>
    <w:rsid w:val="00B87229"/>
    <w:rsid w:val="00B87573"/>
    <w:rsid w:val="00B87AE4"/>
    <w:rsid w:val="00B9032B"/>
    <w:rsid w:val="00B90A6A"/>
    <w:rsid w:val="00B90B5A"/>
    <w:rsid w:val="00B914AA"/>
    <w:rsid w:val="00B91677"/>
    <w:rsid w:val="00B921BF"/>
    <w:rsid w:val="00B9248C"/>
    <w:rsid w:val="00B93334"/>
    <w:rsid w:val="00B937AF"/>
    <w:rsid w:val="00B939ED"/>
    <w:rsid w:val="00B93D14"/>
    <w:rsid w:val="00B93DDD"/>
    <w:rsid w:val="00B967B0"/>
    <w:rsid w:val="00B97938"/>
    <w:rsid w:val="00B97EFB"/>
    <w:rsid w:val="00B97EFF"/>
    <w:rsid w:val="00BA0552"/>
    <w:rsid w:val="00BA0B6F"/>
    <w:rsid w:val="00BA12C7"/>
    <w:rsid w:val="00BA132A"/>
    <w:rsid w:val="00BA1F6C"/>
    <w:rsid w:val="00BA21A4"/>
    <w:rsid w:val="00BA222F"/>
    <w:rsid w:val="00BA255F"/>
    <w:rsid w:val="00BA2B4D"/>
    <w:rsid w:val="00BA3C59"/>
    <w:rsid w:val="00BA3DE7"/>
    <w:rsid w:val="00BA3FB8"/>
    <w:rsid w:val="00BA4983"/>
    <w:rsid w:val="00BA5701"/>
    <w:rsid w:val="00BA5765"/>
    <w:rsid w:val="00BA5B7B"/>
    <w:rsid w:val="00BA6D49"/>
    <w:rsid w:val="00BA78F6"/>
    <w:rsid w:val="00BB1A54"/>
    <w:rsid w:val="00BB1C9C"/>
    <w:rsid w:val="00BB1F72"/>
    <w:rsid w:val="00BB2E00"/>
    <w:rsid w:val="00BB3027"/>
    <w:rsid w:val="00BB315A"/>
    <w:rsid w:val="00BB3199"/>
    <w:rsid w:val="00BB352E"/>
    <w:rsid w:val="00BB418B"/>
    <w:rsid w:val="00BB69CA"/>
    <w:rsid w:val="00BB6EF0"/>
    <w:rsid w:val="00BB6FF0"/>
    <w:rsid w:val="00BB76ED"/>
    <w:rsid w:val="00BC023B"/>
    <w:rsid w:val="00BC2A54"/>
    <w:rsid w:val="00BC3733"/>
    <w:rsid w:val="00BC43E4"/>
    <w:rsid w:val="00BC4C63"/>
    <w:rsid w:val="00BC4D4B"/>
    <w:rsid w:val="00BC5057"/>
    <w:rsid w:val="00BC61AC"/>
    <w:rsid w:val="00BC70F3"/>
    <w:rsid w:val="00BC747F"/>
    <w:rsid w:val="00BD0390"/>
    <w:rsid w:val="00BD07F2"/>
    <w:rsid w:val="00BD1123"/>
    <w:rsid w:val="00BD1ADA"/>
    <w:rsid w:val="00BD1B5F"/>
    <w:rsid w:val="00BD2B5C"/>
    <w:rsid w:val="00BD2CA1"/>
    <w:rsid w:val="00BD3070"/>
    <w:rsid w:val="00BD354D"/>
    <w:rsid w:val="00BD4435"/>
    <w:rsid w:val="00BD704F"/>
    <w:rsid w:val="00BE05C9"/>
    <w:rsid w:val="00BE0E09"/>
    <w:rsid w:val="00BE0E40"/>
    <w:rsid w:val="00BE1CEF"/>
    <w:rsid w:val="00BE249B"/>
    <w:rsid w:val="00BE25F2"/>
    <w:rsid w:val="00BE2B41"/>
    <w:rsid w:val="00BE33A5"/>
    <w:rsid w:val="00BE402F"/>
    <w:rsid w:val="00BE438E"/>
    <w:rsid w:val="00BE43D7"/>
    <w:rsid w:val="00BE45AF"/>
    <w:rsid w:val="00BE4FE1"/>
    <w:rsid w:val="00BE5BFB"/>
    <w:rsid w:val="00BE6225"/>
    <w:rsid w:val="00BE63A6"/>
    <w:rsid w:val="00BE63BE"/>
    <w:rsid w:val="00BE63FF"/>
    <w:rsid w:val="00BE7FD7"/>
    <w:rsid w:val="00BF01C4"/>
    <w:rsid w:val="00BF0235"/>
    <w:rsid w:val="00BF05F9"/>
    <w:rsid w:val="00BF073A"/>
    <w:rsid w:val="00BF08D2"/>
    <w:rsid w:val="00BF189B"/>
    <w:rsid w:val="00BF1BDA"/>
    <w:rsid w:val="00BF1D53"/>
    <w:rsid w:val="00BF22DC"/>
    <w:rsid w:val="00BF295D"/>
    <w:rsid w:val="00BF32DC"/>
    <w:rsid w:val="00BF4792"/>
    <w:rsid w:val="00BF5FDE"/>
    <w:rsid w:val="00BF703A"/>
    <w:rsid w:val="00BF732F"/>
    <w:rsid w:val="00BF7D83"/>
    <w:rsid w:val="00C00244"/>
    <w:rsid w:val="00C0061B"/>
    <w:rsid w:val="00C016BC"/>
    <w:rsid w:val="00C0191F"/>
    <w:rsid w:val="00C01D35"/>
    <w:rsid w:val="00C0269F"/>
    <w:rsid w:val="00C026D6"/>
    <w:rsid w:val="00C0293A"/>
    <w:rsid w:val="00C0440D"/>
    <w:rsid w:val="00C0450E"/>
    <w:rsid w:val="00C04D56"/>
    <w:rsid w:val="00C04F7B"/>
    <w:rsid w:val="00C06D1B"/>
    <w:rsid w:val="00C06D41"/>
    <w:rsid w:val="00C07758"/>
    <w:rsid w:val="00C0779E"/>
    <w:rsid w:val="00C1072A"/>
    <w:rsid w:val="00C12622"/>
    <w:rsid w:val="00C128EE"/>
    <w:rsid w:val="00C131C4"/>
    <w:rsid w:val="00C13396"/>
    <w:rsid w:val="00C134EE"/>
    <w:rsid w:val="00C148F9"/>
    <w:rsid w:val="00C14DB5"/>
    <w:rsid w:val="00C16A13"/>
    <w:rsid w:val="00C16A43"/>
    <w:rsid w:val="00C16C3E"/>
    <w:rsid w:val="00C16CA2"/>
    <w:rsid w:val="00C17052"/>
    <w:rsid w:val="00C170A9"/>
    <w:rsid w:val="00C171FB"/>
    <w:rsid w:val="00C20338"/>
    <w:rsid w:val="00C22001"/>
    <w:rsid w:val="00C22FC4"/>
    <w:rsid w:val="00C23146"/>
    <w:rsid w:val="00C2340D"/>
    <w:rsid w:val="00C23FB4"/>
    <w:rsid w:val="00C24032"/>
    <w:rsid w:val="00C24D7B"/>
    <w:rsid w:val="00C252C3"/>
    <w:rsid w:val="00C267B7"/>
    <w:rsid w:val="00C27504"/>
    <w:rsid w:val="00C277B4"/>
    <w:rsid w:val="00C27D47"/>
    <w:rsid w:val="00C3069D"/>
    <w:rsid w:val="00C30E03"/>
    <w:rsid w:val="00C31775"/>
    <w:rsid w:val="00C321B6"/>
    <w:rsid w:val="00C32262"/>
    <w:rsid w:val="00C329FB"/>
    <w:rsid w:val="00C33453"/>
    <w:rsid w:val="00C34356"/>
    <w:rsid w:val="00C349DD"/>
    <w:rsid w:val="00C34D90"/>
    <w:rsid w:val="00C34F84"/>
    <w:rsid w:val="00C35173"/>
    <w:rsid w:val="00C3534D"/>
    <w:rsid w:val="00C35606"/>
    <w:rsid w:val="00C35B1F"/>
    <w:rsid w:val="00C3637F"/>
    <w:rsid w:val="00C36FEE"/>
    <w:rsid w:val="00C37A81"/>
    <w:rsid w:val="00C37F80"/>
    <w:rsid w:val="00C400E0"/>
    <w:rsid w:val="00C4036D"/>
    <w:rsid w:val="00C4093A"/>
    <w:rsid w:val="00C409D0"/>
    <w:rsid w:val="00C40B44"/>
    <w:rsid w:val="00C41008"/>
    <w:rsid w:val="00C41740"/>
    <w:rsid w:val="00C424F4"/>
    <w:rsid w:val="00C43711"/>
    <w:rsid w:val="00C443A8"/>
    <w:rsid w:val="00C4459E"/>
    <w:rsid w:val="00C453B4"/>
    <w:rsid w:val="00C457A2"/>
    <w:rsid w:val="00C45A42"/>
    <w:rsid w:val="00C4614D"/>
    <w:rsid w:val="00C504F0"/>
    <w:rsid w:val="00C506C4"/>
    <w:rsid w:val="00C50AE9"/>
    <w:rsid w:val="00C50B15"/>
    <w:rsid w:val="00C51ED9"/>
    <w:rsid w:val="00C52194"/>
    <w:rsid w:val="00C52A43"/>
    <w:rsid w:val="00C5300E"/>
    <w:rsid w:val="00C53124"/>
    <w:rsid w:val="00C53A44"/>
    <w:rsid w:val="00C541A5"/>
    <w:rsid w:val="00C545CE"/>
    <w:rsid w:val="00C5490E"/>
    <w:rsid w:val="00C55591"/>
    <w:rsid w:val="00C564A7"/>
    <w:rsid w:val="00C564C2"/>
    <w:rsid w:val="00C568E5"/>
    <w:rsid w:val="00C5777D"/>
    <w:rsid w:val="00C5785A"/>
    <w:rsid w:val="00C578A3"/>
    <w:rsid w:val="00C57DC6"/>
    <w:rsid w:val="00C57DE0"/>
    <w:rsid w:val="00C601FD"/>
    <w:rsid w:val="00C60E5D"/>
    <w:rsid w:val="00C61354"/>
    <w:rsid w:val="00C62287"/>
    <w:rsid w:val="00C627F5"/>
    <w:rsid w:val="00C62B2D"/>
    <w:rsid w:val="00C63F1B"/>
    <w:rsid w:val="00C64189"/>
    <w:rsid w:val="00C6505C"/>
    <w:rsid w:val="00C65C97"/>
    <w:rsid w:val="00C66145"/>
    <w:rsid w:val="00C70818"/>
    <w:rsid w:val="00C708C4"/>
    <w:rsid w:val="00C70ADF"/>
    <w:rsid w:val="00C7166F"/>
    <w:rsid w:val="00C7173F"/>
    <w:rsid w:val="00C71B46"/>
    <w:rsid w:val="00C73D71"/>
    <w:rsid w:val="00C73D78"/>
    <w:rsid w:val="00C74608"/>
    <w:rsid w:val="00C74806"/>
    <w:rsid w:val="00C74988"/>
    <w:rsid w:val="00C754D2"/>
    <w:rsid w:val="00C764BA"/>
    <w:rsid w:val="00C766F1"/>
    <w:rsid w:val="00C76860"/>
    <w:rsid w:val="00C76ACB"/>
    <w:rsid w:val="00C801B0"/>
    <w:rsid w:val="00C80A60"/>
    <w:rsid w:val="00C814BD"/>
    <w:rsid w:val="00C81BE0"/>
    <w:rsid w:val="00C8263B"/>
    <w:rsid w:val="00C82B20"/>
    <w:rsid w:val="00C8331C"/>
    <w:rsid w:val="00C83C8C"/>
    <w:rsid w:val="00C84DB1"/>
    <w:rsid w:val="00C85211"/>
    <w:rsid w:val="00C85BEE"/>
    <w:rsid w:val="00C85D2C"/>
    <w:rsid w:val="00C85F90"/>
    <w:rsid w:val="00C8795E"/>
    <w:rsid w:val="00C87B92"/>
    <w:rsid w:val="00C87C07"/>
    <w:rsid w:val="00C87FA7"/>
    <w:rsid w:val="00C901F8"/>
    <w:rsid w:val="00C906DB"/>
    <w:rsid w:val="00C90A5C"/>
    <w:rsid w:val="00C90A6D"/>
    <w:rsid w:val="00C915FE"/>
    <w:rsid w:val="00C92000"/>
    <w:rsid w:val="00C9244D"/>
    <w:rsid w:val="00C92674"/>
    <w:rsid w:val="00C930F1"/>
    <w:rsid w:val="00C95CC7"/>
    <w:rsid w:val="00C960F1"/>
    <w:rsid w:val="00C96789"/>
    <w:rsid w:val="00C96A86"/>
    <w:rsid w:val="00C97C9C"/>
    <w:rsid w:val="00C97FC5"/>
    <w:rsid w:val="00CA0988"/>
    <w:rsid w:val="00CA0A20"/>
    <w:rsid w:val="00CA0D9F"/>
    <w:rsid w:val="00CA1409"/>
    <w:rsid w:val="00CA223E"/>
    <w:rsid w:val="00CA228A"/>
    <w:rsid w:val="00CA31F0"/>
    <w:rsid w:val="00CA3779"/>
    <w:rsid w:val="00CA391C"/>
    <w:rsid w:val="00CA4CD2"/>
    <w:rsid w:val="00CA4F9B"/>
    <w:rsid w:val="00CA5620"/>
    <w:rsid w:val="00CA5B65"/>
    <w:rsid w:val="00CA5BC6"/>
    <w:rsid w:val="00CA633D"/>
    <w:rsid w:val="00CA673E"/>
    <w:rsid w:val="00CA7422"/>
    <w:rsid w:val="00CB00B6"/>
    <w:rsid w:val="00CB478C"/>
    <w:rsid w:val="00CB4D65"/>
    <w:rsid w:val="00CB5042"/>
    <w:rsid w:val="00CB56F4"/>
    <w:rsid w:val="00CB60BF"/>
    <w:rsid w:val="00CB619B"/>
    <w:rsid w:val="00CB6506"/>
    <w:rsid w:val="00CB6554"/>
    <w:rsid w:val="00CB6ED0"/>
    <w:rsid w:val="00CC0348"/>
    <w:rsid w:val="00CC09C1"/>
    <w:rsid w:val="00CC0C03"/>
    <w:rsid w:val="00CC111C"/>
    <w:rsid w:val="00CC2123"/>
    <w:rsid w:val="00CC2FFB"/>
    <w:rsid w:val="00CC3864"/>
    <w:rsid w:val="00CC3A17"/>
    <w:rsid w:val="00CC3DD5"/>
    <w:rsid w:val="00CC43AD"/>
    <w:rsid w:val="00CC4D1F"/>
    <w:rsid w:val="00CC55ED"/>
    <w:rsid w:val="00CC64E7"/>
    <w:rsid w:val="00CC69FB"/>
    <w:rsid w:val="00CC6F8E"/>
    <w:rsid w:val="00CC7017"/>
    <w:rsid w:val="00CC77B0"/>
    <w:rsid w:val="00CC787A"/>
    <w:rsid w:val="00CC7F32"/>
    <w:rsid w:val="00CD11E0"/>
    <w:rsid w:val="00CD124A"/>
    <w:rsid w:val="00CD1517"/>
    <w:rsid w:val="00CD2E04"/>
    <w:rsid w:val="00CD36D5"/>
    <w:rsid w:val="00CD47E9"/>
    <w:rsid w:val="00CD5392"/>
    <w:rsid w:val="00CD5850"/>
    <w:rsid w:val="00CD5F32"/>
    <w:rsid w:val="00CD63FE"/>
    <w:rsid w:val="00CD6751"/>
    <w:rsid w:val="00CD6AB9"/>
    <w:rsid w:val="00CD7F04"/>
    <w:rsid w:val="00CE01F5"/>
    <w:rsid w:val="00CE02B2"/>
    <w:rsid w:val="00CE02D5"/>
    <w:rsid w:val="00CE0A76"/>
    <w:rsid w:val="00CE1217"/>
    <w:rsid w:val="00CE18A6"/>
    <w:rsid w:val="00CE2677"/>
    <w:rsid w:val="00CE29C1"/>
    <w:rsid w:val="00CE2C78"/>
    <w:rsid w:val="00CE30BB"/>
    <w:rsid w:val="00CE367A"/>
    <w:rsid w:val="00CE4C2F"/>
    <w:rsid w:val="00CE50A5"/>
    <w:rsid w:val="00CE52ED"/>
    <w:rsid w:val="00CE5B85"/>
    <w:rsid w:val="00CE61CA"/>
    <w:rsid w:val="00CE737F"/>
    <w:rsid w:val="00CF0856"/>
    <w:rsid w:val="00CF0EB0"/>
    <w:rsid w:val="00CF1809"/>
    <w:rsid w:val="00CF1AFF"/>
    <w:rsid w:val="00CF3197"/>
    <w:rsid w:val="00CF32B9"/>
    <w:rsid w:val="00CF3426"/>
    <w:rsid w:val="00CF34AA"/>
    <w:rsid w:val="00CF3AF1"/>
    <w:rsid w:val="00CF5B6F"/>
    <w:rsid w:val="00CF5FBD"/>
    <w:rsid w:val="00CF6429"/>
    <w:rsid w:val="00CF7865"/>
    <w:rsid w:val="00CF7A00"/>
    <w:rsid w:val="00CF7C81"/>
    <w:rsid w:val="00D00146"/>
    <w:rsid w:val="00D015B0"/>
    <w:rsid w:val="00D021D0"/>
    <w:rsid w:val="00D02EE2"/>
    <w:rsid w:val="00D02FB5"/>
    <w:rsid w:val="00D043DC"/>
    <w:rsid w:val="00D049DD"/>
    <w:rsid w:val="00D04F7F"/>
    <w:rsid w:val="00D05FF9"/>
    <w:rsid w:val="00D06E7A"/>
    <w:rsid w:val="00D070B3"/>
    <w:rsid w:val="00D07534"/>
    <w:rsid w:val="00D0763E"/>
    <w:rsid w:val="00D104B2"/>
    <w:rsid w:val="00D111AA"/>
    <w:rsid w:val="00D11C74"/>
    <w:rsid w:val="00D1291C"/>
    <w:rsid w:val="00D13FD0"/>
    <w:rsid w:val="00D14026"/>
    <w:rsid w:val="00D14170"/>
    <w:rsid w:val="00D14E0F"/>
    <w:rsid w:val="00D15019"/>
    <w:rsid w:val="00D15D6C"/>
    <w:rsid w:val="00D15F77"/>
    <w:rsid w:val="00D1612D"/>
    <w:rsid w:val="00D1757D"/>
    <w:rsid w:val="00D176CF"/>
    <w:rsid w:val="00D20961"/>
    <w:rsid w:val="00D20CBE"/>
    <w:rsid w:val="00D2112B"/>
    <w:rsid w:val="00D22127"/>
    <w:rsid w:val="00D22532"/>
    <w:rsid w:val="00D226F6"/>
    <w:rsid w:val="00D2299F"/>
    <w:rsid w:val="00D251C0"/>
    <w:rsid w:val="00D253D4"/>
    <w:rsid w:val="00D25BF4"/>
    <w:rsid w:val="00D26894"/>
    <w:rsid w:val="00D271D9"/>
    <w:rsid w:val="00D27518"/>
    <w:rsid w:val="00D279CF"/>
    <w:rsid w:val="00D30204"/>
    <w:rsid w:val="00D30C75"/>
    <w:rsid w:val="00D316FA"/>
    <w:rsid w:val="00D3227B"/>
    <w:rsid w:val="00D32D30"/>
    <w:rsid w:val="00D33918"/>
    <w:rsid w:val="00D33D04"/>
    <w:rsid w:val="00D33D3E"/>
    <w:rsid w:val="00D35855"/>
    <w:rsid w:val="00D362C3"/>
    <w:rsid w:val="00D36ACC"/>
    <w:rsid w:val="00D36B0F"/>
    <w:rsid w:val="00D36C71"/>
    <w:rsid w:val="00D37728"/>
    <w:rsid w:val="00D40BAE"/>
    <w:rsid w:val="00D418E0"/>
    <w:rsid w:val="00D4190D"/>
    <w:rsid w:val="00D43920"/>
    <w:rsid w:val="00D43B2D"/>
    <w:rsid w:val="00D448BC"/>
    <w:rsid w:val="00D450D6"/>
    <w:rsid w:val="00D45310"/>
    <w:rsid w:val="00D45542"/>
    <w:rsid w:val="00D4562E"/>
    <w:rsid w:val="00D45BB0"/>
    <w:rsid w:val="00D4654E"/>
    <w:rsid w:val="00D46A10"/>
    <w:rsid w:val="00D47B4C"/>
    <w:rsid w:val="00D502E6"/>
    <w:rsid w:val="00D504EE"/>
    <w:rsid w:val="00D50993"/>
    <w:rsid w:val="00D51B10"/>
    <w:rsid w:val="00D51E86"/>
    <w:rsid w:val="00D522F3"/>
    <w:rsid w:val="00D52760"/>
    <w:rsid w:val="00D5340A"/>
    <w:rsid w:val="00D5350E"/>
    <w:rsid w:val="00D540C1"/>
    <w:rsid w:val="00D5600E"/>
    <w:rsid w:val="00D56C93"/>
    <w:rsid w:val="00D56DA9"/>
    <w:rsid w:val="00D57120"/>
    <w:rsid w:val="00D571F5"/>
    <w:rsid w:val="00D57AF7"/>
    <w:rsid w:val="00D60A46"/>
    <w:rsid w:val="00D60E72"/>
    <w:rsid w:val="00D6141E"/>
    <w:rsid w:val="00D61535"/>
    <w:rsid w:val="00D622EF"/>
    <w:rsid w:val="00D62438"/>
    <w:rsid w:val="00D626DA"/>
    <w:rsid w:val="00D634AA"/>
    <w:rsid w:val="00D64351"/>
    <w:rsid w:val="00D644C0"/>
    <w:rsid w:val="00D64673"/>
    <w:rsid w:val="00D65321"/>
    <w:rsid w:val="00D653FB"/>
    <w:rsid w:val="00D677EE"/>
    <w:rsid w:val="00D67E68"/>
    <w:rsid w:val="00D70756"/>
    <w:rsid w:val="00D70DC1"/>
    <w:rsid w:val="00D7143E"/>
    <w:rsid w:val="00D7254A"/>
    <w:rsid w:val="00D746FA"/>
    <w:rsid w:val="00D74B86"/>
    <w:rsid w:val="00D765BA"/>
    <w:rsid w:val="00D76ECB"/>
    <w:rsid w:val="00D77280"/>
    <w:rsid w:val="00D77FC5"/>
    <w:rsid w:val="00D8034E"/>
    <w:rsid w:val="00D807F9"/>
    <w:rsid w:val="00D8084F"/>
    <w:rsid w:val="00D80F51"/>
    <w:rsid w:val="00D81CBB"/>
    <w:rsid w:val="00D82359"/>
    <w:rsid w:val="00D8446D"/>
    <w:rsid w:val="00D85488"/>
    <w:rsid w:val="00D85742"/>
    <w:rsid w:val="00D85990"/>
    <w:rsid w:val="00D865AC"/>
    <w:rsid w:val="00D86BA1"/>
    <w:rsid w:val="00D86C2C"/>
    <w:rsid w:val="00D86C5A"/>
    <w:rsid w:val="00D87556"/>
    <w:rsid w:val="00D87777"/>
    <w:rsid w:val="00D87FE5"/>
    <w:rsid w:val="00D900EA"/>
    <w:rsid w:val="00D9149B"/>
    <w:rsid w:val="00D917C3"/>
    <w:rsid w:val="00D91862"/>
    <w:rsid w:val="00D91C27"/>
    <w:rsid w:val="00D91F43"/>
    <w:rsid w:val="00D933D2"/>
    <w:rsid w:val="00D93D55"/>
    <w:rsid w:val="00D966EE"/>
    <w:rsid w:val="00D96A28"/>
    <w:rsid w:val="00D96A31"/>
    <w:rsid w:val="00D96A8F"/>
    <w:rsid w:val="00D96C93"/>
    <w:rsid w:val="00D97C46"/>
    <w:rsid w:val="00DA02F1"/>
    <w:rsid w:val="00DA0C0C"/>
    <w:rsid w:val="00DA12DD"/>
    <w:rsid w:val="00DA20CB"/>
    <w:rsid w:val="00DA29C4"/>
    <w:rsid w:val="00DA2F0F"/>
    <w:rsid w:val="00DA3157"/>
    <w:rsid w:val="00DA409B"/>
    <w:rsid w:val="00DA536A"/>
    <w:rsid w:val="00DA5EB4"/>
    <w:rsid w:val="00DA6002"/>
    <w:rsid w:val="00DA6E15"/>
    <w:rsid w:val="00DA791F"/>
    <w:rsid w:val="00DA7AB8"/>
    <w:rsid w:val="00DB0526"/>
    <w:rsid w:val="00DB0D9B"/>
    <w:rsid w:val="00DB13BE"/>
    <w:rsid w:val="00DB1A68"/>
    <w:rsid w:val="00DB1F0C"/>
    <w:rsid w:val="00DB2D26"/>
    <w:rsid w:val="00DB3599"/>
    <w:rsid w:val="00DB3642"/>
    <w:rsid w:val="00DB4DC4"/>
    <w:rsid w:val="00DB4F7A"/>
    <w:rsid w:val="00DB51EF"/>
    <w:rsid w:val="00DB5F19"/>
    <w:rsid w:val="00DB7701"/>
    <w:rsid w:val="00DB7CE4"/>
    <w:rsid w:val="00DB7D1D"/>
    <w:rsid w:val="00DBB088"/>
    <w:rsid w:val="00DC023F"/>
    <w:rsid w:val="00DC0B6A"/>
    <w:rsid w:val="00DC0ED2"/>
    <w:rsid w:val="00DC1EF0"/>
    <w:rsid w:val="00DC2052"/>
    <w:rsid w:val="00DC3C22"/>
    <w:rsid w:val="00DC3F73"/>
    <w:rsid w:val="00DC4234"/>
    <w:rsid w:val="00DC442F"/>
    <w:rsid w:val="00DC481F"/>
    <w:rsid w:val="00DC4969"/>
    <w:rsid w:val="00DC4C33"/>
    <w:rsid w:val="00DC5330"/>
    <w:rsid w:val="00DC605A"/>
    <w:rsid w:val="00DC64DC"/>
    <w:rsid w:val="00DC6BAA"/>
    <w:rsid w:val="00DC761B"/>
    <w:rsid w:val="00DD006D"/>
    <w:rsid w:val="00DD10E0"/>
    <w:rsid w:val="00DD11C6"/>
    <w:rsid w:val="00DD3449"/>
    <w:rsid w:val="00DD4258"/>
    <w:rsid w:val="00DD57E0"/>
    <w:rsid w:val="00DD5A42"/>
    <w:rsid w:val="00DD5D69"/>
    <w:rsid w:val="00DD5F37"/>
    <w:rsid w:val="00DD6C7D"/>
    <w:rsid w:val="00DD721D"/>
    <w:rsid w:val="00DD79F3"/>
    <w:rsid w:val="00DD7FD3"/>
    <w:rsid w:val="00DE0135"/>
    <w:rsid w:val="00DE04B0"/>
    <w:rsid w:val="00DE0BDA"/>
    <w:rsid w:val="00DE0D88"/>
    <w:rsid w:val="00DE1B16"/>
    <w:rsid w:val="00DE2262"/>
    <w:rsid w:val="00DE2A19"/>
    <w:rsid w:val="00DE2E7E"/>
    <w:rsid w:val="00DE32F2"/>
    <w:rsid w:val="00DE333F"/>
    <w:rsid w:val="00DE350E"/>
    <w:rsid w:val="00DE4225"/>
    <w:rsid w:val="00DE4458"/>
    <w:rsid w:val="00DE4BA6"/>
    <w:rsid w:val="00DE4DD5"/>
    <w:rsid w:val="00DE603E"/>
    <w:rsid w:val="00DE622A"/>
    <w:rsid w:val="00DE739F"/>
    <w:rsid w:val="00DE782A"/>
    <w:rsid w:val="00DE7BAE"/>
    <w:rsid w:val="00DF03B5"/>
    <w:rsid w:val="00DF0640"/>
    <w:rsid w:val="00DF1434"/>
    <w:rsid w:val="00DF1824"/>
    <w:rsid w:val="00DF1D8C"/>
    <w:rsid w:val="00DF272E"/>
    <w:rsid w:val="00DF2A82"/>
    <w:rsid w:val="00DF2BAA"/>
    <w:rsid w:val="00DF2C87"/>
    <w:rsid w:val="00DF4036"/>
    <w:rsid w:val="00DF44D9"/>
    <w:rsid w:val="00DF4885"/>
    <w:rsid w:val="00DF4A6E"/>
    <w:rsid w:val="00DF4ABC"/>
    <w:rsid w:val="00DF510B"/>
    <w:rsid w:val="00DF5A3A"/>
    <w:rsid w:val="00DF689F"/>
    <w:rsid w:val="00DF743D"/>
    <w:rsid w:val="00DF7803"/>
    <w:rsid w:val="00DF78C7"/>
    <w:rsid w:val="00DF7AF2"/>
    <w:rsid w:val="00E004C5"/>
    <w:rsid w:val="00E00F9A"/>
    <w:rsid w:val="00E01101"/>
    <w:rsid w:val="00E01A01"/>
    <w:rsid w:val="00E02075"/>
    <w:rsid w:val="00E0220A"/>
    <w:rsid w:val="00E0239B"/>
    <w:rsid w:val="00E03B9A"/>
    <w:rsid w:val="00E045E4"/>
    <w:rsid w:val="00E0487B"/>
    <w:rsid w:val="00E04CDD"/>
    <w:rsid w:val="00E05326"/>
    <w:rsid w:val="00E05ACF"/>
    <w:rsid w:val="00E05F65"/>
    <w:rsid w:val="00E0662C"/>
    <w:rsid w:val="00E06B85"/>
    <w:rsid w:val="00E076D2"/>
    <w:rsid w:val="00E104EC"/>
    <w:rsid w:val="00E116FF"/>
    <w:rsid w:val="00E120A1"/>
    <w:rsid w:val="00E138E7"/>
    <w:rsid w:val="00E13C31"/>
    <w:rsid w:val="00E13C83"/>
    <w:rsid w:val="00E13E3A"/>
    <w:rsid w:val="00E13F69"/>
    <w:rsid w:val="00E1488D"/>
    <w:rsid w:val="00E1492D"/>
    <w:rsid w:val="00E15C73"/>
    <w:rsid w:val="00E15F96"/>
    <w:rsid w:val="00E205DF"/>
    <w:rsid w:val="00E20C39"/>
    <w:rsid w:val="00E20EC2"/>
    <w:rsid w:val="00E221D5"/>
    <w:rsid w:val="00E233F1"/>
    <w:rsid w:val="00E2372D"/>
    <w:rsid w:val="00E23E8A"/>
    <w:rsid w:val="00E24579"/>
    <w:rsid w:val="00E246D3"/>
    <w:rsid w:val="00E24A08"/>
    <w:rsid w:val="00E250B0"/>
    <w:rsid w:val="00E2555C"/>
    <w:rsid w:val="00E2567F"/>
    <w:rsid w:val="00E26455"/>
    <w:rsid w:val="00E2695E"/>
    <w:rsid w:val="00E27355"/>
    <w:rsid w:val="00E27605"/>
    <w:rsid w:val="00E30413"/>
    <w:rsid w:val="00E306DB"/>
    <w:rsid w:val="00E310FC"/>
    <w:rsid w:val="00E312C8"/>
    <w:rsid w:val="00E31348"/>
    <w:rsid w:val="00E3150D"/>
    <w:rsid w:val="00E31E2A"/>
    <w:rsid w:val="00E32216"/>
    <w:rsid w:val="00E3263B"/>
    <w:rsid w:val="00E32E60"/>
    <w:rsid w:val="00E3341D"/>
    <w:rsid w:val="00E34377"/>
    <w:rsid w:val="00E34438"/>
    <w:rsid w:val="00E346AE"/>
    <w:rsid w:val="00E35028"/>
    <w:rsid w:val="00E3575F"/>
    <w:rsid w:val="00E362CB"/>
    <w:rsid w:val="00E36631"/>
    <w:rsid w:val="00E36B30"/>
    <w:rsid w:val="00E36CAF"/>
    <w:rsid w:val="00E36DE0"/>
    <w:rsid w:val="00E37960"/>
    <w:rsid w:val="00E37D19"/>
    <w:rsid w:val="00E40845"/>
    <w:rsid w:val="00E40F14"/>
    <w:rsid w:val="00E415C4"/>
    <w:rsid w:val="00E41E15"/>
    <w:rsid w:val="00E422D5"/>
    <w:rsid w:val="00E425CA"/>
    <w:rsid w:val="00E429B6"/>
    <w:rsid w:val="00E42BB4"/>
    <w:rsid w:val="00E42BC3"/>
    <w:rsid w:val="00E4356B"/>
    <w:rsid w:val="00E446D8"/>
    <w:rsid w:val="00E44D1E"/>
    <w:rsid w:val="00E453B0"/>
    <w:rsid w:val="00E46853"/>
    <w:rsid w:val="00E46DD2"/>
    <w:rsid w:val="00E470AA"/>
    <w:rsid w:val="00E473EF"/>
    <w:rsid w:val="00E47E64"/>
    <w:rsid w:val="00E5015E"/>
    <w:rsid w:val="00E5020C"/>
    <w:rsid w:val="00E522A7"/>
    <w:rsid w:val="00E52B16"/>
    <w:rsid w:val="00E52D83"/>
    <w:rsid w:val="00E53178"/>
    <w:rsid w:val="00E533E5"/>
    <w:rsid w:val="00E53D54"/>
    <w:rsid w:val="00E5470F"/>
    <w:rsid w:val="00E5497F"/>
    <w:rsid w:val="00E54E30"/>
    <w:rsid w:val="00E56B1F"/>
    <w:rsid w:val="00E57989"/>
    <w:rsid w:val="00E57CC4"/>
    <w:rsid w:val="00E60286"/>
    <w:rsid w:val="00E61702"/>
    <w:rsid w:val="00E61A54"/>
    <w:rsid w:val="00E61F76"/>
    <w:rsid w:val="00E622B9"/>
    <w:rsid w:val="00E62AEA"/>
    <w:rsid w:val="00E634E0"/>
    <w:rsid w:val="00E64917"/>
    <w:rsid w:val="00E64FB3"/>
    <w:rsid w:val="00E65110"/>
    <w:rsid w:val="00E65205"/>
    <w:rsid w:val="00E65529"/>
    <w:rsid w:val="00E6583C"/>
    <w:rsid w:val="00E6688C"/>
    <w:rsid w:val="00E67162"/>
    <w:rsid w:val="00E67C86"/>
    <w:rsid w:val="00E67DC2"/>
    <w:rsid w:val="00E706D0"/>
    <w:rsid w:val="00E711EB"/>
    <w:rsid w:val="00E71E80"/>
    <w:rsid w:val="00E726C4"/>
    <w:rsid w:val="00E72723"/>
    <w:rsid w:val="00E72E37"/>
    <w:rsid w:val="00E7306D"/>
    <w:rsid w:val="00E747EE"/>
    <w:rsid w:val="00E74AE9"/>
    <w:rsid w:val="00E750F7"/>
    <w:rsid w:val="00E757AD"/>
    <w:rsid w:val="00E75BCD"/>
    <w:rsid w:val="00E762A0"/>
    <w:rsid w:val="00E7747A"/>
    <w:rsid w:val="00E82239"/>
    <w:rsid w:val="00E8483F"/>
    <w:rsid w:val="00E86A94"/>
    <w:rsid w:val="00E8756B"/>
    <w:rsid w:val="00E90087"/>
    <w:rsid w:val="00E903F6"/>
    <w:rsid w:val="00E912CD"/>
    <w:rsid w:val="00E91FC3"/>
    <w:rsid w:val="00E920F4"/>
    <w:rsid w:val="00E9228F"/>
    <w:rsid w:val="00E93455"/>
    <w:rsid w:val="00E94015"/>
    <w:rsid w:val="00E94568"/>
    <w:rsid w:val="00E9556C"/>
    <w:rsid w:val="00E956D6"/>
    <w:rsid w:val="00E95DC7"/>
    <w:rsid w:val="00E96933"/>
    <w:rsid w:val="00E96F91"/>
    <w:rsid w:val="00E96FF1"/>
    <w:rsid w:val="00EA1533"/>
    <w:rsid w:val="00EA1560"/>
    <w:rsid w:val="00EA1ECF"/>
    <w:rsid w:val="00EA3610"/>
    <w:rsid w:val="00EA3B98"/>
    <w:rsid w:val="00EA3ECC"/>
    <w:rsid w:val="00EA4040"/>
    <w:rsid w:val="00EA427D"/>
    <w:rsid w:val="00EA4560"/>
    <w:rsid w:val="00EA53A8"/>
    <w:rsid w:val="00EA59D3"/>
    <w:rsid w:val="00EA5A6C"/>
    <w:rsid w:val="00EA5B0A"/>
    <w:rsid w:val="00EA6354"/>
    <w:rsid w:val="00EA7DB6"/>
    <w:rsid w:val="00EA7E39"/>
    <w:rsid w:val="00EA7EF9"/>
    <w:rsid w:val="00EB0311"/>
    <w:rsid w:val="00EB0344"/>
    <w:rsid w:val="00EB1129"/>
    <w:rsid w:val="00EB130D"/>
    <w:rsid w:val="00EB1B22"/>
    <w:rsid w:val="00EB1EC1"/>
    <w:rsid w:val="00EB1EE5"/>
    <w:rsid w:val="00EB20BD"/>
    <w:rsid w:val="00EB2149"/>
    <w:rsid w:val="00EB28ED"/>
    <w:rsid w:val="00EB2D33"/>
    <w:rsid w:val="00EB2F9E"/>
    <w:rsid w:val="00EB3B31"/>
    <w:rsid w:val="00EB52C3"/>
    <w:rsid w:val="00EC0F95"/>
    <w:rsid w:val="00EC0FDE"/>
    <w:rsid w:val="00EC1653"/>
    <w:rsid w:val="00EC1FF1"/>
    <w:rsid w:val="00EC2A8B"/>
    <w:rsid w:val="00EC2CFD"/>
    <w:rsid w:val="00EC2F46"/>
    <w:rsid w:val="00EC3306"/>
    <w:rsid w:val="00EC368C"/>
    <w:rsid w:val="00EC44C7"/>
    <w:rsid w:val="00EC45B6"/>
    <w:rsid w:val="00EC54E2"/>
    <w:rsid w:val="00EC65FB"/>
    <w:rsid w:val="00EC6B29"/>
    <w:rsid w:val="00EC6F6E"/>
    <w:rsid w:val="00EC7C66"/>
    <w:rsid w:val="00EC7F4C"/>
    <w:rsid w:val="00ED04F3"/>
    <w:rsid w:val="00ED063D"/>
    <w:rsid w:val="00ED0F26"/>
    <w:rsid w:val="00ED16E8"/>
    <w:rsid w:val="00ED18A2"/>
    <w:rsid w:val="00ED2B7C"/>
    <w:rsid w:val="00ED3457"/>
    <w:rsid w:val="00ED383C"/>
    <w:rsid w:val="00ED3E0D"/>
    <w:rsid w:val="00ED4474"/>
    <w:rsid w:val="00ED4A1A"/>
    <w:rsid w:val="00ED4DE3"/>
    <w:rsid w:val="00ED56C8"/>
    <w:rsid w:val="00ED5712"/>
    <w:rsid w:val="00ED585E"/>
    <w:rsid w:val="00ED5F60"/>
    <w:rsid w:val="00ED5FF7"/>
    <w:rsid w:val="00ED6DFA"/>
    <w:rsid w:val="00EE1259"/>
    <w:rsid w:val="00EE16EE"/>
    <w:rsid w:val="00EE2546"/>
    <w:rsid w:val="00EE2BEE"/>
    <w:rsid w:val="00EE2EAD"/>
    <w:rsid w:val="00EE2F6F"/>
    <w:rsid w:val="00EE32E7"/>
    <w:rsid w:val="00EE3D1E"/>
    <w:rsid w:val="00EE4FDD"/>
    <w:rsid w:val="00EE5DC2"/>
    <w:rsid w:val="00EE619A"/>
    <w:rsid w:val="00EE6781"/>
    <w:rsid w:val="00EE685D"/>
    <w:rsid w:val="00EE6B49"/>
    <w:rsid w:val="00EE6E17"/>
    <w:rsid w:val="00EE7310"/>
    <w:rsid w:val="00EF0D86"/>
    <w:rsid w:val="00EF0EE1"/>
    <w:rsid w:val="00EF1222"/>
    <w:rsid w:val="00EF1FFD"/>
    <w:rsid w:val="00EF260D"/>
    <w:rsid w:val="00EF26FF"/>
    <w:rsid w:val="00EF4082"/>
    <w:rsid w:val="00EF431E"/>
    <w:rsid w:val="00EF5474"/>
    <w:rsid w:val="00EF5BFC"/>
    <w:rsid w:val="00EF5F0E"/>
    <w:rsid w:val="00EF5FE3"/>
    <w:rsid w:val="00EF6539"/>
    <w:rsid w:val="00EF68B1"/>
    <w:rsid w:val="00EF7114"/>
    <w:rsid w:val="00EF7603"/>
    <w:rsid w:val="00EF7611"/>
    <w:rsid w:val="00EF7C42"/>
    <w:rsid w:val="00EF7DDD"/>
    <w:rsid w:val="00F0023F"/>
    <w:rsid w:val="00F029BA"/>
    <w:rsid w:val="00F03063"/>
    <w:rsid w:val="00F03DB6"/>
    <w:rsid w:val="00F0477E"/>
    <w:rsid w:val="00F04937"/>
    <w:rsid w:val="00F053F1"/>
    <w:rsid w:val="00F057B5"/>
    <w:rsid w:val="00F05E81"/>
    <w:rsid w:val="00F05EC2"/>
    <w:rsid w:val="00F078AA"/>
    <w:rsid w:val="00F116E5"/>
    <w:rsid w:val="00F1218A"/>
    <w:rsid w:val="00F125E0"/>
    <w:rsid w:val="00F126B3"/>
    <w:rsid w:val="00F12CCD"/>
    <w:rsid w:val="00F133DE"/>
    <w:rsid w:val="00F140C4"/>
    <w:rsid w:val="00F14651"/>
    <w:rsid w:val="00F14B8B"/>
    <w:rsid w:val="00F14F0E"/>
    <w:rsid w:val="00F15856"/>
    <w:rsid w:val="00F16724"/>
    <w:rsid w:val="00F16BB3"/>
    <w:rsid w:val="00F17394"/>
    <w:rsid w:val="00F2142A"/>
    <w:rsid w:val="00F2188A"/>
    <w:rsid w:val="00F21937"/>
    <w:rsid w:val="00F21987"/>
    <w:rsid w:val="00F21FDF"/>
    <w:rsid w:val="00F22E55"/>
    <w:rsid w:val="00F23FE7"/>
    <w:rsid w:val="00F24247"/>
    <w:rsid w:val="00F244BF"/>
    <w:rsid w:val="00F2453F"/>
    <w:rsid w:val="00F24EA8"/>
    <w:rsid w:val="00F2554F"/>
    <w:rsid w:val="00F2560E"/>
    <w:rsid w:val="00F25B9E"/>
    <w:rsid w:val="00F27548"/>
    <w:rsid w:val="00F27F3E"/>
    <w:rsid w:val="00F3031B"/>
    <w:rsid w:val="00F311F6"/>
    <w:rsid w:val="00F313CD"/>
    <w:rsid w:val="00F31752"/>
    <w:rsid w:val="00F31F4C"/>
    <w:rsid w:val="00F320FD"/>
    <w:rsid w:val="00F338E4"/>
    <w:rsid w:val="00F33DA2"/>
    <w:rsid w:val="00F34B08"/>
    <w:rsid w:val="00F3505A"/>
    <w:rsid w:val="00F3586D"/>
    <w:rsid w:val="00F35DE5"/>
    <w:rsid w:val="00F3676F"/>
    <w:rsid w:val="00F3754F"/>
    <w:rsid w:val="00F37710"/>
    <w:rsid w:val="00F37E72"/>
    <w:rsid w:val="00F40F3A"/>
    <w:rsid w:val="00F411B4"/>
    <w:rsid w:val="00F420C8"/>
    <w:rsid w:val="00F4287C"/>
    <w:rsid w:val="00F4319F"/>
    <w:rsid w:val="00F455D6"/>
    <w:rsid w:val="00F461ED"/>
    <w:rsid w:val="00F470AF"/>
    <w:rsid w:val="00F4797A"/>
    <w:rsid w:val="00F50088"/>
    <w:rsid w:val="00F5026A"/>
    <w:rsid w:val="00F50BA7"/>
    <w:rsid w:val="00F5158F"/>
    <w:rsid w:val="00F518EE"/>
    <w:rsid w:val="00F51A3B"/>
    <w:rsid w:val="00F5268E"/>
    <w:rsid w:val="00F526FE"/>
    <w:rsid w:val="00F53DF7"/>
    <w:rsid w:val="00F53F10"/>
    <w:rsid w:val="00F540C6"/>
    <w:rsid w:val="00F541EE"/>
    <w:rsid w:val="00F54AED"/>
    <w:rsid w:val="00F55B97"/>
    <w:rsid w:val="00F55D6C"/>
    <w:rsid w:val="00F56EA5"/>
    <w:rsid w:val="00F600CB"/>
    <w:rsid w:val="00F61B36"/>
    <w:rsid w:val="00F62070"/>
    <w:rsid w:val="00F62080"/>
    <w:rsid w:val="00F6237D"/>
    <w:rsid w:val="00F63638"/>
    <w:rsid w:val="00F6368C"/>
    <w:rsid w:val="00F63698"/>
    <w:rsid w:val="00F63E61"/>
    <w:rsid w:val="00F6452D"/>
    <w:rsid w:val="00F646C0"/>
    <w:rsid w:val="00F65964"/>
    <w:rsid w:val="00F66251"/>
    <w:rsid w:val="00F667C0"/>
    <w:rsid w:val="00F67AF4"/>
    <w:rsid w:val="00F70AD9"/>
    <w:rsid w:val="00F70BEF"/>
    <w:rsid w:val="00F70C30"/>
    <w:rsid w:val="00F71B41"/>
    <w:rsid w:val="00F72241"/>
    <w:rsid w:val="00F7252B"/>
    <w:rsid w:val="00F728CB"/>
    <w:rsid w:val="00F72D76"/>
    <w:rsid w:val="00F72E0E"/>
    <w:rsid w:val="00F73185"/>
    <w:rsid w:val="00F7333E"/>
    <w:rsid w:val="00F747BF"/>
    <w:rsid w:val="00F7484F"/>
    <w:rsid w:val="00F74910"/>
    <w:rsid w:val="00F75634"/>
    <w:rsid w:val="00F75F48"/>
    <w:rsid w:val="00F762A9"/>
    <w:rsid w:val="00F765FC"/>
    <w:rsid w:val="00F773E8"/>
    <w:rsid w:val="00F77841"/>
    <w:rsid w:val="00F80497"/>
    <w:rsid w:val="00F80FE1"/>
    <w:rsid w:val="00F81670"/>
    <w:rsid w:val="00F823AE"/>
    <w:rsid w:val="00F82AB6"/>
    <w:rsid w:val="00F82CED"/>
    <w:rsid w:val="00F8381F"/>
    <w:rsid w:val="00F83EC1"/>
    <w:rsid w:val="00F84688"/>
    <w:rsid w:val="00F84A8E"/>
    <w:rsid w:val="00F84EB6"/>
    <w:rsid w:val="00F854E3"/>
    <w:rsid w:val="00F85B4F"/>
    <w:rsid w:val="00F85C0C"/>
    <w:rsid w:val="00F8607A"/>
    <w:rsid w:val="00F8615C"/>
    <w:rsid w:val="00F8671B"/>
    <w:rsid w:val="00F87333"/>
    <w:rsid w:val="00F9008B"/>
    <w:rsid w:val="00F90992"/>
    <w:rsid w:val="00F918C4"/>
    <w:rsid w:val="00F91EAA"/>
    <w:rsid w:val="00F91EC1"/>
    <w:rsid w:val="00F92406"/>
    <w:rsid w:val="00F92EA5"/>
    <w:rsid w:val="00F9415C"/>
    <w:rsid w:val="00F95642"/>
    <w:rsid w:val="00F95765"/>
    <w:rsid w:val="00F95D28"/>
    <w:rsid w:val="00F968A4"/>
    <w:rsid w:val="00F96C67"/>
    <w:rsid w:val="00F96E59"/>
    <w:rsid w:val="00F972F9"/>
    <w:rsid w:val="00F97A16"/>
    <w:rsid w:val="00F97BCC"/>
    <w:rsid w:val="00F97FD2"/>
    <w:rsid w:val="00FA034F"/>
    <w:rsid w:val="00FA05E2"/>
    <w:rsid w:val="00FA0D33"/>
    <w:rsid w:val="00FA2414"/>
    <w:rsid w:val="00FA2E4B"/>
    <w:rsid w:val="00FA3A9A"/>
    <w:rsid w:val="00FA3CA2"/>
    <w:rsid w:val="00FA4356"/>
    <w:rsid w:val="00FA67F1"/>
    <w:rsid w:val="00FA694E"/>
    <w:rsid w:val="00FA7FA7"/>
    <w:rsid w:val="00FB36ED"/>
    <w:rsid w:val="00FB4994"/>
    <w:rsid w:val="00FB6806"/>
    <w:rsid w:val="00FB6F52"/>
    <w:rsid w:val="00FB7A54"/>
    <w:rsid w:val="00FB7C15"/>
    <w:rsid w:val="00FC018D"/>
    <w:rsid w:val="00FC05D7"/>
    <w:rsid w:val="00FC1ECC"/>
    <w:rsid w:val="00FC2237"/>
    <w:rsid w:val="00FC3009"/>
    <w:rsid w:val="00FC34A9"/>
    <w:rsid w:val="00FC43A9"/>
    <w:rsid w:val="00FC561A"/>
    <w:rsid w:val="00FC6E3C"/>
    <w:rsid w:val="00FC7073"/>
    <w:rsid w:val="00FC7E98"/>
    <w:rsid w:val="00FD03CB"/>
    <w:rsid w:val="00FD0B57"/>
    <w:rsid w:val="00FD1421"/>
    <w:rsid w:val="00FD1706"/>
    <w:rsid w:val="00FD238C"/>
    <w:rsid w:val="00FD55C0"/>
    <w:rsid w:val="00FD569C"/>
    <w:rsid w:val="00FD583B"/>
    <w:rsid w:val="00FD58EC"/>
    <w:rsid w:val="00FD5DBE"/>
    <w:rsid w:val="00FD6160"/>
    <w:rsid w:val="00FD63E4"/>
    <w:rsid w:val="00FD703F"/>
    <w:rsid w:val="00FD7272"/>
    <w:rsid w:val="00FD75C9"/>
    <w:rsid w:val="00FE02A4"/>
    <w:rsid w:val="00FE0B8F"/>
    <w:rsid w:val="00FE0F20"/>
    <w:rsid w:val="00FE13A7"/>
    <w:rsid w:val="00FE13EE"/>
    <w:rsid w:val="00FE1698"/>
    <w:rsid w:val="00FE2302"/>
    <w:rsid w:val="00FE24F9"/>
    <w:rsid w:val="00FE26DF"/>
    <w:rsid w:val="00FE325E"/>
    <w:rsid w:val="00FE3701"/>
    <w:rsid w:val="00FE38D7"/>
    <w:rsid w:val="00FE4E5E"/>
    <w:rsid w:val="00FE4FF9"/>
    <w:rsid w:val="00FE557C"/>
    <w:rsid w:val="00FE562C"/>
    <w:rsid w:val="00FE5D19"/>
    <w:rsid w:val="00FE6D4B"/>
    <w:rsid w:val="00FF0D38"/>
    <w:rsid w:val="00FF0FA4"/>
    <w:rsid w:val="00FF21E7"/>
    <w:rsid w:val="00FF222E"/>
    <w:rsid w:val="00FF235D"/>
    <w:rsid w:val="00FF39D6"/>
    <w:rsid w:val="00FF3ADE"/>
    <w:rsid w:val="00FF4D4C"/>
    <w:rsid w:val="00FF4D76"/>
    <w:rsid w:val="00FF5C78"/>
    <w:rsid w:val="00FF5CEA"/>
    <w:rsid w:val="00FF69D3"/>
    <w:rsid w:val="0122E9D1"/>
    <w:rsid w:val="0174957B"/>
    <w:rsid w:val="01BD417F"/>
    <w:rsid w:val="02A5EFF0"/>
    <w:rsid w:val="02C6819A"/>
    <w:rsid w:val="0300F2D0"/>
    <w:rsid w:val="030E7A94"/>
    <w:rsid w:val="0312D0B2"/>
    <w:rsid w:val="0321E434"/>
    <w:rsid w:val="032757DA"/>
    <w:rsid w:val="035F89D8"/>
    <w:rsid w:val="036D42B1"/>
    <w:rsid w:val="037F6C7F"/>
    <w:rsid w:val="03800279"/>
    <w:rsid w:val="03B645CE"/>
    <w:rsid w:val="03F90E26"/>
    <w:rsid w:val="04115F2B"/>
    <w:rsid w:val="0429A161"/>
    <w:rsid w:val="047ED43E"/>
    <w:rsid w:val="04970090"/>
    <w:rsid w:val="04972DF8"/>
    <w:rsid w:val="05A56D69"/>
    <w:rsid w:val="05B8BA13"/>
    <w:rsid w:val="05F31A60"/>
    <w:rsid w:val="06139FE2"/>
    <w:rsid w:val="0641B52C"/>
    <w:rsid w:val="0688487A"/>
    <w:rsid w:val="068AD4FD"/>
    <w:rsid w:val="06BFEC89"/>
    <w:rsid w:val="0713313D"/>
    <w:rsid w:val="074CD41F"/>
    <w:rsid w:val="07A9EC58"/>
    <w:rsid w:val="07EA3458"/>
    <w:rsid w:val="08204765"/>
    <w:rsid w:val="0828DD57"/>
    <w:rsid w:val="0891A8FD"/>
    <w:rsid w:val="08B1CB3B"/>
    <w:rsid w:val="08BC60B5"/>
    <w:rsid w:val="09127CEF"/>
    <w:rsid w:val="0A26FEBB"/>
    <w:rsid w:val="0A2DE8E2"/>
    <w:rsid w:val="0B4A7306"/>
    <w:rsid w:val="0B66BF38"/>
    <w:rsid w:val="0B7AEB3C"/>
    <w:rsid w:val="0B9C4416"/>
    <w:rsid w:val="0C1D5C1C"/>
    <w:rsid w:val="0C285924"/>
    <w:rsid w:val="0C4211B2"/>
    <w:rsid w:val="0C5458FF"/>
    <w:rsid w:val="0D4D4645"/>
    <w:rsid w:val="0D8E3582"/>
    <w:rsid w:val="0DDD349D"/>
    <w:rsid w:val="0DEFEADE"/>
    <w:rsid w:val="0DF469CD"/>
    <w:rsid w:val="0E2A371B"/>
    <w:rsid w:val="0E38DDDC"/>
    <w:rsid w:val="0E9FB1E1"/>
    <w:rsid w:val="0EF9B43E"/>
    <w:rsid w:val="0F2A6D8F"/>
    <w:rsid w:val="0F875D18"/>
    <w:rsid w:val="0F9809A5"/>
    <w:rsid w:val="0FF0BD2F"/>
    <w:rsid w:val="1149366B"/>
    <w:rsid w:val="11DFBA00"/>
    <w:rsid w:val="11E526AF"/>
    <w:rsid w:val="125982E8"/>
    <w:rsid w:val="127B9637"/>
    <w:rsid w:val="1303CF5C"/>
    <w:rsid w:val="134308EC"/>
    <w:rsid w:val="13AB4877"/>
    <w:rsid w:val="13C55B5C"/>
    <w:rsid w:val="144FC7E6"/>
    <w:rsid w:val="14B6A779"/>
    <w:rsid w:val="151F27AF"/>
    <w:rsid w:val="15442C07"/>
    <w:rsid w:val="168A8D01"/>
    <w:rsid w:val="1693772E"/>
    <w:rsid w:val="1720325A"/>
    <w:rsid w:val="17424C64"/>
    <w:rsid w:val="175CFEF9"/>
    <w:rsid w:val="1761A892"/>
    <w:rsid w:val="176827A4"/>
    <w:rsid w:val="17AF0D72"/>
    <w:rsid w:val="17B4010E"/>
    <w:rsid w:val="18105DCC"/>
    <w:rsid w:val="181BF3C3"/>
    <w:rsid w:val="18298CA4"/>
    <w:rsid w:val="1859A336"/>
    <w:rsid w:val="18A563DC"/>
    <w:rsid w:val="18D5EBB7"/>
    <w:rsid w:val="1991E6A9"/>
    <w:rsid w:val="19C961AA"/>
    <w:rsid w:val="19FC4AFC"/>
    <w:rsid w:val="1A745870"/>
    <w:rsid w:val="1AF1EFBF"/>
    <w:rsid w:val="1B03FE3E"/>
    <w:rsid w:val="1B24F4E6"/>
    <w:rsid w:val="1C78EA8D"/>
    <w:rsid w:val="1C7FCD8E"/>
    <w:rsid w:val="1C9875F1"/>
    <w:rsid w:val="1CCB90EE"/>
    <w:rsid w:val="1CE9347F"/>
    <w:rsid w:val="1D0607EC"/>
    <w:rsid w:val="1D108A24"/>
    <w:rsid w:val="1D54064A"/>
    <w:rsid w:val="1D7A9AFB"/>
    <w:rsid w:val="1DD85395"/>
    <w:rsid w:val="1DE50E13"/>
    <w:rsid w:val="1E23BA72"/>
    <w:rsid w:val="1E52B356"/>
    <w:rsid w:val="1E990FF1"/>
    <w:rsid w:val="1EB91A8F"/>
    <w:rsid w:val="1F2CEF42"/>
    <w:rsid w:val="1F95CCEC"/>
    <w:rsid w:val="1FA0A3C2"/>
    <w:rsid w:val="1FDE8D63"/>
    <w:rsid w:val="203ADDD4"/>
    <w:rsid w:val="216C5E00"/>
    <w:rsid w:val="22050C10"/>
    <w:rsid w:val="220B05CB"/>
    <w:rsid w:val="220BFB91"/>
    <w:rsid w:val="22244FB5"/>
    <w:rsid w:val="22796549"/>
    <w:rsid w:val="22998FA8"/>
    <w:rsid w:val="22D490D5"/>
    <w:rsid w:val="22DE730B"/>
    <w:rsid w:val="23054748"/>
    <w:rsid w:val="23489D51"/>
    <w:rsid w:val="23C61704"/>
    <w:rsid w:val="2459F743"/>
    <w:rsid w:val="2485A4CC"/>
    <w:rsid w:val="24BBB776"/>
    <w:rsid w:val="24BC88F1"/>
    <w:rsid w:val="24F0F23B"/>
    <w:rsid w:val="251CD5C2"/>
    <w:rsid w:val="251F05E0"/>
    <w:rsid w:val="263C3350"/>
    <w:rsid w:val="263DAF99"/>
    <w:rsid w:val="26963D30"/>
    <w:rsid w:val="26C1C2AA"/>
    <w:rsid w:val="26D86AEE"/>
    <w:rsid w:val="26DD762A"/>
    <w:rsid w:val="2720E218"/>
    <w:rsid w:val="274D0F32"/>
    <w:rsid w:val="27810A9C"/>
    <w:rsid w:val="286A0956"/>
    <w:rsid w:val="28D1EF7E"/>
    <w:rsid w:val="292710D2"/>
    <w:rsid w:val="29C58934"/>
    <w:rsid w:val="2A5E379A"/>
    <w:rsid w:val="2AA02029"/>
    <w:rsid w:val="2AA7D3CB"/>
    <w:rsid w:val="2AAECA88"/>
    <w:rsid w:val="2B5C3076"/>
    <w:rsid w:val="2B60973F"/>
    <w:rsid w:val="2B969627"/>
    <w:rsid w:val="2C6C3682"/>
    <w:rsid w:val="2C6E1E92"/>
    <w:rsid w:val="2CB06793"/>
    <w:rsid w:val="2CB3EE3C"/>
    <w:rsid w:val="2CD2BEB9"/>
    <w:rsid w:val="2CE4E772"/>
    <w:rsid w:val="2D147CBE"/>
    <w:rsid w:val="2E8DCE98"/>
    <w:rsid w:val="2EC61ACA"/>
    <w:rsid w:val="2EE97DC7"/>
    <w:rsid w:val="2F1D888A"/>
    <w:rsid w:val="2F939EB6"/>
    <w:rsid w:val="2FA28674"/>
    <w:rsid w:val="3000B669"/>
    <w:rsid w:val="3214CE81"/>
    <w:rsid w:val="32368B67"/>
    <w:rsid w:val="3243BC2E"/>
    <w:rsid w:val="325CA8F6"/>
    <w:rsid w:val="3276D1A8"/>
    <w:rsid w:val="32D485F7"/>
    <w:rsid w:val="32D81A8E"/>
    <w:rsid w:val="333EF863"/>
    <w:rsid w:val="33735525"/>
    <w:rsid w:val="3393E25B"/>
    <w:rsid w:val="34AA5EEE"/>
    <w:rsid w:val="34B2EAED"/>
    <w:rsid w:val="3560A406"/>
    <w:rsid w:val="35A77F44"/>
    <w:rsid w:val="35CCF7BF"/>
    <w:rsid w:val="365446E7"/>
    <w:rsid w:val="3657BFE2"/>
    <w:rsid w:val="36628436"/>
    <w:rsid w:val="3668AC1D"/>
    <w:rsid w:val="36960087"/>
    <w:rsid w:val="36A1F806"/>
    <w:rsid w:val="36A4071F"/>
    <w:rsid w:val="36B73AD5"/>
    <w:rsid w:val="370AE15E"/>
    <w:rsid w:val="370B5C08"/>
    <w:rsid w:val="37552CCF"/>
    <w:rsid w:val="379EB7AE"/>
    <w:rsid w:val="3803E3C5"/>
    <w:rsid w:val="380B35FC"/>
    <w:rsid w:val="3858D888"/>
    <w:rsid w:val="386F3A98"/>
    <w:rsid w:val="3895889A"/>
    <w:rsid w:val="3901F341"/>
    <w:rsid w:val="3922BDD1"/>
    <w:rsid w:val="3A5EF1E4"/>
    <w:rsid w:val="3ADD1641"/>
    <w:rsid w:val="3B06DEBD"/>
    <w:rsid w:val="3B199E3D"/>
    <w:rsid w:val="3B1A5D13"/>
    <w:rsid w:val="3B96DBF8"/>
    <w:rsid w:val="3BC899AF"/>
    <w:rsid w:val="3C0083AC"/>
    <w:rsid w:val="3C0FCD5F"/>
    <w:rsid w:val="3C2D1FCD"/>
    <w:rsid w:val="3C2D9015"/>
    <w:rsid w:val="3C77B83B"/>
    <w:rsid w:val="3CA255F1"/>
    <w:rsid w:val="3D12FD3A"/>
    <w:rsid w:val="3D360745"/>
    <w:rsid w:val="3D6CDE38"/>
    <w:rsid w:val="3DA673F8"/>
    <w:rsid w:val="3DE67384"/>
    <w:rsid w:val="3DFDB76D"/>
    <w:rsid w:val="3E0F4A3B"/>
    <w:rsid w:val="3E18E28A"/>
    <w:rsid w:val="3E843FE0"/>
    <w:rsid w:val="3E909AAB"/>
    <w:rsid w:val="3F3209DA"/>
    <w:rsid w:val="3F6BB3AC"/>
    <w:rsid w:val="3FA980A0"/>
    <w:rsid w:val="3FB0F0A8"/>
    <w:rsid w:val="400A1DC1"/>
    <w:rsid w:val="401A2FF9"/>
    <w:rsid w:val="4103CF7C"/>
    <w:rsid w:val="421E0872"/>
    <w:rsid w:val="42589633"/>
    <w:rsid w:val="42C7FF6A"/>
    <w:rsid w:val="42F3BBA7"/>
    <w:rsid w:val="430FAF25"/>
    <w:rsid w:val="43266833"/>
    <w:rsid w:val="43802C31"/>
    <w:rsid w:val="43CC0E24"/>
    <w:rsid w:val="4454EFC0"/>
    <w:rsid w:val="445F3CFC"/>
    <w:rsid w:val="44BE6C2D"/>
    <w:rsid w:val="45AA6591"/>
    <w:rsid w:val="46CDF819"/>
    <w:rsid w:val="46D34398"/>
    <w:rsid w:val="47BBA779"/>
    <w:rsid w:val="47CA0662"/>
    <w:rsid w:val="480342CF"/>
    <w:rsid w:val="483517E1"/>
    <w:rsid w:val="484E0A8B"/>
    <w:rsid w:val="487F99D5"/>
    <w:rsid w:val="488738A6"/>
    <w:rsid w:val="49487E7F"/>
    <w:rsid w:val="49A4344A"/>
    <w:rsid w:val="49B31036"/>
    <w:rsid w:val="4A28DD08"/>
    <w:rsid w:val="4A8ED757"/>
    <w:rsid w:val="4AAAC651"/>
    <w:rsid w:val="4AABE79F"/>
    <w:rsid w:val="4AE3DD7D"/>
    <w:rsid w:val="4AED605B"/>
    <w:rsid w:val="4B4A75DC"/>
    <w:rsid w:val="4B823B82"/>
    <w:rsid w:val="4BD72325"/>
    <w:rsid w:val="4BE11E49"/>
    <w:rsid w:val="4C0314FC"/>
    <w:rsid w:val="4C553C12"/>
    <w:rsid w:val="4C81DDF2"/>
    <w:rsid w:val="4C9D7BFE"/>
    <w:rsid w:val="4CADDA58"/>
    <w:rsid w:val="4CC1FEDC"/>
    <w:rsid w:val="4D319586"/>
    <w:rsid w:val="4D98EC11"/>
    <w:rsid w:val="4E01BD91"/>
    <w:rsid w:val="4E30CC1D"/>
    <w:rsid w:val="4E50C873"/>
    <w:rsid w:val="4E537306"/>
    <w:rsid w:val="4E89A5DF"/>
    <w:rsid w:val="4F196791"/>
    <w:rsid w:val="4F36B07A"/>
    <w:rsid w:val="4F84AB13"/>
    <w:rsid w:val="4FB5134B"/>
    <w:rsid w:val="4FDA6E8D"/>
    <w:rsid w:val="4FFE1814"/>
    <w:rsid w:val="5090DFCE"/>
    <w:rsid w:val="50AD7C07"/>
    <w:rsid w:val="50C91B06"/>
    <w:rsid w:val="50DA3C78"/>
    <w:rsid w:val="50E2B974"/>
    <w:rsid w:val="5131BA68"/>
    <w:rsid w:val="51917682"/>
    <w:rsid w:val="51D985B1"/>
    <w:rsid w:val="523CCAE4"/>
    <w:rsid w:val="525985AA"/>
    <w:rsid w:val="526A48BC"/>
    <w:rsid w:val="52883350"/>
    <w:rsid w:val="52DA09B6"/>
    <w:rsid w:val="52EA0107"/>
    <w:rsid w:val="533CB62C"/>
    <w:rsid w:val="53B5C0AD"/>
    <w:rsid w:val="53ECA599"/>
    <w:rsid w:val="5449BE15"/>
    <w:rsid w:val="54B8CC1A"/>
    <w:rsid w:val="54DB866A"/>
    <w:rsid w:val="54F3B83A"/>
    <w:rsid w:val="5572694C"/>
    <w:rsid w:val="55AC738A"/>
    <w:rsid w:val="55C0180F"/>
    <w:rsid w:val="55CC752A"/>
    <w:rsid w:val="56357CD4"/>
    <w:rsid w:val="568F61F1"/>
    <w:rsid w:val="571B9B1A"/>
    <w:rsid w:val="57A1043F"/>
    <w:rsid w:val="57D70135"/>
    <w:rsid w:val="57F3C856"/>
    <w:rsid w:val="595208C7"/>
    <w:rsid w:val="59914644"/>
    <w:rsid w:val="59A64039"/>
    <w:rsid w:val="59F2613C"/>
    <w:rsid w:val="5A036942"/>
    <w:rsid w:val="5A3806EE"/>
    <w:rsid w:val="5A3ADDAF"/>
    <w:rsid w:val="5A6690F2"/>
    <w:rsid w:val="5AA9C8A2"/>
    <w:rsid w:val="5B4BE2EC"/>
    <w:rsid w:val="5B9455A4"/>
    <w:rsid w:val="5BBA036F"/>
    <w:rsid w:val="5BCB0BD0"/>
    <w:rsid w:val="5C1A857C"/>
    <w:rsid w:val="5C520616"/>
    <w:rsid w:val="5D376C48"/>
    <w:rsid w:val="5EC1ECA5"/>
    <w:rsid w:val="5EE3A3B6"/>
    <w:rsid w:val="5EE8EA84"/>
    <w:rsid w:val="5F152E01"/>
    <w:rsid w:val="5FDB1BA6"/>
    <w:rsid w:val="60121DC5"/>
    <w:rsid w:val="601304C8"/>
    <w:rsid w:val="60184605"/>
    <w:rsid w:val="60B427A4"/>
    <w:rsid w:val="60B81D28"/>
    <w:rsid w:val="60C34D26"/>
    <w:rsid w:val="60E343B3"/>
    <w:rsid w:val="610D8E1B"/>
    <w:rsid w:val="617B532C"/>
    <w:rsid w:val="621095C7"/>
    <w:rsid w:val="621F3F60"/>
    <w:rsid w:val="6286086B"/>
    <w:rsid w:val="62A30949"/>
    <w:rsid w:val="62AB406C"/>
    <w:rsid w:val="631325E7"/>
    <w:rsid w:val="63346685"/>
    <w:rsid w:val="6366FF40"/>
    <w:rsid w:val="6393B5DE"/>
    <w:rsid w:val="63C93346"/>
    <w:rsid w:val="6402B5D9"/>
    <w:rsid w:val="640E7F10"/>
    <w:rsid w:val="6433EEAB"/>
    <w:rsid w:val="64CB9A16"/>
    <w:rsid w:val="64D17243"/>
    <w:rsid w:val="65005A73"/>
    <w:rsid w:val="653FE728"/>
    <w:rsid w:val="6585BF19"/>
    <w:rsid w:val="6623F692"/>
    <w:rsid w:val="66AE52A3"/>
    <w:rsid w:val="66C1C5D3"/>
    <w:rsid w:val="67014AD6"/>
    <w:rsid w:val="67631688"/>
    <w:rsid w:val="676CF4AC"/>
    <w:rsid w:val="67D077B2"/>
    <w:rsid w:val="67DFF248"/>
    <w:rsid w:val="6811321E"/>
    <w:rsid w:val="68AAC6ED"/>
    <w:rsid w:val="68FCFDB2"/>
    <w:rsid w:val="6907853A"/>
    <w:rsid w:val="694C82D0"/>
    <w:rsid w:val="699CCAC8"/>
    <w:rsid w:val="69B9A67B"/>
    <w:rsid w:val="69BA4F1F"/>
    <w:rsid w:val="69E8A748"/>
    <w:rsid w:val="69F6DDB0"/>
    <w:rsid w:val="69F7ABB6"/>
    <w:rsid w:val="6A0C3D74"/>
    <w:rsid w:val="6A825B86"/>
    <w:rsid w:val="6A95CAAF"/>
    <w:rsid w:val="6AD5EC91"/>
    <w:rsid w:val="6B4AB6CF"/>
    <w:rsid w:val="6B84C9D5"/>
    <w:rsid w:val="6BDB93F5"/>
    <w:rsid w:val="6BFF6374"/>
    <w:rsid w:val="6C82808E"/>
    <w:rsid w:val="6CC2822A"/>
    <w:rsid w:val="6CEC18B6"/>
    <w:rsid w:val="6D55E1E4"/>
    <w:rsid w:val="6D5855C7"/>
    <w:rsid w:val="6E405695"/>
    <w:rsid w:val="6E4E5D72"/>
    <w:rsid w:val="6EAD5CBD"/>
    <w:rsid w:val="6FD20290"/>
    <w:rsid w:val="6FF3BC29"/>
    <w:rsid w:val="6FFF762C"/>
    <w:rsid w:val="70099BF4"/>
    <w:rsid w:val="70637B86"/>
    <w:rsid w:val="706EDD28"/>
    <w:rsid w:val="70A29FF3"/>
    <w:rsid w:val="710D0EE9"/>
    <w:rsid w:val="712D6A74"/>
    <w:rsid w:val="71951073"/>
    <w:rsid w:val="71C956DB"/>
    <w:rsid w:val="71D76EFD"/>
    <w:rsid w:val="71F5A711"/>
    <w:rsid w:val="72878CFB"/>
    <w:rsid w:val="72D1A75E"/>
    <w:rsid w:val="72E8042B"/>
    <w:rsid w:val="72FF46D9"/>
    <w:rsid w:val="73104DBF"/>
    <w:rsid w:val="73D608C1"/>
    <w:rsid w:val="74326D3B"/>
    <w:rsid w:val="74C59818"/>
    <w:rsid w:val="7520FE15"/>
    <w:rsid w:val="7570B842"/>
    <w:rsid w:val="761D40F1"/>
    <w:rsid w:val="76758755"/>
    <w:rsid w:val="76C32F93"/>
    <w:rsid w:val="777DB324"/>
    <w:rsid w:val="779ABED5"/>
    <w:rsid w:val="77A691E3"/>
    <w:rsid w:val="77F971F1"/>
    <w:rsid w:val="786EF60C"/>
    <w:rsid w:val="78718754"/>
    <w:rsid w:val="7A8D2262"/>
    <w:rsid w:val="7A90EBBD"/>
    <w:rsid w:val="7A95356B"/>
    <w:rsid w:val="7ACD3D1D"/>
    <w:rsid w:val="7AEB1C33"/>
    <w:rsid w:val="7AEECAE6"/>
    <w:rsid w:val="7AEEE812"/>
    <w:rsid w:val="7B8CB046"/>
    <w:rsid w:val="7BB987AA"/>
    <w:rsid w:val="7BBA683A"/>
    <w:rsid w:val="7C7DD50D"/>
    <w:rsid w:val="7CD6AA7F"/>
    <w:rsid w:val="7D2332CA"/>
    <w:rsid w:val="7D264484"/>
    <w:rsid w:val="7D3B4E1A"/>
    <w:rsid w:val="7E0E2AC0"/>
    <w:rsid w:val="7E824A00"/>
    <w:rsid w:val="7EF2F1B8"/>
    <w:rsid w:val="7EFB05DD"/>
    <w:rsid w:val="7F9070D7"/>
    <w:rsid w:val="7FB983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9B76F"/>
  <w15:chartTrackingRefBased/>
  <w15:docId w15:val="{CA93714A-10FA-4CDF-ACD7-83307FE4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E76DB"/>
    <w:pPr>
      <w:spacing w:after="120" w:line="300" w:lineRule="atLeast"/>
    </w:pPr>
    <w:rPr>
      <w:rFonts w:ascii="Arial" w:hAnsi="Arial"/>
      <w:sz w:val="22"/>
      <w:szCs w:val="24"/>
      <w:lang w:eastAsia="en-US"/>
    </w:rPr>
  </w:style>
  <w:style w:type="paragraph" w:styleId="Heading1">
    <w:name w:val="heading 1"/>
    <w:next w:val="Normal"/>
    <w:qFormat/>
    <w:rsid w:val="0040537D"/>
    <w:pPr>
      <w:keepNext/>
      <w:spacing w:before="240" w:after="440" w:line="300" w:lineRule="atLeast"/>
      <w:outlineLvl w:val="0"/>
    </w:pPr>
    <w:rPr>
      <w:rFonts w:ascii="Arial" w:hAnsi="Arial" w:cs="Arial"/>
      <w:b/>
      <w:bCs/>
      <w:color w:val="216E96"/>
      <w:kern w:val="32"/>
      <w:sz w:val="32"/>
      <w:szCs w:val="32"/>
      <w:lang w:eastAsia="en-AU"/>
    </w:rPr>
  </w:style>
  <w:style w:type="paragraph" w:styleId="Heading2">
    <w:name w:val="heading 2"/>
    <w:next w:val="Normal"/>
    <w:qFormat/>
    <w:rsid w:val="00DA0C0C"/>
    <w:pPr>
      <w:keepNext/>
      <w:spacing w:before="240" w:after="240" w:line="300" w:lineRule="atLeast"/>
      <w:outlineLvl w:val="1"/>
    </w:pPr>
    <w:rPr>
      <w:rFonts w:ascii="Arial" w:hAnsi="Arial" w:cs="Arial"/>
      <w:b/>
      <w:bCs/>
      <w:iCs/>
      <w:color w:val="0098CB"/>
      <w:sz w:val="28"/>
      <w:szCs w:val="28"/>
      <w:lang w:eastAsia="en-AU"/>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lang w:eastAsia="en-AU"/>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3"/>
      </w:numPr>
      <w:spacing w:after="120" w:line="300" w:lineRule="atLeast"/>
    </w:pPr>
    <w:rPr>
      <w:rFonts w:ascii="Arial" w:hAnsi="Arial"/>
      <w:sz w:val="22"/>
      <w:szCs w:val="24"/>
      <w:lang w:eastAsia="en-US"/>
    </w:rPr>
  </w:style>
  <w:style w:type="paragraph" w:styleId="ListBullet2">
    <w:name w:val="List Bullet 2"/>
    <w:rsid w:val="007E76DB"/>
    <w:pPr>
      <w:tabs>
        <w:tab w:val="num" w:pos="643"/>
        <w:tab w:val="num" w:pos="1492"/>
      </w:tabs>
      <w:spacing w:after="120" w:line="300" w:lineRule="atLeast"/>
      <w:ind w:left="643" w:hanging="360"/>
    </w:pPr>
    <w:rPr>
      <w:rFonts w:ascii="Arial" w:hAnsi="Arial"/>
      <w:sz w:val="22"/>
      <w:szCs w:val="24"/>
      <w:lang w:eastAsia="en-US"/>
    </w:rPr>
  </w:style>
  <w:style w:type="paragraph" w:styleId="ListBullet3">
    <w:name w:val="List Bullet 3"/>
    <w:rsid w:val="007E76DB"/>
    <w:pPr>
      <w:numPr>
        <w:ilvl w:val="2"/>
        <w:numId w:val="1"/>
      </w:numPr>
      <w:tabs>
        <w:tab w:val="clear" w:pos="851"/>
        <w:tab w:val="num" w:pos="1492"/>
      </w:tabs>
      <w:spacing w:after="120" w:line="300" w:lineRule="atLeast"/>
    </w:pPr>
    <w:rPr>
      <w:rFonts w:ascii="Arial" w:hAnsi="Arial"/>
      <w:sz w:val="22"/>
      <w:szCs w:val="24"/>
      <w:lang w:eastAsia="en-US"/>
    </w:rPr>
  </w:style>
  <w:style w:type="paragraph" w:customStyle="1" w:styleId="VLA1">
    <w:name w:val="VLA 1."/>
    <w:aliases w:val="2.,3."/>
    <w:rsid w:val="007E76DB"/>
    <w:pPr>
      <w:numPr>
        <w:numId w:val="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
      </w:numPr>
      <w:tabs>
        <w:tab w:val="clear" w:pos="714"/>
      </w:tabs>
      <w:spacing w:after="120" w:line="300" w:lineRule="atLeast"/>
      <w:ind w:left="1440" w:hanging="360"/>
    </w:pPr>
    <w:rPr>
      <w:rFonts w:ascii="Arial" w:hAnsi="Arial"/>
      <w:sz w:val="22"/>
      <w:szCs w:val="24"/>
      <w:lang w:eastAsia="en-US"/>
    </w:rPr>
  </w:style>
  <w:style w:type="paragraph" w:customStyle="1" w:styleId="VLAi">
    <w:name w:val="VLA i."/>
    <w:aliases w:val="ii.,iii."/>
    <w:rsid w:val="007E76DB"/>
    <w:pPr>
      <w:numPr>
        <w:ilvl w:val="2"/>
        <w:numId w:val="2"/>
      </w:numPr>
      <w:tabs>
        <w:tab w:val="clear" w:pos="1072"/>
      </w:tabs>
      <w:spacing w:after="120" w:line="300" w:lineRule="atLeast"/>
      <w:ind w:left="2160" w:hanging="360"/>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C,Footnote Text Char1,FN"/>
    <w:basedOn w:val="Normal"/>
    <w:link w:val="FootnoteTextChar"/>
    <w:uiPriority w:val="99"/>
    <w:qFormat/>
    <w:rsid w:val="007E76DB"/>
    <w:pPr>
      <w:ind w:left="284" w:hanging="284"/>
    </w:pPr>
    <w:rPr>
      <w:sz w:val="18"/>
      <w:szCs w:val="20"/>
    </w:rPr>
  </w:style>
  <w:style w:type="paragraph" w:styleId="TOC4">
    <w:name w:val="toc 4"/>
    <w:basedOn w:val="Normal"/>
    <w:next w:val="Normal"/>
    <w:autoRedefine/>
    <w:rsid w:val="00BF732F"/>
    <w:pPr>
      <w:spacing w:after="100"/>
      <w:ind w:left="660"/>
    </w:pPr>
  </w:style>
  <w:style w:type="character" w:styleId="Hyperlink">
    <w:name w:val="Hyperlink"/>
    <w:uiPriority w:val="99"/>
    <w:rsid w:val="007E76DB"/>
    <w:rPr>
      <w:rFonts w:ascii="Arial" w:hAnsi="Arial"/>
      <w:color w:val="0000FF"/>
      <w:u w:val="single"/>
      <w:lang w:val="en-AU"/>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375D05"/>
    <w:pPr>
      <w:tabs>
        <w:tab w:val="right" w:pos="9790"/>
      </w:tabs>
      <w:spacing w:before="240" w:after="120"/>
      <w:ind w:left="567" w:right="760" w:hanging="567"/>
    </w:pPr>
    <w:rPr>
      <w:rFonts w:ascii="Arial" w:hAnsi="Arial"/>
      <w:sz w:val="22"/>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character" w:styleId="FollowedHyperlink">
    <w:name w:val="FollowedHyperlink"/>
    <w:basedOn w:val="DefaultParagraphFont"/>
    <w:rsid w:val="00E47E64"/>
    <w:rPr>
      <w:color w:val="954F72" w:themeColor="followedHyperlink"/>
      <w:u w:val="single"/>
    </w:rPr>
  </w:style>
  <w:style w:type="paragraph" w:customStyle="1" w:styleId="VLAsubtitle">
    <w:name w:val="VLA subtitle"/>
    <w:basedOn w:val="Normal"/>
    <w:rsid w:val="007E76DB"/>
    <w:pPr>
      <w:spacing w:before="240" w:after="240" w:line="240" w:lineRule="atLeast"/>
    </w:pPr>
    <w:rPr>
      <w:b/>
      <w:bCs/>
      <w:sz w:val="28"/>
      <w:szCs w:val="28"/>
    </w:rPr>
  </w:style>
  <w:style w:type="character" w:customStyle="1" w:styleId="apple-converted-space">
    <w:name w:val="apple-converted-space"/>
    <w:basedOn w:val="DefaultParagraphFont"/>
    <w:rsid w:val="002E7D6F"/>
  </w:style>
  <w:style w:type="paragraph" w:styleId="NormalWeb">
    <w:name w:val="Normal (Web)"/>
    <w:basedOn w:val="Normal"/>
    <w:uiPriority w:val="99"/>
    <w:rsid w:val="002E7D6F"/>
    <w:rPr>
      <w:rFonts w:ascii="Times New Roman" w:hAnsi="Times New Roman"/>
      <w:sz w:val="24"/>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qFormat/>
    <w:rsid w:val="007E76DB"/>
    <w:rPr>
      <w:rFonts w:ascii="Arial" w:hAnsi="Arial"/>
      <w:sz w:val="18"/>
      <w:vertAlign w:val="superscript"/>
    </w:rPr>
  </w:style>
  <w:style w:type="paragraph" w:customStyle="1" w:styleId="Filename">
    <w:name w:val="Filename"/>
    <w:basedOn w:val="Normal"/>
    <w:rsid w:val="00DC023F"/>
    <w:pPr>
      <w:pBdr>
        <w:top w:val="single" w:sz="4" w:space="4" w:color="216E96"/>
      </w:pBdr>
      <w:tabs>
        <w:tab w:val="right" w:pos="9240"/>
      </w:tabs>
      <w:spacing w:before="80"/>
    </w:pPr>
    <w:rPr>
      <w:sz w:val="18"/>
    </w:rPr>
  </w:style>
  <w:style w:type="paragraph" w:styleId="TOC2">
    <w:name w:val="toc 2"/>
    <w:basedOn w:val="Normal"/>
    <w:next w:val="Normal"/>
    <w:uiPriority w:val="39"/>
    <w:rsid w:val="00BF732F"/>
    <w:pPr>
      <w:tabs>
        <w:tab w:val="right" w:pos="9790"/>
      </w:tabs>
      <w:spacing w:before="60" w:after="60"/>
      <w:ind w:left="329" w:right="652"/>
    </w:pPr>
    <w:rPr>
      <w:noProof/>
    </w:rPr>
  </w:style>
  <w:style w:type="paragraph" w:styleId="TOC3">
    <w:name w:val="toc 3"/>
    <w:basedOn w:val="Normal"/>
    <w:next w:val="Normal"/>
    <w:uiPriority w:val="39"/>
    <w:rsid w:val="00BF732F"/>
    <w:pPr>
      <w:tabs>
        <w:tab w:val="right" w:pos="9790"/>
      </w:tabs>
      <w:spacing w:before="60" w:after="60"/>
      <w:ind w:left="550" w:right="760"/>
    </w:pPr>
    <w:rPr>
      <w:noProof/>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outlinebox">
    <w:name w:val="Normal outline box"/>
    <w:basedOn w:val="Normal"/>
    <w:qFormat/>
    <w:rsid w:val="00E346AE"/>
    <w:pPr>
      <w:pBdr>
        <w:top w:val="single" w:sz="8" w:space="7" w:color="0098CB"/>
        <w:left w:val="single" w:sz="8" w:space="7" w:color="0098CB"/>
        <w:bottom w:val="single" w:sz="8" w:space="7" w:color="0098CB"/>
        <w:right w:val="single" w:sz="8" w:space="7" w:color="0098CB"/>
      </w:pBdr>
      <w:spacing w:before="160"/>
      <w:ind w:left="454" w:right="454"/>
    </w:pPr>
  </w:style>
  <w:style w:type="paragraph" w:styleId="NoteHeading">
    <w:name w:val="Note Heading"/>
    <w:basedOn w:val="Normal"/>
    <w:next w:val="Normal"/>
    <w:link w:val="NoteHeadingChar"/>
    <w:rsid w:val="00E346AE"/>
    <w:pPr>
      <w:pBdr>
        <w:top w:val="single" w:sz="8" w:space="1" w:color="0098CB"/>
        <w:left w:val="single" w:sz="8" w:space="4" w:color="0098CB"/>
        <w:bottom w:val="single" w:sz="8" w:space="1" w:color="0098CB"/>
        <w:right w:val="single" w:sz="8" w:space="4" w:color="0098CB"/>
      </w:pBdr>
      <w:spacing w:after="0" w:line="240" w:lineRule="auto"/>
    </w:pPr>
  </w:style>
  <w:style w:type="paragraph" w:customStyle="1" w:styleId="Recommendationheading">
    <w:name w:val="Recommendation heading"/>
    <w:basedOn w:val="Heading1"/>
    <w:next w:val="Recommendationtext"/>
    <w:qFormat/>
    <w:rsid w:val="006B4441"/>
    <w:pPr>
      <w:pBdr>
        <w:bottom w:val="single" w:sz="12" w:space="4" w:color="009DBD"/>
      </w:pBdr>
      <w:spacing w:after="120"/>
    </w:pPr>
    <w:rPr>
      <w:color w:val="009DBD"/>
      <w:sz w:val="28"/>
      <w:szCs w:val="28"/>
    </w:rPr>
  </w:style>
  <w:style w:type="paragraph" w:customStyle="1" w:styleId="Recommendationtext">
    <w:name w:val="Recommendation text"/>
    <w:basedOn w:val="Normal"/>
    <w:qFormat/>
    <w:rsid w:val="00C73D78"/>
    <w:pPr>
      <w:spacing w:after="240"/>
    </w:pPr>
    <w:rPr>
      <w:b/>
      <w:bCs/>
      <w:color w:val="216E96"/>
      <w:lang w:eastAsia="en-AU"/>
    </w:rPr>
  </w:style>
  <w:style w:type="paragraph" w:customStyle="1" w:styleId="Listbulletcoloured">
    <w:name w:val="List bullet coloured"/>
    <w:basedOn w:val="ListBullet"/>
    <w:qFormat/>
    <w:rsid w:val="003E231C"/>
    <w:pPr>
      <w:numPr>
        <w:numId w:val="9"/>
      </w:numPr>
    </w:pPr>
  </w:style>
  <w:style w:type="character" w:customStyle="1" w:styleId="NoteHeadingChar">
    <w:name w:val="Note Heading Char"/>
    <w:basedOn w:val="DefaultParagraphFont"/>
    <w:link w:val="NoteHeading"/>
    <w:rsid w:val="00E346AE"/>
    <w:rPr>
      <w:rFonts w:ascii="Arial" w:hAnsi="Arial"/>
      <w:sz w:val="22"/>
      <w:szCs w:val="24"/>
      <w:lang w:eastAsia="en-US"/>
    </w:rPr>
  </w:style>
  <w:style w:type="paragraph" w:customStyle="1" w:styleId="Normalshadedbox">
    <w:name w:val="Normal shaded box"/>
    <w:basedOn w:val="Normaloutlinebox"/>
    <w:qFormat/>
    <w:rsid w:val="00AE0035"/>
    <w:pPr>
      <w:pBdr>
        <w:top w:val="single" w:sz="24" w:space="5" w:color="D7EFF5"/>
        <w:left w:val="single" w:sz="24" w:space="5" w:color="D7EFF5"/>
        <w:bottom w:val="single" w:sz="24" w:space="5" w:color="D7EFF5"/>
        <w:right w:val="single" w:sz="24" w:space="5" w:color="D7EFF5"/>
      </w:pBdr>
      <w:shd w:val="clear" w:color="auto" w:fill="D7EFF5"/>
    </w:pPr>
  </w:style>
  <w:style w:type="table" w:styleId="GridTable1Light-Accent1">
    <w:name w:val="Grid Table 1 Light Accent 1"/>
    <w:basedOn w:val="TableNormal"/>
    <w:uiPriority w:val="46"/>
    <w:rsid w:val="009155F9"/>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155F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155F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155F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customStyle="1" w:styleId="Tablecopy">
    <w:name w:val="Table copy"/>
    <w:basedOn w:val="Normal"/>
    <w:qFormat/>
    <w:rsid w:val="0036656F"/>
    <w:pPr>
      <w:spacing w:line="280" w:lineRule="atLeast"/>
    </w:pPr>
    <w:rPr>
      <w:sz w:val="20"/>
      <w:szCs w:val="20"/>
    </w:rPr>
  </w:style>
  <w:style w:type="paragraph" w:customStyle="1" w:styleId="Tableheading">
    <w:name w:val="Table heading"/>
    <w:basedOn w:val="Normal"/>
    <w:qFormat/>
    <w:rsid w:val="00C95CC7"/>
    <w:pPr>
      <w:spacing w:before="40"/>
    </w:pPr>
    <w:rPr>
      <w:bCs/>
      <w:sz w:val="20"/>
      <w:szCs w:val="20"/>
    </w:rPr>
  </w:style>
  <w:style w:type="paragraph" w:styleId="TableofAuthorities">
    <w:name w:val="table of authorities"/>
    <w:basedOn w:val="Normal"/>
    <w:next w:val="Normal"/>
    <w:rsid w:val="00286BAC"/>
    <w:pPr>
      <w:spacing w:after="0"/>
      <w:ind w:left="220" w:hanging="220"/>
    </w:pPr>
  </w:style>
  <w:style w:type="paragraph" w:styleId="TableofFigures">
    <w:name w:val="table of figures"/>
    <w:basedOn w:val="Normal"/>
    <w:next w:val="Normal"/>
    <w:rsid w:val="00286BAC"/>
    <w:pPr>
      <w:spacing w:after="0"/>
    </w:pPr>
  </w:style>
  <w:style w:type="paragraph" w:styleId="ListNumber">
    <w:name w:val="List Number"/>
    <w:basedOn w:val="Normal"/>
    <w:rsid w:val="00DA0C0C"/>
    <w:pPr>
      <w:numPr>
        <w:numId w:val="4"/>
      </w:numPr>
      <w:contextualSpacing/>
    </w:pPr>
    <w:rPr>
      <w:b/>
    </w:rPr>
  </w:style>
  <w:style w:type="paragraph" w:styleId="ListNumber2">
    <w:name w:val="List Number 2"/>
    <w:basedOn w:val="Normal"/>
    <w:rsid w:val="00DA0C0C"/>
    <w:pPr>
      <w:numPr>
        <w:numId w:val="5"/>
      </w:numPr>
      <w:contextualSpacing/>
    </w:pPr>
  </w:style>
  <w:style w:type="paragraph" w:styleId="ListNumber3">
    <w:name w:val="List Number 3"/>
    <w:basedOn w:val="Normal"/>
    <w:rsid w:val="00DA0C0C"/>
    <w:pPr>
      <w:numPr>
        <w:numId w:val="6"/>
      </w:numPr>
      <w:contextualSpacing/>
    </w:pPr>
  </w:style>
  <w:style w:type="paragraph" w:styleId="ListNumber4">
    <w:name w:val="List Number 4"/>
    <w:basedOn w:val="Normal"/>
    <w:rsid w:val="00DA0C0C"/>
    <w:pPr>
      <w:numPr>
        <w:numId w:val="7"/>
      </w:numPr>
      <w:contextualSpacing/>
    </w:pPr>
  </w:style>
  <w:style w:type="paragraph" w:styleId="ListNumber5">
    <w:name w:val="List Number 5"/>
    <w:basedOn w:val="Normal"/>
    <w:rsid w:val="00DA0C0C"/>
    <w:pPr>
      <w:numPr>
        <w:numId w:val="8"/>
      </w:numPr>
      <w:contextualSpacing/>
    </w:pPr>
  </w:style>
  <w:style w:type="paragraph" w:customStyle="1" w:styleId="Coverpageheading">
    <w:name w:val="Cover page heading"/>
    <w:basedOn w:val="Heading1"/>
    <w:qFormat/>
    <w:rsid w:val="00C73D71"/>
    <w:pPr>
      <w:spacing w:before="10000"/>
      <w:ind w:left="567"/>
    </w:pPr>
    <w:rPr>
      <w:sz w:val="44"/>
      <w:szCs w:val="44"/>
    </w:rPr>
  </w:style>
  <w:style w:type="paragraph" w:customStyle="1" w:styleId="Coverpagesubheading">
    <w:name w:val="Cover page subheading"/>
    <w:basedOn w:val="Normal"/>
    <w:qFormat/>
    <w:rsid w:val="00C73D71"/>
    <w:pPr>
      <w:ind w:left="567"/>
    </w:pPr>
    <w:rPr>
      <w:color w:val="009DBD"/>
      <w:sz w:val="32"/>
      <w:szCs w:val="32"/>
      <w:lang w:eastAsia="en-AU"/>
    </w:rPr>
  </w:style>
  <w:style w:type="character" w:styleId="UnresolvedMention">
    <w:name w:val="Unresolved Mention"/>
    <w:basedOn w:val="DefaultParagraphFont"/>
    <w:uiPriority w:val="99"/>
    <w:unhideWhenUsed/>
    <w:rsid w:val="00E47E64"/>
    <w:rPr>
      <w:color w:val="605E5C"/>
      <w:shd w:val="clear" w:color="auto" w:fill="E1DFDD"/>
    </w:rPr>
  </w:style>
  <w:style w:type="paragraph" w:styleId="PlainText">
    <w:name w:val="Plain Text"/>
    <w:basedOn w:val="Normal"/>
    <w:link w:val="PlainTextChar"/>
    <w:uiPriority w:val="99"/>
    <w:unhideWhenUsed/>
    <w:rsid w:val="008C554E"/>
    <w:pPr>
      <w:spacing w:after="0" w:line="240" w:lineRule="auto"/>
    </w:pPr>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8C554E"/>
    <w:rPr>
      <w:rFonts w:ascii="Consolas" w:eastAsiaTheme="minorHAnsi" w:hAnsi="Consolas" w:cs="Consolas"/>
      <w:sz w:val="21"/>
      <w:szCs w:val="21"/>
      <w:lang w:val="en-GB" w:eastAsia="en-US"/>
    </w:r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977075"/>
    <w:pPr>
      <w:spacing w:after="160" w:line="259" w:lineRule="auto"/>
      <w:ind w:left="720"/>
      <w:contextualSpacing/>
    </w:pPr>
    <w:rPr>
      <w:rFonts w:asciiTheme="minorHAnsi" w:eastAsiaTheme="minorHAnsi" w:hAnsiTheme="minorHAnsi" w:cstheme="minorBidi"/>
      <w:szCs w:val="22"/>
    </w:rPr>
  </w:style>
  <w:style w:type="paragraph" w:customStyle="1" w:styleId="paragraph">
    <w:name w:val="paragraph"/>
    <w:basedOn w:val="Normal"/>
    <w:rsid w:val="00977075"/>
    <w:pPr>
      <w:spacing w:before="100" w:beforeAutospacing="1" w:after="100" w:afterAutospacing="1" w:line="240" w:lineRule="auto"/>
    </w:pPr>
    <w:rPr>
      <w:rFonts w:ascii="Times New Roman" w:hAnsi="Times New Roman"/>
      <w:sz w:val="24"/>
      <w:lang w:eastAsia="en-AU"/>
    </w:rPr>
  </w:style>
  <w:style w:type="character" w:customStyle="1" w:styleId="normaltextrun">
    <w:name w:val="normaltextrun"/>
    <w:basedOn w:val="DefaultParagraphFont"/>
    <w:rsid w:val="00977075"/>
  </w:style>
  <w:style w:type="character" w:customStyle="1" w:styleId="eop">
    <w:name w:val="eop"/>
    <w:basedOn w:val="DefaultParagraphFont"/>
    <w:rsid w:val="00977075"/>
  </w:style>
  <w:style w:type="paragraph" w:styleId="BalloonText">
    <w:name w:val="Balloon Text"/>
    <w:basedOn w:val="Normal"/>
    <w:link w:val="BalloonTextChar"/>
    <w:rsid w:val="00977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77075"/>
    <w:rPr>
      <w:rFonts w:ascii="Segoe UI" w:hAnsi="Segoe UI" w:cs="Segoe UI"/>
      <w:sz w:val="18"/>
      <w:szCs w:val="18"/>
      <w:lang w:eastAsia="en-US"/>
    </w:rPr>
  </w:style>
  <w:style w:type="character" w:styleId="CommentReference">
    <w:name w:val="annotation reference"/>
    <w:basedOn w:val="DefaultParagraphFont"/>
    <w:uiPriority w:val="99"/>
    <w:unhideWhenUsed/>
    <w:rsid w:val="00977075"/>
    <w:rPr>
      <w:sz w:val="16"/>
      <w:szCs w:val="16"/>
    </w:rPr>
  </w:style>
  <w:style w:type="paragraph" w:styleId="CommentText">
    <w:name w:val="annotation text"/>
    <w:basedOn w:val="Normal"/>
    <w:link w:val="CommentTextChar"/>
    <w:uiPriority w:val="99"/>
    <w:unhideWhenUsed/>
    <w:rsid w:val="00977075"/>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7075"/>
    <w:rPr>
      <w:rFonts w:asciiTheme="minorHAnsi" w:eastAsiaTheme="minorHAnsi" w:hAnsiTheme="minorHAnsi" w:cstheme="minorBidi"/>
      <w:lang w:eastAsia="en-US"/>
    </w:r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uiPriority w:val="99"/>
    <w:rsid w:val="00977075"/>
    <w:rPr>
      <w:rFonts w:ascii="Arial" w:hAnsi="Arial"/>
      <w:sz w:val="18"/>
      <w:lang w:eastAsia="en-US"/>
    </w:rPr>
  </w:style>
  <w:style w:type="paragraph" w:styleId="CommentSubject">
    <w:name w:val="annotation subject"/>
    <w:basedOn w:val="CommentText"/>
    <w:next w:val="CommentText"/>
    <w:link w:val="CommentSubjectChar"/>
    <w:rsid w:val="00C57DC6"/>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C57DC6"/>
    <w:rPr>
      <w:rFonts w:ascii="Arial" w:eastAsiaTheme="minorHAnsi" w:hAnsi="Arial" w:cstheme="minorBidi"/>
      <w:b/>
      <w:bCs/>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A80860"/>
    <w:pPr>
      <w:spacing w:after="160" w:line="240" w:lineRule="exact"/>
      <w:ind w:firstLine="360"/>
      <w:jc w:val="both"/>
    </w:pPr>
    <w:rPr>
      <w:sz w:val="18"/>
      <w:szCs w:val="20"/>
      <w:vertAlign w:val="superscript"/>
      <w:lang w:eastAsia="en-GB"/>
    </w:rPr>
  </w:style>
  <w:style w:type="paragraph" w:customStyle="1" w:styleId="Recommendationtextnumbered">
    <w:name w:val="Recommendation text numbered"/>
    <w:basedOn w:val="Normal"/>
    <w:qFormat/>
    <w:rsid w:val="00A80860"/>
    <w:pPr>
      <w:pBdr>
        <w:top w:val="single" w:sz="24" w:space="5" w:color="D7EFF5"/>
        <w:left w:val="single" w:sz="24" w:space="5" w:color="D7EFF5"/>
        <w:bottom w:val="single" w:sz="24" w:space="5" w:color="D7EFF5"/>
        <w:right w:val="single" w:sz="24" w:space="5" w:color="D7EFF5"/>
      </w:pBdr>
      <w:shd w:val="clear" w:color="auto" w:fill="DEEAF6" w:themeFill="accent5" w:themeFillTint="33"/>
      <w:spacing w:line="260" w:lineRule="atLeast"/>
      <w:ind w:left="357" w:right="113"/>
    </w:pPr>
  </w:style>
  <w:style w:type="paragraph" w:styleId="TOCHeading">
    <w:name w:val="TOC Heading"/>
    <w:basedOn w:val="Heading1"/>
    <w:next w:val="Normal"/>
    <w:uiPriority w:val="39"/>
    <w:unhideWhenUsed/>
    <w:qFormat/>
    <w:rsid w:val="00823CE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customStyle="1" w:styleId="A0">
    <w:name w:val="A0"/>
    <w:uiPriority w:val="99"/>
    <w:rsid w:val="0070051E"/>
    <w:rPr>
      <w:rFonts w:cs="Avenir Next"/>
      <w:color w:val="000000"/>
      <w:sz w:val="18"/>
      <w:szCs w:val="18"/>
    </w:rPr>
  </w:style>
  <w:style w:type="character" w:customStyle="1" w:styleId="FooterChar">
    <w:name w:val="Footer Char"/>
    <w:basedOn w:val="DefaultParagraphFont"/>
    <w:link w:val="Footer"/>
    <w:uiPriority w:val="99"/>
    <w:rsid w:val="000374D8"/>
    <w:rPr>
      <w:rFonts w:ascii="Arial" w:hAnsi="Arial"/>
      <w:sz w:val="22"/>
      <w:szCs w:val="24"/>
      <w:lang w:eastAsia="en-US"/>
    </w:rPr>
  </w:style>
  <w:style w:type="paragraph" w:styleId="Revision">
    <w:name w:val="Revision"/>
    <w:hidden/>
    <w:uiPriority w:val="99"/>
    <w:semiHidden/>
    <w:rsid w:val="00CC64E7"/>
    <w:rPr>
      <w:rFonts w:ascii="Arial" w:hAnsi="Arial"/>
      <w:sz w:val="22"/>
      <w:szCs w:val="24"/>
      <w:lang w:eastAsia="en-US"/>
    </w:rPr>
  </w:style>
  <w:style w:type="character" w:styleId="Mention">
    <w:name w:val="Mention"/>
    <w:basedOn w:val="DefaultParagraphFont"/>
    <w:uiPriority w:val="99"/>
    <w:unhideWhenUsed/>
    <w:rsid w:val="004A4C30"/>
    <w:rPr>
      <w:color w:val="2B579A"/>
      <w:shd w:val="clear" w:color="auto" w:fill="E1DFDD"/>
    </w:rPr>
  </w:style>
  <w:style w:type="paragraph" w:styleId="EndnoteText">
    <w:name w:val="endnote text"/>
    <w:basedOn w:val="Normal"/>
    <w:link w:val="EndnoteTextChar"/>
    <w:rsid w:val="004A4C30"/>
    <w:pPr>
      <w:spacing w:after="0" w:line="240" w:lineRule="auto"/>
    </w:pPr>
    <w:rPr>
      <w:sz w:val="20"/>
      <w:szCs w:val="20"/>
    </w:rPr>
  </w:style>
  <w:style w:type="character" w:customStyle="1" w:styleId="EndnoteTextChar">
    <w:name w:val="Endnote Text Char"/>
    <w:basedOn w:val="DefaultParagraphFont"/>
    <w:link w:val="EndnoteText"/>
    <w:rsid w:val="004A4C30"/>
    <w:rPr>
      <w:rFonts w:ascii="Arial" w:hAnsi="Arial"/>
      <w:lang w:eastAsia="en-US"/>
    </w:rPr>
  </w:style>
  <w:style w:type="character" w:styleId="EndnoteReference">
    <w:name w:val="endnote reference"/>
    <w:basedOn w:val="DefaultParagraphFont"/>
    <w:rsid w:val="004A4C30"/>
    <w:rPr>
      <w:vertAlign w:val="superscript"/>
    </w:r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C33453"/>
    <w:rPr>
      <w:rFonts w:asciiTheme="minorHAnsi" w:eastAsiaTheme="minorHAnsi" w:hAnsiTheme="minorHAnsi" w:cstheme="minorBidi"/>
      <w:sz w:val="22"/>
      <w:szCs w:val="22"/>
      <w:lang w:eastAsia="en-US"/>
    </w:rPr>
  </w:style>
  <w:style w:type="paragraph" w:styleId="Header">
    <w:name w:val="header"/>
    <w:basedOn w:val="Normal"/>
    <w:link w:val="HeaderChar"/>
    <w:rsid w:val="009C7EE0"/>
    <w:pPr>
      <w:tabs>
        <w:tab w:val="center" w:pos="4513"/>
        <w:tab w:val="right" w:pos="9026"/>
      </w:tabs>
      <w:spacing w:after="0" w:line="240" w:lineRule="auto"/>
    </w:pPr>
  </w:style>
  <w:style w:type="character" w:customStyle="1" w:styleId="HeaderChar">
    <w:name w:val="Header Char"/>
    <w:basedOn w:val="DefaultParagraphFont"/>
    <w:link w:val="Header"/>
    <w:rsid w:val="009C7EE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7516">
      <w:bodyDiv w:val="1"/>
      <w:marLeft w:val="0"/>
      <w:marRight w:val="0"/>
      <w:marTop w:val="0"/>
      <w:marBottom w:val="0"/>
      <w:divBdr>
        <w:top w:val="none" w:sz="0" w:space="0" w:color="auto"/>
        <w:left w:val="none" w:sz="0" w:space="0" w:color="auto"/>
        <w:bottom w:val="none" w:sz="0" w:space="0" w:color="auto"/>
        <w:right w:val="none" w:sz="0" w:space="0" w:color="auto"/>
      </w:divBdr>
      <w:divsChild>
        <w:div w:id="908424363">
          <w:marLeft w:val="0"/>
          <w:marRight w:val="0"/>
          <w:marTop w:val="0"/>
          <w:marBottom w:val="0"/>
          <w:divBdr>
            <w:top w:val="none" w:sz="0" w:space="0" w:color="auto"/>
            <w:left w:val="none" w:sz="0" w:space="0" w:color="auto"/>
            <w:bottom w:val="none" w:sz="0" w:space="0" w:color="auto"/>
            <w:right w:val="none" w:sz="0" w:space="0" w:color="auto"/>
          </w:divBdr>
        </w:div>
        <w:div w:id="1345551987">
          <w:marLeft w:val="0"/>
          <w:marRight w:val="0"/>
          <w:marTop w:val="0"/>
          <w:marBottom w:val="0"/>
          <w:divBdr>
            <w:top w:val="none" w:sz="0" w:space="0" w:color="auto"/>
            <w:left w:val="none" w:sz="0" w:space="0" w:color="auto"/>
            <w:bottom w:val="none" w:sz="0" w:space="0" w:color="auto"/>
            <w:right w:val="none" w:sz="0" w:space="0" w:color="auto"/>
          </w:divBdr>
        </w:div>
      </w:divsChild>
    </w:div>
    <w:div w:id="187574074">
      <w:bodyDiv w:val="1"/>
      <w:marLeft w:val="0"/>
      <w:marRight w:val="0"/>
      <w:marTop w:val="0"/>
      <w:marBottom w:val="0"/>
      <w:divBdr>
        <w:top w:val="none" w:sz="0" w:space="0" w:color="auto"/>
        <w:left w:val="none" w:sz="0" w:space="0" w:color="auto"/>
        <w:bottom w:val="none" w:sz="0" w:space="0" w:color="auto"/>
        <w:right w:val="none" w:sz="0" w:space="0" w:color="auto"/>
      </w:divBdr>
    </w:div>
    <w:div w:id="390883183">
      <w:bodyDiv w:val="1"/>
      <w:marLeft w:val="0"/>
      <w:marRight w:val="0"/>
      <w:marTop w:val="0"/>
      <w:marBottom w:val="0"/>
      <w:divBdr>
        <w:top w:val="none" w:sz="0" w:space="0" w:color="auto"/>
        <w:left w:val="none" w:sz="0" w:space="0" w:color="auto"/>
        <w:bottom w:val="none" w:sz="0" w:space="0" w:color="auto"/>
        <w:right w:val="none" w:sz="0" w:space="0" w:color="auto"/>
      </w:divBdr>
    </w:div>
    <w:div w:id="762651533">
      <w:bodyDiv w:val="1"/>
      <w:marLeft w:val="0"/>
      <w:marRight w:val="0"/>
      <w:marTop w:val="0"/>
      <w:marBottom w:val="0"/>
      <w:divBdr>
        <w:top w:val="none" w:sz="0" w:space="0" w:color="auto"/>
        <w:left w:val="none" w:sz="0" w:space="0" w:color="auto"/>
        <w:bottom w:val="none" w:sz="0" w:space="0" w:color="auto"/>
        <w:right w:val="none" w:sz="0" w:space="0" w:color="auto"/>
      </w:divBdr>
    </w:div>
    <w:div w:id="869537990">
      <w:bodyDiv w:val="1"/>
      <w:marLeft w:val="0"/>
      <w:marRight w:val="0"/>
      <w:marTop w:val="0"/>
      <w:marBottom w:val="0"/>
      <w:divBdr>
        <w:top w:val="none" w:sz="0" w:space="0" w:color="auto"/>
        <w:left w:val="none" w:sz="0" w:space="0" w:color="auto"/>
        <w:bottom w:val="none" w:sz="0" w:space="0" w:color="auto"/>
        <w:right w:val="none" w:sz="0" w:space="0" w:color="auto"/>
      </w:divBdr>
    </w:div>
    <w:div w:id="887450531">
      <w:bodyDiv w:val="1"/>
      <w:marLeft w:val="0"/>
      <w:marRight w:val="0"/>
      <w:marTop w:val="0"/>
      <w:marBottom w:val="0"/>
      <w:divBdr>
        <w:top w:val="none" w:sz="0" w:space="0" w:color="auto"/>
        <w:left w:val="none" w:sz="0" w:space="0" w:color="auto"/>
        <w:bottom w:val="none" w:sz="0" w:space="0" w:color="auto"/>
        <w:right w:val="none" w:sz="0" w:space="0" w:color="auto"/>
      </w:divBdr>
    </w:div>
    <w:div w:id="999698614">
      <w:bodyDiv w:val="1"/>
      <w:marLeft w:val="0"/>
      <w:marRight w:val="0"/>
      <w:marTop w:val="0"/>
      <w:marBottom w:val="0"/>
      <w:divBdr>
        <w:top w:val="none" w:sz="0" w:space="0" w:color="auto"/>
        <w:left w:val="none" w:sz="0" w:space="0" w:color="auto"/>
        <w:bottom w:val="none" w:sz="0" w:space="0" w:color="auto"/>
        <w:right w:val="none" w:sz="0" w:space="0" w:color="auto"/>
      </w:divBdr>
    </w:div>
    <w:div w:id="1131289369">
      <w:bodyDiv w:val="1"/>
      <w:marLeft w:val="0"/>
      <w:marRight w:val="0"/>
      <w:marTop w:val="0"/>
      <w:marBottom w:val="0"/>
      <w:divBdr>
        <w:top w:val="none" w:sz="0" w:space="0" w:color="auto"/>
        <w:left w:val="none" w:sz="0" w:space="0" w:color="auto"/>
        <w:bottom w:val="none" w:sz="0" w:space="0" w:color="auto"/>
        <w:right w:val="none" w:sz="0" w:space="0" w:color="auto"/>
      </w:divBdr>
    </w:div>
    <w:div w:id="13699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3F846-ED58-4D7E-BDE6-1D97F4E1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Submission to the Family Violence Reform Implementation Monitor 2020</vt:lpstr>
    </vt:vector>
  </TitlesOfParts>
  <Company>Victoria Legal Aid</Company>
  <LinksUpToDate>false</LinksUpToDate>
  <CharactersWithSpaces>45363</CharactersWithSpaces>
  <SharedDoc>false</SharedDoc>
  <HLinks>
    <vt:vector size="126" baseType="variant">
      <vt:variant>
        <vt:i4>1048627</vt:i4>
      </vt:variant>
      <vt:variant>
        <vt:i4>122</vt:i4>
      </vt:variant>
      <vt:variant>
        <vt:i4>0</vt:i4>
      </vt:variant>
      <vt:variant>
        <vt:i4>5</vt:i4>
      </vt:variant>
      <vt:variant>
        <vt:lpwstr/>
      </vt:variant>
      <vt:variant>
        <vt:lpwstr>_Toc46146207</vt:lpwstr>
      </vt:variant>
      <vt:variant>
        <vt:i4>1114163</vt:i4>
      </vt:variant>
      <vt:variant>
        <vt:i4>116</vt:i4>
      </vt:variant>
      <vt:variant>
        <vt:i4>0</vt:i4>
      </vt:variant>
      <vt:variant>
        <vt:i4>5</vt:i4>
      </vt:variant>
      <vt:variant>
        <vt:lpwstr/>
      </vt:variant>
      <vt:variant>
        <vt:lpwstr>_Toc46146206</vt:lpwstr>
      </vt:variant>
      <vt:variant>
        <vt:i4>1179699</vt:i4>
      </vt:variant>
      <vt:variant>
        <vt:i4>110</vt:i4>
      </vt:variant>
      <vt:variant>
        <vt:i4>0</vt:i4>
      </vt:variant>
      <vt:variant>
        <vt:i4>5</vt:i4>
      </vt:variant>
      <vt:variant>
        <vt:lpwstr/>
      </vt:variant>
      <vt:variant>
        <vt:lpwstr>_Toc46146205</vt:lpwstr>
      </vt:variant>
      <vt:variant>
        <vt:i4>1245235</vt:i4>
      </vt:variant>
      <vt:variant>
        <vt:i4>104</vt:i4>
      </vt:variant>
      <vt:variant>
        <vt:i4>0</vt:i4>
      </vt:variant>
      <vt:variant>
        <vt:i4>5</vt:i4>
      </vt:variant>
      <vt:variant>
        <vt:lpwstr/>
      </vt:variant>
      <vt:variant>
        <vt:lpwstr>_Toc46146204</vt:lpwstr>
      </vt:variant>
      <vt:variant>
        <vt:i4>1310771</vt:i4>
      </vt:variant>
      <vt:variant>
        <vt:i4>98</vt:i4>
      </vt:variant>
      <vt:variant>
        <vt:i4>0</vt:i4>
      </vt:variant>
      <vt:variant>
        <vt:i4>5</vt:i4>
      </vt:variant>
      <vt:variant>
        <vt:lpwstr/>
      </vt:variant>
      <vt:variant>
        <vt:lpwstr>_Toc46146203</vt:lpwstr>
      </vt:variant>
      <vt:variant>
        <vt:i4>1376307</vt:i4>
      </vt:variant>
      <vt:variant>
        <vt:i4>92</vt:i4>
      </vt:variant>
      <vt:variant>
        <vt:i4>0</vt:i4>
      </vt:variant>
      <vt:variant>
        <vt:i4>5</vt:i4>
      </vt:variant>
      <vt:variant>
        <vt:lpwstr/>
      </vt:variant>
      <vt:variant>
        <vt:lpwstr>_Toc46146202</vt:lpwstr>
      </vt:variant>
      <vt:variant>
        <vt:i4>1441843</vt:i4>
      </vt:variant>
      <vt:variant>
        <vt:i4>86</vt:i4>
      </vt:variant>
      <vt:variant>
        <vt:i4>0</vt:i4>
      </vt:variant>
      <vt:variant>
        <vt:i4>5</vt:i4>
      </vt:variant>
      <vt:variant>
        <vt:lpwstr/>
      </vt:variant>
      <vt:variant>
        <vt:lpwstr>_Toc46146201</vt:lpwstr>
      </vt:variant>
      <vt:variant>
        <vt:i4>1507379</vt:i4>
      </vt:variant>
      <vt:variant>
        <vt:i4>80</vt:i4>
      </vt:variant>
      <vt:variant>
        <vt:i4>0</vt:i4>
      </vt:variant>
      <vt:variant>
        <vt:i4>5</vt:i4>
      </vt:variant>
      <vt:variant>
        <vt:lpwstr/>
      </vt:variant>
      <vt:variant>
        <vt:lpwstr>_Toc46146200</vt:lpwstr>
      </vt:variant>
      <vt:variant>
        <vt:i4>1900602</vt:i4>
      </vt:variant>
      <vt:variant>
        <vt:i4>74</vt:i4>
      </vt:variant>
      <vt:variant>
        <vt:i4>0</vt:i4>
      </vt:variant>
      <vt:variant>
        <vt:i4>5</vt:i4>
      </vt:variant>
      <vt:variant>
        <vt:lpwstr/>
      </vt:variant>
      <vt:variant>
        <vt:lpwstr>_Toc46146199</vt:lpwstr>
      </vt:variant>
      <vt:variant>
        <vt:i4>1835066</vt:i4>
      </vt:variant>
      <vt:variant>
        <vt:i4>68</vt:i4>
      </vt:variant>
      <vt:variant>
        <vt:i4>0</vt:i4>
      </vt:variant>
      <vt:variant>
        <vt:i4>5</vt:i4>
      </vt:variant>
      <vt:variant>
        <vt:lpwstr/>
      </vt:variant>
      <vt:variant>
        <vt:lpwstr>_Toc46146198</vt:lpwstr>
      </vt:variant>
      <vt:variant>
        <vt:i4>1245242</vt:i4>
      </vt:variant>
      <vt:variant>
        <vt:i4>62</vt:i4>
      </vt:variant>
      <vt:variant>
        <vt:i4>0</vt:i4>
      </vt:variant>
      <vt:variant>
        <vt:i4>5</vt:i4>
      </vt:variant>
      <vt:variant>
        <vt:lpwstr/>
      </vt:variant>
      <vt:variant>
        <vt:lpwstr>_Toc46146197</vt:lpwstr>
      </vt:variant>
      <vt:variant>
        <vt:i4>1179706</vt:i4>
      </vt:variant>
      <vt:variant>
        <vt:i4>56</vt:i4>
      </vt:variant>
      <vt:variant>
        <vt:i4>0</vt:i4>
      </vt:variant>
      <vt:variant>
        <vt:i4>5</vt:i4>
      </vt:variant>
      <vt:variant>
        <vt:lpwstr/>
      </vt:variant>
      <vt:variant>
        <vt:lpwstr>_Toc46146196</vt:lpwstr>
      </vt:variant>
      <vt:variant>
        <vt:i4>1114170</vt:i4>
      </vt:variant>
      <vt:variant>
        <vt:i4>50</vt:i4>
      </vt:variant>
      <vt:variant>
        <vt:i4>0</vt:i4>
      </vt:variant>
      <vt:variant>
        <vt:i4>5</vt:i4>
      </vt:variant>
      <vt:variant>
        <vt:lpwstr/>
      </vt:variant>
      <vt:variant>
        <vt:lpwstr>_Toc46146195</vt:lpwstr>
      </vt:variant>
      <vt:variant>
        <vt:i4>1048634</vt:i4>
      </vt:variant>
      <vt:variant>
        <vt:i4>44</vt:i4>
      </vt:variant>
      <vt:variant>
        <vt:i4>0</vt:i4>
      </vt:variant>
      <vt:variant>
        <vt:i4>5</vt:i4>
      </vt:variant>
      <vt:variant>
        <vt:lpwstr/>
      </vt:variant>
      <vt:variant>
        <vt:lpwstr>_Toc46146194</vt:lpwstr>
      </vt:variant>
      <vt:variant>
        <vt:i4>1507386</vt:i4>
      </vt:variant>
      <vt:variant>
        <vt:i4>38</vt:i4>
      </vt:variant>
      <vt:variant>
        <vt:i4>0</vt:i4>
      </vt:variant>
      <vt:variant>
        <vt:i4>5</vt:i4>
      </vt:variant>
      <vt:variant>
        <vt:lpwstr/>
      </vt:variant>
      <vt:variant>
        <vt:lpwstr>_Toc46146193</vt:lpwstr>
      </vt:variant>
      <vt:variant>
        <vt:i4>1441850</vt:i4>
      </vt:variant>
      <vt:variant>
        <vt:i4>32</vt:i4>
      </vt:variant>
      <vt:variant>
        <vt:i4>0</vt:i4>
      </vt:variant>
      <vt:variant>
        <vt:i4>5</vt:i4>
      </vt:variant>
      <vt:variant>
        <vt:lpwstr/>
      </vt:variant>
      <vt:variant>
        <vt:lpwstr>_Toc46146192</vt:lpwstr>
      </vt:variant>
      <vt:variant>
        <vt:i4>1376314</vt:i4>
      </vt:variant>
      <vt:variant>
        <vt:i4>26</vt:i4>
      </vt:variant>
      <vt:variant>
        <vt:i4>0</vt:i4>
      </vt:variant>
      <vt:variant>
        <vt:i4>5</vt:i4>
      </vt:variant>
      <vt:variant>
        <vt:lpwstr/>
      </vt:variant>
      <vt:variant>
        <vt:lpwstr>_Toc46146191</vt:lpwstr>
      </vt:variant>
      <vt:variant>
        <vt:i4>1310778</vt:i4>
      </vt:variant>
      <vt:variant>
        <vt:i4>20</vt:i4>
      </vt:variant>
      <vt:variant>
        <vt:i4>0</vt:i4>
      </vt:variant>
      <vt:variant>
        <vt:i4>5</vt:i4>
      </vt:variant>
      <vt:variant>
        <vt:lpwstr/>
      </vt:variant>
      <vt:variant>
        <vt:lpwstr>_Toc46146190</vt:lpwstr>
      </vt:variant>
      <vt:variant>
        <vt:i4>1900603</vt:i4>
      </vt:variant>
      <vt:variant>
        <vt:i4>14</vt:i4>
      </vt:variant>
      <vt:variant>
        <vt:i4>0</vt:i4>
      </vt:variant>
      <vt:variant>
        <vt:i4>5</vt:i4>
      </vt:variant>
      <vt:variant>
        <vt:lpwstr/>
      </vt:variant>
      <vt:variant>
        <vt:lpwstr>_Toc46146189</vt:lpwstr>
      </vt:variant>
      <vt:variant>
        <vt:i4>1835067</vt:i4>
      </vt:variant>
      <vt:variant>
        <vt:i4>8</vt:i4>
      </vt:variant>
      <vt:variant>
        <vt:i4>0</vt:i4>
      </vt:variant>
      <vt:variant>
        <vt:i4>5</vt:i4>
      </vt:variant>
      <vt:variant>
        <vt:lpwstr/>
      </vt:variant>
      <vt:variant>
        <vt:lpwstr>_Toc46146188</vt:lpwstr>
      </vt:variant>
      <vt:variant>
        <vt:i4>1245243</vt:i4>
      </vt:variant>
      <vt:variant>
        <vt:i4>2</vt:i4>
      </vt:variant>
      <vt:variant>
        <vt:i4>0</vt:i4>
      </vt:variant>
      <vt:variant>
        <vt:i4>5</vt:i4>
      </vt:variant>
      <vt:variant>
        <vt:lpwstr/>
      </vt:variant>
      <vt:variant>
        <vt:lpwstr>_Toc46146187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Family Violence Reform Implementation Monitor 2020</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ContentTypeId">
    <vt:lpwstr>0x010100DD5FC5CE2752FA41920251BB74C76F19</vt:lpwstr>
  </op:property>
  <op:property fmtid="{D5CDD505-2E9C-101B-9397-08002B2CF9AE}" pid="4" name="_MarkAsFinal">
    <vt:bool>true</vt:bool>
  </op:property>
</op:Properties>
</file>