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413F" w14:textId="77777777" w:rsidR="00BF364D" w:rsidRPr="002F53CF" w:rsidRDefault="00BF364D" w:rsidP="00BF364D">
      <w:pPr>
        <w:pStyle w:val="Default"/>
        <w:rPr>
          <w:rFonts w:eastAsia="Times New Roman"/>
          <w:b/>
          <w:bCs/>
          <w:color w:val="971A4B"/>
          <w:kern w:val="28"/>
          <w:sz w:val="36"/>
          <w:szCs w:val="32"/>
        </w:rPr>
      </w:pPr>
      <w:bookmarkStart w:id="0" w:name="_GoBack"/>
      <w:bookmarkEnd w:id="0"/>
    </w:p>
    <w:p w14:paraId="43178A33" w14:textId="6EDAE27E" w:rsidR="00E6688C" w:rsidRPr="002F53CF" w:rsidRDefault="0017556A" w:rsidP="00406307">
      <w:pPr>
        <w:pStyle w:val="Default"/>
        <w:spacing w:before="2000"/>
        <w:rPr>
          <w:rFonts w:eastAsia="Times New Roman"/>
          <w:b/>
          <w:bCs/>
          <w:color w:val="971A4B"/>
          <w:kern w:val="28"/>
          <w:sz w:val="36"/>
          <w:szCs w:val="32"/>
        </w:rPr>
      </w:pPr>
      <w:r w:rsidRPr="002F53CF">
        <w:rPr>
          <w:rFonts w:eastAsia="Times New Roman"/>
          <w:b/>
          <w:bCs/>
          <w:color w:val="971A4B"/>
          <w:kern w:val="28"/>
          <w:sz w:val="36"/>
          <w:szCs w:val="32"/>
        </w:rPr>
        <w:t xml:space="preserve">Submission to </w:t>
      </w:r>
      <w:bookmarkStart w:id="1" w:name="_Hlk23968791"/>
      <w:r w:rsidR="00BF364D" w:rsidRPr="002F53CF">
        <w:rPr>
          <w:rFonts w:eastAsia="Times New Roman"/>
          <w:b/>
          <w:bCs/>
          <w:color w:val="971A4B"/>
          <w:kern w:val="28"/>
          <w:sz w:val="36"/>
          <w:szCs w:val="32"/>
        </w:rPr>
        <w:t>the Commission for Children and Young People’s</w:t>
      </w:r>
      <w:r w:rsidRPr="002F53CF">
        <w:rPr>
          <w:rFonts w:eastAsia="Times New Roman"/>
          <w:b/>
          <w:bCs/>
          <w:color w:val="971A4B"/>
          <w:kern w:val="28"/>
          <w:sz w:val="36"/>
          <w:szCs w:val="32"/>
        </w:rPr>
        <w:t xml:space="preserve"> Inquiry into the overrepresentation of Aboriginal children and young people in youth justice</w:t>
      </w:r>
      <w:bookmarkEnd w:id="1"/>
      <w:r w:rsidR="00BF364D" w:rsidRPr="002F53CF">
        <w:rPr>
          <w:rFonts w:eastAsia="Times New Roman"/>
          <w:b/>
          <w:bCs/>
          <w:color w:val="971A4B"/>
          <w:kern w:val="28"/>
          <w:sz w:val="36"/>
          <w:szCs w:val="32"/>
        </w:rPr>
        <w:t xml:space="preserve">: </w:t>
      </w:r>
      <w:r w:rsidR="00BF364D" w:rsidRPr="002F53CF">
        <w:rPr>
          <w:rFonts w:eastAsia="Times New Roman"/>
          <w:b/>
          <w:bCs/>
          <w:i/>
          <w:iCs/>
          <w:color w:val="971A4B"/>
          <w:kern w:val="28"/>
          <w:sz w:val="36"/>
          <w:szCs w:val="32"/>
        </w:rPr>
        <w:t>Our Youth, Our Way</w:t>
      </w:r>
    </w:p>
    <w:p w14:paraId="50014417" w14:textId="77777777" w:rsidR="00BF364D" w:rsidRPr="002F53CF" w:rsidRDefault="00BF364D" w:rsidP="00E6688C">
      <w:pPr>
        <w:pStyle w:val="VLAdate"/>
        <w:rPr>
          <w:b/>
          <w:bCs w:val="0"/>
        </w:rPr>
      </w:pPr>
    </w:p>
    <w:p w14:paraId="7DAA09D4" w14:textId="6533AB25" w:rsidR="00E6688C" w:rsidRPr="002F53CF" w:rsidRDefault="0051395A" w:rsidP="00E6688C">
      <w:pPr>
        <w:pStyle w:val="VLAdate"/>
        <w:rPr>
          <w:sz w:val="26"/>
          <w:szCs w:val="30"/>
        </w:rPr>
      </w:pPr>
      <w:r>
        <w:rPr>
          <w:sz w:val="26"/>
          <w:szCs w:val="30"/>
        </w:rPr>
        <w:t>1</w:t>
      </w:r>
      <w:r w:rsidR="00A741D9">
        <w:rPr>
          <w:sz w:val="26"/>
          <w:szCs w:val="30"/>
        </w:rPr>
        <w:t>5</w:t>
      </w:r>
      <w:r w:rsidRPr="002F53CF">
        <w:rPr>
          <w:sz w:val="26"/>
          <w:szCs w:val="30"/>
        </w:rPr>
        <w:t xml:space="preserve"> </w:t>
      </w:r>
      <w:r w:rsidR="00632BC6" w:rsidRPr="002F53CF">
        <w:rPr>
          <w:sz w:val="26"/>
          <w:szCs w:val="30"/>
        </w:rPr>
        <w:t>November</w:t>
      </w:r>
      <w:r w:rsidR="0017556A" w:rsidRPr="002F53CF">
        <w:rPr>
          <w:sz w:val="26"/>
          <w:szCs w:val="30"/>
        </w:rPr>
        <w:t xml:space="preserve"> 2019 </w:t>
      </w:r>
    </w:p>
    <w:p w14:paraId="7F481381" w14:textId="77777777" w:rsidR="00CC0C03" w:rsidRPr="002F53CF" w:rsidRDefault="00CC0C03" w:rsidP="00CC0C03"/>
    <w:p w14:paraId="0B21480F" w14:textId="77777777" w:rsidR="00853BDA" w:rsidRPr="002F53CF" w:rsidRDefault="00853BDA" w:rsidP="00946548">
      <w:pPr>
        <w:sectPr w:rsidR="00853BDA" w:rsidRPr="002F53CF" w:rsidSect="00632BC6">
          <w:headerReference w:type="even" r:id="rId11"/>
          <w:headerReference w:type="default" r:id="rId12"/>
          <w:footerReference w:type="default" r:id="rId13"/>
          <w:headerReference w:type="first" r:id="rId14"/>
          <w:footerReference w:type="first" r:id="rId15"/>
          <w:type w:val="oddPage"/>
          <w:pgSz w:w="11906" w:h="16838" w:code="9"/>
          <w:pgMar w:top="1418" w:right="992" w:bottom="1134" w:left="1134" w:header="851" w:footer="1701" w:gutter="0"/>
          <w:paperSrc w:first="7" w:other="7"/>
          <w:cols w:space="720"/>
          <w:titlePg/>
          <w:docGrid w:linePitch="299"/>
        </w:sectPr>
      </w:pPr>
    </w:p>
    <w:p w14:paraId="60141AD1" w14:textId="77777777" w:rsidR="00696BAC" w:rsidRPr="002F53CF" w:rsidRDefault="00696BAC" w:rsidP="002A7402">
      <w:pPr>
        <w:pStyle w:val="Confidentialityclause"/>
        <w:rPr>
          <w:bCs w:val="0"/>
        </w:rPr>
      </w:pPr>
    </w:p>
    <w:p w14:paraId="39131187" w14:textId="77777777" w:rsidR="002B4970" w:rsidRPr="002F53CF" w:rsidRDefault="002B4970" w:rsidP="0056464E">
      <w:pPr>
        <w:pStyle w:val="Contents"/>
      </w:pPr>
      <w:r w:rsidRPr="002F53CF">
        <w:t>Contents</w:t>
      </w:r>
    </w:p>
    <w:p w14:paraId="42E80241" w14:textId="3FCA9300" w:rsidR="00C86C2A" w:rsidRPr="002F53CF" w:rsidRDefault="00C86C2A" w:rsidP="00986654">
      <w:pPr>
        <w:pStyle w:val="TOC1"/>
        <w:spacing w:before="120"/>
        <w:rPr>
          <w:noProof/>
          <w:webHidden/>
        </w:rPr>
      </w:pPr>
      <w:r w:rsidRPr="002F53CF">
        <w:rPr>
          <w:noProof/>
        </w:rPr>
        <w:t>Summary</w:t>
      </w:r>
      <w:r w:rsidR="00986654" w:rsidRPr="002F53CF">
        <w:rPr>
          <w:noProof/>
        </w:rPr>
        <w:t xml:space="preserve"> of recommendations</w:t>
      </w:r>
      <w:r w:rsidRPr="002F53CF">
        <w:rPr>
          <w:noProof/>
          <w:webHidden/>
        </w:rPr>
        <w:tab/>
      </w:r>
      <w:r w:rsidRPr="002F53CF">
        <w:rPr>
          <w:noProof/>
          <w:webHidden/>
        </w:rPr>
        <w:fldChar w:fldCharType="begin"/>
      </w:r>
      <w:r w:rsidRPr="002F53CF">
        <w:rPr>
          <w:noProof/>
          <w:webHidden/>
        </w:rPr>
        <w:instrText xml:space="preserve"> PAGEREF _Toc354042749 \h </w:instrText>
      </w:r>
      <w:r w:rsidRPr="002F53CF">
        <w:rPr>
          <w:noProof/>
          <w:webHidden/>
        </w:rPr>
      </w:r>
      <w:r w:rsidRPr="002F53CF">
        <w:rPr>
          <w:noProof/>
          <w:webHidden/>
        </w:rPr>
        <w:fldChar w:fldCharType="separate"/>
      </w:r>
      <w:r w:rsidR="0048721F">
        <w:rPr>
          <w:noProof/>
          <w:webHidden/>
        </w:rPr>
        <w:t>1</w:t>
      </w:r>
      <w:r w:rsidRPr="002F53CF">
        <w:rPr>
          <w:noProof/>
          <w:webHidden/>
        </w:rPr>
        <w:fldChar w:fldCharType="end"/>
      </w:r>
    </w:p>
    <w:p w14:paraId="0F19A905" w14:textId="3FDEC1A2" w:rsidR="00986654" w:rsidRPr="002F53CF" w:rsidRDefault="00986654" w:rsidP="00986654">
      <w:pPr>
        <w:pStyle w:val="TOC1"/>
        <w:spacing w:before="120"/>
        <w:rPr>
          <w:noProof/>
          <w:webHidden/>
        </w:rPr>
      </w:pPr>
      <w:r w:rsidRPr="002F53CF">
        <w:rPr>
          <w:noProof/>
        </w:rPr>
        <w:t>Acknowledgement</w:t>
      </w:r>
      <w:r w:rsidRPr="002F53CF">
        <w:rPr>
          <w:noProof/>
          <w:webHidden/>
        </w:rPr>
        <w:tab/>
        <w:t>2</w:t>
      </w:r>
    </w:p>
    <w:p w14:paraId="75139BDF" w14:textId="1CE505C3" w:rsidR="00AD21A9" w:rsidRDefault="004E0688">
      <w:pPr>
        <w:pStyle w:val="TOC1"/>
        <w:rPr>
          <w:rFonts w:asciiTheme="minorHAnsi" w:eastAsiaTheme="minorEastAsia" w:hAnsiTheme="minorHAnsi" w:cstheme="minorBidi"/>
          <w:b w:val="0"/>
          <w:noProof/>
          <w:sz w:val="22"/>
          <w:szCs w:val="22"/>
          <w:lang w:eastAsia="en-AU"/>
        </w:rPr>
      </w:pPr>
      <w:r w:rsidRPr="002F53CF">
        <w:fldChar w:fldCharType="begin"/>
      </w:r>
      <w:r w:rsidRPr="002F53CF">
        <w:instrText xml:space="preserve"> TOC \h \z \t "Heading 1,1,Heading 2,2,Heading 3,3,Appendix,1" </w:instrText>
      </w:r>
      <w:r w:rsidRPr="002F53CF">
        <w:fldChar w:fldCharType="separate"/>
      </w:r>
      <w:hyperlink w:anchor="_Toc25238906" w:history="1">
        <w:r w:rsidR="00AD21A9" w:rsidRPr="008217CB">
          <w:rPr>
            <w:rStyle w:val="Hyperlink"/>
            <w:noProof/>
          </w:rPr>
          <w:t>1.</w:t>
        </w:r>
        <w:r w:rsidR="00AD21A9">
          <w:rPr>
            <w:rFonts w:asciiTheme="minorHAnsi" w:eastAsiaTheme="minorEastAsia" w:hAnsiTheme="minorHAnsi" w:cstheme="minorBidi"/>
            <w:b w:val="0"/>
            <w:noProof/>
            <w:sz w:val="22"/>
            <w:szCs w:val="22"/>
            <w:lang w:eastAsia="en-AU"/>
          </w:rPr>
          <w:tab/>
        </w:r>
        <w:r w:rsidR="00AD21A9" w:rsidRPr="008217CB">
          <w:rPr>
            <w:rStyle w:val="Hyperlink"/>
            <w:noProof/>
          </w:rPr>
          <w:t>Introduction</w:t>
        </w:r>
        <w:r w:rsidR="00AD21A9">
          <w:rPr>
            <w:noProof/>
            <w:webHidden/>
          </w:rPr>
          <w:tab/>
        </w:r>
        <w:r w:rsidR="00AD21A9">
          <w:rPr>
            <w:noProof/>
            <w:webHidden/>
          </w:rPr>
          <w:fldChar w:fldCharType="begin"/>
        </w:r>
        <w:r w:rsidR="00AD21A9">
          <w:rPr>
            <w:noProof/>
            <w:webHidden/>
          </w:rPr>
          <w:instrText xml:space="preserve"> PAGEREF _Toc25238906 \h </w:instrText>
        </w:r>
        <w:r w:rsidR="00AD21A9">
          <w:rPr>
            <w:noProof/>
            <w:webHidden/>
          </w:rPr>
        </w:r>
        <w:r w:rsidR="00AD21A9">
          <w:rPr>
            <w:noProof/>
            <w:webHidden/>
          </w:rPr>
          <w:fldChar w:fldCharType="separate"/>
        </w:r>
        <w:r w:rsidR="00AD21A9">
          <w:rPr>
            <w:noProof/>
            <w:webHidden/>
          </w:rPr>
          <w:t>2</w:t>
        </w:r>
        <w:r w:rsidR="00AD21A9">
          <w:rPr>
            <w:noProof/>
            <w:webHidden/>
          </w:rPr>
          <w:fldChar w:fldCharType="end"/>
        </w:r>
      </w:hyperlink>
    </w:p>
    <w:p w14:paraId="0C4FB533" w14:textId="31E1E2C1"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07" w:history="1">
        <w:r w:rsidRPr="008217CB">
          <w:rPr>
            <w:rStyle w:val="Hyperlink"/>
          </w:rPr>
          <w:t>1.1.</w:t>
        </w:r>
        <w:r>
          <w:rPr>
            <w:rFonts w:asciiTheme="minorHAnsi" w:eastAsiaTheme="minorEastAsia" w:hAnsiTheme="minorHAnsi" w:cstheme="minorBidi"/>
            <w:sz w:val="22"/>
            <w:szCs w:val="22"/>
            <w:lang w:eastAsia="en-AU"/>
          </w:rPr>
          <w:tab/>
        </w:r>
        <w:r w:rsidRPr="008217CB">
          <w:rPr>
            <w:rStyle w:val="Hyperlink"/>
          </w:rPr>
          <w:t>Overview of the submission</w:t>
        </w:r>
        <w:r>
          <w:rPr>
            <w:webHidden/>
          </w:rPr>
          <w:tab/>
        </w:r>
        <w:r>
          <w:rPr>
            <w:webHidden/>
          </w:rPr>
          <w:fldChar w:fldCharType="begin"/>
        </w:r>
        <w:r>
          <w:rPr>
            <w:webHidden/>
          </w:rPr>
          <w:instrText xml:space="preserve"> PAGEREF _Toc25238907 \h </w:instrText>
        </w:r>
        <w:r>
          <w:rPr>
            <w:webHidden/>
          </w:rPr>
        </w:r>
        <w:r>
          <w:rPr>
            <w:webHidden/>
          </w:rPr>
          <w:fldChar w:fldCharType="separate"/>
        </w:r>
        <w:r>
          <w:rPr>
            <w:webHidden/>
          </w:rPr>
          <w:t>2</w:t>
        </w:r>
        <w:r>
          <w:rPr>
            <w:webHidden/>
          </w:rPr>
          <w:fldChar w:fldCharType="end"/>
        </w:r>
      </w:hyperlink>
    </w:p>
    <w:p w14:paraId="68E70A51" w14:textId="092CFEE7"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08" w:history="1">
        <w:r w:rsidRPr="008217CB">
          <w:rPr>
            <w:rStyle w:val="Hyperlink"/>
          </w:rPr>
          <w:t>1.2.</w:t>
        </w:r>
        <w:r>
          <w:rPr>
            <w:rFonts w:asciiTheme="minorHAnsi" w:eastAsiaTheme="minorEastAsia" w:hAnsiTheme="minorHAnsi" w:cstheme="minorBidi"/>
            <w:sz w:val="22"/>
            <w:szCs w:val="22"/>
            <w:lang w:eastAsia="en-AU"/>
          </w:rPr>
          <w:tab/>
        </w:r>
        <w:r w:rsidRPr="008217CB">
          <w:rPr>
            <w:rStyle w:val="Hyperlink"/>
          </w:rPr>
          <w:t>About Victoria legal Aid</w:t>
        </w:r>
        <w:r>
          <w:rPr>
            <w:webHidden/>
          </w:rPr>
          <w:tab/>
        </w:r>
        <w:r>
          <w:rPr>
            <w:webHidden/>
          </w:rPr>
          <w:fldChar w:fldCharType="begin"/>
        </w:r>
        <w:r>
          <w:rPr>
            <w:webHidden/>
          </w:rPr>
          <w:instrText xml:space="preserve"> PAGEREF _Toc25238908 \h </w:instrText>
        </w:r>
        <w:r>
          <w:rPr>
            <w:webHidden/>
          </w:rPr>
        </w:r>
        <w:r>
          <w:rPr>
            <w:webHidden/>
          </w:rPr>
          <w:fldChar w:fldCharType="separate"/>
        </w:r>
        <w:r>
          <w:rPr>
            <w:webHidden/>
          </w:rPr>
          <w:t>2</w:t>
        </w:r>
        <w:r>
          <w:rPr>
            <w:webHidden/>
          </w:rPr>
          <w:fldChar w:fldCharType="end"/>
        </w:r>
      </w:hyperlink>
    </w:p>
    <w:p w14:paraId="0283A663" w14:textId="692911C8"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09" w:history="1">
        <w:r w:rsidRPr="008217CB">
          <w:rPr>
            <w:rStyle w:val="Hyperlink"/>
          </w:rPr>
          <w:t>1.3.</w:t>
        </w:r>
        <w:r>
          <w:rPr>
            <w:rFonts w:asciiTheme="minorHAnsi" w:eastAsiaTheme="minorEastAsia" w:hAnsiTheme="minorHAnsi" w:cstheme="minorBidi"/>
            <w:sz w:val="22"/>
            <w:szCs w:val="22"/>
            <w:lang w:eastAsia="en-AU"/>
          </w:rPr>
          <w:tab/>
        </w:r>
        <w:r w:rsidRPr="008217CB">
          <w:rPr>
            <w:rStyle w:val="Hyperlink"/>
          </w:rPr>
          <w:t>Our crime and family services</w:t>
        </w:r>
        <w:r>
          <w:rPr>
            <w:webHidden/>
          </w:rPr>
          <w:tab/>
        </w:r>
        <w:r>
          <w:rPr>
            <w:webHidden/>
          </w:rPr>
          <w:fldChar w:fldCharType="begin"/>
        </w:r>
        <w:r>
          <w:rPr>
            <w:webHidden/>
          </w:rPr>
          <w:instrText xml:space="preserve"> PAGEREF _Toc25238909 \h </w:instrText>
        </w:r>
        <w:r>
          <w:rPr>
            <w:webHidden/>
          </w:rPr>
        </w:r>
        <w:r>
          <w:rPr>
            <w:webHidden/>
          </w:rPr>
          <w:fldChar w:fldCharType="separate"/>
        </w:r>
        <w:r>
          <w:rPr>
            <w:webHidden/>
          </w:rPr>
          <w:t>3</w:t>
        </w:r>
        <w:r>
          <w:rPr>
            <w:webHidden/>
          </w:rPr>
          <w:fldChar w:fldCharType="end"/>
        </w:r>
      </w:hyperlink>
    </w:p>
    <w:p w14:paraId="0F92D918" w14:textId="72A1CC08"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0" w:history="1">
        <w:r w:rsidRPr="008217CB">
          <w:rPr>
            <w:rStyle w:val="Hyperlink"/>
          </w:rPr>
          <w:t>1.4.</w:t>
        </w:r>
        <w:r>
          <w:rPr>
            <w:rFonts w:asciiTheme="minorHAnsi" w:eastAsiaTheme="minorEastAsia" w:hAnsiTheme="minorHAnsi" w:cstheme="minorBidi"/>
            <w:sz w:val="22"/>
            <w:szCs w:val="22"/>
            <w:lang w:eastAsia="en-AU"/>
          </w:rPr>
          <w:tab/>
        </w:r>
        <w:r w:rsidRPr="008217CB">
          <w:rPr>
            <w:rStyle w:val="Hyperlink"/>
          </w:rPr>
          <w:t>Our clients</w:t>
        </w:r>
        <w:r>
          <w:rPr>
            <w:webHidden/>
          </w:rPr>
          <w:tab/>
        </w:r>
        <w:r>
          <w:rPr>
            <w:webHidden/>
          </w:rPr>
          <w:fldChar w:fldCharType="begin"/>
        </w:r>
        <w:r>
          <w:rPr>
            <w:webHidden/>
          </w:rPr>
          <w:instrText xml:space="preserve"> PAGEREF _Toc25238910 \h </w:instrText>
        </w:r>
        <w:r>
          <w:rPr>
            <w:webHidden/>
          </w:rPr>
        </w:r>
        <w:r>
          <w:rPr>
            <w:webHidden/>
          </w:rPr>
          <w:fldChar w:fldCharType="separate"/>
        </w:r>
        <w:r>
          <w:rPr>
            <w:webHidden/>
          </w:rPr>
          <w:t>3</w:t>
        </w:r>
        <w:r>
          <w:rPr>
            <w:webHidden/>
          </w:rPr>
          <w:fldChar w:fldCharType="end"/>
        </w:r>
      </w:hyperlink>
    </w:p>
    <w:p w14:paraId="0F9F18E2" w14:textId="5847ACDD" w:rsidR="00AD21A9" w:rsidRDefault="00AD21A9">
      <w:pPr>
        <w:pStyle w:val="TOC1"/>
        <w:rPr>
          <w:rFonts w:asciiTheme="minorHAnsi" w:eastAsiaTheme="minorEastAsia" w:hAnsiTheme="minorHAnsi" w:cstheme="minorBidi"/>
          <w:b w:val="0"/>
          <w:noProof/>
          <w:sz w:val="22"/>
          <w:szCs w:val="22"/>
          <w:lang w:eastAsia="en-AU"/>
        </w:rPr>
      </w:pPr>
      <w:hyperlink w:anchor="_Toc25238911" w:history="1">
        <w:r w:rsidRPr="008217CB">
          <w:rPr>
            <w:rStyle w:val="Hyperlink"/>
            <w:noProof/>
          </w:rPr>
          <w:t>2.</w:t>
        </w:r>
        <w:r>
          <w:rPr>
            <w:rFonts w:asciiTheme="minorHAnsi" w:eastAsiaTheme="minorEastAsia" w:hAnsiTheme="minorHAnsi" w:cstheme="minorBidi"/>
            <w:b w:val="0"/>
            <w:noProof/>
            <w:sz w:val="22"/>
            <w:szCs w:val="22"/>
            <w:lang w:eastAsia="en-AU"/>
          </w:rPr>
          <w:tab/>
        </w:r>
        <w:r w:rsidRPr="008217CB">
          <w:rPr>
            <w:rStyle w:val="Hyperlink"/>
            <w:noProof/>
          </w:rPr>
          <w:t>Supporting Aboriginal young people to stay out of the youth justice system</w:t>
        </w:r>
        <w:r>
          <w:rPr>
            <w:noProof/>
            <w:webHidden/>
          </w:rPr>
          <w:tab/>
        </w:r>
        <w:r>
          <w:rPr>
            <w:noProof/>
            <w:webHidden/>
          </w:rPr>
          <w:fldChar w:fldCharType="begin"/>
        </w:r>
        <w:r>
          <w:rPr>
            <w:noProof/>
            <w:webHidden/>
          </w:rPr>
          <w:instrText xml:space="preserve"> PAGEREF _Toc25238911 \h </w:instrText>
        </w:r>
        <w:r>
          <w:rPr>
            <w:noProof/>
            <w:webHidden/>
          </w:rPr>
        </w:r>
        <w:r>
          <w:rPr>
            <w:noProof/>
            <w:webHidden/>
          </w:rPr>
          <w:fldChar w:fldCharType="separate"/>
        </w:r>
        <w:r>
          <w:rPr>
            <w:noProof/>
            <w:webHidden/>
          </w:rPr>
          <w:t>4</w:t>
        </w:r>
        <w:r>
          <w:rPr>
            <w:noProof/>
            <w:webHidden/>
          </w:rPr>
          <w:fldChar w:fldCharType="end"/>
        </w:r>
      </w:hyperlink>
    </w:p>
    <w:p w14:paraId="658A5231" w14:textId="20FC83AC"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2" w:history="1">
        <w:r w:rsidRPr="008217CB">
          <w:rPr>
            <w:rStyle w:val="Hyperlink"/>
          </w:rPr>
          <w:t>2.1.</w:t>
        </w:r>
        <w:r>
          <w:rPr>
            <w:rFonts w:asciiTheme="minorHAnsi" w:eastAsiaTheme="minorEastAsia" w:hAnsiTheme="minorHAnsi" w:cstheme="minorBidi"/>
            <w:sz w:val="22"/>
            <w:szCs w:val="22"/>
            <w:lang w:eastAsia="en-AU"/>
          </w:rPr>
          <w:tab/>
        </w:r>
        <w:r w:rsidRPr="008217CB">
          <w:rPr>
            <w:rStyle w:val="Hyperlink"/>
          </w:rPr>
          <w:t>Strengthening Aboriginal families through Aboriginal-led preventative and community initiatives</w:t>
        </w:r>
        <w:r>
          <w:rPr>
            <w:webHidden/>
          </w:rPr>
          <w:tab/>
        </w:r>
        <w:r>
          <w:rPr>
            <w:webHidden/>
          </w:rPr>
          <w:fldChar w:fldCharType="begin"/>
        </w:r>
        <w:r>
          <w:rPr>
            <w:webHidden/>
          </w:rPr>
          <w:instrText xml:space="preserve"> PAGEREF _Toc25238912 \h </w:instrText>
        </w:r>
        <w:r>
          <w:rPr>
            <w:webHidden/>
          </w:rPr>
        </w:r>
        <w:r>
          <w:rPr>
            <w:webHidden/>
          </w:rPr>
          <w:fldChar w:fldCharType="separate"/>
        </w:r>
        <w:r>
          <w:rPr>
            <w:webHidden/>
          </w:rPr>
          <w:t>4</w:t>
        </w:r>
        <w:r>
          <w:rPr>
            <w:webHidden/>
          </w:rPr>
          <w:fldChar w:fldCharType="end"/>
        </w:r>
      </w:hyperlink>
    </w:p>
    <w:p w14:paraId="06801592" w14:textId="62C66394"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3" w:history="1">
        <w:r w:rsidRPr="008217CB">
          <w:rPr>
            <w:rStyle w:val="Hyperlink"/>
          </w:rPr>
          <w:t>2.2.</w:t>
        </w:r>
        <w:r>
          <w:rPr>
            <w:rFonts w:asciiTheme="minorHAnsi" w:eastAsiaTheme="minorEastAsia" w:hAnsiTheme="minorHAnsi" w:cstheme="minorBidi"/>
            <w:sz w:val="22"/>
            <w:szCs w:val="22"/>
            <w:lang w:eastAsia="en-AU"/>
          </w:rPr>
          <w:tab/>
        </w:r>
        <w:r w:rsidRPr="008217CB">
          <w:rPr>
            <w:rStyle w:val="Hyperlink"/>
          </w:rPr>
          <w:t>Compliance with child protection system obligations that support maintenance of connection with Aboriginal culture</w:t>
        </w:r>
        <w:r>
          <w:rPr>
            <w:webHidden/>
          </w:rPr>
          <w:tab/>
        </w:r>
        <w:r>
          <w:rPr>
            <w:webHidden/>
          </w:rPr>
          <w:fldChar w:fldCharType="begin"/>
        </w:r>
        <w:r>
          <w:rPr>
            <w:webHidden/>
          </w:rPr>
          <w:instrText xml:space="preserve"> PAGEREF _Toc25238913 \h </w:instrText>
        </w:r>
        <w:r>
          <w:rPr>
            <w:webHidden/>
          </w:rPr>
        </w:r>
        <w:r>
          <w:rPr>
            <w:webHidden/>
          </w:rPr>
          <w:fldChar w:fldCharType="separate"/>
        </w:r>
        <w:r>
          <w:rPr>
            <w:webHidden/>
          </w:rPr>
          <w:t>7</w:t>
        </w:r>
        <w:r>
          <w:rPr>
            <w:webHidden/>
          </w:rPr>
          <w:fldChar w:fldCharType="end"/>
        </w:r>
      </w:hyperlink>
    </w:p>
    <w:p w14:paraId="7AC82780" w14:textId="1B1DBDD4"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4" w:history="1">
        <w:r w:rsidRPr="008217CB">
          <w:rPr>
            <w:rStyle w:val="Hyperlink"/>
          </w:rPr>
          <w:t>2.3.</w:t>
        </w:r>
        <w:r>
          <w:rPr>
            <w:rFonts w:asciiTheme="minorHAnsi" w:eastAsiaTheme="minorEastAsia" w:hAnsiTheme="minorHAnsi" w:cstheme="minorBidi"/>
            <w:sz w:val="22"/>
            <w:szCs w:val="22"/>
            <w:lang w:eastAsia="en-AU"/>
          </w:rPr>
          <w:tab/>
        </w:r>
        <w:r w:rsidRPr="008217CB">
          <w:rPr>
            <w:rStyle w:val="Hyperlink"/>
          </w:rPr>
          <w:t>Criminalisation of children in residential care placements</w:t>
        </w:r>
        <w:r>
          <w:rPr>
            <w:webHidden/>
          </w:rPr>
          <w:tab/>
        </w:r>
        <w:r>
          <w:rPr>
            <w:webHidden/>
          </w:rPr>
          <w:fldChar w:fldCharType="begin"/>
        </w:r>
        <w:r>
          <w:rPr>
            <w:webHidden/>
          </w:rPr>
          <w:instrText xml:space="preserve"> PAGEREF _Toc25238914 \h </w:instrText>
        </w:r>
        <w:r>
          <w:rPr>
            <w:webHidden/>
          </w:rPr>
        </w:r>
        <w:r>
          <w:rPr>
            <w:webHidden/>
          </w:rPr>
          <w:fldChar w:fldCharType="separate"/>
        </w:r>
        <w:r>
          <w:rPr>
            <w:webHidden/>
          </w:rPr>
          <w:t>7</w:t>
        </w:r>
        <w:r>
          <w:rPr>
            <w:webHidden/>
          </w:rPr>
          <w:fldChar w:fldCharType="end"/>
        </w:r>
      </w:hyperlink>
    </w:p>
    <w:p w14:paraId="6BA052CE" w14:textId="0D8EA298"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5" w:history="1">
        <w:r w:rsidRPr="008217CB">
          <w:rPr>
            <w:rStyle w:val="Hyperlink"/>
          </w:rPr>
          <w:t>2.4.</w:t>
        </w:r>
        <w:r>
          <w:rPr>
            <w:rFonts w:asciiTheme="minorHAnsi" w:eastAsiaTheme="minorEastAsia" w:hAnsiTheme="minorHAnsi" w:cstheme="minorBidi"/>
            <w:sz w:val="22"/>
            <w:szCs w:val="22"/>
            <w:lang w:eastAsia="en-AU"/>
          </w:rPr>
          <w:tab/>
        </w:r>
        <w:r w:rsidRPr="008217CB">
          <w:rPr>
            <w:rStyle w:val="Hyperlink"/>
          </w:rPr>
          <w:t>Young people leaving residential care placements</w:t>
        </w:r>
        <w:r>
          <w:rPr>
            <w:webHidden/>
          </w:rPr>
          <w:tab/>
        </w:r>
        <w:r>
          <w:rPr>
            <w:webHidden/>
          </w:rPr>
          <w:fldChar w:fldCharType="begin"/>
        </w:r>
        <w:r>
          <w:rPr>
            <w:webHidden/>
          </w:rPr>
          <w:instrText xml:space="preserve"> PAGEREF _Toc25238915 \h </w:instrText>
        </w:r>
        <w:r>
          <w:rPr>
            <w:webHidden/>
          </w:rPr>
        </w:r>
        <w:r>
          <w:rPr>
            <w:webHidden/>
          </w:rPr>
          <w:fldChar w:fldCharType="separate"/>
        </w:r>
        <w:r>
          <w:rPr>
            <w:webHidden/>
          </w:rPr>
          <w:t>9</w:t>
        </w:r>
        <w:r>
          <w:rPr>
            <w:webHidden/>
          </w:rPr>
          <w:fldChar w:fldCharType="end"/>
        </w:r>
      </w:hyperlink>
    </w:p>
    <w:p w14:paraId="0095AC0A" w14:textId="0A12362C" w:rsidR="00AD21A9" w:rsidRDefault="00AD21A9">
      <w:pPr>
        <w:pStyle w:val="TOC1"/>
        <w:rPr>
          <w:rFonts w:asciiTheme="minorHAnsi" w:eastAsiaTheme="minorEastAsia" w:hAnsiTheme="minorHAnsi" w:cstheme="minorBidi"/>
          <w:b w:val="0"/>
          <w:noProof/>
          <w:sz w:val="22"/>
          <w:szCs w:val="22"/>
          <w:lang w:eastAsia="en-AU"/>
        </w:rPr>
      </w:pPr>
      <w:hyperlink w:anchor="_Toc25238916" w:history="1">
        <w:r w:rsidRPr="008217CB">
          <w:rPr>
            <w:rStyle w:val="Hyperlink"/>
            <w:noProof/>
          </w:rPr>
          <w:t>3.</w:t>
        </w:r>
        <w:r>
          <w:rPr>
            <w:rFonts w:asciiTheme="minorHAnsi" w:eastAsiaTheme="minorEastAsia" w:hAnsiTheme="minorHAnsi" w:cstheme="minorBidi"/>
            <w:b w:val="0"/>
            <w:noProof/>
            <w:sz w:val="22"/>
            <w:szCs w:val="22"/>
            <w:lang w:eastAsia="en-AU"/>
          </w:rPr>
          <w:tab/>
        </w:r>
        <w:r w:rsidRPr="008217CB">
          <w:rPr>
            <w:rStyle w:val="Hyperlink"/>
            <w:noProof/>
          </w:rPr>
          <w:t>Preventing entry into the court system</w:t>
        </w:r>
        <w:r>
          <w:rPr>
            <w:noProof/>
            <w:webHidden/>
          </w:rPr>
          <w:tab/>
        </w:r>
        <w:r>
          <w:rPr>
            <w:noProof/>
            <w:webHidden/>
          </w:rPr>
          <w:fldChar w:fldCharType="begin"/>
        </w:r>
        <w:r>
          <w:rPr>
            <w:noProof/>
            <w:webHidden/>
          </w:rPr>
          <w:instrText xml:space="preserve"> PAGEREF _Toc25238916 \h </w:instrText>
        </w:r>
        <w:r>
          <w:rPr>
            <w:noProof/>
            <w:webHidden/>
          </w:rPr>
        </w:r>
        <w:r>
          <w:rPr>
            <w:noProof/>
            <w:webHidden/>
          </w:rPr>
          <w:fldChar w:fldCharType="separate"/>
        </w:r>
        <w:r>
          <w:rPr>
            <w:noProof/>
            <w:webHidden/>
          </w:rPr>
          <w:t>10</w:t>
        </w:r>
        <w:r>
          <w:rPr>
            <w:noProof/>
            <w:webHidden/>
          </w:rPr>
          <w:fldChar w:fldCharType="end"/>
        </w:r>
      </w:hyperlink>
    </w:p>
    <w:p w14:paraId="08F5B136" w14:textId="5992D0F5"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7" w:history="1">
        <w:r w:rsidRPr="008217CB">
          <w:rPr>
            <w:rStyle w:val="Hyperlink"/>
          </w:rPr>
          <w:t>3.1.</w:t>
        </w:r>
        <w:r>
          <w:rPr>
            <w:rFonts w:asciiTheme="minorHAnsi" w:eastAsiaTheme="minorEastAsia" w:hAnsiTheme="minorHAnsi" w:cstheme="minorBidi"/>
            <w:sz w:val="22"/>
            <w:szCs w:val="22"/>
            <w:lang w:eastAsia="en-AU"/>
          </w:rPr>
          <w:tab/>
        </w:r>
        <w:r w:rsidRPr="008217CB">
          <w:rPr>
            <w:rStyle w:val="Hyperlink"/>
          </w:rPr>
          <w:t>Minimum</w:t>
        </w:r>
        <w:r>
          <w:rPr>
            <w:rStyle w:val="Hyperlink"/>
          </w:rPr>
          <w:fldChar w:fldCharType="begin"/>
        </w:r>
        <w:r>
          <w:rPr>
            <w:rStyle w:val="Hyperlink"/>
          </w:rPr>
          <w:instrText xml:space="preserve">  </w:instrText>
        </w:r>
        <w:r>
          <w:rPr>
            <w:rStyle w:val="Hyperlink"/>
          </w:rPr>
          <w:fldChar w:fldCharType="end"/>
        </w:r>
        <w:r w:rsidRPr="008217CB">
          <w:rPr>
            <w:rStyle w:val="Hyperlink"/>
          </w:rPr>
          <w:t xml:space="preserve"> age of criminal responsibility</w:t>
        </w:r>
        <w:r>
          <w:rPr>
            <w:webHidden/>
          </w:rPr>
          <w:tab/>
        </w:r>
        <w:r>
          <w:rPr>
            <w:webHidden/>
          </w:rPr>
          <w:fldChar w:fldCharType="begin"/>
        </w:r>
        <w:r>
          <w:rPr>
            <w:webHidden/>
          </w:rPr>
          <w:instrText xml:space="preserve"> PAGEREF _Toc25238917 \h </w:instrText>
        </w:r>
        <w:r>
          <w:rPr>
            <w:webHidden/>
          </w:rPr>
        </w:r>
        <w:r>
          <w:rPr>
            <w:webHidden/>
          </w:rPr>
          <w:fldChar w:fldCharType="separate"/>
        </w:r>
        <w:r>
          <w:rPr>
            <w:webHidden/>
          </w:rPr>
          <w:t>10</w:t>
        </w:r>
        <w:r>
          <w:rPr>
            <w:webHidden/>
          </w:rPr>
          <w:fldChar w:fldCharType="end"/>
        </w:r>
      </w:hyperlink>
    </w:p>
    <w:p w14:paraId="549C1339" w14:textId="3AEE121A"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8" w:history="1">
        <w:r w:rsidRPr="008217CB">
          <w:rPr>
            <w:rStyle w:val="Hyperlink"/>
          </w:rPr>
          <w:t>3.2.</w:t>
        </w:r>
        <w:r>
          <w:rPr>
            <w:rFonts w:asciiTheme="minorHAnsi" w:eastAsiaTheme="minorEastAsia" w:hAnsiTheme="minorHAnsi" w:cstheme="minorBidi"/>
            <w:sz w:val="22"/>
            <w:szCs w:val="22"/>
            <w:lang w:eastAsia="en-AU"/>
          </w:rPr>
          <w:tab/>
        </w:r>
        <w:r w:rsidRPr="008217CB">
          <w:rPr>
            <w:rStyle w:val="Hyperlink"/>
          </w:rPr>
          <w:t>Pre-plea caution</w:t>
        </w:r>
        <w:r>
          <w:rPr>
            <w:webHidden/>
          </w:rPr>
          <w:tab/>
        </w:r>
        <w:r>
          <w:rPr>
            <w:webHidden/>
          </w:rPr>
          <w:fldChar w:fldCharType="begin"/>
        </w:r>
        <w:r>
          <w:rPr>
            <w:webHidden/>
          </w:rPr>
          <w:instrText xml:space="preserve"> PAGEREF _Toc25238918 \h </w:instrText>
        </w:r>
        <w:r>
          <w:rPr>
            <w:webHidden/>
          </w:rPr>
        </w:r>
        <w:r>
          <w:rPr>
            <w:webHidden/>
          </w:rPr>
          <w:fldChar w:fldCharType="separate"/>
        </w:r>
        <w:r>
          <w:rPr>
            <w:webHidden/>
          </w:rPr>
          <w:t>11</w:t>
        </w:r>
        <w:r>
          <w:rPr>
            <w:webHidden/>
          </w:rPr>
          <w:fldChar w:fldCharType="end"/>
        </w:r>
      </w:hyperlink>
    </w:p>
    <w:p w14:paraId="029A564D" w14:textId="6CC5665F"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19" w:history="1">
        <w:r w:rsidRPr="008217CB">
          <w:rPr>
            <w:rStyle w:val="Hyperlink"/>
          </w:rPr>
          <w:t>3.3.</w:t>
        </w:r>
        <w:r>
          <w:rPr>
            <w:rFonts w:asciiTheme="minorHAnsi" w:eastAsiaTheme="minorEastAsia" w:hAnsiTheme="minorHAnsi" w:cstheme="minorBidi"/>
            <w:sz w:val="22"/>
            <w:szCs w:val="22"/>
            <w:lang w:eastAsia="en-AU"/>
          </w:rPr>
          <w:tab/>
        </w:r>
        <w:r w:rsidRPr="008217CB">
          <w:rPr>
            <w:rStyle w:val="Hyperlink"/>
          </w:rPr>
          <w:t>Post-charge diversion</w:t>
        </w:r>
        <w:r>
          <w:rPr>
            <w:webHidden/>
          </w:rPr>
          <w:tab/>
        </w:r>
        <w:r>
          <w:rPr>
            <w:webHidden/>
          </w:rPr>
          <w:fldChar w:fldCharType="begin"/>
        </w:r>
        <w:r>
          <w:rPr>
            <w:webHidden/>
          </w:rPr>
          <w:instrText xml:space="preserve"> PAGEREF _Toc25238919 \h </w:instrText>
        </w:r>
        <w:r>
          <w:rPr>
            <w:webHidden/>
          </w:rPr>
        </w:r>
        <w:r>
          <w:rPr>
            <w:webHidden/>
          </w:rPr>
          <w:fldChar w:fldCharType="separate"/>
        </w:r>
        <w:r>
          <w:rPr>
            <w:webHidden/>
          </w:rPr>
          <w:t>11</w:t>
        </w:r>
        <w:r>
          <w:rPr>
            <w:webHidden/>
          </w:rPr>
          <w:fldChar w:fldCharType="end"/>
        </w:r>
      </w:hyperlink>
    </w:p>
    <w:p w14:paraId="75ED8902" w14:textId="30416AA5" w:rsidR="00AD21A9" w:rsidRDefault="00AD21A9">
      <w:pPr>
        <w:pStyle w:val="TOC1"/>
        <w:rPr>
          <w:rFonts w:asciiTheme="minorHAnsi" w:eastAsiaTheme="minorEastAsia" w:hAnsiTheme="minorHAnsi" w:cstheme="minorBidi"/>
          <w:b w:val="0"/>
          <w:noProof/>
          <w:sz w:val="22"/>
          <w:szCs w:val="22"/>
          <w:lang w:eastAsia="en-AU"/>
        </w:rPr>
      </w:pPr>
      <w:hyperlink w:anchor="_Toc25238920" w:history="1">
        <w:r w:rsidRPr="008217CB">
          <w:rPr>
            <w:rStyle w:val="Hyperlink"/>
            <w:noProof/>
          </w:rPr>
          <w:t>4.</w:t>
        </w:r>
        <w:r>
          <w:rPr>
            <w:rFonts w:asciiTheme="minorHAnsi" w:eastAsiaTheme="minorEastAsia" w:hAnsiTheme="minorHAnsi" w:cstheme="minorBidi"/>
            <w:b w:val="0"/>
            <w:noProof/>
            <w:sz w:val="22"/>
            <w:szCs w:val="22"/>
            <w:lang w:eastAsia="en-AU"/>
          </w:rPr>
          <w:tab/>
        </w:r>
        <w:r w:rsidRPr="008217CB">
          <w:rPr>
            <w:rStyle w:val="Hyperlink"/>
            <w:noProof/>
          </w:rPr>
          <w:t>Preventing children from entering custody</w:t>
        </w:r>
        <w:r>
          <w:rPr>
            <w:noProof/>
            <w:webHidden/>
          </w:rPr>
          <w:tab/>
        </w:r>
        <w:r>
          <w:rPr>
            <w:noProof/>
            <w:webHidden/>
          </w:rPr>
          <w:fldChar w:fldCharType="begin"/>
        </w:r>
        <w:r>
          <w:rPr>
            <w:noProof/>
            <w:webHidden/>
          </w:rPr>
          <w:instrText xml:space="preserve"> PAGEREF _Toc25238920 \h </w:instrText>
        </w:r>
        <w:r>
          <w:rPr>
            <w:noProof/>
            <w:webHidden/>
          </w:rPr>
        </w:r>
        <w:r>
          <w:rPr>
            <w:noProof/>
            <w:webHidden/>
          </w:rPr>
          <w:fldChar w:fldCharType="separate"/>
        </w:r>
        <w:r>
          <w:rPr>
            <w:noProof/>
            <w:webHidden/>
          </w:rPr>
          <w:t>12</w:t>
        </w:r>
        <w:r>
          <w:rPr>
            <w:noProof/>
            <w:webHidden/>
          </w:rPr>
          <w:fldChar w:fldCharType="end"/>
        </w:r>
      </w:hyperlink>
    </w:p>
    <w:p w14:paraId="34AE050B" w14:textId="447C28C9"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1" w:history="1">
        <w:r w:rsidRPr="008217CB">
          <w:rPr>
            <w:rStyle w:val="Hyperlink"/>
          </w:rPr>
          <w:t>4.1.</w:t>
        </w:r>
        <w:r>
          <w:rPr>
            <w:rFonts w:asciiTheme="minorHAnsi" w:eastAsiaTheme="minorEastAsia" w:hAnsiTheme="minorHAnsi" w:cstheme="minorBidi"/>
            <w:sz w:val="22"/>
            <w:szCs w:val="22"/>
            <w:lang w:eastAsia="en-AU"/>
          </w:rPr>
          <w:tab/>
        </w:r>
        <w:r w:rsidRPr="008217CB">
          <w:rPr>
            <w:rStyle w:val="Hyperlink"/>
          </w:rPr>
          <w:t>Proceeding by summons rather than bail</w:t>
        </w:r>
        <w:r>
          <w:rPr>
            <w:webHidden/>
          </w:rPr>
          <w:tab/>
        </w:r>
        <w:r>
          <w:rPr>
            <w:webHidden/>
          </w:rPr>
          <w:fldChar w:fldCharType="begin"/>
        </w:r>
        <w:r>
          <w:rPr>
            <w:webHidden/>
          </w:rPr>
          <w:instrText xml:space="preserve"> PAGEREF _Toc25238921 \h </w:instrText>
        </w:r>
        <w:r>
          <w:rPr>
            <w:webHidden/>
          </w:rPr>
        </w:r>
        <w:r>
          <w:rPr>
            <w:webHidden/>
          </w:rPr>
          <w:fldChar w:fldCharType="separate"/>
        </w:r>
        <w:r>
          <w:rPr>
            <w:webHidden/>
          </w:rPr>
          <w:t>13</w:t>
        </w:r>
        <w:r>
          <w:rPr>
            <w:webHidden/>
          </w:rPr>
          <w:fldChar w:fldCharType="end"/>
        </w:r>
      </w:hyperlink>
    </w:p>
    <w:p w14:paraId="13045662" w14:textId="132BE9A6"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2" w:history="1">
        <w:r w:rsidRPr="008217CB">
          <w:rPr>
            <w:rStyle w:val="Hyperlink"/>
          </w:rPr>
          <w:t>4.2.</w:t>
        </w:r>
        <w:r>
          <w:rPr>
            <w:rFonts w:asciiTheme="minorHAnsi" w:eastAsiaTheme="minorEastAsia" w:hAnsiTheme="minorHAnsi" w:cstheme="minorBidi"/>
            <w:sz w:val="22"/>
            <w:szCs w:val="22"/>
            <w:lang w:eastAsia="en-AU"/>
          </w:rPr>
          <w:tab/>
        </w:r>
        <w:r w:rsidRPr="008217CB">
          <w:rPr>
            <w:rStyle w:val="Hyperlink"/>
          </w:rPr>
          <w:t>Facilitating access to bail for Aboriginal children and young people</w:t>
        </w:r>
        <w:r>
          <w:rPr>
            <w:webHidden/>
          </w:rPr>
          <w:tab/>
        </w:r>
        <w:r>
          <w:rPr>
            <w:webHidden/>
          </w:rPr>
          <w:fldChar w:fldCharType="begin"/>
        </w:r>
        <w:r>
          <w:rPr>
            <w:webHidden/>
          </w:rPr>
          <w:instrText xml:space="preserve"> PAGEREF _Toc25238922 \h </w:instrText>
        </w:r>
        <w:r>
          <w:rPr>
            <w:webHidden/>
          </w:rPr>
        </w:r>
        <w:r>
          <w:rPr>
            <w:webHidden/>
          </w:rPr>
          <w:fldChar w:fldCharType="separate"/>
        </w:r>
        <w:r>
          <w:rPr>
            <w:webHidden/>
          </w:rPr>
          <w:t>14</w:t>
        </w:r>
        <w:r>
          <w:rPr>
            <w:webHidden/>
          </w:rPr>
          <w:fldChar w:fldCharType="end"/>
        </w:r>
      </w:hyperlink>
    </w:p>
    <w:p w14:paraId="2872A9D8" w14:textId="15A453BA"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3" w:history="1">
        <w:r w:rsidRPr="008217CB">
          <w:rPr>
            <w:rStyle w:val="Hyperlink"/>
          </w:rPr>
          <w:t>4.3.</w:t>
        </w:r>
        <w:r>
          <w:rPr>
            <w:rFonts w:asciiTheme="minorHAnsi" w:eastAsiaTheme="minorEastAsia" w:hAnsiTheme="minorHAnsi" w:cstheme="minorBidi"/>
            <w:sz w:val="22"/>
            <w:szCs w:val="22"/>
            <w:lang w:eastAsia="en-AU"/>
          </w:rPr>
          <w:tab/>
        </w:r>
        <w:r w:rsidRPr="008217CB">
          <w:rPr>
            <w:rStyle w:val="Hyperlink"/>
          </w:rPr>
          <w:t>Pre-interview advice</w:t>
        </w:r>
        <w:r>
          <w:rPr>
            <w:webHidden/>
          </w:rPr>
          <w:tab/>
        </w:r>
        <w:r>
          <w:rPr>
            <w:webHidden/>
          </w:rPr>
          <w:fldChar w:fldCharType="begin"/>
        </w:r>
        <w:r>
          <w:rPr>
            <w:webHidden/>
          </w:rPr>
          <w:instrText xml:space="preserve"> PAGEREF _Toc25238923 \h </w:instrText>
        </w:r>
        <w:r>
          <w:rPr>
            <w:webHidden/>
          </w:rPr>
        </w:r>
        <w:r>
          <w:rPr>
            <w:webHidden/>
          </w:rPr>
          <w:fldChar w:fldCharType="separate"/>
        </w:r>
        <w:r>
          <w:rPr>
            <w:webHidden/>
          </w:rPr>
          <w:t>15</w:t>
        </w:r>
        <w:r>
          <w:rPr>
            <w:webHidden/>
          </w:rPr>
          <w:fldChar w:fldCharType="end"/>
        </w:r>
      </w:hyperlink>
    </w:p>
    <w:p w14:paraId="51EA9ECE" w14:textId="41E49155"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4" w:history="1">
        <w:r w:rsidRPr="008217CB">
          <w:rPr>
            <w:rStyle w:val="Hyperlink"/>
          </w:rPr>
          <w:t>4.4.</w:t>
        </w:r>
        <w:r>
          <w:rPr>
            <w:rFonts w:asciiTheme="minorHAnsi" w:eastAsiaTheme="minorEastAsia" w:hAnsiTheme="minorHAnsi" w:cstheme="minorBidi"/>
            <w:sz w:val="22"/>
            <w:szCs w:val="22"/>
            <w:lang w:eastAsia="en-AU"/>
          </w:rPr>
          <w:tab/>
        </w:r>
        <w:r w:rsidRPr="008217CB">
          <w:rPr>
            <w:rStyle w:val="Hyperlink"/>
          </w:rPr>
          <w:t>Restorative justice conferencing</w:t>
        </w:r>
        <w:r>
          <w:rPr>
            <w:webHidden/>
          </w:rPr>
          <w:tab/>
        </w:r>
        <w:r>
          <w:rPr>
            <w:webHidden/>
          </w:rPr>
          <w:fldChar w:fldCharType="begin"/>
        </w:r>
        <w:r>
          <w:rPr>
            <w:webHidden/>
          </w:rPr>
          <w:instrText xml:space="preserve"> PAGEREF _Toc25238924 \h </w:instrText>
        </w:r>
        <w:r>
          <w:rPr>
            <w:webHidden/>
          </w:rPr>
        </w:r>
        <w:r>
          <w:rPr>
            <w:webHidden/>
          </w:rPr>
          <w:fldChar w:fldCharType="separate"/>
        </w:r>
        <w:r>
          <w:rPr>
            <w:webHidden/>
          </w:rPr>
          <w:t>16</w:t>
        </w:r>
        <w:r>
          <w:rPr>
            <w:webHidden/>
          </w:rPr>
          <w:fldChar w:fldCharType="end"/>
        </w:r>
      </w:hyperlink>
    </w:p>
    <w:p w14:paraId="30DB2EC9" w14:textId="0A064E91" w:rsidR="00AD21A9" w:rsidRDefault="00AD21A9">
      <w:pPr>
        <w:pStyle w:val="TOC1"/>
        <w:rPr>
          <w:rFonts w:asciiTheme="minorHAnsi" w:eastAsiaTheme="minorEastAsia" w:hAnsiTheme="minorHAnsi" w:cstheme="minorBidi"/>
          <w:b w:val="0"/>
          <w:noProof/>
          <w:sz w:val="22"/>
          <w:szCs w:val="22"/>
          <w:lang w:eastAsia="en-AU"/>
        </w:rPr>
      </w:pPr>
      <w:hyperlink w:anchor="_Toc25238925" w:history="1">
        <w:r w:rsidRPr="008217CB">
          <w:rPr>
            <w:rStyle w:val="Hyperlink"/>
            <w:noProof/>
          </w:rPr>
          <w:t>5.</w:t>
        </w:r>
        <w:r>
          <w:rPr>
            <w:rFonts w:asciiTheme="minorHAnsi" w:eastAsiaTheme="minorEastAsia" w:hAnsiTheme="minorHAnsi" w:cstheme="minorBidi"/>
            <w:b w:val="0"/>
            <w:noProof/>
            <w:sz w:val="22"/>
            <w:szCs w:val="22"/>
            <w:lang w:eastAsia="en-AU"/>
          </w:rPr>
          <w:tab/>
        </w:r>
        <w:r w:rsidRPr="008217CB">
          <w:rPr>
            <w:rStyle w:val="Hyperlink"/>
            <w:noProof/>
          </w:rPr>
          <w:t>Facilitating the rehabilitation of Aboriginal young people who have entered the youth justice system</w:t>
        </w:r>
        <w:r>
          <w:rPr>
            <w:noProof/>
            <w:webHidden/>
          </w:rPr>
          <w:tab/>
        </w:r>
        <w:r>
          <w:rPr>
            <w:noProof/>
            <w:webHidden/>
          </w:rPr>
          <w:fldChar w:fldCharType="begin"/>
        </w:r>
        <w:r>
          <w:rPr>
            <w:noProof/>
            <w:webHidden/>
          </w:rPr>
          <w:instrText xml:space="preserve"> PAGEREF _Toc25238925 \h </w:instrText>
        </w:r>
        <w:r>
          <w:rPr>
            <w:noProof/>
            <w:webHidden/>
          </w:rPr>
        </w:r>
        <w:r>
          <w:rPr>
            <w:noProof/>
            <w:webHidden/>
          </w:rPr>
          <w:fldChar w:fldCharType="separate"/>
        </w:r>
        <w:r>
          <w:rPr>
            <w:noProof/>
            <w:webHidden/>
          </w:rPr>
          <w:t>16</w:t>
        </w:r>
        <w:r>
          <w:rPr>
            <w:noProof/>
            <w:webHidden/>
          </w:rPr>
          <w:fldChar w:fldCharType="end"/>
        </w:r>
      </w:hyperlink>
    </w:p>
    <w:p w14:paraId="639EA8B6" w14:textId="15E0FAE9"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6" w:history="1">
        <w:r w:rsidRPr="008217CB">
          <w:rPr>
            <w:rStyle w:val="Hyperlink"/>
          </w:rPr>
          <w:t>5.1.</w:t>
        </w:r>
        <w:r>
          <w:rPr>
            <w:rFonts w:asciiTheme="minorHAnsi" w:eastAsiaTheme="minorEastAsia" w:hAnsiTheme="minorHAnsi" w:cstheme="minorBidi"/>
            <w:sz w:val="22"/>
            <w:szCs w:val="22"/>
            <w:lang w:eastAsia="en-AU"/>
          </w:rPr>
          <w:tab/>
        </w:r>
        <w:r w:rsidRPr="008217CB">
          <w:rPr>
            <w:rStyle w:val="Hyperlink"/>
          </w:rPr>
          <w:t>Koori Courts</w:t>
        </w:r>
        <w:r>
          <w:rPr>
            <w:webHidden/>
          </w:rPr>
          <w:tab/>
        </w:r>
        <w:r>
          <w:rPr>
            <w:webHidden/>
          </w:rPr>
          <w:fldChar w:fldCharType="begin"/>
        </w:r>
        <w:r>
          <w:rPr>
            <w:webHidden/>
          </w:rPr>
          <w:instrText xml:space="preserve"> PAGEREF _Toc25238926 \h </w:instrText>
        </w:r>
        <w:r>
          <w:rPr>
            <w:webHidden/>
          </w:rPr>
        </w:r>
        <w:r>
          <w:rPr>
            <w:webHidden/>
          </w:rPr>
          <w:fldChar w:fldCharType="separate"/>
        </w:r>
        <w:r>
          <w:rPr>
            <w:webHidden/>
          </w:rPr>
          <w:t>16</w:t>
        </w:r>
        <w:r>
          <w:rPr>
            <w:webHidden/>
          </w:rPr>
          <w:fldChar w:fldCharType="end"/>
        </w:r>
      </w:hyperlink>
    </w:p>
    <w:p w14:paraId="58BB4A32" w14:textId="504AE3FA"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7" w:history="1">
        <w:r w:rsidRPr="008217CB">
          <w:rPr>
            <w:rStyle w:val="Hyperlink"/>
          </w:rPr>
          <w:t>5.2.</w:t>
        </w:r>
        <w:r>
          <w:rPr>
            <w:rFonts w:asciiTheme="minorHAnsi" w:eastAsiaTheme="minorEastAsia" w:hAnsiTheme="minorHAnsi" w:cstheme="minorBidi"/>
            <w:sz w:val="22"/>
            <w:szCs w:val="22"/>
            <w:lang w:eastAsia="en-AU"/>
          </w:rPr>
          <w:tab/>
        </w:r>
        <w:r w:rsidRPr="008217CB">
          <w:rPr>
            <w:rStyle w:val="Hyperlink"/>
          </w:rPr>
          <w:t>Sentencing options</w:t>
        </w:r>
        <w:r>
          <w:rPr>
            <w:webHidden/>
          </w:rPr>
          <w:tab/>
        </w:r>
        <w:r>
          <w:rPr>
            <w:webHidden/>
          </w:rPr>
          <w:fldChar w:fldCharType="begin"/>
        </w:r>
        <w:r>
          <w:rPr>
            <w:webHidden/>
          </w:rPr>
          <w:instrText xml:space="preserve"> PAGEREF _Toc25238927 \h </w:instrText>
        </w:r>
        <w:r>
          <w:rPr>
            <w:webHidden/>
          </w:rPr>
        </w:r>
        <w:r>
          <w:rPr>
            <w:webHidden/>
          </w:rPr>
          <w:fldChar w:fldCharType="separate"/>
        </w:r>
        <w:r>
          <w:rPr>
            <w:webHidden/>
          </w:rPr>
          <w:t>18</w:t>
        </w:r>
        <w:r>
          <w:rPr>
            <w:webHidden/>
          </w:rPr>
          <w:fldChar w:fldCharType="end"/>
        </w:r>
      </w:hyperlink>
    </w:p>
    <w:p w14:paraId="241A5893" w14:textId="592F5E61" w:rsidR="00AD21A9" w:rsidRDefault="00AD21A9">
      <w:pPr>
        <w:pStyle w:val="TOC2"/>
        <w:tabs>
          <w:tab w:val="left" w:pos="1100"/>
        </w:tabs>
        <w:rPr>
          <w:rFonts w:asciiTheme="minorHAnsi" w:eastAsiaTheme="minorEastAsia" w:hAnsiTheme="minorHAnsi" w:cstheme="minorBidi"/>
          <w:sz w:val="22"/>
          <w:szCs w:val="22"/>
          <w:lang w:eastAsia="en-AU"/>
        </w:rPr>
      </w:pPr>
      <w:hyperlink w:anchor="_Toc25238928" w:history="1">
        <w:r w:rsidRPr="008217CB">
          <w:rPr>
            <w:rStyle w:val="Hyperlink"/>
          </w:rPr>
          <w:t>5.3.</w:t>
        </w:r>
        <w:r>
          <w:rPr>
            <w:rFonts w:asciiTheme="minorHAnsi" w:eastAsiaTheme="minorEastAsia" w:hAnsiTheme="minorHAnsi" w:cstheme="minorBidi"/>
            <w:sz w:val="22"/>
            <w:szCs w:val="22"/>
            <w:lang w:eastAsia="en-AU"/>
          </w:rPr>
          <w:tab/>
        </w:r>
        <w:r w:rsidRPr="008217CB">
          <w:rPr>
            <w:rStyle w:val="Hyperlink"/>
          </w:rPr>
          <w:t>Workforce competency</w:t>
        </w:r>
        <w:r>
          <w:rPr>
            <w:webHidden/>
          </w:rPr>
          <w:tab/>
        </w:r>
        <w:r>
          <w:rPr>
            <w:webHidden/>
          </w:rPr>
          <w:fldChar w:fldCharType="begin"/>
        </w:r>
        <w:r>
          <w:rPr>
            <w:webHidden/>
          </w:rPr>
          <w:instrText xml:space="preserve"> PAGEREF _Toc25238928 \h </w:instrText>
        </w:r>
        <w:r>
          <w:rPr>
            <w:webHidden/>
          </w:rPr>
        </w:r>
        <w:r>
          <w:rPr>
            <w:webHidden/>
          </w:rPr>
          <w:fldChar w:fldCharType="separate"/>
        </w:r>
        <w:r>
          <w:rPr>
            <w:webHidden/>
          </w:rPr>
          <w:t>19</w:t>
        </w:r>
        <w:r>
          <w:rPr>
            <w:webHidden/>
          </w:rPr>
          <w:fldChar w:fldCharType="end"/>
        </w:r>
      </w:hyperlink>
    </w:p>
    <w:p w14:paraId="74ED1EBF" w14:textId="37C3FED2" w:rsidR="00687605" w:rsidRPr="002F53CF" w:rsidRDefault="004E0688" w:rsidP="00AA2CCE">
      <w:r w:rsidRPr="002F53CF">
        <w:fldChar w:fldCharType="end"/>
      </w:r>
    </w:p>
    <w:p w14:paraId="62D34A32" w14:textId="77777777" w:rsidR="002B4970" w:rsidRPr="002F53CF" w:rsidRDefault="002B4970" w:rsidP="00AA2CCE">
      <w:pPr>
        <w:rPr>
          <w:lang w:eastAsia="en-AU"/>
        </w:rPr>
        <w:sectPr w:rsidR="002B4970" w:rsidRPr="002F53CF" w:rsidSect="00DA29C4">
          <w:headerReference w:type="default" r:id="rId16"/>
          <w:footerReference w:type="default" r:id="rId17"/>
          <w:pgSz w:w="11906" w:h="16838"/>
          <w:pgMar w:top="1418" w:right="992" w:bottom="1134" w:left="1134" w:header="851" w:footer="284" w:gutter="0"/>
          <w:paperSrc w:first="7" w:other="7"/>
          <w:pgNumType w:fmt="lowerRoman" w:start="1"/>
          <w:cols w:space="720"/>
          <w:docGrid w:linePitch="299"/>
        </w:sectPr>
      </w:pPr>
    </w:p>
    <w:p w14:paraId="3D42DFF3" w14:textId="77777777" w:rsidR="00F73D5F" w:rsidRPr="002F53CF" w:rsidRDefault="00F73D5F" w:rsidP="00F73D5F">
      <w:pPr>
        <w:pStyle w:val="Title"/>
        <w:spacing w:before="400"/>
      </w:pPr>
      <w:bookmarkStart w:id="2" w:name="_Toc354042749"/>
      <w:bookmarkStart w:id="3" w:name="_Hlk24014951"/>
      <w:r w:rsidRPr="002F53CF">
        <w:lastRenderedPageBreak/>
        <w:t>Summary</w:t>
      </w:r>
      <w:bookmarkEnd w:id="2"/>
      <w:r w:rsidRPr="002F53CF">
        <w:t xml:space="preserve"> of recommendations</w:t>
      </w:r>
    </w:p>
    <w:p w14:paraId="5433BBB9" w14:textId="37CE1817" w:rsidR="00F55B65" w:rsidRPr="006118C8" w:rsidRDefault="006D1CD8" w:rsidP="006118C8">
      <w:pPr>
        <w:keepNext/>
        <w:spacing w:after="60" w:line="240" w:lineRule="atLeast"/>
        <w:rPr>
          <w:rFonts w:cs="Arial"/>
          <w:b/>
          <w:bCs/>
          <w:i/>
        </w:rPr>
      </w:pPr>
      <w:bookmarkStart w:id="4" w:name="_Hlk24701950"/>
      <w:r>
        <w:rPr>
          <w:rFonts w:cs="Arial"/>
          <w:b/>
          <w:bCs/>
          <w:i/>
        </w:rPr>
        <w:t xml:space="preserve">Recommendation </w:t>
      </w:r>
      <w:r w:rsidR="006118C8">
        <w:rPr>
          <w:rFonts w:cs="Arial"/>
          <w:b/>
          <w:bCs/>
          <w:i/>
        </w:rPr>
        <w:t xml:space="preserve">1. </w:t>
      </w:r>
      <w:r w:rsidR="00A741D9" w:rsidRPr="006118C8">
        <w:rPr>
          <w:rFonts w:cs="Arial"/>
          <w:b/>
          <w:bCs/>
          <w:i/>
        </w:rPr>
        <w:t xml:space="preserve">Support Aboriginal young people to stay out of the youth justice system </w:t>
      </w:r>
      <w:bookmarkStart w:id="5" w:name="_Hlk24033452"/>
    </w:p>
    <w:p w14:paraId="01725990" w14:textId="5725415F" w:rsidR="00F55B65" w:rsidRDefault="00591154" w:rsidP="003774A1">
      <w:pPr>
        <w:pStyle w:val="ListParagraph"/>
        <w:numPr>
          <w:ilvl w:val="0"/>
          <w:numId w:val="37"/>
        </w:numPr>
        <w:spacing w:before="60" w:after="0"/>
      </w:pPr>
      <w:r>
        <w:t>Strengthen Aboriginal families through Aboriginal-le</w:t>
      </w:r>
      <w:r w:rsidR="00A57919">
        <w:t>d</w:t>
      </w:r>
      <w:r>
        <w:t xml:space="preserve"> preventative and community initiatives</w:t>
      </w:r>
      <w:r w:rsidR="00320144">
        <w:t>.</w:t>
      </w:r>
    </w:p>
    <w:p w14:paraId="72E57B64" w14:textId="19769678" w:rsidR="00320144" w:rsidRDefault="00591154" w:rsidP="003774A1">
      <w:pPr>
        <w:pStyle w:val="ListParagraph"/>
        <w:numPr>
          <w:ilvl w:val="0"/>
          <w:numId w:val="37"/>
        </w:numPr>
        <w:spacing w:before="60" w:after="0"/>
      </w:pPr>
      <w:r>
        <w:t>Improv</w:t>
      </w:r>
      <w:r w:rsidR="00395DD9">
        <w:t>e</w:t>
      </w:r>
      <w:r>
        <w:t xml:space="preserve"> compliance with child protection obligations that support connection to culture</w:t>
      </w:r>
      <w:r w:rsidR="00320144" w:rsidRPr="002F53CF">
        <w:t>.</w:t>
      </w:r>
    </w:p>
    <w:p w14:paraId="19396DE0" w14:textId="5AEAF704" w:rsidR="00EC0D8C" w:rsidRPr="002F53CF" w:rsidRDefault="00591154" w:rsidP="00EA1721">
      <w:pPr>
        <w:pStyle w:val="ListParagraph"/>
        <w:numPr>
          <w:ilvl w:val="0"/>
          <w:numId w:val="37"/>
        </w:numPr>
        <w:spacing w:before="60" w:after="0"/>
      </w:pPr>
      <w:r>
        <w:t>Reduc</w:t>
      </w:r>
      <w:r w:rsidR="00395DD9">
        <w:t>e</w:t>
      </w:r>
      <w:r>
        <w:t xml:space="preserve"> the contact that Aboriginal youth in residential care have with police</w:t>
      </w:r>
      <w:r w:rsidR="00F55B65">
        <w:t>.</w:t>
      </w:r>
    </w:p>
    <w:p w14:paraId="079DA096" w14:textId="54027219" w:rsidR="00F73D5F" w:rsidRPr="000B4571" w:rsidRDefault="00591154" w:rsidP="00EA1721">
      <w:pPr>
        <w:pStyle w:val="ListParagraph"/>
        <w:numPr>
          <w:ilvl w:val="0"/>
          <w:numId w:val="37"/>
        </w:numPr>
        <w:spacing w:before="60" w:after="0"/>
      </w:pPr>
      <w:r>
        <w:t>Extend the age that a young person mu</w:t>
      </w:r>
      <w:r w:rsidR="003774A1">
        <w:t>st</w:t>
      </w:r>
      <w:r>
        <w:t xml:space="preserve"> leave out-of-home care from 18 to 21.</w:t>
      </w:r>
    </w:p>
    <w:bookmarkEnd w:id="5"/>
    <w:p w14:paraId="45265C5B" w14:textId="7B4BC48A" w:rsidR="00F73D5F" w:rsidRPr="009407FB" w:rsidRDefault="006D1CD8" w:rsidP="009407FB">
      <w:pPr>
        <w:keepNext/>
        <w:spacing w:after="60" w:line="240" w:lineRule="atLeast"/>
        <w:rPr>
          <w:rFonts w:cs="Arial"/>
          <w:b/>
          <w:bCs/>
          <w:i/>
        </w:rPr>
      </w:pPr>
      <w:r>
        <w:rPr>
          <w:rFonts w:cs="Arial"/>
          <w:b/>
          <w:bCs/>
          <w:i/>
        </w:rPr>
        <w:t xml:space="preserve">Recommendation </w:t>
      </w:r>
      <w:r w:rsidR="00F73D5F" w:rsidRPr="009407FB">
        <w:rPr>
          <w:rFonts w:cs="Arial"/>
          <w:b/>
          <w:bCs/>
          <w:i/>
        </w:rPr>
        <w:t xml:space="preserve">2. </w:t>
      </w:r>
      <w:r w:rsidR="00A741D9">
        <w:rPr>
          <w:rFonts w:cs="Arial"/>
          <w:b/>
          <w:bCs/>
          <w:i/>
        </w:rPr>
        <w:t xml:space="preserve">Prevent </w:t>
      </w:r>
      <w:r>
        <w:rPr>
          <w:rFonts w:cs="Arial"/>
          <w:b/>
          <w:bCs/>
          <w:i/>
        </w:rPr>
        <w:t xml:space="preserve">the </w:t>
      </w:r>
      <w:r w:rsidR="00A741D9">
        <w:rPr>
          <w:rFonts w:cs="Arial"/>
          <w:b/>
          <w:bCs/>
          <w:i/>
        </w:rPr>
        <w:t xml:space="preserve">entry </w:t>
      </w:r>
      <w:r>
        <w:rPr>
          <w:rFonts w:cs="Arial"/>
          <w:b/>
          <w:bCs/>
          <w:i/>
        </w:rPr>
        <w:t xml:space="preserve">of </w:t>
      </w:r>
      <w:r w:rsidR="009C7131" w:rsidRPr="006118C8">
        <w:rPr>
          <w:rFonts w:cs="Arial"/>
          <w:b/>
          <w:bCs/>
          <w:i/>
        </w:rPr>
        <w:t xml:space="preserve">Aboriginal </w:t>
      </w:r>
      <w:r>
        <w:rPr>
          <w:rFonts w:cs="Arial"/>
          <w:b/>
          <w:bCs/>
          <w:i/>
        </w:rPr>
        <w:t xml:space="preserve">children </w:t>
      </w:r>
      <w:r w:rsidR="00A741D9">
        <w:rPr>
          <w:rFonts w:cs="Arial"/>
          <w:b/>
          <w:bCs/>
          <w:i/>
        </w:rPr>
        <w:t>into the Court system</w:t>
      </w:r>
      <w:r w:rsidR="004A4A3D">
        <w:rPr>
          <w:rFonts w:cs="Arial"/>
          <w:b/>
          <w:bCs/>
          <w:i/>
        </w:rPr>
        <w:t xml:space="preserve"> </w:t>
      </w:r>
    </w:p>
    <w:p w14:paraId="6BB1E76F" w14:textId="321F68E2" w:rsidR="00F73D5F" w:rsidRPr="002F53CF" w:rsidRDefault="00A57919" w:rsidP="00EA1721">
      <w:pPr>
        <w:pStyle w:val="ListParagraph"/>
        <w:numPr>
          <w:ilvl w:val="0"/>
          <w:numId w:val="37"/>
        </w:numPr>
        <w:spacing w:before="60" w:after="0"/>
      </w:pPr>
      <w:r>
        <w:t>Rais</w:t>
      </w:r>
      <w:r w:rsidR="00395DD9">
        <w:t>e</w:t>
      </w:r>
      <w:r>
        <w:t xml:space="preserve"> t</w:t>
      </w:r>
      <w:r w:rsidR="00F73D5F" w:rsidRPr="002F53CF">
        <w:t>he minimum age of criminal responsibility to 14 years.</w:t>
      </w:r>
    </w:p>
    <w:p w14:paraId="230883B7" w14:textId="342A11F7" w:rsidR="00F73D5F" w:rsidRPr="002F53CF" w:rsidRDefault="00395DD9" w:rsidP="00EA1721">
      <w:pPr>
        <w:pStyle w:val="ListParagraph"/>
        <w:numPr>
          <w:ilvl w:val="0"/>
          <w:numId w:val="37"/>
        </w:numPr>
        <w:spacing w:before="60" w:after="0"/>
      </w:pPr>
      <w:r>
        <w:t>There should be a</w:t>
      </w:r>
      <w:r w:rsidR="00A57919">
        <w:t xml:space="preserve"> legislative </w:t>
      </w:r>
      <w:r w:rsidR="00F73D5F" w:rsidRPr="002F53CF">
        <w:t>presumption in favour of pre-</w:t>
      </w:r>
      <w:r w:rsidR="007E68D0">
        <w:t>plea</w:t>
      </w:r>
      <w:r w:rsidR="007E68D0" w:rsidRPr="002F53CF">
        <w:t xml:space="preserve"> </w:t>
      </w:r>
      <w:r w:rsidR="00F73D5F" w:rsidRPr="002F53CF">
        <w:t>cautions</w:t>
      </w:r>
      <w:r w:rsidR="00C20C36">
        <w:t xml:space="preserve"> and expand the Koori Youth Cautioning Pilot Program</w:t>
      </w:r>
      <w:r w:rsidR="00F73D5F" w:rsidRPr="002F53CF">
        <w:t xml:space="preserve">. </w:t>
      </w:r>
    </w:p>
    <w:p w14:paraId="40251A9D" w14:textId="61E4C695" w:rsidR="00095E7C" w:rsidRDefault="00395DD9" w:rsidP="00BB2F9E">
      <w:pPr>
        <w:pStyle w:val="ListParagraph"/>
        <w:numPr>
          <w:ilvl w:val="0"/>
          <w:numId w:val="37"/>
        </w:numPr>
        <w:spacing w:before="60" w:after="0"/>
      </w:pPr>
      <w:r>
        <w:t>There should be a</w:t>
      </w:r>
      <w:r w:rsidR="00F73D5F" w:rsidRPr="002F53CF">
        <w:t xml:space="preserve"> legislat</w:t>
      </w:r>
      <w:r w:rsidR="00A57919">
        <w:t>ive</w:t>
      </w:r>
      <w:r w:rsidR="00F73D5F" w:rsidRPr="002F53CF">
        <w:t xml:space="preserve"> presumption in favour of </w:t>
      </w:r>
      <w:r w:rsidR="00320144">
        <w:t xml:space="preserve">post charge </w:t>
      </w:r>
      <w:r w:rsidR="00EC0D8C">
        <w:t>diversion</w:t>
      </w:r>
      <w:r w:rsidR="00557D0E">
        <w:t xml:space="preserve">, with no </w:t>
      </w:r>
      <w:r w:rsidR="00F73D5F" w:rsidRPr="002F53CF">
        <w:t>requirement for consent from Victoria Police</w:t>
      </w:r>
      <w:r w:rsidR="00557D0E">
        <w:t xml:space="preserve">, </w:t>
      </w:r>
      <w:r>
        <w:t xml:space="preserve">supported by </w:t>
      </w:r>
      <w:r w:rsidR="00557D0E">
        <w:t>Aboriginal-led, culturally appropriate, diversion programs</w:t>
      </w:r>
      <w:r w:rsidR="009407FB">
        <w:t>.</w:t>
      </w:r>
      <w:r w:rsidR="00F73D5F" w:rsidRPr="002F53CF">
        <w:t xml:space="preserve"> </w:t>
      </w:r>
    </w:p>
    <w:p w14:paraId="74B92731" w14:textId="273289F4" w:rsidR="00F73D5F" w:rsidRPr="009407FB" w:rsidRDefault="006D1CD8" w:rsidP="009407FB">
      <w:pPr>
        <w:spacing w:after="60" w:line="240" w:lineRule="atLeast"/>
        <w:rPr>
          <w:rFonts w:cs="Arial"/>
          <w:b/>
          <w:bCs/>
          <w:i/>
        </w:rPr>
      </w:pPr>
      <w:r>
        <w:rPr>
          <w:rFonts w:cs="Arial"/>
          <w:b/>
          <w:bCs/>
          <w:i/>
        </w:rPr>
        <w:t xml:space="preserve">Recommendation </w:t>
      </w:r>
      <w:r w:rsidR="00F73D5F" w:rsidRPr="009407FB">
        <w:rPr>
          <w:rFonts w:cs="Arial"/>
          <w:b/>
          <w:bCs/>
          <w:i/>
        </w:rPr>
        <w:t xml:space="preserve">3. </w:t>
      </w:r>
      <w:r w:rsidR="00095E7C" w:rsidRPr="009407FB">
        <w:rPr>
          <w:rFonts w:cs="Arial"/>
          <w:b/>
          <w:bCs/>
          <w:i/>
        </w:rPr>
        <w:t>Preven</w:t>
      </w:r>
      <w:r w:rsidR="00561A0A" w:rsidRPr="009407FB">
        <w:rPr>
          <w:rFonts w:cs="Arial"/>
          <w:b/>
          <w:bCs/>
          <w:i/>
        </w:rPr>
        <w:t xml:space="preserve">t </w:t>
      </w:r>
      <w:r w:rsidR="009C7131">
        <w:rPr>
          <w:rFonts w:cs="Arial"/>
          <w:b/>
          <w:bCs/>
          <w:i/>
        </w:rPr>
        <w:t xml:space="preserve">the entry of </w:t>
      </w:r>
      <w:r w:rsidR="009C7131" w:rsidRPr="006118C8">
        <w:rPr>
          <w:rFonts w:cs="Arial"/>
          <w:b/>
          <w:bCs/>
          <w:i/>
        </w:rPr>
        <w:t xml:space="preserve">Aboriginal </w:t>
      </w:r>
      <w:r w:rsidR="00A741D9">
        <w:rPr>
          <w:rFonts w:cs="Arial"/>
          <w:b/>
          <w:bCs/>
          <w:i/>
        </w:rPr>
        <w:t xml:space="preserve">children </w:t>
      </w:r>
      <w:r w:rsidR="009C7131">
        <w:rPr>
          <w:rFonts w:cs="Arial"/>
          <w:b/>
          <w:bCs/>
          <w:i/>
        </w:rPr>
        <w:t xml:space="preserve">into </w:t>
      </w:r>
      <w:r w:rsidR="00F73D5F" w:rsidRPr="009407FB">
        <w:rPr>
          <w:rFonts w:cs="Arial"/>
          <w:b/>
          <w:bCs/>
          <w:i/>
        </w:rPr>
        <w:t>custody</w:t>
      </w:r>
    </w:p>
    <w:p w14:paraId="7043EE26" w14:textId="0C147A41" w:rsidR="0067363E" w:rsidRDefault="0067363E" w:rsidP="00281706">
      <w:pPr>
        <w:pStyle w:val="ListParagraph"/>
        <w:numPr>
          <w:ilvl w:val="0"/>
          <w:numId w:val="37"/>
        </w:numPr>
        <w:spacing w:before="60" w:after="0"/>
      </w:pPr>
      <w:r>
        <w:t xml:space="preserve">There </w:t>
      </w:r>
      <w:r w:rsidR="006075BF">
        <w:t xml:space="preserve">should </w:t>
      </w:r>
      <w:r>
        <w:t>be strict adherence to the presumption in favour of summons contained in s345 of the Children Youth and Families Act and a requirement for the police officer to provide reasons for proceeding by way of bail</w:t>
      </w:r>
      <w:r w:rsidR="00281706">
        <w:t>.</w:t>
      </w:r>
    </w:p>
    <w:p w14:paraId="690D01DE" w14:textId="77777777" w:rsidR="00281706" w:rsidRDefault="00281706" w:rsidP="00281706">
      <w:pPr>
        <w:pStyle w:val="ListParagraph"/>
        <w:numPr>
          <w:ilvl w:val="0"/>
          <w:numId w:val="37"/>
        </w:numPr>
        <w:spacing w:before="60" w:after="0"/>
      </w:pPr>
      <w:r>
        <w:t>Facilitate b</w:t>
      </w:r>
      <w:r w:rsidRPr="002F53CF">
        <w:t xml:space="preserve">ail for Aboriginal </w:t>
      </w:r>
      <w:r>
        <w:t xml:space="preserve">children and young </w:t>
      </w:r>
      <w:r w:rsidRPr="002F53CF">
        <w:t xml:space="preserve">people </w:t>
      </w:r>
      <w:r>
        <w:t>by</w:t>
      </w:r>
      <w:r w:rsidRPr="002F53CF">
        <w:t xml:space="preserve"> improving </w:t>
      </w:r>
      <w:r>
        <w:t xml:space="preserve">and expanding </w:t>
      </w:r>
      <w:r w:rsidRPr="002F53CF">
        <w:t>bail support services, enabling management of bail risk in the community, and extend</w:t>
      </w:r>
      <w:r w:rsidRPr="00281706">
        <w:t>ing the Central After Hours Assessment and Bail Placement Service (CAHABPS)</w:t>
      </w:r>
      <w:r>
        <w:t xml:space="preserve"> to cover </w:t>
      </w:r>
      <w:r w:rsidRPr="002F53CF">
        <w:t>full non-business hours period from 5pm to 9am</w:t>
      </w:r>
      <w:r>
        <w:t>.</w:t>
      </w:r>
      <w:r w:rsidRPr="002F53CF" w:rsidDel="00D5440C">
        <w:t xml:space="preserve"> </w:t>
      </w:r>
    </w:p>
    <w:p w14:paraId="4608788E" w14:textId="56020EFF" w:rsidR="0067363E" w:rsidRDefault="0067363E" w:rsidP="00281706">
      <w:pPr>
        <w:pStyle w:val="ListParagraph"/>
        <w:numPr>
          <w:ilvl w:val="0"/>
          <w:numId w:val="37"/>
        </w:numPr>
        <w:spacing w:before="60" w:after="0"/>
      </w:pPr>
      <w:r>
        <w:t>Pre-interview advice should be mandatory for children and for Aboriginal young people</w:t>
      </w:r>
      <w:r w:rsidR="00281706">
        <w:t>.</w:t>
      </w:r>
      <w:r>
        <w:t xml:space="preserve"> </w:t>
      </w:r>
    </w:p>
    <w:p w14:paraId="7A29BC89" w14:textId="1F5A8164" w:rsidR="00EC0D8C" w:rsidRPr="002F53CF" w:rsidRDefault="004B02C2" w:rsidP="00EA1721">
      <w:pPr>
        <w:pStyle w:val="ListParagraph"/>
        <w:numPr>
          <w:ilvl w:val="0"/>
          <w:numId w:val="37"/>
        </w:numPr>
        <w:spacing w:before="60" w:after="0"/>
      </w:pPr>
      <w:r>
        <w:t>Increas</w:t>
      </w:r>
      <w:r w:rsidR="00395DD9">
        <w:t>e the</w:t>
      </w:r>
      <w:r>
        <w:t xml:space="preserve"> </w:t>
      </w:r>
      <w:r w:rsidR="00EC0D8C" w:rsidRPr="002F53CF">
        <w:t xml:space="preserve">use of restorative conferencing, led by Aboriginal communities, </w:t>
      </w:r>
      <w:r w:rsidR="00D94831">
        <w:t xml:space="preserve">and expand its </w:t>
      </w:r>
      <w:r w:rsidR="00EC0D8C" w:rsidRPr="002F53CF">
        <w:t>availab</w:t>
      </w:r>
      <w:r w:rsidR="00A57919">
        <w:t>ility</w:t>
      </w:r>
      <w:r w:rsidR="00EC0D8C" w:rsidRPr="002F53CF">
        <w:t xml:space="preserve"> </w:t>
      </w:r>
      <w:r w:rsidR="00D94831">
        <w:t xml:space="preserve">to </w:t>
      </w:r>
      <w:r w:rsidR="00EC0D8C" w:rsidRPr="002F53CF">
        <w:t>the pre-plea stage.</w:t>
      </w:r>
    </w:p>
    <w:p w14:paraId="4D2849E2" w14:textId="65F7E0E3" w:rsidR="00F73D5F" w:rsidRPr="002F53CF" w:rsidRDefault="006D1CD8" w:rsidP="00F73D5F">
      <w:pPr>
        <w:keepNext/>
        <w:spacing w:after="60" w:line="240" w:lineRule="atLeast"/>
        <w:rPr>
          <w:rFonts w:cs="Arial"/>
          <w:b/>
          <w:i/>
        </w:rPr>
      </w:pPr>
      <w:r>
        <w:rPr>
          <w:rFonts w:cs="Arial"/>
          <w:b/>
          <w:bCs/>
          <w:i/>
        </w:rPr>
        <w:t xml:space="preserve">Recommendation </w:t>
      </w:r>
      <w:r w:rsidR="00F73D5F" w:rsidRPr="002F53CF">
        <w:rPr>
          <w:rFonts w:cs="Arial"/>
          <w:b/>
          <w:bCs/>
          <w:i/>
        </w:rPr>
        <w:t xml:space="preserve">4. </w:t>
      </w:r>
      <w:r w:rsidR="00A741D9">
        <w:rPr>
          <w:rFonts w:cs="Arial"/>
          <w:b/>
          <w:bCs/>
          <w:i/>
        </w:rPr>
        <w:t>Facilitat</w:t>
      </w:r>
      <w:r>
        <w:rPr>
          <w:rFonts w:cs="Arial"/>
          <w:b/>
          <w:bCs/>
          <w:i/>
        </w:rPr>
        <w:t>e</w:t>
      </w:r>
      <w:r w:rsidR="00A741D9">
        <w:rPr>
          <w:rFonts w:cs="Arial"/>
          <w:b/>
          <w:bCs/>
          <w:i/>
        </w:rPr>
        <w:t xml:space="preserve"> the rehabilitation of Aboriginal young people who have entered the youth justice system </w:t>
      </w:r>
    </w:p>
    <w:p w14:paraId="1DA74BB4" w14:textId="1F5D8208" w:rsidR="00F73D5F" w:rsidRPr="002F53CF" w:rsidRDefault="00A57919" w:rsidP="00986654">
      <w:pPr>
        <w:pStyle w:val="ListParagraph"/>
        <w:numPr>
          <w:ilvl w:val="0"/>
          <w:numId w:val="7"/>
        </w:numPr>
        <w:spacing w:before="60" w:after="0"/>
      </w:pPr>
      <w:r>
        <w:rPr>
          <w:rFonts w:cs="Arial"/>
          <w:iCs/>
        </w:rPr>
        <w:t>Expand t</w:t>
      </w:r>
      <w:r w:rsidR="00F73D5F" w:rsidRPr="002F53CF">
        <w:rPr>
          <w:rFonts w:cs="Arial"/>
          <w:iCs/>
        </w:rPr>
        <w:t>h</w:t>
      </w:r>
      <w:r w:rsidR="00F73D5F" w:rsidRPr="002F53CF">
        <w:t xml:space="preserve">e </w:t>
      </w:r>
      <w:r w:rsidR="008F05C6">
        <w:t xml:space="preserve">Children’s </w:t>
      </w:r>
      <w:r w:rsidR="00F73D5F" w:rsidRPr="002F53CF">
        <w:t xml:space="preserve">Koori Court </w:t>
      </w:r>
      <w:r w:rsidR="00EC0D8C">
        <w:t>geographical</w:t>
      </w:r>
      <w:r>
        <w:t>ly</w:t>
      </w:r>
      <w:r w:rsidR="00EC0D8C">
        <w:t xml:space="preserve"> </w:t>
      </w:r>
      <w:r>
        <w:t xml:space="preserve">and increasing </w:t>
      </w:r>
      <w:r w:rsidR="00001A97">
        <w:t>eligibility</w:t>
      </w:r>
      <w:r w:rsidR="00EC0D8C">
        <w:t>.</w:t>
      </w:r>
    </w:p>
    <w:p w14:paraId="361001BF" w14:textId="18477F88" w:rsidR="00F73D5F" w:rsidRPr="002F53CF" w:rsidRDefault="00A57919" w:rsidP="00986654">
      <w:pPr>
        <w:pStyle w:val="ListParagraph"/>
        <w:numPr>
          <w:ilvl w:val="0"/>
          <w:numId w:val="7"/>
        </w:numPr>
        <w:spacing w:before="60" w:after="0"/>
      </w:pPr>
      <w:r>
        <w:t>Amen</w:t>
      </w:r>
      <w:r w:rsidR="00D94831">
        <w:t>d</w:t>
      </w:r>
      <w:r>
        <w:t xml:space="preserve"> t</w:t>
      </w:r>
      <w:r w:rsidR="00F73D5F" w:rsidRPr="002F53CF">
        <w:t>he CYFA and the Sentencing Act to ensure that the sentencing court can give weight to factors such as disadvantage, trauma, abuse and neglect and the importance of culture to rehabilitation</w:t>
      </w:r>
      <w:r w:rsidR="00D94831">
        <w:t>.</w:t>
      </w:r>
      <w:r w:rsidR="00F73D5F" w:rsidRPr="002F53CF">
        <w:t xml:space="preserve"> </w:t>
      </w:r>
    </w:p>
    <w:p w14:paraId="704B708D" w14:textId="787E170E" w:rsidR="00696662" w:rsidRDefault="00A57919" w:rsidP="004B02C2">
      <w:pPr>
        <w:pStyle w:val="ListParagraph"/>
        <w:numPr>
          <w:ilvl w:val="0"/>
          <w:numId w:val="7"/>
        </w:numPr>
        <w:spacing w:before="60" w:after="0"/>
        <w:rPr>
          <w:lang w:eastAsia="en-AU"/>
        </w:rPr>
      </w:pPr>
      <w:r>
        <w:t>Ensur</w:t>
      </w:r>
      <w:r w:rsidR="00D94831">
        <w:t>e</w:t>
      </w:r>
      <w:r>
        <w:t xml:space="preserve"> staff in t</w:t>
      </w:r>
      <w:r w:rsidR="00F73D5F" w:rsidRPr="002F53CF">
        <w:t xml:space="preserve">he child protection, youth justice, law enforcement and court workforce </w:t>
      </w:r>
      <w:r>
        <w:t>can</w:t>
      </w:r>
      <w:r w:rsidR="00DD7E05">
        <w:t xml:space="preserve"> demonstrate </w:t>
      </w:r>
      <w:r w:rsidR="00F73D5F" w:rsidRPr="002F53CF">
        <w:t xml:space="preserve">cultural </w:t>
      </w:r>
      <w:r>
        <w:t>competency, aw</w:t>
      </w:r>
      <w:r w:rsidR="00F73D5F" w:rsidRPr="002F53CF">
        <w:t xml:space="preserve">areness of </w:t>
      </w:r>
      <w:r w:rsidR="00DD7E05">
        <w:t xml:space="preserve">child and </w:t>
      </w:r>
      <w:r w:rsidR="00F73D5F" w:rsidRPr="002F53CF">
        <w:t xml:space="preserve">adolescent </w:t>
      </w:r>
      <w:r w:rsidR="00DD7E05">
        <w:t>development</w:t>
      </w:r>
      <w:r w:rsidR="004A4A3D">
        <w:t xml:space="preserve"> </w:t>
      </w:r>
      <w:r w:rsidR="00F73D5F" w:rsidRPr="002F53CF">
        <w:t xml:space="preserve">and the </w:t>
      </w:r>
      <w:r w:rsidR="0009498D">
        <w:t>impact of trauma.</w:t>
      </w:r>
    </w:p>
    <w:bookmarkEnd w:id="4"/>
    <w:p w14:paraId="02571224" w14:textId="5CBA14BC" w:rsidR="00EA1721" w:rsidRDefault="00EA1721" w:rsidP="00696662">
      <w:pPr>
        <w:pStyle w:val="Title"/>
        <w:spacing w:before="400"/>
      </w:pPr>
    </w:p>
    <w:p w14:paraId="69BA462A" w14:textId="6597F952" w:rsidR="00A57919" w:rsidRDefault="00A57919">
      <w:pPr>
        <w:spacing w:before="0" w:line="240" w:lineRule="auto"/>
        <w:rPr>
          <w:rFonts w:ascii="Arial Bold" w:hAnsi="Arial Bold" w:cs="Arial"/>
          <w:b/>
          <w:bCs/>
          <w:color w:val="971A4B"/>
          <w:kern w:val="28"/>
          <w:sz w:val="36"/>
          <w:szCs w:val="32"/>
        </w:rPr>
      </w:pPr>
      <w:r>
        <w:br w:type="page"/>
      </w:r>
    </w:p>
    <w:p w14:paraId="676EB8DB" w14:textId="6B10E611" w:rsidR="00696662" w:rsidRPr="002F53CF" w:rsidRDefault="00696662" w:rsidP="00696662">
      <w:pPr>
        <w:pStyle w:val="Title"/>
        <w:spacing w:before="400"/>
      </w:pPr>
      <w:r w:rsidRPr="002F53CF">
        <w:lastRenderedPageBreak/>
        <w:t>Acknowledgement</w:t>
      </w:r>
    </w:p>
    <w:p w14:paraId="02D96165" w14:textId="1929CD15" w:rsidR="00986654" w:rsidRPr="002F53CF" w:rsidRDefault="00986654" w:rsidP="00986654">
      <w:pPr>
        <w:rPr>
          <w:lang w:eastAsia="en-AU"/>
        </w:rPr>
      </w:pPr>
      <w:r w:rsidRPr="002F53CF">
        <w:rPr>
          <w:lang w:eastAsia="en-AU"/>
        </w:rPr>
        <w:t>Victoria Legal Aid operates on Aboriginal country throughout Victoria. We acknowledge the traditional custodians of the land and respect their continuing connections to land, sea and community. We acknowledge and pay respect to their Elders, past, present and emerging.</w:t>
      </w:r>
    </w:p>
    <w:p w14:paraId="60A71F29" w14:textId="0A911A08" w:rsidR="004B55A8" w:rsidRPr="002F53CF" w:rsidRDefault="004B55A8" w:rsidP="004B55A8">
      <w:pPr>
        <w:pStyle w:val="Heading1"/>
      </w:pPr>
      <w:bookmarkStart w:id="6" w:name="_Toc25238906"/>
      <w:r w:rsidRPr="002F53CF">
        <w:t>Introduction</w:t>
      </w:r>
      <w:bookmarkEnd w:id="6"/>
      <w:r w:rsidRPr="002F53CF">
        <w:t xml:space="preserve"> </w:t>
      </w:r>
    </w:p>
    <w:p w14:paraId="5E4FDFF1" w14:textId="40D5FE72" w:rsidR="004B55A8" w:rsidRPr="002F53CF" w:rsidRDefault="004B55A8" w:rsidP="006326E7">
      <w:pPr>
        <w:pStyle w:val="Heading2"/>
      </w:pPr>
      <w:bookmarkStart w:id="7" w:name="_Toc25238907"/>
      <w:r w:rsidRPr="002F53CF">
        <w:t>Overview of the submission</w:t>
      </w:r>
      <w:bookmarkEnd w:id="7"/>
    </w:p>
    <w:p w14:paraId="394F09D3" w14:textId="77777777" w:rsidR="004B55A8" w:rsidRPr="002F53CF" w:rsidRDefault="004B55A8" w:rsidP="004B55A8">
      <w:r w:rsidRPr="002F53CF">
        <w:rPr>
          <w:rFonts w:cs="Arial"/>
        </w:rPr>
        <w:t xml:space="preserve">Victoria Legal Aid (VLA) welcomes the opportunity to contribute to the </w:t>
      </w:r>
      <w:r w:rsidRPr="002F53CF">
        <w:t>Commission for Children and Young People’s (Commission) I</w:t>
      </w:r>
      <w:r w:rsidRPr="002F53CF">
        <w:rPr>
          <w:rFonts w:cs="Arial"/>
        </w:rPr>
        <w:t>nquiry into the overrepresentation of Aboriginal children and young people in the criminal justice system.</w:t>
      </w:r>
      <w:r w:rsidRPr="002F53CF">
        <w:rPr>
          <w:rStyle w:val="FootnoteReference"/>
          <w:rFonts w:cs="Arial"/>
        </w:rPr>
        <w:footnoteReference w:id="1"/>
      </w:r>
    </w:p>
    <w:p w14:paraId="2838C55C" w14:textId="7502FF6A" w:rsidR="004B55A8" w:rsidRPr="002F53CF" w:rsidRDefault="001429E7" w:rsidP="004B55A8">
      <w:pPr>
        <w:rPr>
          <w:rFonts w:cs="Arial"/>
        </w:rPr>
      </w:pPr>
      <w:bookmarkStart w:id="8" w:name="_Hlk24376116"/>
      <w:r>
        <w:rPr>
          <w:rFonts w:cs="Arial"/>
        </w:rPr>
        <w:t xml:space="preserve">VLA appreciates the work of the Commission in engaging in </w:t>
      </w:r>
      <w:r w:rsidR="004B55A8" w:rsidRPr="002F53CF">
        <w:rPr>
          <w:rFonts w:cs="Arial"/>
        </w:rPr>
        <w:t xml:space="preserve">significant consultation and data collection, including travelling across regional Victoria to interview Aboriginal young people and their families and gather their experiences of being involved in youth justice. </w:t>
      </w:r>
      <w:r>
        <w:rPr>
          <w:rFonts w:cs="Arial"/>
        </w:rPr>
        <w:t>Our</w:t>
      </w:r>
      <w:r w:rsidR="004B55A8" w:rsidRPr="002F53CF">
        <w:rPr>
          <w:rFonts w:cs="Arial"/>
        </w:rPr>
        <w:t xml:space="preserve"> submission presents our key </w:t>
      </w:r>
      <w:r>
        <w:rPr>
          <w:rFonts w:cs="Arial"/>
        </w:rPr>
        <w:t>recommendations</w:t>
      </w:r>
      <w:r w:rsidRPr="002F53CF">
        <w:rPr>
          <w:rFonts w:cs="Arial"/>
        </w:rPr>
        <w:t xml:space="preserve"> </w:t>
      </w:r>
      <w:r w:rsidR="004B55A8" w:rsidRPr="002F53CF">
        <w:rPr>
          <w:rFonts w:cs="Arial"/>
        </w:rPr>
        <w:t xml:space="preserve">for addressing the system inequalities which we see perpetuating the cycle of overrepresentation. </w:t>
      </w:r>
    </w:p>
    <w:p w14:paraId="24F82EDE" w14:textId="1602FB1B" w:rsidR="004B55A8" w:rsidRPr="002F53CF" w:rsidRDefault="004B55A8" w:rsidP="004B55A8">
      <w:pPr>
        <w:rPr>
          <w:rFonts w:cs="Arial"/>
        </w:rPr>
      </w:pPr>
      <w:r w:rsidRPr="002F53CF">
        <w:rPr>
          <w:rFonts w:cs="Arial"/>
        </w:rPr>
        <w:t xml:space="preserve">Our submission focuses on children. However, most of the principles and suggestions we make could and should equally apply to young adults, and we refer in parts to the adult jurisdiction. </w:t>
      </w:r>
    </w:p>
    <w:bookmarkEnd w:id="8"/>
    <w:p w14:paraId="602AC952" w14:textId="77777777" w:rsidR="004B55A8" w:rsidRPr="002F53CF" w:rsidRDefault="004B55A8" w:rsidP="004B55A8">
      <w:pPr>
        <w:spacing w:after="60" w:line="240" w:lineRule="atLeast"/>
        <w:rPr>
          <w:rFonts w:cs="Arial"/>
        </w:rPr>
      </w:pPr>
      <w:r w:rsidRPr="002F53CF">
        <w:rPr>
          <w:rFonts w:cs="Arial"/>
        </w:rPr>
        <w:t xml:space="preserve">Our submission focuses on four main areas: </w:t>
      </w:r>
    </w:p>
    <w:p w14:paraId="647A445A" w14:textId="21DABDD8" w:rsidR="004B55A8" w:rsidRPr="002F53CF" w:rsidRDefault="001F2B98" w:rsidP="00452C53">
      <w:pPr>
        <w:pStyle w:val="ListParagraph"/>
        <w:numPr>
          <w:ilvl w:val="0"/>
          <w:numId w:val="30"/>
        </w:numPr>
        <w:spacing w:before="0" w:after="0"/>
        <w:ind w:left="714" w:hanging="357"/>
      </w:pPr>
      <w:r w:rsidRPr="002F53CF">
        <w:t xml:space="preserve">supporting </w:t>
      </w:r>
      <w:r w:rsidR="004B55A8" w:rsidRPr="002F53CF">
        <w:t>Aboriginal children and young people to stay out of the youth justice system</w:t>
      </w:r>
    </w:p>
    <w:p w14:paraId="419D0A4F" w14:textId="4DEA6CD7" w:rsidR="004B55A8" w:rsidRPr="002F53CF" w:rsidRDefault="001F2B98" w:rsidP="00452C53">
      <w:pPr>
        <w:pStyle w:val="ListParagraph"/>
        <w:numPr>
          <w:ilvl w:val="0"/>
          <w:numId w:val="30"/>
        </w:numPr>
        <w:spacing w:before="0" w:after="0"/>
        <w:ind w:left="714" w:hanging="357"/>
      </w:pPr>
      <w:bookmarkStart w:id="9" w:name="_Hlk24012117"/>
      <w:r w:rsidRPr="002F53CF">
        <w:t xml:space="preserve">preventing entry into the court system </w:t>
      </w:r>
    </w:p>
    <w:bookmarkEnd w:id="9"/>
    <w:p w14:paraId="40A15BD4" w14:textId="59691A53" w:rsidR="004B55A8" w:rsidRPr="002F53CF" w:rsidRDefault="00DD7E05" w:rsidP="00452C53">
      <w:pPr>
        <w:pStyle w:val="ListParagraph"/>
        <w:numPr>
          <w:ilvl w:val="0"/>
          <w:numId w:val="30"/>
        </w:numPr>
        <w:spacing w:before="0" w:after="0"/>
        <w:ind w:left="714" w:hanging="357"/>
      </w:pPr>
      <w:r>
        <w:t>preventing</w:t>
      </w:r>
      <w:r w:rsidR="001F2B98" w:rsidRPr="002F53CF">
        <w:t xml:space="preserve"> young people from entering custody</w:t>
      </w:r>
    </w:p>
    <w:p w14:paraId="5F7F87AB" w14:textId="012D3F80" w:rsidR="004B55A8" w:rsidRDefault="001F2B98" w:rsidP="00452C53">
      <w:pPr>
        <w:pStyle w:val="ListParagraph"/>
        <w:numPr>
          <w:ilvl w:val="0"/>
          <w:numId w:val="30"/>
        </w:numPr>
        <w:spacing w:before="0" w:after="0"/>
        <w:ind w:left="714" w:hanging="357"/>
      </w:pPr>
      <w:r w:rsidRPr="002F53CF">
        <w:t>facilit</w:t>
      </w:r>
      <w:r w:rsidR="006326E7" w:rsidRPr="002F53CF">
        <w:t>ating the rehabilitation of Aboriginal young people who have entered the youth justice system</w:t>
      </w:r>
      <w:r w:rsidR="00A52F2B" w:rsidRPr="002F53CF">
        <w:t>.</w:t>
      </w:r>
    </w:p>
    <w:p w14:paraId="462E8677" w14:textId="0B967FF1" w:rsidR="00F55B65" w:rsidRPr="00F55B65" w:rsidRDefault="00F55B65" w:rsidP="00F55B65">
      <w:r>
        <w:t xml:space="preserve">We would be happy to elaborate on any of the issues raised in this submission or provide further information and case studies if that would assist the Commission in its work. </w:t>
      </w:r>
    </w:p>
    <w:p w14:paraId="5ED23E1F" w14:textId="173DE933" w:rsidR="007550FB" w:rsidRPr="002F53CF" w:rsidRDefault="007825F3" w:rsidP="006326E7">
      <w:pPr>
        <w:pStyle w:val="Heading2"/>
      </w:pPr>
      <w:bookmarkStart w:id="10" w:name="_Toc25238908"/>
      <w:r w:rsidRPr="002F53CF">
        <w:t>About Victoria legal Aid</w:t>
      </w:r>
      <w:bookmarkEnd w:id="10"/>
    </w:p>
    <w:p w14:paraId="79CC4E0D" w14:textId="6382DC68" w:rsidR="005A14A5" w:rsidRPr="002F53CF" w:rsidRDefault="005A14A5" w:rsidP="00F51FA6">
      <w:pPr>
        <w:rPr>
          <w:rFonts w:cs="Arial"/>
        </w:rPr>
      </w:pPr>
      <w:bookmarkStart w:id="11" w:name="Text12"/>
      <w:r w:rsidRPr="002F53CF">
        <w:rPr>
          <w:rFonts w:cs="Arial"/>
        </w:rPr>
        <w:t xml:space="preserve">VLA is an independent statutory authority established under the </w:t>
      </w:r>
      <w:r w:rsidRPr="002F53CF">
        <w:rPr>
          <w:rFonts w:cs="Arial"/>
          <w:i/>
          <w:iCs/>
        </w:rPr>
        <w:t>Legal Aid Act 1978</w:t>
      </w:r>
      <w:r w:rsidRPr="002F53CF">
        <w:rPr>
          <w:rFonts w:cs="Arial"/>
        </w:rPr>
        <w:t xml:space="preserve"> (Vic). We receive funding from the Commonwealth and Victorian governments and through the Victorian Public Purpose Fund but are independent of government. The Legal Aid Act sets out our responsibilities to provide legal representation, advice and assistance, and to administer the Legal Aid Fund to </w:t>
      </w:r>
      <w:r w:rsidRPr="002F53CF">
        <w:rPr>
          <w:lang w:eastAsia="en-AU"/>
        </w:rPr>
        <w:t>Community</w:t>
      </w:r>
      <w:r w:rsidRPr="002F53CF">
        <w:rPr>
          <w:rFonts w:cs="Arial"/>
        </w:rPr>
        <w:t xml:space="preserve"> Legal Centres and private practitioners who provide eligible services in the most effective, economic and efficient manner. </w:t>
      </w:r>
    </w:p>
    <w:p w14:paraId="3F5FDCD4" w14:textId="6F10D17E" w:rsidR="00F51FA6" w:rsidRPr="002F53CF" w:rsidRDefault="00F51FA6" w:rsidP="00F51FA6">
      <w:pPr>
        <w:rPr>
          <w:rFonts w:cs="Arial"/>
          <w:szCs w:val="22"/>
        </w:rPr>
      </w:pPr>
      <w:r w:rsidRPr="002F53CF">
        <w:rPr>
          <w:rFonts w:cs="Arial"/>
          <w:szCs w:val="22"/>
        </w:rPr>
        <w:t>VLA helps people with legal problems involving criminal matters, family separation, child protection, family violence, social security, mental health, discrimination, guardianship and administration, fines, immigration, tenancy and debt.</w:t>
      </w:r>
      <w:r w:rsidR="00985BF8" w:rsidRPr="002F53CF">
        <w:rPr>
          <w:rFonts w:cs="Arial"/>
          <w:szCs w:val="22"/>
        </w:rPr>
        <w:t xml:space="preserve"> </w:t>
      </w:r>
    </w:p>
    <w:p w14:paraId="5E8AB459" w14:textId="77777777" w:rsidR="00F51FA6" w:rsidRPr="002F53CF" w:rsidRDefault="00F51FA6" w:rsidP="00F51FA6">
      <w:pPr>
        <w:rPr>
          <w:rFonts w:cs="Arial"/>
        </w:rPr>
      </w:pPr>
      <w:r w:rsidRPr="002F53CF">
        <w:rPr>
          <w:rFonts w:cs="Arial"/>
          <w:szCs w:val="22"/>
        </w:rPr>
        <w:t>By providing a range of services – from information and early intervention services to intensive assistance under a grant of legal assistance – VLA aims to provide improved access to justice and legal remedies for people when they need it most.</w:t>
      </w:r>
    </w:p>
    <w:p w14:paraId="769F83E7" w14:textId="527282B3" w:rsidR="00F51FA6" w:rsidRPr="002F53CF" w:rsidRDefault="00F51FA6" w:rsidP="00F51FA6">
      <w:pPr>
        <w:rPr>
          <w:rFonts w:cs="Arial"/>
          <w:szCs w:val="22"/>
        </w:rPr>
      </w:pPr>
      <w:r w:rsidRPr="002F53CF">
        <w:rPr>
          <w:rFonts w:cs="Arial"/>
          <w:szCs w:val="22"/>
        </w:rPr>
        <w:lastRenderedPageBreak/>
        <w:t xml:space="preserve">In addition to helping people resolve their legal problems, we work to address the barriers that prevent people from accessing the justice system. We contribute to law reform, influence the efficient running of the justice system, and ensure the actions of government agencies are held to account. We take on important cases and </w:t>
      </w:r>
      <w:r w:rsidR="002F0738">
        <w:rPr>
          <w:rFonts w:cs="Arial"/>
          <w:szCs w:val="22"/>
        </w:rPr>
        <w:t>systemic issues</w:t>
      </w:r>
      <w:r w:rsidR="002F0738" w:rsidRPr="002F53CF">
        <w:rPr>
          <w:rFonts w:cs="Arial"/>
          <w:szCs w:val="22"/>
        </w:rPr>
        <w:t xml:space="preserve"> </w:t>
      </w:r>
      <w:r w:rsidRPr="002F53CF">
        <w:rPr>
          <w:rFonts w:cs="Arial"/>
          <w:szCs w:val="22"/>
        </w:rPr>
        <w:t>that aim to improve the law and make it fairer for all Victorians. This is one way we extend the reach of our services and improve outcomes for the community more broadly.</w:t>
      </w:r>
    </w:p>
    <w:p w14:paraId="28F924E5" w14:textId="793F3BE2" w:rsidR="00552172" w:rsidRPr="002F53CF" w:rsidRDefault="00552172" w:rsidP="006326E7">
      <w:pPr>
        <w:pStyle w:val="Heading2"/>
      </w:pPr>
      <w:bookmarkStart w:id="12" w:name="_Toc25238909"/>
      <w:r w:rsidRPr="002F53CF">
        <w:t xml:space="preserve">Our </w:t>
      </w:r>
      <w:r w:rsidR="00A3740C" w:rsidRPr="002F53CF">
        <w:t>crim</w:t>
      </w:r>
      <w:r w:rsidR="009D6D95" w:rsidRPr="002F53CF">
        <w:t>e</w:t>
      </w:r>
      <w:r w:rsidR="00A3740C" w:rsidRPr="002F53CF">
        <w:t xml:space="preserve"> and </w:t>
      </w:r>
      <w:r w:rsidR="009D6D95" w:rsidRPr="002F53CF">
        <w:t>family</w:t>
      </w:r>
      <w:r w:rsidR="00A3740C" w:rsidRPr="002F53CF">
        <w:t xml:space="preserve"> services</w:t>
      </w:r>
      <w:bookmarkEnd w:id="12"/>
    </w:p>
    <w:bookmarkEnd w:id="11"/>
    <w:p w14:paraId="28D6185C" w14:textId="44590C3A" w:rsidR="00985BF8" w:rsidRPr="002F53CF" w:rsidRDefault="00985BF8" w:rsidP="00F51FA6">
      <w:pPr>
        <w:rPr>
          <w:rFonts w:cs="Arial"/>
          <w:szCs w:val="22"/>
        </w:rPr>
      </w:pPr>
      <w:r w:rsidRPr="002F53CF">
        <w:rPr>
          <w:rFonts w:cs="Arial"/>
          <w:szCs w:val="22"/>
        </w:rPr>
        <w:t>During 2018–19 we helped 100,061 unique clients. We have seen steady increases in the level of disadvantage experienced by our clients. Many experience language, literacy or cultural barriers, disability or other health issues, or social and geographic isolation.</w:t>
      </w:r>
      <w:r w:rsidRPr="002F53CF">
        <w:rPr>
          <w:rStyle w:val="FootnoteReference"/>
          <w:rFonts w:cs="Arial"/>
          <w:szCs w:val="22"/>
        </w:rPr>
        <w:footnoteReference w:id="2"/>
      </w:r>
    </w:p>
    <w:p w14:paraId="59757DF8" w14:textId="5E02B491" w:rsidR="00D22E89" w:rsidRPr="002F53CF" w:rsidRDefault="00D22E89" w:rsidP="00F51FA6">
      <w:r w:rsidRPr="002F53CF">
        <w:rPr>
          <w:rFonts w:cs="Arial"/>
        </w:rPr>
        <w:t xml:space="preserve">VLA is the only legal practice in Victoria with specialised child protection and youth crime services that operate across the state, including: </w:t>
      </w:r>
    </w:p>
    <w:p w14:paraId="046B4EC5" w14:textId="64FC2B4B" w:rsidR="00F51FA6" w:rsidRPr="002F53CF" w:rsidRDefault="004A4A3D" w:rsidP="002D3B0F">
      <w:pPr>
        <w:pStyle w:val="ListParagraph"/>
        <w:numPr>
          <w:ilvl w:val="0"/>
          <w:numId w:val="5"/>
        </w:numPr>
        <w:spacing w:before="120" w:after="0"/>
        <w:rPr>
          <w:rFonts w:cs="Arial"/>
        </w:rPr>
      </w:pPr>
      <w:r>
        <w:rPr>
          <w:rFonts w:cs="Arial"/>
        </w:rPr>
        <w:t>o</w:t>
      </w:r>
      <w:r w:rsidR="00D22E89" w:rsidRPr="002F53CF">
        <w:rPr>
          <w:rFonts w:cs="Arial"/>
        </w:rPr>
        <w:t xml:space="preserve">ur Family, Youth and Children’s Law Program provides </w:t>
      </w:r>
      <w:r w:rsidR="00F51FA6" w:rsidRPr="002F53CF">
        <w:rPr>
          <w:rFonts w:cs="Arial"/>
        </w:rPr>
        <w:t>duty lawyer, legal advice, representation and information services to children and parents in the Children's and Magistrates' Courts across Victoria, in child protection, family violence, parenting disputes</w:t>
      </w:r>
      <w:r w:rsidR="00800294" w:rsidRPr="002F53CF">
        <w:rPr>
          <w:rFonts w:cs="Arial"/>
        </w:rPr>
        <w:t xml:space="preserve"> </w:t>
      </w:r>
      <w:r w:rsidR="00F51FA6" w:rsidRPr="002F53CF">
        <w:rPr>
          <w:rFonts w:cs="Arial"/>
        </w:rPr>
        <w:t>and child support;</w:t>
      </w:r>
    </w:p>
    <w:p w14:paraId="2A7A8EC7" w14:textId="11087AE4" w:rsidR="00D22E89" w:rsidRPr="002F53CF" w:rsidRDefault="004A4A3D" w:rsidP="002D3B0F">
      <w:pPr>
        <w:pStyle w:val="ListParagraph"/>
        <w:numPr>
          <w:ilvl w:val="0"/>
          <w:numId w:val="5"/>
        </w:numPr>
        <w:spacing w:before="120" w:after="0"/>
        <w:ind w:left="714" w:hanging="357"/>
        <w:rPr>
          <w:rFonts w:cs="Arial"/>
        </w:rPr>
      </w:pPr>
      <w:r>
        <w:rPr>
          <w:rFonts w:cs="Arial"/>
        </w:rPr>
        <w:t>o</w:t>
      </w:r>
      <w:r w:rsidR="00D22E89" w:rsidRPr="002F53CF">
        <w:rPr>
          <w:rFonts w:cs="Arial"/>
        </w:rPr>
        <w:t>ur specialist Youth Crime service provides duty lawyer services, legal representation and weekly youth justice centre outreach visits for children up to 18 years of age;</w:t>
      </w:r>
    </w:p>
    <w:p w14:paraId="3AC4292E" w14:textId="479E508F" w:rsidR="00D22E89" w:rsidRPr="002F53CF" w:rsidRDefault="004A4A3D" w:rsidP="002D3B0F">
      <w:pPr>
        <w:pStyle w:val="ListParagraph"/>
        <w:numPr>
          <w:ilvl w:val="0"/>
          <w:numId w:val="5"/>
        </w:numPr>
        <w:spacing w:before="120" w:after="0"/>
        <w:ind w:left="714" w:hanging="357"/>
        <w:rPr>
          <w:rFonts w:cs="Arial"/>
        </w:rPr>
      </w:pPr>
      <w:r>
        <w:rPr>
          <w:rFonts w:cs="Arial"/>
        </w:rPr>
        <w:t>o</w:t>
      </w:r>
      <w:r w:rsidR="00D22E89" w:rsidRPr="002F53CF">
        <w:rPr>
          <w:rFonts w:cs="Arial"/>
        </w:rPr>
        <w:t xml:space="preserve">ur </w:t>
      </w:r>
      <w:r w:rsidRPr="002F53CF">
        <w:rPr>
          <w:rFonts w:cs="Arial"/>
        </w:rPr>
        <w:t xml:space="preserve">Summary Crime </w:t>
      </w:r>
      <w:r w:rsidR="00D22E89" w:rsidRPr="002F53CF">
        <w:rPr>
          <w:rFonts w:cs="Arial"/>
        </w:rPr>
        <w:t xml:space="preserve">and </w:t>
      </w:r>
      <w:r w:rsidRPr="002F53CF">
        <w:rPr>
          <w:rFonts w:cs="Arial"/>
        </w:rPr>
        <w:t xml:space="preserve">Indictable Crime </w:t>
      </w:r>
      <w:r w:rsidR="00D22E89" w:rsidRPr="002F53CF">
        <w:rPr>
          <w:rFonts w:cs="Arial"/>
        </w:rPr>
        <w:t>programs provide duty lawyer services and legal representation for young people in the adult jurisdiction (18-25 years);</w:t>
      </w:r>
    </w:p>
    <w:p w14:paraId="126CAF18" w14:textId="6A66657D" w:rsidR="00D22E89" w:rsidRPr="002F53CF" w:rsidRDefault="004A4A3D" w:rsidP="002D3B0F">
      <w:pPr>
        <w:pStyle w:val="ListParagraph"/>
        <w:numPr>
          <w:ilvl w:val="0"/>
          <w:numId w:val="5"/>
        </w:numPr>
        <w:spacing w:before="120" w:after="0"/>
        <w:ind w:left="714" w:hanging="357"/>
        <w:rPr>
          <w:rFonts w:cs="Arial"/>
        </w:rPr>
      </w:pPr>
      <w:r>
        <w:rPr>
          <w:rFonts w:cs="Arial"/>
        </w:rPr>
        <w:t>our L</w:t>
      </w:r>
      <w:r w:rsidRPr="002F53CF">
        <w:rPr>
          <w:rFonts w:cs="Arial"/>
        </w:rPr>
        <w:t xml:space="preserve">egal </w:t>
      </w:r>
      <w:r w:rsidR="00D22E89" w:rsidRPr="002F53CF">
        <w:rPr>
          <w:rFonts w:cs="Arial"/>
        </w:rPr>
        <w:t xml:space="preserve">Help </w:t>
      </w:r>
      <w:r>
        <w:rPr>
          <w:rFonts w:cs="Arial"/>
        </w:rPr>
        <w:t xml:space="preserve">service </w:t>
      </w:r>
      <w:r w:rsidR="00D22E89" w:rsidRPr="002F53CF">
        <w:rPr>
          <w:rFonts w:cs="Arial"/>
        </w:rPr>
        <w:t>responds to telephone inquiries from young people;</w:t>
      </w:r>
    </w:p>
    <w:p w14:paraId="6E85D5FA" w14:textId="4B6E7576" w:rsidR="00D22E89" w:rsidRPr="002F53CF" w:rsidRDefault="004A4A3D" w:rsidP="002D3B0F">
      <w:pPr>
        <w:pStyle w:val="ListParagraph"/>
        <w:numPr>
          <w:ilvl w:val="0"/>
          <w:numId w:val="5"/>
        </w:numPr>
        <w:spacing w:before="120" w:after="0"/>
        <w:ind w:left="714" w:hanging="357"/>
        <w:rPr>
          <w:rFonts w:cs="Arial"/>
        </w:rPr>
      </w:pPr>
      <w:r>
        <w:rPr>
          <w:rFonts w:cs="Arial"/>
        </w:rPr>
        <w:t xml:space="preserve">our </w:t>
      </w:r>
      <w:r w:rsidR="00D22E89" w:rsidRPr="002F53CF">
        <w:rPr>
          <w:rFonts w:cs="Arial"/>
        </w:rPr>
        <w:t xml:space="preserve">Community Legal Education </w:t>
      </w:r>
      <w:r>
        <w:rPr>
          <w:rFonts w:cs="Arial"/>
        </w:rPr>
        <w:t xml:space="preserve">team </w:t>
      </w:r>
      <w:r w:rsidR="00D22E89" w:rsidRPr="002F53CF">
        <w:rPr>
          <w:rFonts w:cs="Arial"/>
        </w:rPr>
        <w:t>provide outreach services to schools and education material for young people in efforts to avert contact with the justice system.</w:t>
      </w:r>
    </w:p>
    <w:p w14:paraId="2CB11BEF" w14:textId="0557E940" w:rsidR="00F51FA6" w:rsidRPr="002F53CF" w:rsidRDefault="00F51FA6" w:rsidP="00F51FA6">
      <w:pPr>
        <w:rPr>
          <w:rFonts w:cs="Arial"/>
        </w:rPr>
      </w:pPr>
      <w:r w:rsidRPr="002F53CF">
        <w:rPr>
          <w:rFonts w:cs="Arial"/>
        </w:rPr>
        <w:t>Our submission draws on this significant experience.</w:t>
      </w:r>
    </w:p>
    <w:p w14:paraId="7DA93113" w14:textId="252629E8" w:rsidR="00A3740C" w:rsidRPr="002F53CF" w:rsidRDefault="00A3740C" w:rsidP="006326E7">
      <w:pPr>
        <w:pStyle w:val="Heading2"/>
      </w:pPr>
      <w:bookmarkStart w:id="13" w:name="_Toc25238910"/>
      <w:r w:rsidRPr="002F53CF">
        <w:t>Our clients</w:t>
      </w:r>
      <w:bookmarkEnd w:id="13"/>
    </w:p>
    <w:p w14:paraId="6268C5F6" w14:textId="77777777" w:rsidR="00A3740C" w:rsidRPr="002F53CF" w:rsidRDefault="00A3740C" w:rsidP="00A3740C">
      <w:pPr>
        <w:rPr>
          <w:rFonts w:cs="Arial"/>
          <w:szCs w:val="22"/>
        </w:rPr>
      </w:pPr>
      <w:r w:rsidRPr="002F53CF">
        <w:rPr>
          <w:rFonts w:cs="Arial"/>
          <w:szCs w:val="22"/>
        </w:rPr>
        <w:t>Most of our clients are people who are socially and economically disadvantaged: people with a disability or mental illness, children, the elderly, people from culturally and linguistically diverse backgrounds, Aboriginal and Torres Strait Islander people, and/or people who live in remote areas.</w:t>
      </w:r>
    </w:p>
    <w:p w14:paraId="3783ED56" w14:textId="2A22993E" w:rsidR="009D6D95" w:rsidRPr="002F53CF" w:rsidRDefault="009D6D95" w:rsidP="009D6D95">
      <w:pPr>
        <w:keepNext/>
        <w:rPr>
          <w:rStyle w:val="FootnoteReference"/>
          <w:sz w:val="22"/>
          <w:szCs w:val="22"/>
        </w:rPr>
      </w:pPr>
      <w:r w:rsidRPr="002F53CF">
        <w:t>Aboriginal Australians are over-represented in both the child protection area, youth justice and adult criminal justice areas. An analysis of VLA client data over a ten-year period, from 2006 to 2016, found that Aboriginal clients make up 2 percent of our total client population, but received 3 percent of total services.</w:t>
      </w:r>
      <w:r w:rsidRPr="002F53CF">
        <w:rPr>
          <w:rStyle w:val="FootnoteReference"/>
          <w:sz w:val="22"/>
          <w:szCs w:val="22"/>
        </w:rPr>
        <w:footnoteReference w:id="3"/>
      </w:r>
      <w:r w:rsidR="001726E6">
        <w:rPr>
          <w:rStyle w:val="FootnoteReference"/>
          <w:sz w:val="22"/>
          <w:szCs w:val="22"/>
        </w:rPr>
        <w:t xml:space="preserve"> </w:t>
      </w:r>
      <w:r w:rsidR="007F1D62">
        <w:rPr>
          <w:szCs w:val="22"/>
        </w:rPr>
        <w:t>A</w:t>
      </w:r>
      <w:r w:rsidR="0047147E" w:rsidRPr="002F53CF">
        <w:rPr>
          <w:szCs w:val="22"/>
        </w:rPr>
        <w:t>pproximately three out of ten young people with Aboriginal background will go on to be ‘high cost’ clients of legal aid</w:t>
      </w:r>
      <w:r w:rsidRPr="002F53CF">
        <w:rPr>
          <w:szCs w:val="22"/>
        </w:rPr>
        <w:t>, using multiple legal aid services for each year they are in contact with us,</w:t>
      </w:r>
      <w:r w:rsidR="0047147E" w:rsidRPr="002F53CF">
        <w:rPr>
          <w:szCs w:val="22"/>
        </w:rPr>
        <w:t xml:space="preserve"> compared with one out of ten overall clients</w:t>
      </w:r>
      <w:r w:rsidRPr="002F53CF">
        <w:rPr>
          <w:szCs w:val="22"/>
        </w:rPr>
        <w:t xml:space="preserve">. </w:t>
      </w:r>
    </w:p>
    <w:p w14:paraId="5B34C79E" w14:textId="2EE7B48E" w:rsidR="009D6D95" w:rsidRPr="002F53CF" w:rsidRDefault="009D6D95" w:rsidP="009D6D95">
      <w:pPr>
        <w:keepNext/>
        <w:rPr>
          <w:sz w:val="14"/>
          <w:szCs w:val="14"/>
        </w:rPr>
      </w:pPr>
      <w:r w:rsidRPr="002F53CF">
        <w:rPr>
          <w:szCs w:val="22"/>
        </w:rPr>
        <w:t xml:space="preserve">Finally, our report showed that our Aboriginal </w:t>
      </w:r>
      <w:r w:rsidRPr="002F53CF">
        <w:rPr>
          <w:rFonts w:eastAsia="Helvetica Neue"/>
        </w:rPr>
        <w:t xml:space="preserve">clients are also more likely to have signs of disadvantage. Our Aboriginal clients have a younger median age of first contact, a higher percentage identified with a disability, more likely to be on benefits (such as Newstart and the </w:t>
      </w:r>
      <w:r w:rsidRPr="002F53CF">
        <w:rPr>
          <w:rFonts w:eastAsia="Helvetica Neue"/>
        </w:rPr>
        <w:lastRenderedPageBreak/>
        <w:t>disability support pension), considerably more likely to be unemployed than overall client group (84.42 percent compared with 52.53 percent) and were more likely to be receive criminal law rather than civil law services.</w:t>
      </w:r>
      <w:r w:rsidRPr="002F53CF">
        <w:rPr>
          <w:rStyle w:val="FootnoteReference"/>
          <w:sz w:val="22"/>
          <w:szCs w:val="22"/>
        </w:rPr>
        <w:footnoteReference w:id="4"/>
      </w:r>
      <w:r w:rsidRPr="002F53CF">
        <w:rPr>
          <w:rFonts w:eastAsia="Helvetica Neue"/>
        </w:rPr>
        <w:t xml:space="preserve"> </w:t>
      </w:r>
    </w:p>
    <w:p w14:paraId="7731D4A7" w14:textId="20960CD5" w:rsidR="00D22E89" w:rsidRPr="002F53CF" w:rsidRDefault="00D22E89" w:rsidP="00F51FA6">
      <w:r w:rsidRPr="002F53CF">
        <w:rPr>
          <w:lang w:eastAsia="en-AU"/>
        </w:rPr>
        <w:t xml:space="preserve">For the 2018-2019 financial year: </w:t>
      </w:r>
    </w:p>
    <w:p w14:paraId="4DB7FE82" w14:textId="3776FC81" w:rsidR="00D22E89" w:rsidRPr="002F53CF" w:rsidRDefault="00034429" w:rsidP="002D3B0F">
      <w:pPr>
        <w:pStyle w:val="ListParagraph"/>
        <w:numPr>
          <w:ilvl w:val="0"/>
          <w:numId w:val="5"/>
        </w:numPr>
        <w:spacing w:before="120" w:after="0"/>
        <w:ind w:left="714" w:hanging="357"/>
        <w:rPr>
          <w:lang w:eastAsia="en-AU"/>
        </w:rPr>
      </w:pPr>
      <w:r w:rsidRPr="002F53CF">
        <w:rPr>
          <w:lang w:eastAsia="en-AU"/>
        </w:rPr>
        <w:t>5,192 unique clients, 5.3 percent of all VLA clients</w:t>
      </w:r>
      <w:r w:rsidR="00A36FFA" w:rsidRPr="002F53CF">
        <w:rPr>
          <w:lang w:eastAsia="en-AU"/>
        </w:rPr>
        <w:t>,</w:t>
      </w:r>
      <w:r w:rsidR="00D22E89" w:rsidRPr="002F53CF">
        <w:rPr>
          <w:lang w:eastAsia="en-AU"/>
        </w:rPr>
        <w:t xml:space="preserve"> identified as Aboriginal or Torres Strait Islander, an increase of 10</w:t>
      </w:r>
      <w:r w:rsidR="000E03D8" w:rsidRPr="002F53CF">
        <w:rPr>
          <w:lang w:eastAsia="en-AU"/>
        </w:rPr>
        <w:t xml:space="preserve"> percent</w:t>
      </w:r>
      <w:r w:rsidR="00D22E89" w:rsidRPr="002F53CF">
        <w:rPr>
          <w:lang w:eastAsia="en-AU"/>
        </w:rPr>
        <w:t xml:space="preserve"> from the previous year;</w:t>
      </w:r>
    </w:p>
    <w:p w14:paraId="26AB942D" w14:textId="7F353D92" w:rsidR="00D22E89" w:rsidRPr="002F53CF" w:rsidRDefault="00A36FFA" w:rsidP="002D3B0F">
      <w:pPr>
        <w:pStyle w:val="ListParagraph"/>
        <w:numPr>
          <w:ilvl w:val="0"/>
          <w:numId w:val="5"/>
        </w:numPr>
        <w:spacing w:before="120" w:after="0"/>
        <w:ind w:left="714" w:hanging="357"/>
        <w:rPr>
          <w:lang w:eastAsia="en-AU"/>
        </w:rPr>
      </w:pPr>
      <w:r w:rsidRPr="002F53CF">
        <w:rPr>
          <w:lang w:eastAsia="en-AU"/>
        </w:rPr>
        <w:t xml:space="preserve">2,316 unique </w:t>
      </w:r>
      <w:r w:rsidR="00D22E89" w:rsidRPr="002F53CF">
        <w:rPr>
          <w:lang w:eastAsia="en-AU"/>
        </w:rPr>
        <w:t xml:space="preserve">clients </w:t>
      </w:r>
      <w:r w:rsidRPr="002F53CF">
        <w:rPr>
          <w:lang w:eastAsia="en-AU"/>
        </w:rPr>
        <w:t xml:space="preserve">assisted by our Family, Youth and Children’s Law </w:t>
      </w:r>
      <w:r w:rsidRPr="002F53CF">
        <w:rPr>
          <w:rFonts w:cs="Arial"/>
        </w:rPr>
        <w:t>Program</w:t>
      </w:r>
      <w:r w:rsidRPr="002F53CF">
        <w:rPr>
          <w:lang w:eastAsia="en-AU"/>
        </w:rPr>
        <w:t xml:space="preserve"> identified as </w:t>
      </w:r>
      <w:r w:rsidR="00D22E89" w:rsidRPr="002F53CF">
        <w:rPr>
          <w:lang w:eastAsia="en-AU"/>
        </w:rPr>
        <w:t>Aboriginal or Torres Strait Islander</w:t>
      </w:r>
      <w:r w:rsidRPr="002F53CF">
        <w:rPr>
          <w:lang w:eastAsia="en-AU"/>
        </w:rPr>
        <w:t>, an increase of 14 percent from the previous year</w:t>
      </w:r>
      <w:r w:rsidR="00D22E89" w:rsidRPr="002F53CF">
        <w:rPr>
          <w:rFonts w:cs="Arial"/>
        </w:rPr>
        <w:t>;</w:t>
      </w:r>
    </w:p>
    <w:p w14:paraId="1582B43E" w14:textId="054ECB6D" w:rsidR="00A3740C" w:rsidRPr="002F53CF" w:rsidRDefault="00A36FFA" w:rsidP="00CD7C41">
      <w:pPr>
        <w:pStyle w:val="ListParagraph"/>
        <w:numPr>
          <w:ilvl w:val="0"/>
          <w:numId w:val="5"/>
        </w:numPr>
        <w:spacing w:before="120" w:after="0"/>
        <w:ind w:left="714" w:hanging="357"/>
        <w:rPr>
          <w:lang w:eastAsia="en-AU"/>
        </w:rPr>
      </w:pPr>
      <w:r w:rsidRPr="002F53CF">
        <w:t xml:space="preserve">3,348 </w:t>
      </w:r>
      <w:r w:rsidRPr="002F53CF">
        <w:rPr>
          <w:lang w:eastAsia="en-AU"/>
        </w:rPr>
        <w:t xml:space="preserve">unique </w:t>
      </w:r>
      <w:r w:rsidR="00D22E89" w:rsidRPr="002F53CF">
        <w:rPr>
          <w:lang w:eastAsia="en-AU"/>
        </w:rPr>
        <w:t xml:space="preserve">clients </w:t>
      </w:r>
      <w:r w:rsidRPr="002F53CF">
        <w:rPr>
          <w:lang w:eastAsia="en-AU"/>
        </w:rPr>
        <w:t xml:space="preserve">assisted by one of our Criminal Law programs (Youth Crime, </w:t>
      </w:r>
      <w:r w:rsidR="00D22E89" w:rsidRPr="002F53CF">
        <w:rPr>
          <w:lang w:eastAsia="en-AU"/>
        </w:rPr>
        <w:t xml:space="preserve">Summary Crime </w:t>
      </w:r>
      <w:r w:rsidRPr="002F53CF">
        <w:rPr>
          <w:lang w:eastAsia="en-AU"/>
        </w:rPr>
        <w:t xml:space="preserve">or </w:t>
      </w:r>
      <w:r w:rsidR="00D22E89" w:rsidRPr="002F53CF">
        <w:rPr>
          <w:lang w:eastAsia="en-AU"/>
        </w:rPr>
        <w:t>Indictable Crime</w:t>
      </w:r>
      <w:r w:rsidRPr="002F53CF">
        <w:rPr>
          <w:lang w:eastAsia="en-AU"/>
        </w:rPr>
        <w:t>) identified as Aboriginal or Torres Strait Islander, an increase of 9 percent from the previous year</w:t>
      </w:r>
      <w:r w:rsidR="00F55B65">
        <w:rPr>
          <w:lang w:eastAsia="en-AU"/>
        </w:rPr>
        <w:t>.</w:t>
      </w:r>
      <w:r w:rsidR="00EB02DF" w:rsidRPr="002F53CF">
        <w:rPr>
          <w:rStyle w:val="FootnoteReference"/>
          <w:lang w:eastAsia="en-AU"/>
        </w:rPr>
        <w:footnoteReference w:id="5"/>
      </w:r>
      <w:r w:rsidR="00EB02DF" w:rsidRPr="002F53CF">
        <w:rPr>
          <w:lang w:eastAsia="en-AU"/>
        </w:rPr>
        <w:t xml:space="preserve"> </w:t>
      </w:r>
    </w:p>
    <w:p w14:paraId="61E8F459" w14:textId="782A6E75" w:rsidR="00D22E89" w:rsidRPr="002F53CF" w:rsidRDefault="00A3740C" w:rsidP="00CF4E7C">
      <w:pPr>
        <w:pStyle w:val="Heading1"/>
      </w:pPr>
      <w:bookmarkStart w:id="14" w:name="_Hlk23972492"/>
      <w:bookmarkStart w:id="15" w:name="_Toc25238911"/>
      <w:r w:rsidRPr="002F53CF">
        <w:t xml:space="preserve">Supporting </w:t>
      </w:r>
      <w:r w:rsidR="00B602B7" w:rsidRPr="002F53CF">
        <w:t>A</w:t>
      </w:r>
      <w:r w:rsidR="00BF78C2" w:rsidRPr="002F53CF">
        <w:t xml:space="preserve">boriginal young people </w:t>
      </w:r>
      <w:r w:rsidRPr="002F53CF">
        <w:t>to stay out of the youth justice system</w:t>
      </w:r>
      <w:bookmarkEnd w:id="15"/>
    </w:p>
    <w:p w14:paraId="25057ED4" w14:textId="499BE22F" w:rsidR="000B4571" w:rsidRPr="000B4571" w:rsidRDefault="00775BDE" w:rsidP="000B4571">
      <w:pPr>
        <w:pStyle w:val="ListParagraph"/>
        <w:numPr>
          <w:ilvl w:val="0"/>
          <w:numId w:val="12"/>
        </w:numPr>
        <w:ind w:left="1134" w:hanging="708"/>
        <w:rPr>
          <w:b/>
          <w:bCs/>
          <w:i/>
          <w:iCs/>
          <w:lang w:eastAsia="en-AU"/>
        </w:rPr>
      </w:pPr>
      <w:bookmarkStart w:id="16" w:name="_Hlk24062019"/>
      <w:r w:rsidRPr="00775BDE">
        <w:rPr>
          <w:b/>
          <w:bCs/>
          <w:i/>
          <w:iCs/>
          <w:lang w:eastAsia="en-AU"/>
        </w:rPr>
        <w:t xml:space="preserve">Support Aboriginal </w:t>
      </w:r>
      <w:r>
        <w:rPr>
          <w:b/>
          <w:bCs/>
          <w:i/>
          <w:iCs/>
          <w:lang w:eastAsia="en-AU"/>
        </w:rPr>
        <w:t xml:space="preserve">children and </w:t>
      </w:r>
      <w:r w:rsidRPr="00775BDE">
        <w:rPr>
          <w:b/>
          <w:bCs/>
          <w:i/>
          <w:iCs/>
          <w:lang w:eastAsia="en-AU"/>
        </w:rPr>
        <w:t>young people to stay out of the youth justice system</w:t>
      </w:r>
      <w:r w:rsidR="000B4571" w:rsidRPr="000B4571">
        <w:rPr>
          <w:b/>
          <w:bCs/>
          <w:i/>
          <w:iCs/>
          <w:lang w:eastAsia="en-AU"/>
        </w:rPr>
        <w:t xml:space="preserve">: </w:t>
      </w:r>
    </w:p>
    <w:p w14:paraId="7AFF4BEE" w14:textId="77777777" w:rsidR="000B4571" w:rsidRPr="000B4571" w:rsidRDefault="000B4571" w:rsidP="000B4571">
      <w:pPr>
        <w:pStyle w:val="ListParagraph"/>
        <w:numPr>
          <w:ilvl w:val="1"/>
          <w:numId w:val="12"/>
        </w:numPr>
        <w:spacing w:before="60" w:after="0"/>
        <w:ind w:left="1434" w:hanging="357"/>
        <w:rPr>
          <w:b/>
          <w:bCs/>
          <w:i/>
          <w:iCs/>
          <w:lang w:eastAsia="en-AU"/>
        </w:rPr>
      </w:pPr>
      <w:r w:rsidRPr="000B4571">
        <w:rPr>
          <w:rFonts w:cs="Arial"/>
          <w:b/>
          <w:bCs/>
          <w:i/>
        </w:rPr>
        <w:t>Strengthening Aboriginal families through Aboriginal-led preventative and community initiatives</w:t>
      </w:r>
    </w:p>
    <w:p w14:paraId="2F10F50E" w14:textId="77777777" w:rsidR="000B4571" w:rsidRPr="000B4571" w:rsidRDefault="000B4571" w:rsidP="000B4571">
      <w:pPr>
        <w:pStyle w:val="ListParagraph"/>
        <w:numPr>
          <w:ilvl w:val="1"/>
          <w:numId w:val="12"/>
        </w:numPr>
        <w:spacing w:before="60" w:after="0" w:line="240" w:lineRule="atLeast"/>
        <w:ind w:left="1434" w:hanging="357"/>
        <w:rPr>
          <w:rFonts w:cs="Arial"/>
          <w:b/>
          <w:bCs/>
          <w:i/>
        </w:rPr>
      </w:pPr>
      <w:r w:rsidRPr="000B4571">
        <w:rPr>
          <w:rFonts w:cs="Arial"/>
          <w:b/>
          <w:bCs/>
          <w:i/>
        </w:rPr>
        <w:t xml:space="preserve">Improving compliance with child protection obligations that support connection to culture </w:t>
      </w:r>
    </w:p>
    <w:p w14:paraId="3895DCD9" w14:textId="77777777" w:rsidR="000B4571" w:rsidRPr="000B4571" w:rsidRDefault="000B4571" w:rsidP="000B4571">
      <w:pPr>
        <w:pStyle w:val="ListParagraph"/>
        <w:numPr>
          <w:ilvl w:val="1"/>
          <w:numId w:val="12"/>
        </w:numPr>
        <w:spacing w:before="60" w:after="0" w:line="240" w:lineRule="atLeast"/>
        <w:ind w:left="1434" w:hanging="357"/>
        <w:rPr>
          <w:rFonts w:cs="Arial"/>
          <w:b/>
          <w:bCs/>
          <w:i/>
        </w:rPr>
      </w:pPr>
      <w:r w:rsidRPr="000B4571">
        <w:rPr>
          <w:rFonts w:cs="Arial"/>
          <w:b/>
          <w:bCs/>
          <w:i/>
        </w:rPr>
        <w:t>Reducing the contact that Aboriginal youth in residential care have with police</w:t>
      </w:r>
    </w:p>
    <w:p w14:paraId="6846449A" w14:textId="77777777" w:rsidR="000B4571" w:rsidRPr="000B4571" w:rsidRDefault="000B4571" w:rsidP="000B4571">
      <w:pPr>
        <w:pStyle w:val="ListParagraph"/>
        <w:numPr>
          <w:ilvl w:val="1"/>
          <w:numId w:val="12"/>
        </w:numPr>
        <w:spacing w:before="60" w:after="0" w:line="240" w:lineRule="atLeast"/>
        <w:ind w:left="1434" w:hanging="357"/>
        <w:rPr>
          <w:rFonts w:cs="Arial"/>
          <w:b/>
          <w:bCs/>
          <w:i/>
        </w:rPr>
      </w:pPr>
      <w:r w:rsidRPr="000B4571">
        <w:rPr>
          <w:rFonts w:cs="Arial"/>
          <w:b/>
          <w:bCs/>
          <w:i/>
        </w:rPr>
        <w:t xml:space="preserve">Extending the age that a young person must leave out-of-home care from 18 to 21 </w:t>
      </w:r>
    </w:p>
    <w:p w14:paraId="7708193A" w14:textId="77777777" w:rsidR="000B4571" w:rsidRPr="000B4571" w:rsidRDefault="000B4571" w:rsidP="000B4571">
      <w:pPr>
        <w:pStyle w:val="Heading2"/>
      </w:pPr>
      <w:bookmarkStart w:id="17" w:name="_Hlk23710219"/>
      <w:bookmarkStart w:id="18" w:name="_Toc25238912"/>
      <w:bookmarkEnd w:id="14"/>
      <w:bookmarkEnd w:id="16"/>
      <w:r w:rsidRPr="000B4571">
        <w:t>Strengthening Aboriginal families through Aboriginal-led preventative and community initiatives</w:t>
      </w:r>
      <w:bookmarkEnd w:id="18"/>
      <w:r w:rsidRPr="000B4571">
        <w:t xml:space="preserve"> </w:t>
      </w:r>
    </w:p>
    <w:p w14:paraId="418DB77D" w14:textId="0BDB55C8" w:rsidR="000B4571" w:rsidRPr="000B4571" w:rsidRDefault="000B4571" w:rsidP="000B4571">
      <w:pPr>
        <w:rPr>
          <w:b/>
          <w:bCs/>
          <w:lang w:eastAsia="en-AU"/>
        </w:rPr>
      </w:pPr>
      <w:r w:rsidRPr="000B4571">
        <w:rPr>
          <w:lang w:eastAsia="en-AU"/>
        </w:rPr>
        <w:t xml:space="preserve">Early support is essential to keep Aboriginal families together and strong. VLA recognises that in order to reduce the number of Aboriginal young people involved in the youth justice system we must focus our efforts on preventing families from having unnecessary contact with the acute end of the child protection system. </w:t>
      </w:r>
      <w:r w:rsidR="00CD7C41">
        <w:rPr>
          <w:lang w:eastAsia="en-AU"/>
        </w:rPr>
        <w:br/>
      </w:r>
      <w:r w:rsidR="001808F2">
        <w:rPr>
          <w:lang w:eastAsia="en-AU"/>
        </w:rPr>
        <w:br/>
      </w:r>
      <w:r w:rsidRPr="000B4571">
        <w:rPr>
          <w:b/>
          <w:bCs/>
          <w:lang w:eastAsia="en-AU"/>
        </w:rPr>
        <w:t xml:space="preserve">Addressing family violence in culturally safe ways </w:t>
      </w:r>
    </w:p>
    <w:p w14:paraId="74C4FAE4" w14:textId="77777777" w:rsidR="000B4571" w:rsidRPr="000B4571" w:rsidRDefault="000B4571" w:rsidP="000B4571">
      <w:pPr>
        <w:rPr>
          <w:lang w:eastAsia="en-AU"/>
        </w:rPr>
      </w:pPr>
      <w:r w:rsidRPr="000B4571">
        <w:rPr>
          <w:lang w:eastAsia="en-AU"/>
        </w:rPr>
        <w:t>Responding effectively to family violence remains a key priority, both as a stand-alone concern and to reduce subsequent contact with the child protection system. A recent review of Aboriginal children in out of home care showed that 88 per cent of children had experienced family violence as a protective concern.</w:t>
      </w:r>
      <w:r w:rsidRPr="000B4571">
        <w:rPr>
          <w:rStyle w:val="FootnoteReference"/>
          <w:lang w:eastAsia="en-AU"/>
        </w:rPr>
        <w:footnoteReference w:id="6"/>
      </w:r>
      <w:r w:rsidRPr="000B4571">
        <w:rPr>
          <w:lang w:eastAsia="en-AU"/>
        </w:rPr>
        <w:t xml:space="preserve"> </w:t>
      </w:r>
    </w:p>
    <w:p w14:paraId="43D9FDC8" w14:textId="77777777" w:rsidR="000B4571" w:rsidRPr="000B4571" w:rsidRDefault="000B4571" w:rsidP="000B4571">
      <w:pPr>
        <w:rPr>
          <w:lang w:eastAsia="en-AU"/>
        </w:rPr>
      </w:pPr>
      <w:r w:rsidRPr="000B4571">
        <w:rPr>
          <w:lang w:eastAsia="en-AU"/>
        </w:rPr>
        <w:lastRenderedPageBreak/>
        <w:t>This demonstrates the importance of providing coordinated, specialised and culturally appropriate supports to Aboriginal family violence victim survivors, who are predominantly female, to enable them to stay safe, address any protective concerns and keep children safe. VLA also recognises the importance Aboriginal Community Controlled Organisations providing culturally safe services and the need for this support to have a strong focus on enabling victim survivors to maintain safe care of their children, within family, connected to culture and identity.</w:t>
      </w:r>
      <w:r w:rsidRPr="000B4571">
        <w:rPr>
          <w:rStyle w:val="FootnoteReference"/>
          <w:lang w:eastAsia="en-AU"/>
        </w:rPr>
        <w:footnoteReference w:id="7"/>
      </w:r>
      <w:r w:rsidRPr="000B4571">
        <w:rPr>
          <w:lang w:eastAsia="en-AU"/>
        </w:rPr>
        <w:t xml:space="preserve"> </w:t>
      </w:r>
    </w:p>
    <w:p w14:paraId="1CE9AC5D" w14:textId="77777777" w:rsidR="000B4571" w:rsidRPr="000B4571" w:rsidRDefault="000B4571" w:rsidP="000B4571">
      <w:pPr>
        <w:rPr>
          <w:lang w:eastAsia="en-AU"/>
        </w:rPr>
      </w:pPr>
      <w:r w:rsidRPr="000B4571">
        <w:rPr>
          <w:lang w:eastAsia="en-AU"/>
        </w:rPr>
        <w:t xml:space="preserve">VLA welcomes the introduction of the Orange Door, </w:t>
      </w:r>
      <w:proofErr w:type="gramStart"/>
      <w:r w:rsidRPr="000B4571">
        <w:rPr>
          <w:lang w:eastAsia="en-AU"/>
        </w:rPr>
        <w:t>however</w:t>
      </w:r>
      <w:proofErr w:type="gramEnd"/>
      <w:r w:rsidRPr="000B4571">
        <w:rPr>
          <w:lang w:eastAsia="en-AU"/>
        </w:rPr>
        <w:t xml:space="preserve"> notes that the model – which involves co-location of community based child protection and perpetrator services, creates an unintended, adverse impact for Aboriginal people, families and communities. We welcome the Victorian government’s incorporation of Aboriginal positions and organisations within the Orange Door and continue to note the importance of the Orange Door being grounded in self-determination principles.</w:t>
      </w:r>
      <w:r w:rsidRPr="000B4571">
        <w:rPr>
          <w:rStyle w:val="FootnoteReference"/>
          <w:lang w:eastAsia="en-AU"/>
        </w:rPr>
        <w:footnoteReference w:id="8"/>
      </w:r>
      <w:r w:rsidRPr="000B4571">
        <w:rPr>
          <w:lang w:eastAsia="en-AU"/>
        </w:rPr>
        <w:t xml:space="preserve"> </w:t>
      </w:r>
    </w:p>
    <w:p w14:paraId="4B8622EF" w14:textId="77777777" w:rsidR="000B4571" w:rsidRPr="000B4571" w:rsidRDefault="000B4571" w:rsidP="000B4571">
      <w:pPr>
        <w:rPr>
          <w:lang w:eastAsia="en-AU"/>
        </w:rPr>
      </w:pPr>
      <w:r w:rsidRPr="000B4571">
        <w:rPr>
          <w:lang w:eastAsia="en-AU"/>
        </w:rPr>
        <w:t>VLA also recognises that Aboriginal young people living in regional areas are further disadvantaged by the lack of access to essential support services. The Gippsland legal assistance sector’s recent investigation into access to justice in the Latrobe Valley identified this as an issue which can result in Aboriginal young people not receiving the supports that they need in order to reduce the likelihood of criminal engagement.</w:t>
      </w:r>
      <w:r w:rsidRPr="000B4571">
        <w:rPr>
          <w:rStyle w:val="FootnoteReference"/>
          <w:lang w:eastAsia="en-AU"/>
        </w:rPr>
        <w:footnoteReference w:id="9"/>
      </w:r>
    </w:p>
    <w:p w14:paraId="73F6F8AC" w14:textId="77777777" w:rsidR="000B4571" w:rsidRPr="000B4571" w:rsidRDefault="000B4571" w:rsidP="000B4571">
      <w:pPr>
        <w:rPr>
          <w:b/>
          <w:bCs/>
          <w:lang w:eastAsia="en-AU"/>
        </w:rPr>
      </w:pPr>
      <w:r w:rsidRPr="000B4571">
        <w:rPr>
          <w:b/>
          <w:bCs/>
          <w:lang w:eastAsia="en-AU"/>
        </w:rPr>
        <w:t xml:space="preserve">Adolescents who use family violence in the home </w:t>
      </w:r>
    </w:p>
    <w:p w14:paraId="64AED41F" w14:textId="36A29DA3" w:rsidR="000B4571" w:rsidRPr="000B4571" w:rsidRDefault="000B4571" w:rsidP="000B4571">
      <w:pPr>
        <w:ind w:right="33"/>
        <w:rPr>
          <w:lang w:eastAsia="en-AU"/>
        </w:rPr>
      </w:pPr>
      <w:r w:rsidRPr="000B4571">
        <w:rPr>
          <w:lang w:eastAsia="en-AU"/>
        </w:rPr>
        <w:t xml:space="preserve">Family violence is not only a driver of child protection involvement, it is also an issue that can result in the unnecessary criminalisation of Aboriginal </w:t>
      </w:r>
      <w:r w:rsidR="001808F2">
        <w:rPr>
          <w:lang w:eastAsia="en-AU"/>
        </w:rPr>
        <w:t>children and young people</w:t>
      </w:r>
      <w:r w:rsidR="001808F2" w:rsidRPr="000B4571">
        <w:rPr>
          <w:lang w:eastAsia="en-AU"/>
        </w:rPr>
        <w:t xml:space="preserve"> </w:t>
      </w:r>
      <w:r w:rsidRPr="000B4571">
        <w:rPr>
          <w:lang w:eastAsia="en-AU"/>
        </w:rPr>
        <w:t xml:space="preserve">in its own right. </w:t>
      </w:r>
    </w:p>
    <w:p w14:paraId="220C89FF" w14:textId="77777777" w:rsidR="000B4571" w:rsidRPr="000B4571" w:rsidRDefault="000B4571" w:rsidP="000B4571">
      <w:pPr>
        <w:ind w:right="33"/>
        <w:rPr>
          <w:lang w:eastAsia="en-AU"/>
        </w:rPr>
      </w:pPr>
      <w:r w:rsidRPr="000B4571">
        <w:rPr>
          <w:lang w:eastAsia="en-AU"/>
        </w:rPr>
        <w:t xml:space="preserve">VLA’s practice experience confirms that children and young people who use violence usually present with a range of complex behavioural, mental, physical, and emotional issues including neurological or emotional harm caused by recent or long-term exposure to family violence, neglect or abuse, substance abuse, family breakdown, unresolved grief and loss. </w:t>
      </w:r>
    </w:p>
    <w:p w14:paraId="5616C238" w14:textId="77777777" w:rsidR="000B4571" w:rsidRPr="000B4571" w:rsidRDefault="000B4571" w:rsidP="000B4571">
      <w:pPr>
        <w:ind w:right="33"/>
        <w:rPr>
          <w:lang w:eastAsia="en-AU"/>
        </w:rPr>
      </w:pPr>
      <w:r w:rsidRPr="000B4571">
        <w:rPr>
          <w:lang w:eastAsia="en-AU"/>
        </w:rPr>
        <w:t>These experiences may manifest themselves in challenging adolescent behaviours. Children and young people are still developing and can be experiencing undiagnosed mental health issues. The young person’s use of violence may then result in one or multiple legal issues such as criminal charges, child protection intervention, or personal safety or family violence intervention orders (FVIOs).</w:t>
      </w:r>
    </w:p>
    <w:p w14:paraId="4225BC3B" w14:textId="77777777" w:rsidR="000B4571" w:rsidRPr="000B4571" w:rsidRDefault="000B4571" w:rsidP="000B4571">
      <w:pPr>
        <w:ind w:right="33"/>
        <w:rPr>
          <w:lang w:eastAsia="en-AU"/>
        </w:rPr>
      </w:pPr>
      <w:r w:rsidRPr="000B4571">
        <w:rPr>
          <w:rFonts w:cs="Arial"/>
        </w:rPr>
        <w:t>Currently the family violence system struggles with how best to juggle the competing needs of protecting the best interests of young people and the safety of their family when an adolescent is using violence in the home. Adolescent violence has some similarities with adult family violence, but adolescent violence in the home also has unique characteristics and requires different responses.</w:t>
      </w:r>
      <w:r w:rsidRPr="000B4571">
        <w:rPr>
          <w:rStyle w:val="FootnoteReference"/>
        </w:rPr>
        <w:footnoteReference w:id="10"/>
      </w:r>
      <w:r w:rsidRPr="000B4571">
        <w:rPr>
          <w:rFonts w:cs="Arial"/>
        </w:rPr>
        <w:t xml:space="preserve"> </w:t>
      </w:r>
    </w:p>
    <w:p w14:paraId="3CB2EDC3" w14:textId="77777777" w:rsidR="000B4571" w:rsidRPr="000B4571" w:rsidRDefault="000B4571" w:rsidP="000B4571">
      <w:pPr>
        <w:ind w:right="33"/>
        <w:rPr>
          <w:lang w:eastAsia="en-AU"/>
        </w:rPr>
      </w:pPr>
      <w:r w:rsidRPr="000B4571">
        <w:rPr>
          <w:rFonts w:cs="Arial"/>
          <w:color w:val="000000" w:themeColor="text1"/>
          <w:lang w:eastAsia="en-AU"/>
        </w:rPr>
        <w:t>Despite this, w</w:t>
      </w:r>
      <w:r w:rsidRPr="000B4571">
        <w:rPr>
          <w:lang w:eastAsia="en-AU"/>
        </w:rPr>
        <w:t xml:space="preserve">e are seeing FVIOs sometimes being used as a form of first response for adolescents who use family violence. The Gippsland Legal Assistance Forum’s report earlier this year on justice issues in the Latrobe Valley, for example, showed that the number of family </w:t>
      </w:r>
      <w:r w:rsidRPr="000B4571">
        <w:rPr>
          <w:lang w:eastAsia="en-AU"/>
        </w:rPr>
        <w:lastRenderedPageBreak/>
        <w:t>violence intervention orders being taken out against children in that region is the highest in the state (4.27 per 1000 young people aged 10-17 years), with Aboriginal young people likely to be over-represented in this number.</w:t>
      </w:r>
      <w:r w:rsidRPr="000B4571">
        <w:rPr>
          <w:rStyle w:val="FootnoteReference"/>
          <w:lang w:eastAsia="en-AU"/>
        </w:rPr>
        <w:footnoteReference w:id="11"/>
      </w:r>
      <w:r w:rsidRPr="000B4571">
        <w:rPr>
          <w:lang w:eastAsia="en-AU"/>
        </w:rPr>
        <w:t xml:space="preserve"> </w:t>
      </w:r>
    </w:p>
    <w:p w14:paraId="375832DF" w14:textId="77777777" w:rsidR="000B4571" w:rsidRPr="000B4571" w:rsidRDefault="000B4571" w:rsidP="000B4571">
      <w:pPr>
        <w:ind w:right="33"/>
        <w:rPr>
          <w:lang w:eastAsia="en-AU"/>
        </w:rPr>
      </w:pPr>
      <w:r w:rsidRPr="000B4571">
        <w:rPr>
          <w:lang w:eastAsia="en-AU"/>
        </w:rPr>
        <w:t>The use of an FVIO does not in itself provide the range of supports a young person may need, and can lead to the removal of the respondent child to protect other children in the family or the risk of involving child protection to assess whether parents are deemed able to care safely for a child with complex mental health needs. The presence of a FVIO also creates the risk of a respondent child then breaching the order, leading to criminal charges.</w:t>
      </w:r>
    </w:p>
    <w:p w14:paraId="4DA47778" w14:textId="071C7E7D" w:rsidR="000B4571" w:rsidRPr="000B4571" w:rsidRDefault="000B4571" w:rsidP="000B4571">
      <w:pPr>
        <w:ind w:right="33"/>
        <w:rPr>
          <w:lang w:eastAsia="en-AU"/>
        </w:rPr>
      </w:pPr>
      <w:r w:rsidRPr="000B4571">
        <w:rPr>
          <w:rFonts w:cs="Arial"/>
          <w:color w:val="000000" w:themeColor="text1"/>
          <w:lang w:eastAsia="en-AU"/>
        </w:rPr>
        <w:t>The Royal Commission into Family Violence made six recommendations for establishing a specialised response for adolescents</w:t>
      </w:r>
      <w:r w:rsidR="002D4FA0">
        <w:rPr>
          <w:rFonts w:cs="Arial"/>
          <w:color w:val="000000" w:themeColor="text1"/>
          <w:lang w:eastAsia="en-AU"/>
        </w:rPr>
        <w:t xml:space="preserve"> </w:t>
      </w:r>
      <w:r w:rsidR="002D4FA0" w:rsidRPr="000B4571">
        <w:rPr>
          <w:rFonts w:cs="Arial"/>
          <w:color w:val="000000" w:themeColor="text1"/>
          <w:lang w:eastAsia="en-AU"/>
        </w:rPr>
        <w:t>(</w:t>
      </w:r>
      <w:r w:rsidR="002D4FA0">
        <w:rPr>
          <w:rFonts w:cs="Arial"/>
          <w:color w:val="000000" w:themeColor="text1"/>
          <w:lang w:eastAsia="en-AU"/>
        </w:rPr>
        <w:t xml:space="preserve">recommendations </w:t>
      </w:r>
      <w:r w:rsidR="002D4FA0" w:rsidRPr="000B4571">
        <w:rPr>
          <w:rFonts w:cs="Arial"/>
          <w:color w:val="000000" w:themeColor="text1"/>
          <w:lang w:eastAsia="en-AU"/>
        </w:rPr>
        <w:t>123–128)</w:t>
      </w:r>
      <w:r w:rsidRPr="000B4571">
        <w:rPr>
          <w:rFonts w:cs="Arial"/>
          <w:color w:val="000000" w:themeColor="text1"/>
          <w:lang w:eastAsia="en-AU"/>
        </w:rPr>
        <w:t>. While implementation of the recommendations is in progress, it is crucial that family violence responses for young people are resourced to identify and respond to the complexity of behavioural, development, and mental health needs of young people.</w:t>
      </w:r>
      <w:r w:rsidRPr="000B4571">
        <w:rPr>
          <w:rStyle w:val="FootnoteReference"/>
          <w:rFonts w:cs="Arial"/>
          <w:color w:val="000000" w:themeColor="text1"/>
          <w:lang w:eastAsia="en-AU"/>
        </w:rPr>
        <w:footnoteReference w:id="12"/>
      </w:r>
      <w:r w:rsidRPr="000B4571">
        <w:rPr>
          <w:lang w:eastAsia="en-AU"/>
        </w:rPr>
        <w:t xml:space="preserve"> This should include specialised culturally safe services for Aboriginal young people. </w:t>
      </w:r>
    </w:p>
    <w:p w14:paraId="320E1977" w14:textId="77777777" w:rsidR="000B4571" w:rsidRPr="000B4571" w:rsidRDefault="000B4571" w:rsidP="000B4571">
      <w:pPr>
        <w:rPr>
          <w:b/>
          <w:bCs/>
          <w:lang w:eastAsia="en-AU"/>
        </w:rPr>
      </w:pPr>
      <w:r w:rsidRPr="000B4571">
        <w:rPr>
          <w:b/>
          <w:bCs/>
          <w:lang w:eastAsia="en-AU"/>
        </w:rPr>
        <w:t>Early intervention family and child protection services</w:t>
      </w:r>
    </w:p>
    <w:p w14:paraId="61F3BD2D" w14:textId="1DABFBB2" w:rsidR="000B4571" w:rsidRPr="000B4571" w:rsidRDefault="000B4571" w:rsidP="000B4571">
      <w:pPr>
        <w:rPr>
          <w:lang w:eastAsia="en-AU"/>
        </w:rPr>
      </w:pPr>
      <w:r w:rsidRPr="000B4571">
        <w:rPr>
          <w:lang w:eastAsia="en-AU"/>
        </w:rPr>
        <w:t>Arising from a comprehensive review of child protection legal aid services in Victoria, VLA has invested in funding the Independent Family Advocacy and Support service (IFAS)</w:t>
      </w:r>
      <w:r w:rsidR="00D71F3B">
        <w:rPr>
          <w:lang w:eastAsia="en-AU"/>
        </w:rPr>
        <w:t>. IFAS is</w:t>
      </w:r>
      <w:r w:rsidRPr="000B4571">
        <w:rPr>
          <w:rStyle w:val="Hyperlink"/>
          <w:color w:val="auto"/>
          <w:u w:val="none"/>
          <w:lang w:eastAsia="en-AU"/>
        </w:rPr>
        <w:t xml:space="preserve"> a</w:t>
      </w:r>
      <w:r w:rsidRPr="000B4571">
        <w:t xml:space="preserve"> </w:t>
      </w:r>
      <w:r w:rsidRPr="000B4571">
        <w:rPr>
          <w:rStyle w:val="Hyperlink"/>
          <w:color w:val="auto"/>
          <w:u w:val="none"/>
          <w:lang w:eastAsia="en-AU"/>
        </w:rPr>
        <w:t>three-year pilot service to provide non-legal advocacy and support to families engaged with the child protection system, focusing on matters before they go to court. This small pilot project commenced in October 2018</w:t>
      </w:r>
      <w:r w:rsidR="00D71F3B">
        <w:rPr>
          <w:lang w:eastAsia="en-AU"/>
        </w:rPr>
        <w:t>,</w:t>
      </w:r>
      <w:r w:rsidR="00D71F3B" w:rsidRPr="000B4571">
        <w:rPr>
          <w:lang w:eastAsia="en-AU"/>
        </w:rPr>
        <w:t xml:space="preserve"> delivering services to people who live or work in the pilot sites of Darebin, Moreland and Bendigo</w:t>
      </w:r>
      <w:r w:rsidR="00D71F3B">
        <w:rPr>
          <w:rStyle w:val="Hyperlink"/>
          <w:color w:val="auto"/>
          <w:u w:val="none"/>
          <w:lang w:eastAsia="en-AU"/>
        </w:rPr>
        <w:t>. It</w:t>
      </w:r>
      <w:r w:rsidRPr="000B4571">
        <w:rPr>
          <w:rStyle w:val="Hyperlink"/>
          <w:color w:val="auto"/>
          <w:u w:val="none"/>
          <w:lang w:eastAsia="en-AU"/>
        </w:rPr>
        <w:t xml:space="preserve"> focus</w:t>
      </w:r>
      <w:r w:rsidR="00D71F3B">
        <w:rPr>
          <w:rStyle w:val="Hyperlink"/>
          <w:color w:val="auto"/>
          <w:u w:val="none"/>
          <w:lang w:eastAsia="en-AU"/>
        </w:rPr>
        <w:t>es</w:t>
      </w:r>
      <w:r w:rsidRPr="000B4571">
        <w:rPr>
          <w:rStyle w:val="Hyperlink"/>
          <w:color w:val="auto"/>
          <w:u w:val="none"/>
          <w:lang w:eastAsia="en-AU"/>
        </w:rPr>
        <w:t xml:space="preserve"> particularly </w:t>
      </w:r>
      <w:r w:rsidRPr="000B4571">
        <w:rPr>
          <w:lang w:eastAsia="en-AU"/>
        </w:rPr>
        <w:t>on Aboriginal and Torres Strait Islander families and parents</w:t>
      </w:r>
      <w:r w:rsidR="00D71F3B">
        <w:rPr>
          <w:lang w:eastAsia="en-AU"/>
        </w:rPr>
        <w:t>,</w:t>
      </w:r>
      <w:r w:rsidRPr="000B4571">
        <w:rPr>
          <w:lang w:eastAsia="en-AU"/>
        </w:rPr>
        <w:t xml:space="preserve"> and parents with an intellectual disability.</w:t>
      </w:r>
      <w:r w:rsidRPr="000B4571">
        <w:rPr>
          <w:rStyle w:val="FootnoteReference"/>
          <w:lang w:eastAsia="en-AU"/>
        </w:rPr>
        <w:footnoteReference w:id="13"/>
      </w:r>
      <w:r w:rsidRPr="000B4571">
        <w:rPr>
          <w:lang w:eastAsia="en-AU"/>
        </w:rPr>
        <w:t xml:space="preserve"> </w:t>
      </w:r>
    </w:p>
    <w:p w14:paraId="5EAD441B" w14:textId="77777777" w:rsidR="000B4571" w:rsidRPr="000B4571" w:rsidRDefault="000B4571" w:rsidP="000B4571">
      <w:pPr>
        <w:rPr>
          <w:lang w:eastAsia="en-AU"/>
        </w:rPr>
      </w:pPr>
      <w:r w:rsidRPr="000B4571">
        <w:rPr>
          <w:lang w:eastAsia="en-AU"/>
        </w:rPr>
        <w:t>IFAS advocates work with clients to provide information about the child protection system, identify their own goals and needs and develop their skills and confidence to speak up for themselves, and can also advocate for clients directly in some circumstances and arrange referrals to other support services like drug and alcohol counselling or parenting programs. The service can also arrange referrals for legal advice if this is required. The IFAS team includes a lived experience consultant who supports a reference group of people with lived experience of the child protection system to provide strong input into IFAS’ services.</w:t>
      </w:r>
    </w:p>
    <w:p w14:paraId="381ABB11" w14:textId="77777777" w:rsidR="000B4571" w:rsidRPr="000B4571" w:rsidRDefault="000B4571" w:rsidP="000B4571">
      <w:pPr>
        <w:rPr>
          <w:lang w:eastAsia="en-AU"/>
        </w:rPr>
      </w:pPr>
      <w:r w:rsidRPr="000B4571">
        <w:rPr>
          <w:lang w:eastAsia="en-AU"/>
        </w:rPr>
        <w:t xml:space="preserve">The pilot will be evaluated to determine if a pre-court, non-legal advocacy service helps more families to engage with child protection and other services, provides a better experience for clients and leads to a reduction in child protection court proceedings. </w:t>
      </w:r>
    </w:p>
    <w:p w14:paraId="74874D4B" w14:textId="11C33150" w:rsidR="000B4571" w:rsidRPr="000B4571" w:rsidRDefault="000B4571" w:rsidP="000B4571">
      <w:pPr>
        <w:rPr>
          <w:lang w:eastAsia="en-AU"/>
        </w:rPr>
      </w:pPr>
      <w:r w:rsidRPr="000B4571">
        <w:rPr>
          <w:lang w:eastAsia="en-AU"/>
        </w:rPr>
        <w:t xml:space="preserve">While the IFAS pilot is only in its early stages, it has already shown promising outcomes. We would encourage consideration of how earlier intervention family services, and processes such as Aboriginal Family-Led Decision Making, could be further supported and recognised as an essential </w:t>
      </w:r>
      <w:r w:rsidRPr="000B4571">
        <w:rPr>
          <w:lang w:eastAsia="en-AU"/>
        </w:rPr>
        <w:lastRenderedPageBreak/>
        <w:t>pillar in keeping Aboriginal families together and Aboriginal youth outside of the youth justice system.</w:t>
      </w:r>
      <w:r w:rsidR="004A4A3D">
        <w:rPr>
          <w:lang w:eastAsia="en-AU"/>
        </w:rPr>
        <w:t xml:space="preserve"> </w:t>
      </w:r>
    </w:p>
    <w:p w14:paraId="05AD3973" w14:textId="77777777" w:rsidR="000B4571" w:rsidRPr="000B4571" w:rsidRDefault="000B4571" w:rsidP="000B4571">
      <w:pPr>
        <w:pStyle w:val="Heading2"/>
      </w:pPr>
      <w:bookmarkStart w:id="19" w:name="_Toc25238913"/>
      <w:r w:rsidRPr="000B4571">
        <w:t>Compliance with child protection system obligations that support maintenance of connection with Aboriginal culture</w:t>
      </w:r>
      <w:bookmarkEnd w:id="19"/>
      <w:r w:rsidRPr="000B4571">
        <w:t xml:space="preserve"> </w:t>
      </w:r>
    </w:p>
    <w:p w14:paraId="6181A659" w14:textId="3EEAA6C8" w:rsidR="000B4571" w:rsidRPr="000B4571" w:rsidRDefault="000B4571" w:rsidP="000B4571">
      <w:pPr>
        <w:spacing w:line="320" w:lineRule="atLeast"/>
        <w:rPr>
          <w:rFonts w:cs="Arial"/>
        </w:rPr>
      </w:pPr>
      <w:r w:rsidRPr="000B4571">
        <w:rPr>
          <w:rFonts w:cs="Arial"/>
        </w:rPr>
        <w:t xml:space="preserve">Aboriginal children in the child protection system have a fundamental right to preserve and enjoy their Aboriginal culture in connection to family and community. This connection is often disrupted when an Aboriginal child enters the child protection system. The </w:t>
      </w:r>
      <w:r w:rsidRPr="000B4571">
        <w:rPr>
          <w:rFonts w:cs="Arial"/>
          <w:i/>
        </w:rPr>
        <w:t>Victorian Charter of Human Rights and Responsibilities Act 2006</w:t>
      </w:r>
      <w:r w:rsidRPr="000B4571">
        <w:rPr>
          <w:rFonts w:cs="Arial"/>
        </w:rPr>
        <w:t xml:space="preserve"> (the Charter) recognises that Aboriginal persons hold distinct cultural rights, and must not be denied the right </w:t>
      </w:r>
      <w:r w:rsidR="00062607">
        <w:rPr>
          <w:rFonts w:cs="Arial"/>
        </w:rPr>
        <w:t xml:space="preserve">to exercise this </w:t>
      </w:r>
      <w:r w:rsidRPr="000B4571">
        <w:rPr>
          <w:rFonts w:cs="Arial"/>
        </w:rPr>
        <w:t>with other members of their community:</w:t>
      </w:r>
    </w:p>
    <w:p w14:paraId="45D79FAA" w14:textId="77777777" w:rsidR="000B4571" w:rsidRPr="000B4571" w:rsidRDefault="000B4571" w:rsidP="000B4571">
      <w:pPr>
        <w:pStyle w:val="ListParagraph"/>
        <w:numPr>
          <w:ilvl w:val="0"/>
          <w:numId w:val="5"/>
        </w:numPr>
        <w:spacing w:before="60" w:after="0"/>
        <w:ind w:left="714" w:hanging="357"/>
        <w:rPr>
          <w:lang w:eastAsia="en-AU"/>
        </w:rPr>
      </w:pPr>
      <w:r w:rsidRPr="000B4571">
        <w:rPr>
          <w:rFonts w:cs="Arial"/>
        </w:rPr>
        <w:t xml:space="preserve">to </w:t>
      </w:r>
      <w:r w:rsidRPr="000B4571">
        <w:rPr>
          <w:lang w:eastAsia="en-AU"/>
        </w:rPr>
        <w:t>enjoy their identity and culture</w:t>
      </w:r>
    </w:p>
    <w:p w14:paraId="7C1515D8" w14:textId="77777777" w:rsidR="000B4571" w:rsidRPr="000B4571" w:rsidRDefault="000B4571" w:rsidP="000B4571">
      <w:pPr>
        <w:pStyle w:val="ListParagraph"/>
        <w:numPr>
          <w:ilvl w:val="0"/>
          <w:numId w:val="5"/>
        </w:numPr>
        <w:spacing w:before="60" w:after="0"/>
        <w:ind w:left="714" w:hanging="357"/>
        <w:rPr>
          <w:lang w:eastAsia="en-AU"/>
        </w:rPr>
      </w:pPr>
      <w:r w:rsidRPr="000B4571">
        <w:rPr>
          <w:lang w:eastAsia="en-AU"/>
        </w:rPr>
        <w:t>to maintain and use their language</w:t>
      </w:r>
    </w:p>
    <w:p w14:paraId="4FF3FE8C" w14:textId="77777777" w:rsidR="000B4571" w:rsidRPr="000B4571" w:rsidRDefault="000B4571" w:rsidP="000B4571">
      <w:pPr>
        <w:pStyle w:val="ListParagraph"/>
        <w:numPr>
          <w:ilvl w:val="0"/>
          <w:numId w:val="5"/>
        </w:numPr>
        <w:spacing w:before="60" w:after="0"/>
        <w:ind w:left="714" w:hanging="357"/>
        <w:rPr>
          <w:lang w:eastAsia="en-AU"/>
        </w:rPr>
      </w:pPr>
      <w:r w:rsidRPr="000B4571">
        <w:rPr>
          <w:lang w:eastAsia="en-AU"/>
        </w:rPr>
        <w:t>to maintain their kinship ties</w:t>
      </w:r>
    </w:p>
    <w:p w14:paraId="5E791D18" w14:textId="77777777" w:rsidR="000B4571" w:rsidRPr="000B4571" w:rsidRDefault="000B4571" w:rsidP="000B4571">
      <w:pPr>
        <w:pStyle w:val="ListParagraph"/>
        <w:numPr>
          <w:ilvl w:val="0"/>
          <w:numId w:val="5"/>
        </w:numPr>
        <w:spacing w:before="60" w:after="0"/>
        <w:ind w:left="714" w:hanging="357"/>
        <w:rPr>
          <w:rFonts w:cs="Arial"/>
        </w:rPr>
      </w:pPr>
      <w:r w:rsidRPr="000B4571">
        <w:rPr>
          <w:lang w:eastAsia="en-AU"/>
        </w:rPr>
        <w:t>to maintain their distinctive spiritual, material and economic relationship with the land and waters and other resources with which they have a connection under traditional laws and customs</w:t>
      </w:r>
      <w:r w:rsidRPr="000B4571">
        <w:rPr>
          <w:rFonts w:cs="Arial"/>
        </w:rPr>
        <w:t>.</w:t>
      </w:r>
    </w:p>
    <w:p w14:paraId="675E128F" w14:textId="0A2E6CEF" w:rsidR="000B4571" w:rsidRPr="000B4571" w:rsidRDefault="000B4571" w:rsidP="000B4571">
      <w:pPr>
        <w:spacing w:line="320" w:lineRule="atLeast"/>
        <w:rPr>
          <w:rFonts w:cs="Arial"/>
          <w:color w:val="000000" w:themeColor="text1"/>
        </w:rPr>
      </w:pPr>
      <w:r w:rsidRPr="000B4571">
        <w:rPr>
          <w:rFonts w:cs="Arial"/>
          <w:color w:val="000000" w:themeColor="text1"/>
        </w:rPr>
        <w:t>VLA notes the findings of the Commission for Children and Young People 2015 inquiry into compliance with the intent of the Aboriginal Child Placement Principle in Victoria.</w:t>
      </w:r>
      <w:r w:rsidRPr="000B4571">
        <w:rPr>
          <w:rStyle w:val="FootnoteReference"/>
          <w:rFonts w:cs="Arial"/>
          <w:color w:val="000000" w:themeColor="text1"/>
          <w:sz w:val="22"/>
          <w:szCs w:val="22"/>
        </w:rPr>
        <w:footnoteReference w:id="14"/>
      </w:r>
      <w:r w:rsidRPr="000B4571">
        <w:rPr>
          <w:rFonts w:cs="Arial"/>
          <w:color w:val="000000" w:themeColor="text1"/>
        </w:rPr>
        <w:t xml:space="preserve"> The Commission identified practice deficits in respecting and establishing children’s Aboriginal identity (with early identification an issue) and a lack of compliance with legislative and policy obligations</w:t>
      </w:r>
      <w:r w:rsidR="00593F7D">
        <w:rPr>
          <w:rFonts w:cs="Arial"/>
          <w:color w:val="000000" w:themeColor="text1"/>
        </w:rPr>
        <w:t>.</w:t>
      </w:r>
      <w:r w:rsidRPr="000B4571">
        <w:rPr>
          <w:rFonts w:cs="Arial"/>
          <w:color w:val="000000" w:themeColor="text1"/>
        </w:rPr>
        <w:t xml:space="preserve"> </w:t>
      </w:r>
      <w:r w:rsidR="00593F7D">
        <w:rPr>
          <w:rFonts w:cs="Arial"/>
          <w:color w:val="000000" w:themeColor="text1"/>
        </w:rPr>
        <w:t>This i</w:t>
      </w:r>
      <w:r w:rsidRPr="000B4571">
        <w:rPr>
          <w:rFonts w:cs="Arial"/>
          <w:color w:val="000000" w:themeColor="text1"/>
        </w:rPr>
        <w:t>nclud</w:t>
      </w:r>
      <w:r w:rsidR="00593F7D">
        <w:rPr>
          <w:rFonts w:cs="Arial"/>
          <w:color w:val="000000" w:themeColor="text1"/>
        </w:rPr>
        <w:t>ed</w:t>
      </w:r>
      <w:r w:rsidRPr="000B4571">
        <w:rPr>
          <w:rFonts w:cs="Arial"/>
          <w:color w:val="000000" w:themeColor="text1"/>
        </w:rPr>
        <w:t xml:space="preserve"> child protection practitioners failing to observe the Aboriginal Child Placement Principle, with failure to properly explore whether there are suitable carers in the family / community (and where supports may be needed to facilitate a kinship placement) and magistrates failing to apply the principle, but also failing to convene timely Aboriginal Family-Led Decision-Making meetings and poor cultural support planning. </w:t>
      </w:r>
    </w:p>
    <w:p w14:paraId="1EFAE6EC" w14:textId="77777777" w:rsidR="000B4571" w:rsidRPr="000B4571" w:rsidRDefault="000B4571" w:rsidP="000B4571">
      <w:pPr>
        <w:spacing w:line="320" w:lineRule="atLeast"/>
        <w:rPr>
          <w:szCs w:val="22"/>
        </w:rPr>
      </w:pPr>
      <w:r w:rsidRPr="000B4571">
        <w:rPr>
          <w:rFonts w:cs="Arial"/>
          <w:color w:val="000000" w:themeColor="text1"/>
        </w:rPr>
        <w:t>While the Commission made 54 recommendations, VLA lawyers continue to see a lack of compliance and we are concerned that the Commission’s recommendations have not been implemented. We h</w:t>
      </w:r>
      <w:r w:rsidRPr="000B4571">
        <w:rPr>
          <w:rFonts w:cs="Arial"/>
          <w:iCs/>
        </w:rPr>
        <w:t>ighlight the need for a strong implementation plan, a communications plan that is visible across the state, concrete agreements from Government and other agencies who are responsible for implementing recommendations, and independent monitoring and evaluation of the plan.</w:t>
      </w:r>
    </w:p>
    <w:p w14:paraId="1A799F96" w14:textId="77777777" w:rsidR="000B4571" w:rsidRPr="000B4571" w:rsidRDefault="000B4571" w:rsidP="000B4571">
      <w:pPr>
        <w:pStyle w:val="Heading2"/>
      </w:pPr>
      <w:bookmarkStart w:id="20" w:name="_Toc25238914"/>
      <w:r w:rsidRPr="000B4571">
        <w:t>Criminalisation of children in residential care placements</w:t>
      </w:r>
      <w:bookmarkEnd w:id="20"/>
    </w:p>
    <w:p w14:paraId="46EC0BA4" w14:textId="45F472F0" w:rsidR="000B4571" w:rsidRPr="000B4571" w:rsidRDefault="000B4571" w:rsidP="000B4571">
      <w:pPr>
        <w:rPr>
          <w:rFonts w:cs="Arial"/>
          <w:color w:val="000000" w:themeColor="text1"/>
          <w:szCs w:val="22"/>
          <w:shd w:val="clear" w:color="auto" w:fill="FFFFFF"/>
        </w:rPr>
      </w:pPr>
      <w:r w:rsidRPr="000B4571">
        <w:rPr>
          <w:rFonts w:cs="Arial"/>
          <w:color w:val="000000" w:themeColor="text1"/>
          <w:szCs w:val="22"/>
          <w:shd w:val="clear" w:color="auto" w:fill="FFFFFF"/>
        </w:rPr>
        <w:t>Children placed in out-of-home care are some of the most vulnerable and disadvantaged in the community. Many have been exposed to multiple traumas from a young age due to family violence, substance abuse, neglect or abandonment and/or sexual or physical abuse. Aboriginal children are significantly overrepresented in the residential care placement cohort. While Aboriginal children made up 1.6 percent of the Victorian population on 30 June 2016</w:t>
      </w:r>
      <w:r w:rsidRPr="000B4571">
        <w:rPr>
          <w:rStyle w:val="FootnoteReference"/>
          <w:rFonts w:cs="Arial"/>
          <w:color w:val="000000" w:themeColor="text1"/>
          <w:sz w:val="22"/>
          <w:szCs w:val="22"/>
          <w:shd w:val="clear" w:color="auto" w:fill="FFFFFF"/>
        </w:rPr>
        <w:footnoteReference w:id="15"/>
      </w:r>
      <w:r w:rsidRPr="000B4571">
        <w:rPr>
          <w:rFonts w:cs="Arial"/>
          <w:color w:val="000000" w:themeColor="text1"/>
          <w:szCs w:val="22"/>
          <w:shd w:val="clear" w:color="auto" w:fill="FFFFFF"/>
        </w:rPr>
        <w:t xml:space="preserve"> they are 16.4 times more likely </w:t>
      </w:r>
      <w:r w:rsidRPr="000B4571">
        <w:rPr>
          <w:rFonts w:cs="Arial"/>
          <w:color w:val="000000" w:themeColor="text1"/>
          <w:szCs w:val="22"/>
          <w:shd w:val="clear" w:color="auto" w:fill="FFFFFF"/>
        </w:rPr>
        <w:lastRenderedPageBreak/>
        <w:t>to be to be placed in out of home care than non-indigenous young people – a rate second only to Western Australia.</w:t>
      </w:r>
      <w:r w:rsidRPr="000B4571">
        <w:rPr>
          <w:rStyle w:val="FootnoteReference"/>
          <w:rFonts w:cs="Arial"/>
          <w:color w:val="000000" w:themeColor="text1"/>
          <w:sz w:val="22"/>
          <w:szCs w:val="22"/>
          <w:shd w:val="clear" w:color="auto" w:fill="FFFFFF"/>
        </w:rPr>
        <w:footnoteReference w:id="16"/>
      </w:r>
      <w:r w:rsidRPr="000B4571">
        <w:rPr>
          <w:rFonts w:cs="Arial"/>
          <w:color w:val="000000" w:themeColor="text1"/>
          <w:szCs w:val="22"/>
          <w:shd w:val="clear" w:color="auto" w:fill="FFFFFF"/>
        </w:rPr>
        <w:t xml:space="preserve"> </w:t>
      </w:r>
    </w:p>
    <w:p w14:paraId="68877DB9" w14:textId="49B8C9C3" w:rsidR="000B4571" w:rsidRPr="000B4571" w:rsidRDefault="000B4571" w:rsidP="000B4571">
      <w:pPr>
        <w:shd w:val="clear" w:color="auto" w:fill="FFFFFF"/>
        <w:textAlignment w:val="baseline"/>
        <w:rPr>
          <w:rFonts w:cs="Arial"/>
          <w:color w:val="000000" w:themeColor="text1"/>
          <w:szCs w:val="22"/>
        </w:rPr>
      </w:pPr>
      <w:r w:rsidRPr="000B4571">
        <w:rPr>
          <w:rFonts w:cs="Arial"/>
          <w:color w:val="000000" w:themeColor="text1"/>
          <w:szCs w:val="22"/>
          <w:shd w:val="clear" w:color="auto" w:fill="FFFFFF"/>
        </w:rPr>
        <w:t>The over-representation of children and young people from out-of-home</w:t>
      </w:r>
      <w:r w:rsidR="001429E7">
        <w:rPr>
          <w:rFonts w:cs="Arial"/>
          <w:color w:val="000000" w:themeColor="text1"/>
          <w:szCs w:val="22"/>
          <w:shd w:val="clear" w:color="auto" w:fill="FFFFFF"/>
        </w:rPr>
        <w:t xml:space="preserve"> </w:t>
      </w:r>
      <w:r w:rsidRPr="000B4571">
        <w:rPr>
          <w:rFonts w:cs="Arial"/>
          <w:color w:val="000000" w:themeColor="text1"/>
          <w:szCs w:val="22"/>
          <w:shd w:val="clear" w:color="auto" w:fill="FFFFFF"/>
        </w:rPr>
        <w:t>care in our criminal justice system is a matter of long-standing concern</w:t>
      </w:r>
      <w:r w:rsidR="00A24144">
        <w:rPr>
          <w:rFonts w:cs="Arial"/>
          <w:color w:val="000000" w:themeColor="text1"/>
          <w:szCs w:val="22"/>
          <w:shd w:val="clear" w:color="auto" w:fill="FFFFFF"/>
        </w:rPr>
        <w:t xml:space="preserve"> for VLA</w:t>
      </w:r>
      <w:r w:rsidRPr="000B4571">
        <w:rPr>
          <w:rFonts w:cs="Arial"/>
          <w:color w:val="000000" w:themeColor="text1"/>
          <w:szCs w:val="22"/>
          <w:shd w:val="clear" w:color="auto" w:fill="FFFFFF"/>
        </w:rPr>
        <w:t>. A recent review</w:t>
      </w:r>
      <w:r w:rsidR="00593F7D">
        <w:rPr>
          <w:rFonts w:cs="Arial"/>
          <w:color w:val="000000" w:themeColor="text1"/>
          <w:szCs w:val="22"/>
          <w:shd w:val="clear" w:color="auto" w:fill="FFFFFF"/>
        </w:rPr>
        <w:t xml:space="preserve"> </w:t>
      </w:r>
      <w:r w:rsidRPr="000B4571">
        <w:rPr>
          <w:rFonts w:cs="Arial"/>
          <w:color w:val="000000" w:themeColor="text1"/>
          <w:szCs w:val="22"/>
          <w:shd w:val="clear" w:color="auto" w:fill="FFFFFF"/>
        </w:rPr>
        <w:t>of our child protection client data found that of</w:t>
      </w:r>
      <w:r w:rsidR="00593F7D">
        <w:rPr>
          <w:rFonts w:cs="Arial"/>
          <w:color w:val="000000" w:themeColor="text1"/>
          <w:szCs w:val="22"/>
          <w:shd w:val="clear" w:color="auto" w:fill="FFFFFF"/>
        </w:rPr>
        <w:t xml:space="preserve"> the</w:t>
      </w:r>
      <w:r w:rsidRPr="000B4571">
        <w:rPr>
          <w:rFonts w:cs="Arial"/>
          <w:color w:val="000000" w:themeColor="text1"/>
          <w:szCs w:val="22"/>
          <w:shd w:val="clear" w:color="auto" w:fill="FFFFFF"/>
        </w:rPr>
        <w:t xml:space="preserve"> children we assist with a child protection matter who are placed in residential care, </w:t>
      </w:r>
      <w:r w:rsidRPr="000B4571">
        <w:rPr>
          <w:rFonts w:cs="Arial"/>
          <w:b/>
          <w:bCs/>
          <w:color w:val="000000" w:themeColor="text1"/>
          <w:szCs w:val="22"/>
          <w:bdr w:val="none" w:sz="0" w:space="0" w:color="auto" w:frame="1"/>
          <w:lang w:eastAsia="en-AU"/>
        </w:rPr>
        <w:t xml:space="preserve">57 percent </w:t>
      </w:r>
      <w:r w:rsidRPr="000B4571">
        <w:rPr>
          <w:rFonts w:cs="Arial"/>
          <w:color w:val="000000" w:themeColor="text1"/>
          <w:szCs w:val="22"/>
          <w:lang w:eastAsia="en-AU"/>
        </w:rPr>
        <w:t xml:space="preserve">require legal help for criminal charges within 12 months of placement. </w:t>
      </w:r>
      <w:r w:rsidRPr="000B4571">
        <w:rPr>
          <w:rFonts w:cs="Arial"/>
          <w:b/>
          <w:bCs/>
          <w:color w:val="000000" w:themeColor="text1"/>
          <w:szCs w:val="22"/>
          <w:bdr w:val="none" w:sz="0" w:space="0" w:color="auto" w:frame="1"/>
          <w:lang w:eastAsia="en-AU"/>
        </w:rPr>
        <w:t xml:space="preserve">10 percent </w:t>
      </w:r>
      <w:r w:rsidRPr="000B4571">
        <w:rPr>
          <w:rFonts w:cs="Arial"/>
          <w:color w:val="000000" w:themeColor="text1"/>
          <w:szCs w:val="22"/>
          <w:lang w:eastAsia="en-AU"/>
        </w:rPr>
        <w:t>of these clients identified as Aboriginal or Torres Strait Islander.</w:t>
      </w:r>
      <w:r w:rsidR="00593F7D" w:rsidRPr="000B4571">
        <w:rPr>
          <w:rStyle w:val="FootnoteReference"/>
          <w:rFonts w:cs="Arial"/>
          <w:color w:val="000000" w:themeColor="text1"/>
          <w:szCs w:val="22"/>
          <w:shd w:val="clear" w:color="auto" w:fill="FFFFFF"/>
        </w:rPr>
        <w:footnoteReference w:id="17"/>
      </w:r>
      <w:r w:rsidR="00593F7D" w:rsidRPr="000B4571">
        <w:rPr>
          <w:rFonts w:cs="Arial"/>
          <w:color w:val="000000" w:themeColor="text1"/>
          <w:szCs w:val="22"/>
          <w:shd w:val="clear" w:color="auto" w:fill="FFFFFF"/>
        </w:rPr>
        <w:t xml:space="preserve"> </w:t>
      </w:r>
      <w:r w:rsidRPr="000B4571">
        <w:rPr>
          <w:rFonts w:cs="Arial"/>
          <w:color w:val="000000" w:themeColor="text1"/>
          <w:szCs w:val="22"/>
          <w:lang w:eastAsia="en-AU"/>
        </w:rPr>
        <w:t xml:space="preserve"> </w:t>
      </w:r>
    </w:p>
    <w:p w14:paraId="30EF18AB" w14:textId="77777777" w:rsidR="000B4571" w:rsidRPr="000B4571" w:rsidRDefault="000B4571" w:rsidP="000B4571">
      <w:pPr>
        <w:widowControl w:val="0"/>
        <w:rPr>
          <w:rFonts w:cs="Arial"/>
          <w:color w:val="000000" w:themeColor="text1"/>
          <w:szCs w:val="22"/>
          <w:shd w:val="clear" w:color="auto" w:fill="FFFFFF"/>
        </w:rPr>
      </w:pPr>
      <w:r w:rsidRPr="000B4571">
        <w:rPr>
          <w:rFonts w:cs="Arial"/>
          <w:color w:val="000000" w:themeColor="text1"/>
          <w:szCs w:val="22"/>
          <w:shd w:val="clear" w:color="auto" w:fill="FFFFFF"/>
        </w:rPr>
        <w:t>Numerous studies have shown that despite being removed from environments deemed unsafe, once placed in out-of-home care, too many of these children become unnecessarily involved in our criminal justice system.</w:t>
      </w:r>
      <w:r w:rsidRPr="000B4571">
        <w:rPr>
          <w:rStyle w:val="FootnoteReference"/>
          <w:rFonts w:cs="Arial"/>
          <w:sz w:val="22"/>
          <w:szCs w:val="22"/>
        </w:rPr>
        <w:footnoteReference w:id="18"/>
      </w:r>
      <w:r w:rsidRPr="000B4571">
        <w:rPr>
          <w:rFonts w:cs="Arial"/>
          <w:color w:val="000000" w:themeColor="text1"/>
          <w:szCs w:val="22"/>
          <w:shd w:val="clear" w:color="auto" w:fill="FFFFFF"/>
        </w:rPr>
        <w:t xml:space="preserve"> </w:t>
      </w:r>
      <w:r w:rsidRPr="000B4571">
        <w:rPr>
          <w:szCs w:val="22"/>
        </w:rPr>
        <w:t>There is significant evidence of a link between children and young people experiencing child abuse and neglect and later offending. The Sentencing Advisory Council’s analysis of 2016-2017 data on sentenced or diverted youth found that almost 40% of children sentenced or diverted by the Children’s Court had been the subject of at least one child protection report. It also found that children who are in residential care are the most over-represented group amongst sentenced or diverted children.</w:t>
      </w:r>
      <w:r w:rsidRPr="000B4571">
        <w:rPr>
          <w:rStyle w:val="FootnoteReference"/>
          <w:szCs w:val="22"/>
        </w:rPr>
        <w:footnoteReference w:id="19"/>
      </w:r>
    </w:p>
    <w:p w14:paraId="5F9238A1" w14:textId="1857F3CD" w:rsidR="000B4571" w:rsidRPr="000B4571" w:rsidRDefault="000B4571" w:rsidP="000B4571">
      <w:pPr>
        <w:shd w:val="clear" w:color="auto" w:fill="FFFFFF"/>
        <w:textAlignment w:val="baseline"/>
        <w:rPr>
          <w:rFonts w:cs="Arial"/>
          <w:color w:val="000000" w:themeColor="text1"/>
          <w:szCs w:val="22"/>
        </w:rPr>
      </w:pPr>
      <w:r w:rsidRPr="000B4571">
        <w:rPr>
          <w:rFonts w:cs="Arial"/>
          <w:color w:val="000000" w:themeColor="text1"/>
          <w:szCs w:val="22"/>
          <w:lang w:eastAsia="en-AU"/>
        </w:rPr>
        <w:t xml:space="preserve">This is due at least in part to the continued practice in many residential care facilities of relying on police to manage incidents of challenging behaviour by young people. </w:t>
      </w:r>
      <w:r w:rsidR="00506B14">
        <w:rPr>
          <w:rFonts w:cs="Arial"/>
          <w:color w:val="000000" w:themeColor="text1"/>
          <w:szCs w:val="22"/>
        </w:rPr>
        <w:t>The following client story</w:t>
      </w:r>
      <w:r w:rsidR="00506B14" w:rsidRPr="000B4571">
        <w:rPr>
          <w:rFonts w:cs="Arial"/>
          <w:color w:val="000000" w:themeColor="text1"/>
          <w:szCs w:val="22"/>
        </w:rPr>
        <w:t xml:space="preserve"> demonstrates</w:t>
      </w:r>
      <w:r w:rsidRPr="000B4571">
        <w:rPr>
          <w:rFonts w:cs="Arial"/>
          <w:color w:val="000000" w:themeColor="text1"/>
          <w:szCs w:val="22"/>
        </w:rPr>
        <w:t xml:space="preserve"> the long-term impact criminal charges have on a young person. </w:t>
      </w:r>
      <w:r w:rsidR="00A24144">
        <w:rPr>
          <w:rFonts w:cs="Arial"/>
          <w:color w:val="000000" w:themeColor="text1"/>
          <w:szCs w:val="22"/>
        </w:rPr>
        <w:br/>
      </w:r>
    </w:p>
    <w:tbl>
      <w:tblPr>
        <w:tblStyle w:val="TableGrid"/>
        <w:tblW w:w="0" w:type="auto"/>
        <w:tblInd w:w="137" w:type="dxa"/>
        <w:tblLook w:val="04A0" w:firstRow="1" w:lastRow="0" w:firstColumn="1" w:lastColumn="0" w:noHBand="0" w:noVBand="1"/>
      </w:tblPr>
      <w:tblGrid>
        <w:gridCol w:w="9356"/>
      </w:tblGrid>
      <w:tr w:rsidR="000B4571" w:rsidRPr="000B4571" w14:paraId="03F5A425" w14:textId="77777777" w:rsidTr="00593F7D">
        <w:tc>
          <w:tcPr>
            <w:tcW w:w="9356" w:type="dxa"/>
          </w:tcPr>
          <w:p w14:paraId="07935088" w14:textId="71A70627" w:rsidR="000B4571" w:rsidRPr="000B4571" w:rsidRDefault="000B4571" w:rsidP="00A57919">
            <w:pPr>
              <w:shd w:val="clear" w:color="auto" w:fill="FFFFFF"/>
              <w:spacing w:after="0" w:line="280" w:lineRule="atLeast"/>
              <w:textAlignment w:val="baseline"/>
              <w:rPr>
                <w:rFonts w:cs="Arial"/>
                <w:color w:val="002060"/>
                <w:sz w:val="21"/>
                <w:szCs w:val="21"/>
                <w:shd w:val="clear" w:color="auto" w:fill="FFFFFF"/>
              </w:rPr>
            </w:pPr>
            <w:r w:rsidRPr="000B4571">
              <w:rPr>
                <w:rFonts w:cs="Arial"/>
                <w:i/>
                <w:iCs/>
                <w:color w:val="002060"/>
                <w:sz w:val="21"/>
                <w:szCs w:val="21"/>
                <w:shd w:val="clear" w:color="auto" w:fill="FFFFFF"/>
              </w:rPr>
              <w:t>Anna</w:t>
            </w:r>
            <w:r w:rsidR="00506B14">
              <w:rPr>
                <w:rFonts w:cs="Arial"/>
                <w:i/>
                <w:iCs/>
                <w:color w:val="002060"/>
                <w:sz w:val="21"/>
                <w:szCs w:val="21"/>
                <w:shd w:val="clear" w:color="auto" w:fill="FFFFFF"/>
              </w:rPr>
              <w:t>*</w:t>
            </w:r>
            <w:r w:rsidRPr="000B4571">
              <w:rPr>
                <w:rFonts w:cs="Arial"/>
                <w:color w:val="002060"/>
                <w:sz w:val="21"/>
                <w:szCs w:val="21"/>
                <w:shd w:val="clear" w:color="auto" w:fill="FFFFFF"/>
              </w:rPr>
              <w:t xml:space="preserve"> is an Aboriginal woman from regional Victoria. Anna went into kinship care at 11 weeks old and just after her 11th birthday she was taken away from her family and placed in residential care. Within the first four days Anna was moved three times. </w:t>
            </w:r>
          </w:p>
          <w:p w14:paraId="3985354B" w14:textId="77777777" w:rsidR="000B4571" w:rsidRPr="000B4571" w:rsidRDefault="000B4571" w:rsidP="00A57919">
            <w:pPr>
              <w:shd w:val="clear" w:color="auto" w:fill="FFFFFF"/>
              <w:spacing w:after="0" w:line="280" w:lineRule="atLeast"/>
              <w:textAlignment w:val="baseline"/>
              <w:rPr>
                <w:rFonts w:cs="Arial"/>
                <w:color w:val="002060"/>
                <w:sz w:val="21"/>
                <w:szCs w:val="21"/>
                <w:shd w:val="clear" w:color="auto" w:fill="FFFFFF"/>
              </w:rPr>
            </w:pPr>
            <w:r w:rsidRPr="000B4571">
              <w:rPr>
                <w:rFonts w:cs="Arial"/>
                <w:color w:val="002060"/>
                <w:sz w:val="21"/>
                <w:szCs w:val="21"/>
                <w:shd w:val="clear" w:color="auto" w:fill="FFFFFF"/>
              </w:rPr>
              <w:t>‘I have no idea why they moved me so much. In the next four years, I was moved over 35 times from one town to another and all over the place. I never unpacked my bags in the end because I didn’t know when I would move again’, she said.</w:t>
            </w:r>
          </w:p>
          <w:p w14:paraId="465A4773" w14:textId="77777777" w:rsidR="000B4571" w:rsidRPr="000B4571" w:rsidRDefault="000B4571" w:rsidP="00A57919">
            <w:pPr>
              <w:shd w:val="clear" w:color="auto" w:fill="FFFFFF"/>
              <w:spacing w:after="0" w:line="280" w:lineRule="atLeast"/>
              <w:textAlignment w:val="baseline"/>
              <w:rPr>
                <w:rFonts w:cs="Arial"/>
                <w:color w:val="002060"/>
                <w:sz w:val="21"/>
                <w:szCs w:val="21"/>
                <w:shd w:val="clear" w:color="auto" w:fill="FFFFFF"/>
              </w:rPr>
            </w:pPr>
            <w:r w:rsidRPr="000B4571">
              <w:rPr>
                <w:rFonts w:cs="Arial"/>
                <w:color w:val="002060"/>
                <w:sz w:val="21"/>
                <w:szCs w:val="21"/>
                <w:shd w:val="clear" w:color="auto" w:fill="FFFFFF"/>
              </w:rPr>
              <w:t>Anna got into trouble a few times when she got frustrated or upset. On one occasion police were called because she walked into an office without permission and she was charged with burglary.</w:t>
            </w:r>
          </w:p>
          <w:p w14:paraId="1073F261" w14:textId="77777777" w:rsidR="000B4571" w:rsidRPr="000B4571" w:rsidRDefault="000B4571" w:rsidP="00A57919">
            <w:pPr>
              <w:pStyle w:val="NormalWeb"/>
              <w:shd w:val="clear" w:color="auto" w:fill="FFFFFF"/>
              <w:spacing w:before="120" w:beforeAutospacing="0" w:after="0" w:afterAutospacing="0" w:line="280" w:lineRule="atLeast"/>
              <w:textAlignment w:val="baseline"/>
              <w:rPr>
                <w:rFonts w:ascii="Arial" w:hAnsi="Arial" w:cs="Arial"/>
                <w:color w:val="002060"/>
                <w:sz w:val="21"/>
                <w:szCs w:val="21"/>
              </w:rPr>
            </w:pPr>
            <w:r w:rsidRPr="000B4571">
              <w:rPr>
                <w:rFonts w:ascii="Arial" w:hAnsi="Arial" w:cs="Arial"/>
                <w:color w:val="002060"/>
                <w:sz w:val="21"/>
                <w:szCs w:val="21"/>
              </w:rPr>
              <w:t>‘Once the police arrived, they’d charge you for every little thing, not just one charge, and it was for stupid stuff. The staff would push for the police to take us (to the station) or charge us and they didn’t care about the repercussions this has afterwards’.</w:t>
            </w:r>
          </w:p>
          <w:p w14:paraId="4B26206B" w14:textId="77777777" w:rsidR="000B4571" w:rsidRPr="000B4571" w:rsidRDefault="000B4571" w:rsidP="00A57919">
            <w:pPr>
              <w:pStyle w:val="NormalWeb"/>
              <w:shd w:val="clear" w:color="auto" w:fill="FFFFFF"/>
              <w:spacing w:before="120" w:beforeAutospacing="0" w:after="0" w:afterAutospacing="0" w:line="280" w:lineRule="atLeast"/>
              <w:textAlignment w:val="baseline"/>
              <w:rPr>
                <w:rFonts w:ascii="Arial" w:hAnsi="Arial" w:cs="Arial"/>
                <w:color w:val="002060"/>
                <w:sz w:val="21"/>
                <w:szCs w:val="21"/>
              </w:rPr>
            </w:pPr>
            <w:r w:rsidRPr="000B4571">
              <w:rPr>
                <w:rFonts w:ascii="Arial" w:hAnsi="Arial" w:cs="Arial"/>
                <w:color w:val="002060"/>
                <w:sz w:val="21"/>
                <w:szCs w:val="21"/>
              </w:rPr>
              <w:t>Despite moving so many times and dealing with court processes that the criminal charges brought on, Anna was determined to stay in school. She now has one year before she completes her studies in early childhood education. Working a part-time job waitressing and playing for her local netball team, Anna should have a world of opportunity ahead of her, but she faces barriers others don’t.</w:t>
            </w:r>
          </w:p>
          <w:p w14:paraId="10B69705" w14:textId="77777777" w:rsidR="000B4571" w:rsidRPr="000B4571" w:rsidRDefault="000B4571" w:rsidP="00A57919">
            <w:pPr>
              <w:pStyle w:val="NormalWeb"/>
              <w:shd w:val="clear" w:color="auto" w:fill="FFFFFF"/>
              <w:spacing w:before="120" w:beforeAutospacing="0" w:after="0" w:afterAutospacing="0" w:line="280" w:lineRule="atLeast"/>
              <w:textAlignment w:val="baseline"/>
              <w:rPr>
                <w:rFonts w:ascii="Arial" w:hAnsi="Arial" w:cs="Arial"/>
                <w:color w:val="002060"/>
                <w:sz w:val="21"/>
                <w:szCs w:val="21"/>
              </w:rPr>
            </w:pPr>
            <w:r w:rsidRPr="000B4571">
              <w:rPr>
                <w:rFonts w:ascii="Arial" w:hAnsi="Arial" w:cs="Arial"/>
                <w:color w:val="002060"/>
                <w:sz w:val="21"/>
                <w:szCs w:val="21"/>
              </w:rPr>
              <w:t xml:space="preserve">‘When I was at school having a criminal record meant that I always had to go and talk to principal about what was happening in the unit or my behaviour. But now that I am an adult it’s way worse. I </w:t>
            </w:r>
            <w:r w:rsidRPr="000B4571">
              <w:rPr>
                <w:rFonts w:ascii="Arial" w:hAnsi="Arial" w:cs="Arial"/>
                <w:color w:val="002060"/>
                <w:sz w:val="21"/>
                <w:szCs w:val="21"/>
              </w:rPr>
              <w:lastRenderedPageBreak/>
              <w:t>can’t pass a police check. It’s delayed my career because I need to do placements for my studies and need to pass those checks to get a job in childcare’.</w:t>
            </w:r>
          </w:p>
          <w:p w14:paraId="199E5E5D" w14:textId="77777777" w:rsidR="000B4571" w:rsidRDefault="000B4571" w:rsidP="00A57919">
            <w:pPr>
              <w:spacing w:after="0" w:line="240" w:lineRule="auto"/>
              <w:textAlignment w:val="baseline"/>
              <w:rPr>
                <w:rFonts w:cs="Arial"/>
                <w:color w:val="000000" w:themeColor="text1"/>
                <w:sz w:val="6"/>
                <w:szCs w:val="6"/>
              </w:rPr>
            </w:pPr>
          </w:p>
          <w:p w14:paraId="47CC4EBE" w14:textId="6718A499" w:rsidR="00506B14" w:rsidRPr="00593F7D" w:rsidRDefault="00506B14" w:rsidP="00506B14">
            <w:pPr>
              <w:spacing w:line="240" w:lineRule="auto"/>
              <w:textAlignment w:val="baseline"/>
              <w:rPr>
                <w:rFonts w:cs="Arial"/>
                <w:i/>
                <w:iCs/>
                <w:color w:val="000000" w:themeColor="text1"/>
                <w:sz w:val="6"/>
                <w:szCs w:val="6"/>
              </w:rPr>
            </w:pPr>
            <w:r w:rsidRPr="00593F7D">
              <w:rPr>
                <w:rFonts w:cs="Arial"/>
                <w:i/>
                <w:iCs/>
                <w:color w:val="000000" w:themeColor="text1"/>
                <w:sz w:val="20"/>
                <w:szCs w:val="20"/>
              </w:rPr>
              <w:t>*</w:t>
            </w:r>
            <w:r w:rsidR="00593F7D" w:rsidRPr="00593F7D">
              <w:rPr>
                <w:rFonts w:cs="Arial"/>
                <w:i/>
                <w:iCs/>
                <w:color w:val="000000" w:themeColor="text1"/>
                <w:sz w:val="20"/>
                <w:szCs w:val="20"/>
              </w:rPr>
              <w:t xml:space="preserve"> </w:t>
            </w:r>
            <w:r w:rsidRPr="00593F7D">
              <w:rPr>
                <w:rFonts w:cs="Arial"/>
                <w:i/>
                <w:iCs/>
                <w:color w:val="002060"/>
                <w:sz w:val="20"/>
                <w:szCs w:val="20"/>
              </w:rPr>
              <w:t>Client of</w:t>
            </w:r>
            <w:r w:rsidR="00593F7D">
              <w:rPr>
                <w:rFonts w:cs="Arial"/>
                <w:i/>
                <w:iCs/>
                <w:color w:val="002060"/>
                <w:sz w:val="20"/>
                <w:szCs w:val="20"/>
              </w:rPr>
              <w:t xml:space="preserve"> the</w:t>
            </w:r>
            <w:r w:rsidRPr="00593F7D">
              <w:rPr>
                <w:rFonts w:cs="Arial"/>
                <w:i/>
                <w:iCs/>
                <w:color w:val="002060"/>
                <w:sz w:val="20"/>
                <w:szCs w:val="20"/>
              </w:rPr>
              <w:t xml:space="preserve"> Victorian Aboriginal Legal Service (VALS), not her real name. </w:t>
            </w:r>
          </w:p>
        </w:tc>
      </w:tr>
    </w:tbl>
    <w:p w14:paraId="01A6E01C" w14:textId="77777777" w:rsidR="000B4571" w:rsidRPr="000B4571" w:rsidRDefault="000B4571" w:rsidP="000B4571">
      <w:pPr>
        <w:spacing w:line="240" w:lineRule="auto"/>
        <w:textAlignment w:val="baseline"/>
        <w:rPr>
          <w:rFonts w:cs="Arial"/>
          <w:color w:val="000000" w:themeColor="text1"/>
          <w:sz w:val="4"/>
          <w:szCs w:val="4"/>
        </w:rPr>
      </w:pPr>
    </w:p>
    <w:p w14:paraId="79F03C47" w14:textId="4868F502" w:rsidR="000B4571" w:rsidRPr="000B4571" w:rsidRDefault="000B4571" w:rsidP="000B4571">
      <w:pPr>
        <w:shd w:val="clear" w:color="auto" w:fill="FFFFFF"/>
        <w:textAlignment w:val="baseline"/>
        <w:rPr>
          <w:rFonts w:cs="Arial"/>
          <w:color w:val="000000" w:themeColor="text1"/>
          <w:szCs w:val="22"/>
          <w:lang w:eastAsia="en-AU"/>
        </w:rPr>
      </w:pPr>
      <w:r w:rsidRPr="000B4571">
        <w:rPr>
          <w:rFonts w:cs="Arial"/>
          <w:color w:val="000000" w:themeColor="text1"/>
          <w:szCs w:val="22"/>
          <w:lang w:eastAsia="en-AU"/>
        </w:rPr>
        <w:t xml:space="preserve">VLA has welcomed the commitment made by the Victorian Government, Victoria </w:t>
      </w:r>
      <w:r w:rsidR="00593F7D">
        <w:rPr>
          <w:rFonts w:cs="Arial"/>
          <w:color w:val="000000" w:themeColor="text1"/>
          <w:szCs w:val="22"/>
          <w:lang w:eastAsia="en-AU"/>
        </w:rPr>
        <w:t>P</w:t>
      </w:r>
      <w:r w:rsidRPr="000B4571">
        <w:rPr>
          <w:rFonts w:cs="Arial"/>
          <w:color w:val="000000" w:themeColor="text1"/>
          <w:szCs w:val="22"/>
          <w:lang w:eastAsia="en-AU"/>
        </w:rPr>
        <w:t xml:space="preserve">olice and residential care providers to commit to an Agreed Plan to reduce the criminalisation of young people in residential care. We urge the Government to finalise and publicly launch the Agreed Plan. An implementation plan must be developed which clearly identifies the actions, measures and timeframes that each signatory will take to reduce the contact of young people in residential care with police, consistently across the state. We strongly encourage a commitment for the plan be independently monitored and evaluated within 18 months of it being launched. </w:t>
      </w:r>
    </w:p>
    <w:p w14:paraId="10457326" w14:textId="77777777" w:rsidR="000B4571" w:rsidRPr="000B4571" w:rsidRDefault="000B4571" w:rsidP="000B4571">
      <w:pPr>
        <w:pStyle w:val="Heading2"/>
      </w:pPr>
      <w:bookmarkStart w:id="21" w:name="_Toc25238915"/>
      <w:r w:rsidRPr="000B4571">
        <w:t>Young people leaving residential care placements</w:t>
      </w:r>
      <w:bookmarkEnd w:id="21"/>
    </w:p>
    <w:p w14:paraId="535F217D" w14:textId="77777777" w:rsidR="000B4571" w:rsidRPr="000B4571" w:rsidRDefault="000B4571" w:rsidP="000B4571">
      <w:pPr>
        <w:rPr>
          <w:szCs w:val="22"/>
        </w:rPr>
      </w:pPr>
      <w:r w:rsidRPr="000B4571">
        <w:rPr>
          <w:szCs w:val="22"/>
        </w:rPr>
        <w:t xml:space="preserve">Extending out-of-home-care to 21 would ensure more support for young people who need it most. </w:t>
      </w:r>
    </w:p>
    <w:p w14:paraId="0394AA74" w14:textId="77777777" w:rsidR="000B4571" w:rsidRPr="000B4571" w:rsidRDefault="000B4571" w:rsidP="000B4571">
      <w:pPr>
        <w:rPr>
          <w:sz w:val="14"/>
          <w:szCs w:val="14"/>
        </w:rPr>
      </w:pPr>
      <w:r w:rsidRPr="000B4571">
        <w:rPr>
          <w:szCs w:val="22"/>
        </w:rPr>
        <w:t>VLA analysis shows that children with child protection contact go on to become some of the most frequent users of legal aid services.</w:t>
      </w:r>
      <w:r w:rsidRPr="000B4571">
        <w:rPr>
          <w:rStyle w:val="FootnoteReference"/>
          <w:sz w:val="22"/>
          <w:szCs w:val="22"/>
        </w:rPr>
        <w:footnoteReference w:id="20"/>
      </w:r>
      <w:r w:rsidRPr="000B4571">
        <w:rPr>
          <w:sz w:val="14"/>
          <w:szCs w:val="14"/>
        </w:rPr>
        <w:t xml:space="preserve"> </w:t>
      </w:r>
    </w:p>
    <w:p w14:paraId="795BE925" w14:textId="0E930011" w:rsidR="000B4571" w:rsidRPr="000B4571" w:rsidRDefault="000B4571" w:rsidP="000B4571">
      <w:pPr>
        <w:rPr>
          <w:rFonts w:cs="Arial"/>
        </w:rPr>
      </w:pPr>
      <w:r w:rsidRPr="000B4571">
        <w:rPr>
          <w:rFonts w:cs="Arial"/>
        </w:rPr>
        <w:t>The following client stories from Youth Law, demonstrate how quickly young people find themselves involved in the criminal justice system when they lose access to stable placements once they turn 18. Both proudly identify with their Aboriginal heritage</w:t>
      </w:r>
      <w:r w:rsidR="00A24144">
        <w:rPr>
          <w:rFonts w:cs="Arial"/>
        </w:rPr>
        <w:t>.</w:t>
      </w:r>
      <w:r w:rsidRPr="000B4571">
        <w:rPr>
          <w:rFonts w:cs="Arial"/>
        </w:rPr>
        <w:t xml:space="preserve"> </w:t>
      </w:r>
    </w:p>
    <w:p w14:paraId="560C3BCF" w14:textId="77777777" w:rsidR="000B4571" w:rsidRPr="000B4571" w:rsidRDefault="000B4571" w:rsidP="000B4571">
      <w:pPr>
        <w:rPr>
          <w:rFonts w:cs="Arial"/>
        </w:rPr>
      </w:pPr>
    </w:p>
    <w:tbl>
      <w:tblPr>
        <w:tblStyle w:val="TableGrid"/>
        <w:tblW w:w="0" w:type="auto"/>
        <w:tblInd w:w="137" w:type="dxa"/>
        <w:tblLook w:val="04A0" w:firstRow="1" w:lastRow="0" w:firstColumn="1" w:lastColumn="0" w:noHBand="0" w:noVBand="1"/>
      </w:tblPr>
      <w:tblGrid>
        <w:gridCol w:w="9214"/>
      </w:tblGrid>
      <w:tr w:rsidR="000B4571" w:rsidRPr="000B4571" w14:paraId="5C2A0C83" w14:textId="77777777" w:rsidTr="00593F7D">
        <w:tc>
          <w:tcPr>
            <w:tcW w:w="9214" w:type="dxa"/>
          </w:tcPr>
          <w:p w14:paraId="18673123" w14:textId="2631CB8E" w:rsidR="000B4571" w:rsidRPr="000B4571" w:rsidRDefault="000B4571" w:rsidP="00A57919">
            <w:pPr>
              <w:rPr>
                <w:rFonts w:cs="Arial"/>
                <w:color w:val="002060"/>
                <w:sz w:val="21"/>
                <w:szCs w:val="21"/>
              </w:rPr>
            </w:pPr>
            <w:r w:rsidRPr="000B4571">
              <w:rPr>
                <w:rFonts w:cs="Arial"/>
                <w:i/>
                <w:iCs/>
                <w:color w:val="002060"/>
                <w:sz w:val="21"/>
                <w:szCs w:val="21"/>
              </w:rPr>
              <w:t>Kenny</w:t>
            </w:r>
            <w:r w:rsidR="00A24144">
              <w:rPr>
                <w:rFonts w:cs="Arial"/>
                <w:i/>
                <w:iCs/>
                <w:color w:val="002060"/>
                <w:sz w:val="21"/>
                <w:szCs w:val="21"/>
              </w:rPr>
              <w:t>*</w:t>
            </w:r>
            <w:r w:rsidRPr="000B4571">
              <w:rPr>
                <w:rFonts w:cs="Arial"/>
                <w:color w:val="002060"/>
                <w:sz w:val="21"/>
                <w:szCs w:val="21"/>
              </w:rPr>
              <w:t xml:space="preserve"> is now 22 years old, he has always wanted to be a professional wrestler. Kenny was in care since he was 2 years old, where he experienced physical, sexual and emotional abuse. Kenny has cerebral palsy. He has complex mental health and substance abuse issues.</w:t>
            </w:r>
          </w:p>
          <w:p w14:paraId="49D4C509" w14:textId="77777777" w:rsidR="000B4571" w:rsidRPr="000B4571" w:rsidRDefault="000B4571" w:rsidP="00A57919">
            <w:pPr>
              <w:rPr>
                <w:rFonts w:cs="Arial"/>
                <w:color w:val="002060"/>
                <w:sz w:val="21"/>
                <w:szCs w:val="21"/>
              </w:rPr>
            </w:pPr>
            <w:r w:rsidRPr="000B4571">
              <w:rPr>
                <w:rFonts w:cs="Arial"/>
                <w:color w:val="002060"/>
                <w:sz w:val="21"/>
                <w:szCs w:val="21"/>
              </w:rPr>
              <w:t xml:space="preserve">However, at the age of 18 he lost his access to stable housing and as a result experienced homelessness for long bouts - at times living in refuges and transitional housing. Though he is a recipient of the Disability Support Pension, he experienced financial hardship. </w:t>
            </w:r>
          </w:p>
          <w:p w14:paraId="0297C264" w14:textId="77777777" w:rsidR="000B4571" w:rsidRPr="000B4571" w:rsidRDefault="000B4571" w:rsidP="00A57919">
            <w:pPr>
              <w:rPr>
                <w:rFonts w:cs="Arial"/>
                <w:color w:val="002060"/>
                <w:sz w:val="21"/>
                <w:szCs w:val="21"/>
              </w:rPr>
            </w:pPr>
            <w:r w:rsidRPr="000B4571">
              <w:rPr>
                <w:rFonts w:cs="Arial"/>
                <w:color w:val="002060"/>
                <w:sz w:val="21"/>
                <w:szCs w:val="21"/>
              </w:rPr>
              <w:t xml:space="preserve">As a result of his financial hardship and homelessness, Kenny found himself in the criminal justice system with fines incurred for public drunkenness, road traffic and property damage offences. </w:t>
            </w:r>
          </w:p>
          <w:p w14:paraId="5F56AF60" w14:textId="64DFD080" w:rsidR="000B4571" w:rsidRPr="000B4571" w:rsidRDefault="000B4571" w:rsidP="00A57919">
            <w:pPr>
              <w:rPr>
                <w:rFonts w:cs="Arial"/>
                <w:color w:val="002060"/>
                <w:sz w:val="21"/>
                <w:szCs w:val="21"/>
              </w:rPr>
            </w:pPr>
            <w:r w:rsidRPr="000B4571">
              <w:rPr>
                <w:rFonts w:cs="Arial"/>
                <w:i/>
                <w:iCs/>
                <w:color w:val="002060"/>
                <w:sz w:val="21"/>
                <w:szCs w:val="21"/>
              </w:rPr>
              <w:t>Abby</w:t>
            </w:r>
            <w:r w:rsidR="00A24144">
              <w:rPr>
                <w:rFonts w:cs="Arial"/>
                <w:i/>
                <w:iCs/>
                <w:color w:val="002060"/>
                <w:sz w:val="21"/>
                <w:szCs w:val="21"/>
              </w:rPr>
              <w:t>*</w:t>
            </w:r>
            <w:r w:rsidRPr="000B4571">
              <w:rPr>
                <w:rFonts w:cs="Arial"/>
                <w:i/>
                <w:iCs/>
                <w:color w:val="002060"/>
                <w:sz w:val="21"/>
                <w:szCs w:val="21"/>
              </w:rPr>
              <w:t xml:space="preserve"> </w:t>
            </w:r>
            <w:r w:rsidRPr="000B4571">
              <w:rPr>
                <w:rFonts w:cs="Arial"/>
                <w:color w:val="002060"/>
                <w:sz w:val="21"/>
                <w:szCs w:val="21"/>
              </w:rPr>
              <w:t>had been in out of home care from aged 3 to 18, she had mental health concerns. From the age of 18 she was released from out of home care, but without transition to stable housing. She experienced firsthand the pains of homelessness and financial hardship. She quickly accrued unpaid fines ($12,000), as well as debts in the thousands to various creditors, including Centrelink, Vodafone, CBA, Nimble, Cash Converters, Latitude, Credit Corp and Origin.</w:t>
            </w:r>
          </w:p>
          <w:p w14:paraId="1B92D27D" w14:textId="77777777" w:rsidR="000B4571" w:rsidRPr="000B4571" w:rsidRDefault="000B4571" w:rsidP="00A57919">
            <w:pPr>
              <w:rPr>
                <w:rFonts w:cs="Arial"/>
                <w:color w:val="002060"/>
                <w:sz w:val="21"/>
                <w:szCs w:val="21"/>
              </w:rPr>
            </w:pPr>
            <w:r w:rsidRPr="000B4571">
              <w:rPr>
                <w:rFonts w:cs="Arial"/>
                <w:color w:val="002060"/>
                <w:sz w:val="21"/>
                <w:szCs w:val="21"/>
              </w:rPr>
              <w:t>Abby was extremely distressed about her legal problems and felt unsupported to deal with legal challenges she faced.</w:t>
            </w:r>
          </w:p>
          <w:p w14:paraId="6AA1CC5D" w14:textId="15D1E5B2" w:rsidR="000B4571" w:rsidRPr="00593F7D" w:rsidRDefault="00A24144" w:rsidP="00A57919">
            <w:pPr>
              <w:rPr>
                <w:rFonts w:cs="Arial"/>
                <w:i/>
                <w:iCs/>
              </w:rPr>
            </w:pPr>
            <w:r w:rsidRPr="00593F7D">
              <w:rPr>
                <w:rFonts w:cs="Arial"/>
                <w:i/>
                <w:iCs/>
                <w:color w:val="002060"/>
                <w:sz w:val="20"/>
                <w:szCs w:val="22"/>
              </w:rPr>
              <w:t>*</w:t>
            </w:r>
            <w:r w:rsidR="00593F7D" w:rsidRPr="00593F7D">
              <w:rPr>
                <w:rFonts w:cs="Arial"/>
                <w:i/>
                <w:iCs/>
                <w:color w:val="002060"/>
                <w:sz w:val="20"/>
                <w:szCs w:val="22"/>
              </w:rPr>
              <w:t xml:space="preserve"> </w:t>
            </w:r>
            <w:r w:rsidRPr="00593F7D">
              <w:rPr>
                <w:rFonts w:cs="Arial"/>
                <w:i/>
                <w:iCs/>
                <w:color w:val="002060"/>
                <w:sz w:val="20"/>
                <w:szCs w:val="22"/>
              </w:rPr>
              <w:t>Not their real names.</w:t>
            </w:r>
          </w:p>
        </w:tc>
      </w:tr>
    </w:tbl>
    <w:p w14:paraId="542ED9AD" w14:textId="77777777" w:rsidR="000B4571" w:rsidRPr="000B4571" w:rsidRDefault="000B4571" w:rsidP="000B4571">
      <w:pPr>
        <w:rPr>
          <w:rFonts w:cs="Arial"/>
        </w:rPr>
      </w:pPr>
    </w:p>
    <w:p w14:paraId="2461A4C1" w14:textId="00219920" w:rsidR="000B4571" w:rsidRPr="000B4571" w:rsidRDefault="000B4571" w:rsidP="000B4571">
      <w:pPr>
        <w:spacing w:line="320" w:lineRule="atLeast"/>
        <w:rPr>
          <w:rFonts w:cs="Arial"/>
          <w:color w:val="000000" w:themeColor="text1"/>
        </w:rPr>
      </w:pPr>
      <w:r w:rsidRPr="000B4571">
        <w:rPr>
          <w:rFonts w:cs="Arial"/>
          <w:color w:val="000000" w:themeColor="text1"/>
        </w:rPr>
        <w:lastRenderedPageBreak/>
        <w:t>VLA welcome</w:t>
      </w:r>
      <w:r w:rsidR="00237575">
        <w:rPr>
          <w:rFonts w:cs="Arial"/>
          <w:color w:val="000000" w:themeColor="text1"/>
        </w:rPr>
        <w:t>s</w:t>
      </w:r>
      <w:r w:rsidRPr="000B4571">
        <w:rPr>
          <w:rFonts w:cs="Arial"/>
          <w:color w:val="000000" w:themeColor="text1"/>
        </w:rPr>
        <w:t xml:space="preserve"> the Victorian Government’s 2019 funding announcement to pilot extended care for 250 young people over the next five years. While this is a significant milestone, we would encourage the Victorian Government to work towards extending this support to all young people in out of home care. </w:t>
      </w:r>
    </w:p>
    <w:p w14:paraId="50FA50F6" w14:textId="77777777" w:rsidR="000B4571" w:rsidRPr="000B4571" w:rsidRDefault="000B4571" w:rsidP="000B4571">
      <w:pPr>
        <w:spacing w:line="320" w:lineRule="atLeast"/>
        <w:rPr>
          <w:rFonts w:cs="Arial"/>
          <w:color w:val="000000" w:themeColor="text1"/>
        </w:rPr>
      </w:pPr>
      <w:r w:rsidRPr="000B4571">
        <w:rPr>
          <w:rFonts w:cs="Arial"/>
          <w:color w:val="000000" w:themeColor="text1"/>
        </w:rPr>
        <w:t>As a signatory of the Homestretch campaign, we support the campaign’s evidenced-based</w:t>
      </w:r>
      <w:r w:rsidRPr="000B4571">
        <w:rPr>
          <w:rStyle w:val="FootnoteReference"/>
          <w:rFonts w:cs="Arial"/>
          <w:color w:val="000000" w:themeColor="text1"/>
        </w:rPr>
        <w:footnoteReference w:id="21"/>
      </w:r>
      <w:r w:rsidRPr="000B4571">
        <w:rPr>
          <w:rFonts w:cs="Arial"/>
          <w:color w:val="000000" w:themeColor="text1"/>
        </w:rPr>
        <w:t xml:space="preserve"> case for extending young people’s access to government-funded out-of-home care from 18 to 21 years because: </w:t>
      </w:r>
    </w:p>
    <w:p w14:paraId="2E00C6D5" w14:textId="505FC832" w:rsidR="000B4571" w:rsidRPr="000B4571" w:rsidRDefault="00237575" w:rsidP="000B4571">
      <w:pPr>
        <w:pStyle w:val="ListParagraph"/>
        <w:numPr>
          <w:ilvl w:val="0"/>
          <w:numId w:val="5"/>
        </w:numPr>
        <w:spacing w:before="60" w:after="0"/>
        <w:ind w:left="714" w:hanging="357"/>
        <w:rPr>
          <w:lang w:eastAsia="en-AU"/>
        </w:rPr>
      </w:pPr>
      <w:r>
        <w:rPr>
          <w:szCs w:val="22"/>
        </w:rPr>
        <w:t>h</w:t>
      </w:r>
      <w:r w:rsidR="000B4571" w:rsidRPr="000B4571">
        <w:rPr>
          <w:szCs w:val="22"/>
        </w:rPr>
        <w:t xml:space="preserve">ousing, </w:t>
      </w:r>
      <w:r w:rsidR="000B4571" w:rsidRPr="000B4571">
        <w:rPr>
          <w:lang w:eastAsia="en-AU"/>
        </w:rPr>
        <w:t>social and financial support for young people prevents entry to the justice system</w:t>
      </w:r>
      <w:r>
        <w:rPr>
          <w:lang w:eastAsia="en-AU"/>
        </w:rPr>
        <w:t>;</w:t>
      </w:r>
      <w:r w:rsidR="000B4571" w:rsidRPr="000B4571">
        <w:rPr>
          <w:lang w:eastAsia="en-AU"/>
        </w:rPr>
        <w:t xml:space="preserve"> </w:t>
      </w:r>
    </w:p>
    <w:p w14:paraId="6ED8AE92" w14:textId="11B5E3F2" w:rsidR="000B4571" w:rsidRPr="000B4571" w:rsidRDefault="000B4571" w:rsidP="000B4571">
      <w:pPr>
        <w:pStyle w:val="ListParagraph"/>
        <w:numPr>
          <w:ilvl w:val="0"/>
          <w:numId w:val="5"/>
        </w:numPr>
        <w:spacing w:before="60" w:after="0"/>
        <w:ind w:left="714" w:hanging="357"/>
        <w:rPr>
          <w:szCs w:val="22"/>
        </w:rPr>
      </w:pPr>
      <w:r w:rsidRPr="000B4571">
        <w:rPr>
          <w:lang w:eastAsia="en-AU"/>
        </w:rPr>
        <w:t>Home Stretch promotes targeted support for the cohort of children and young people who are at greate</w:t>
      </w:r>
      <w:r w:rsidRPr="000B4571">
        <w:rPr>
          <w:szCs w:val="22"/>
        </w:rPr>
        <w:t>st risk of entering the justice system</w:t>
      </w:r>
      <w:r w:rsidR="00237575">
        <w:rPr>
          <w:szCs w:val="22"/>
        </w:rPr>
        <w:t>;</w:t>
      </w:r>
      <w:r w:rsidRPr="000B4571">
        <w:rPr>
          <w:szCs w:val="22"/>
        </w:rPr>
        <w:t xml:space="preserve"> </w:t>
      </w:r>
    </w:p>
    <w:p w14:paraId="09AE050A" w14:textId="55240474" w:rsidR="000B4571" w:rsidRPr="000B4571" w:rsidRDefault="00237575" w:rsidP="000B4571">
      <w:pPr>
        <w:pStyle w:val="ListParagraph"/>
        <w:numPr>
          <w:ilvl w:val="0"/>
          <w:numId w:val="5"/>
        </w:numPr>
        <w:spacing w:before="60" w:after="0"/>
        <w:ind w:left="714" w:hanging="357"/>
        <w:rPr>
          <w:szCs w:val="22"/>
        </w:rPr>
      </w:pPr>
      <w:r>
        <w:rPr>
          <w:szCs w:val="22"/>
        </w:rPr>
        <w:t>i</w:t>
      </w:r>
      <w:r w:rsidR="000B4571" w:rsidRPr="000B4571">
        <w:rPr>
          <w:szCs w:val="22"/>
        </w:rPr>
        <w:t>t is cost effective to spend money on prevention</w:t>
      </w:r>
      <w:r>
        <w:rPr>
          <w:szCs w:val="22"/>
        </w:rPr>
        <w:t>:</w:t>
      </w:r>
      <w:r w:rsidR="000B4571" w:rsidRPr="000B4571">
        <w:rPr>
          <w:szCs w:val="22"/>
        </w:rPr>
        <w:t xml:space="preserve"> </w:t>
      </w:r>
      <w:r>
        <w:rPr>
          <w:szCs w:val="22"/>
        </w:rPr>
        <w:t>a</w:t>
      </w:r>
      <w:r w:rsidR="000B4571" w:rsidRPr="000B4571">
        <w:rPr>
          <w:szCs w:val="22"/>
        </w:rPr>
        <w:t xml:space="preserve">nalysis by Deloitte Access Economics has </w:t>
      </w:r>
      <w:r w:rsidR="000B4571" w:rsidRPr="000B4571">
        <w:rPr>
          <w:lang w:eastAsia="en-AU"/>
        </w:rPr>
        <w:t>determined</w:t>
      </w:r>
      <w:r w:rsidR="000B4571" w:rsidRPr="000B4571">
        <w:rPr>
          <w:szCs w:val="22"/>
        </w:rPr>
        <w:t xml:space="preserve"> that each </w:t>
      </w:r>
      <w:r>
        <w:rPr>
          <w:szCs w:val="22"/>
        </w:rPr>
        <w:t xml:space="preserve">$1 </w:t>
      </w:r>
      <w:r w:rsidR="000B4571" w:rsidRPr="000B4571">
        <w:rPr>
          <w:szCs w:val="22"/>
        </w:rPr>
        <w:t>invested in increasing the out-of-home-care leaving age would see a $1.84 return.</w:t>
      </w:r>
      <w:r w:rsidR="000B4571" w:rsidRPr="000B4571">
        <w:rPr>
          <w:rStyle w:val="FootnoteReference"/>
          <w:sz w:val="22"/>
          <w:szCs w:val="22"/>
        </w:rPr>
        <w:footnoteReference w:id="22"/>
      </w:r>
    </w:p>
    <w:p w14:paraId="57AC8EA3" w14:textId="4CE92054" w:rsidR="009A5028" w:rsidRPr="002F53CF" w:rsidRDefault="00AE75CC" w:rsidP="00AE75CC">
      <w:pPr>
        <w:pStyle w:val="Heading1"/>
      </w:pPr>
      <w:bookmarkStart w:id="22" w:name="_Toc25238916"/>
      <w:bookmarkEnd w:id="3"/>
      <w:bookmarkEnd w:id="17"/>
      <w:r w:rsidRPr="002F53CF">
        <w:t xml:space="preserve">Preventing entry into the court </w:t>
      </w:r>
      <w:r w:rsidR="000C0A14" w:rsidRPr="002F53CF">
        <w:t>system</w:t>
      </w:r>
      <w:bookmarkEnd w:id="22"/>
      <w:r w:rsidR="000C0A14" w:rsidRPr="002F53CF">
        <w:t xml:space="preserve"> </w:t>
      </w:r>
    </w:p>
    <w:p w14:paraId="797FF184" w14:textId="07C9A894" w:rsidR="009A5028" w:rsidRPr="002F53CF" w:rsidRDefault="00187339" w:rsidP="002D3B0F">
      <w:pPr>
        <w:pStyle w:val="ListParagraph"/>
        <w:numPr>
          <w:ilvl w:val="0"/>
          <w:numId w:val="12"/>
        </w:numPr>
        <w:ind w:left="2127" w:hanging="2127"/>
        <w:rPr>
          <w:b/>
          <w:bCs/>
          <w:i/>
          <w:iCs/>
          <w:lang w:eastAsia="en-AU"/>
        </w:rPr>
      </w:pPr>
      <w:bookmarkStart w:id="23" w:name="_Hlk24062115"/>
      <w:bookmarkStart w:id="24" w:name="_Hlk24025942"/>
      <w:r w:rsidRPr="002F53CF">
        <w:rPr>
          <w:b/>
          <w:bCs/>
          <w:i/>
          <w:iCs/>
          <w:lang w:eastAsia="en-AU"/>
        </w:rPr>
        <w:t>Prevent</w:t>
      </w:r>
      <w:r w:rsidR="0061371E" w:rsidRPr="002F53CF">
        <w:rPr>
          <w:b/>
          <w:bCs/>
          <w:i/>
          <w:iCs/>
          <w:lang w:eastAsia="en-AU"/>
        </w:rPr>
        <w:t xml:space="preserve"> </w:t>
      </w:r>
      <w:r w:rsidR="00C13E4C">
        <w:rPr>
          <w:b/>
          <w:bCs/>
          <w:i/>
          <w:iCs/>
          <w:lang w:eastAsia="en-AU"/>
        </w:rPr>
        <w:t xml:space="preserve">the </w:t>
      </w:r>
      <w:r w:rsidR="009A5028" w:rsidRPr="002F53CF">
        <w:rPr>
          <w:b/>
          <w:bCs/>
          <w:i/>
          <w:iCs/>
          <w:lang w:eastAsia="en-AU"/>
        </w:rPr>
        <w:t xml:space="preserve">entry </w:t>
      </w:r>
      <w:r w:rsidR="00C13E4C">
        <w:rPr>
          <w:b/>
          <w:bCs/>
          <w:i/>
          <w:iCs/>
          <w:lang w:eastAsia="en-AU"/>
        </w:rPr>
        <w:t xml:space="preserve">of Aboriginal children </w:t>
      </w:r>
      <w:r w:rsidR="009A5028" w:rsidRPr="002F53CF">
        <w:rPr>
          <w:b/>
          <w:bCs/>
          <w:i/>
          <w:iCs/>
          <w:lang w:eastAsia="en-AU"/>
        </w:rPr>
        <w:t xml:space="preserve">into the </w:t>
      </w:r>
      <w:r w:rsidR="009F0C35">
        <w:rPr>
          <w:b/>
          <w:bCs/>
          <w:i/>
          <w:iCs/>
          <w:lang w:eastAsia="en-AU"/>
        </w:rPr>
        <w:t>court</w:t>
      </w:r>
      <w:r w:rsidR="009A5028" w:rsidRPr="002F53CF">
        <w:rPr>
          <w:b/>
          <w:bCs/>
          <w:i/>
          <w:iCs/>
          <w:lang w:eastAsia="en-AU"/>
        </w:rPr>
        <w:t xml:space="preserve"> system</w:t>
      </w:r>
    </w:p>
    <w:p w14:paraId="2FAE34A2" w14:textId="4493545E" w:rsidR="008E0EA8" w:rsidRPr="002F53CF" w:rsidRDefault="009F0C35" w:rsidP="001C5A0C">
      <w:pPr>
        <w:pStyle w:val="ListParagraph"/>
        <w:numPr>
          <w:ilvl w:val="1"/>
          <w:numId w:val="12"/>
        </w:numPr>
        <w:shd w:val="clear" w:color="auto" w:fill="FFFFFF"/>
        <w:spacing w:before="120" w:after="0"/>
        <w:ind w:left="1077" w:hanging="357"/>
        <w:textAlignment w:val="baseline"/>
        <w:rPr>
          <w:rFonts w:cs="Arial"/>
          <w:b/>
          <w:bCs/>
          <w:i/>
          <w:iCs/>
          <w:color w:val="000000" w:themeColor="text1"/>
          <w:szCs w:val="22"/>
          <w:lang w:eastAsia="en-AU"/>
        </w:rPr>
      </w:pPr>
      <w:bookmarkStart w:id="25" w:name="_Hlk24376551"/>
      <w:r>
        <w:rPr>
          <w:rFonts w:cs="Arial"/>
          <w:b/>
          <w:bCs/>
          <w:i/>
          <w:iCs/>
          <w:color w:val="000000" w:themeColor="text1"/>
          <w:szCs w:val="22"/>
          <w:lang w:eastAsia="en-AU"/>
        </w:rPr>
        <w:t>Rais</w:t>
      </w:r>
      <w:r w:rsidR="00473F48">
        <w:rPr>
          <w:rFonts w:cs="Arial"/>
          <w:b/>
          <w:bCs/>
          <w:i/>
          <w:iCs/>
          <w:color w:val="000000" w:themeColor="text1"/>
          <w:szCs w:val="22"/>
          <w:lang w:eastAsia="en-AU"/>
        </w:rPr>
        <w:t>e</w:t>
      </w:r>
      <w:r>
        <w:rPr>
          <w:rFonts w:cs="Arial"/>
          <w:b/>
          <w:bCs/>
          <w:i/>
          <w:iCs/>
          <w:color w:val="000000" w:themeColor="text1"/>
          <w:szCs w:val="22"/>
          <w:lang w:eastAsia="en-AU"/>
        </w:rPr>
        <w:t xml:space="preserve"> the </w:t>
      </w:r>
      <w:r w:rsidR="008E0EA8" w:rsidRPr="002F53CF">
        <w:rPr>
          <w:rFonts w:cs="Arial"/>
          <w:b/>
          <w:bCs/>
          <w:i/>
          <w:iCs/>
          <w:color w:val="000000" w:themeColor="text1"/>
          <w:szCs w:val="22"/>
          <w:lang w:eastAsia="en-AU"/>
        </w:rPr>
        <w:t>minimum age of criminal responsibility to 14 years</w:t>
      </w:r>
    </w:p>
    <w:p w14:paraId="6D533120" w14:textId="7510A3BD" w:rsidR="007B1639" w:rsidRPr="002F53CF" w:rsidRDefault="007B1639" w:rsidP="001C5A0C">
      <w:pPr>
        <w:pStyle w:val="ListParagraph"/>
        <w:numPr>
          <w:ilvl w:val="1"/>
          <w:numId w:val="12"/>
        </w:numPr>
        <w:shd w:val="clear" w:color="auto" w:fill="FFFFFF"/>
        <w:spacing w:before="120" w:after="0"/>
        <w:ind w:left="1077" w:hanging="357"/>
        <w:textAlignment w:val="baseline"/>
        <w:rPr>
          <w:rFonts w:cs="Arial"/>
          <w:b/>
          <w:bCs/>
          <w:i/>
          <w:iCs/>
          <w:color w:val="000000" w:themeColor="text1"/>
          <w:szCs w:val="22"/>
          <w:lang w:eastAsia="en-AU"/>
        </w:rPr>
      </w:pPr>
      <w:r w:rsidRPr="002F53CF">
        <w:rPr>
          <w:rFonts w:cs="Arial"/>
          <w:b/>
          <w:bCs/>
          <w:i/>
          <w:iCs/>
          <w:color w:val="000000" w:themeColor="text1"/>
          <w:szCs w:val="22"/>
          <w:lang w:eastAsia="en-AU"/>
        </w:rPr>
        <w:t>There should be a legislated presumption in favour of pre-</w:t>
      </w:r>
      <w:r w:rsidR="001E7C08">
        <w:rPr>
          <w:rFonts w:cs="Arial"/>
          <w:b/>
          <w:bCs/>
          <w:i/>
          <w:iCs/>
          <w:color w:val="000000" w:themeColor="text1"/>
          <w:szCs w:val="22"/>
          <w:lang w:eastAsia="en-AU"/>
        </w:rPr>
        <w:t>plea</w:t>
      </w:r>
      <w:r w:rsidR="001E7C08" w:rsidRPr="002F53CF">
        <w:rPr>
          <w:rFonts w:cs="Arial"/>
          <w:b/>
          <w:bCs/>
          <w:i/>
          <w:iCs/>
          <w:color w:val="000000" w:themeColor="text1"/>
          <w:szCs w:val="22"/>
          <w:lang w:eastAsia="en-AU"/>
        </w:rPr>
        <w:t xml:space="preserve"> </w:t>
      </w:r>
      <w:r w:rsidRPr="002F53CF">
        <w:rPr>
          <w:rFonts w:cs="Arial"/>
          <w:b/>
          <w:bCs/>
          <w:i/>
          <w:iCs/>
          <w:color w:val="000000" w:themeColor="text1"/>
          <w:szCs w:val="22"/>
          <w:lang w:eastAsia="en-AU"/>
        </w:rPr>
        <w:t>cautions</w:t>
      </w:r>
      <w:r w:rsidR="009F0C35">
        <w:rPr>
          <w:rFonts w:cs="Arial"/>
          <w:b/>
          <w:bCs/>
          <w:i/>
          <w:iCs/>
          <w:color w:val="000000" w:themeColor="text1"/>
          <w:szCs w:val="22"/>
          <w:lang w:eastAsia="en-AU"/>
        </w:rPr>
        <w:t xml:space="preserve"> and</w:t>
      </w:r>
      <w:r w:rsidR="009F0C35">
        <w:t xml:space="preserve"> </w:t>
      </w:r>
      <w:r w:rsidR="009F0C35" w:rsidRPr="005E6AC8">
        <w:rPr>
          <w:b/>
          <w:bCs/>
          <w:i/>
          <w:iCs/>
        </w:rPr>
        <w:t>the Koori Youth Cautioning Pilot Program</w:t>
      </w:r>
      <w:r w:rsidR="004979EB">
        <w:rPr>
          <w:b/>
          <w:bCs/>
          <w:i/>
          <w:iCs/>
        </w:rPr>
        <w:t xml:space="preserve"> should be expanded</w:t>
      </w:r>
    </w:p>
    <w:p w14:paraId="6A744E5B" w14:textId="2461DFF3" w:rsidR="0017117B" w:rsidRPr="00385E31" w:rsidRDefault="0011445A" w:rsidP="002B395D">
      <w:pPr>
        <w:pStyle w:val="ListParagraph"/>
        <w:numPr>
          <w:ilvl w:val="1"/>
          <w:numId w:val="12"/>
        </w:numPr>
        <w:spacing w:before="120" w:after="0"/>
        <w:ind w:left="1083"/>
        <w:rPr>
          <w:rFonts w:cs="Arial"/>
          <w:b/>
          <w:bCs/>
          <w:i/>
          <w:iCs/>
          <w:color w:val="000000" w:themeColor="text1"/>
          <w:szCs w:val="22"/>
          <w:lang w:eastAsia="en-AU"/>
        </w:rPr>
      </w:pPr>
      <w:r w:rsidRPr="00385E31">
        <w:rPr>
          <w:b/>
          <w:bCs/>
          <w:i/>
          <w:iCs/>
          <w:lang w:eastAsia="en-AU"/>
        </w:rPr>
        <w:t xml:space="preserve">There </w:t>
      </w:r>
      <w:r w:rsidRPr="00385E31">
        <w:rPr>
          <w:rFonts w:cs="Arial"/>
          <w:b/>
          <w:bCs/>
          <w:i/>
          <w:iCs/>
          <w:color w:val="000000" w:themeColor="text1"/>
          <w:szCs w:val="22"/>
          <w:lang w:eastAsia="en-AU"/>
        </w:rPr>
        <w:t xml:space="preserve">should be a legislated presumption in favour of </w:t>
      </w:r>
      <w:r w:rsidR="009F0C35" w:rsidRPr="00385E31">
        <w:rPr>
          <w:rFonts w:cs="Arial"/>
          <w:b/>
          <w:bCs/>
          <w:i/>
          <w:iCs/>
          <w:color w:val="000000" w:themeColor="text1"/>
          <w:szCs w:val="22"/>
          <w:lang w:eastAsia="en-AU"/>
        </w:rPr>
        <w:t xml:space="preserve">post-charge </w:t>
      </w:r>
      <w:r w:rsidRPr="00385E31">
        <w:rPr>
          <w:rFonts w:cs="Arial"/>
          <w:b/>
          <w:bCs/>
          <w:i/>
          <w:iCs/>
          <w:color w:val="000000" w:themeColor="text1"/>
          <w:szCs w:val="22"/>
          <w:lang w:eastAsia="en-AU"/>
        </w:rPr>
        <w:t>diversion</w:t>
      </w:r>
      <w:r w:rsidR="004979EB" w:rsidRPr="00385E31">
        <w:rPr>
          <w:rFonts w:cs="Arial"/>
          <w:b/>
          <w:bCs/>
          <w:i/>
          <w:iCs/>
          <w:color w:val="000000" w:themeColor="text1"/>
          <w:szCs w:val="22"/>
          <w:lang w:eastAsia="en-AU"/>
        </w:rPr>
        <w:t xml:space="preserve">, supported with </w:t>
      </w:r>
      <w:r w:rsidR="005A7714" w:rsidRPr="00385E31">
        <w:rPr>
          <w:rFonts w:cs="Arial"/>
          <w:b/>
          <w:bCs/>
          <w:i/>
          <w:iCs/>
          <w:color w:val="000000" w:themeColor="text1"/>
          <w:szCs w:val="22"/>
          <w:lang w:eastAsia="en-AU"/>
        </w:rPr>
        <w:t>Aboriginal community-led culturally appropriate diversion programs</w:t>
      </w:r>
      <w:r w:rsidR="00385E31" w:rsidRPr="00385E31">
        <w:rPr>
          <w:rFonts w:cs="Arial"/>
          <w:b/>
          <w:bCs/>
          <w:i/>
          <w:iCs/>
          <w:color w:val="000000" w:themeColor="text1"/>
          <w:szCs w:val="22"/>
          <w:lang w:eastAsia="en-AU"/>
        </w:rPr>
        <w:t xml:space="preserve">, and </w:t>
      </w:r>
      <w:r w:rsidR="00385E31">
        <w:rPr>
          <w:rFonts w:cs="Arial"/>
          <w:b/>
          <w:bCs/>
          <w:i/>
          <w:iCs/>
          <w:color w:val="000000" w:themeColor="text1"/>
          <w:szCs w:val="22"/>
          <w:lang w:eastAsia="en-AU"/>
        </w:rPr>
        <w:t>t</w:t>
      </w:r>
      <w:r w:rsidR="005A7714" w:rsidRPr="00385E31">
        <w:rPr>
          <w:b/>
          <w:bCs/>
          <w:i/>
          <w:iCs/>
          <w:lang w:eastAsia="en-AU"/>
        </w:rPr>
        <w:t xml:space="preserve">here should be </w:t>
      </w:r>
      <w:r w:rsidRPr="00385E31">
        <w:rPr>
          <w:rFonts w:cs="Arial"/>
          <w:b/>
          <w:bCs/>
          <w:i/>
          <w:iCs/>
          <w:color w:val="000000" w:themeColor="text1"/>
          <w:szCs w:val="22"/>
          <w:lang w:eastAsia="en-AU"/>
        </w:rPr>
        <w:t xml:space="preserve">no requirement for consent from Victoria Police </w:t>
      </w:r>
    </w:p>
    <w:p w14:paraId="045AF4FC" w14:textId="26C44BF8" w:rsidR="00E37DA5" w:rsidRPr="002F53CF" w:rsidRDefault="006D7518" w:rsidP="00CD7C41">
      <w:pPr>
        <w:pStyle w:val="Heading2"/>
      </w:pPr>
      <w:bookmarkStart w:id="26" w:name="_Toc25238917"/>
      <w:bookmarkEnd w:id="23"/>
      <w:bookmarkEnd w:id="24"/>
      <w:bookmarkEnd w:id="25"/>
      <w:r w:rsidRPr="002F53CF">
        <w:t xml:space="preserve">Minimum age of criminal </w:t>
      </w:r>
      <w:r w:rsidR="00E37DA5" w:rsidRPr="002F53CF">
        <w:t>responsibility</w:t>
      </w:r>
      <w:bookmarkEnd w:id="26"/>
    </w:p>
    <w:p w14:paraId="7AAF9F44" w14:textId="1F80F7B5" w:rsidR="00123834" w:rsidRPr="002F53CF" w:rsidRDefault="0011445A" w:rsidP="00123834">
      <w:pPr>
        <w:shd w:val="clear" w:color="auto" w:fill="FFFFFF"/>
        <w:spacing w:before="60"/>
        <w:textAlignment w:val="baseline"/>
        <w:rPr>
          <w:rFonts w:cs="Arial"/>
          <w:color w:val="000000" w:themeColor="text1"/>
          <w:szCs w:val="22"/>
          <w:lang w:eastAsia="en-AU"/>
        </w:rPr>
      </w:pPr>
      <w:r>
        <w:rPr>
          <w:rFonts w:cs="Arial"/>
          <w:color w:val="000000" w:themeColor="text1"/>
          <w:szCs w:val="22"/>
          <w:lang w:eastAsia="en-AU"/>
        </w:rPr>
        <w:t>VLA recommends t</w:t>
      </w:r>
      <w:r w:rsidR="00123834" w:rsidRPr="002F53CF">
        <w:rPr>
          <w:rFonts w:cs="Arial"/>
          <w:color w:val="000000" w:themeColor="text1"/>
          <w:szCs w:val="22"/>
          <w:lang w:eastAsia="en-AU"/>
        </w:rPr>
        <w:t>he minimum age of criminal responsibility</w:t>
      </w:r>
      <w:r w:rsidR="001D4D0E">
        <w:rPr>
          <w:rFonts w:cs="Arial"/>
          <w:color w:val="000000" w:themeColor="text1"/>
          <w:szCs w:val="22"/>
          <w:lang w:eastAsia="en-AU"/>
        </w:rPr>
        <w:t xml:space="preserve"> </w:t>
      </w:r>
      <w:r w:rsidR="00123834" w:rsidRPr="002F53CF">
        <w:rPr>
          <w:rFonts w:cs="Arial"/>
          <w:color w:val="000000" w:themeColor="text1"/>
          <w:szCs w:val="22"/>
          <w:lang w:eastAsia="en-AU"/>
        </w:rPr>
        <w:t>be increased.</w:t>
      </w:r>
      <w:r w:rsidR="001429E7">
        <w:rPr>
          <w:rFonts w:cs="Arial"/>
          <w:color w:val="000000" w:themeColor="text1"/>
          <w:szCs w:val="22"/>
          <w:lang w:eastAsia="en-AU"/>
        </w:rPr>
        <w:t xml:space="preserve"> This would ensure that children are </w:t>
      </w:r>
      <w:r w:rsidR="00123834" w:rsidRPr="002F53CF">
        <w:rPr>
          <w:rFonts w:cs="Arial"/>
          <w:color w:val="000000" w:themeColor="text1"/>
          <w:szCs w:val="22"/>
          <w:lang w:eastAsia="en-AU"/>
        </w:rPr>
        <w:t>kept out of the youth justice system and supported with health</w:t>
      </w:r>
      <w:r w:rsidR="001429E7">
        <w:rPr>
          <w:rFonts w:cs="Arial"/>
          <w:color w:val="000000" w:themeColor="text1"/>
          <w:szCs w:val="22"/>
          <w:lang w:eastAsia="en-AU"/>
        </w:rPr>
        <w:t xml:space="preserve"> and other service</w:t>
      </w:r>
      <w:r w:rsidR="00F55B65">
        <w:rPr>
          <w:rFonts w:cs="Arial"/>
          <w:color w:val="000000" w:themeColor="text1"/>
          <w:szCs w:val="22"/>
          <w:lang w:eastAsia="en-AU"/>
        </w:rPr>
        <w:t xml:space="preserve"> </w:t>
      </w:r>
      <w:r w:rsidR="00123834" w:rsidRPr="002F53CF">
        <w:rPr>
          <w:rFonts w:cs="Arial"/>
          <w:color w:val="000000" w:themeColor="text1"/>
          <w:szCs w:val="22"/>
          <w:lang w:eastAsia="en-AU"/>
        </w:rPr>
        <w:t xml:space="preserve">responses. The current minimum age of criminal responsibility in </w:t>
      </w:r>
      <w:r>
        <w:rPr>
          <w:rFonts w:cs="Arial"/>
          <w:color w:val="000000" w:themeColor="text1"/>
          <w:szCs w:val="22"/>
          <w:lang w:eastAsia="en-AU"/>
        </w:rPr>
        <w:t>Victoria</w:t>
      </w:r>
      <w:r w:rsidRPr="002F53CF">
        <w:rPr>
          <w:rFonts w:cs="Arial"/>
          <w:color w:val="000000" w:themeColor="text1"/>
          <w:szCs w:val="22"/>
          <w:lang w:eastAsia="en-AU"/>
        </w:rPr>
        <w:t xml:space="preserve"> </w:t>
      </w:r>
      <w:r w:rsidR="00123834" w:rsidRPr="002F53CF">
        <w:rPr>
          <w:rFonts w:cs="Arial"/>
          <w:color w:val="000000" w:themeColor="text1"/>
          <w:szCs w:val="22"/>
          <w:lang w:eastAsia="en-AU"/>
        </w:rPr>
        <w:t>is 10. This is inconsistent with international standards and research around brain development.</w:t>
      </w:r>
      <w:r w:rsidR="00033BBE">
        <w:rPr>
          <w:color w:val="212121"/>
        </w:rPr>
        <w:t xml:space="preserve"> Research in recent years has demonstrated that the parts of children's brains that affect decision-making and impulse control are poorly developed before the age of 14.</w:t>
      </w:r>
      <w:r w:rsidR="00033BBE">
        <w:rPr>
          <w:rStyle w:val="FootnoteReference"/>
          <w:color w:val="212121"/>
        </w:rPr>
        <w:footnoteReference w:id="23"/>
      </w:r>
      <w:r w:rsidR="00033BBE">
        <w:rPr>
          <w:color w:val="212121"/>
        </w:rPr>
        <w:t xml:space="preserve"> </w:t>
      </w:r>
      <w:r w:rsidR="00123834" w:rsidRPr="00E1123D">
        <w:rPr>
          <w:rFonts w:cs="Arial"/>
          <w:color w:val="000000" w:themeColor="text1"/>
          <w:szCs w:val="22"/>
          <w:lang w:eastAsia="en-AU"/>
        </w:rPr>
        <w:t xml:space="preserve">This affects the extent to which they should be held criminally responsible for their actions. </w:t>
      </w:r>
    </w:p>
    <w:p w14:paraId="64CBF81B" w14:textId="126F9A10" w:rsidR="00123834" w:rsidRPr="002F53CF" w:rsidRDefault="00123834" w:rsidP="00123834">
      <w:pPr>
        <w:shd w:val="clear" w:color="auto" w:fill="FFFFFF"/>
        <w:spacing w:before="60"/>
        <w:textAlignment w:val="baseline"/>
        <w:rPr>
          <w:rFonts w:cs="Arial"/>
          <w:color w:val="000000" w:themeColor="text1"/>
          <w:szCs w:val="22"/>
          <w:lang w:eastAsia="en-AU"/>
        </w:rPr>
      </w:pPr>
      <w:r w:rsidRPr="002F53CF">
        <w:rPr>
          <w:rFonts w:cs="Arial"/>
          <w:color w:val="000000" w:themeColor="text1"/>
          <w:szCs w:val="22"/>
          <w:lang w:eastAsia="en-AU"/>
        </w:rPr>
        <w:t xml:space="preserve">The Sentencing Advisory Council’s (SAC) 2016 report, </w:t>
      </w:r>
      <w:r w:rsidRPr="002F53CF">
        <w:rPr>
          <w:rFonts w:cs="Arial"/>
          <w:i/>
          <w:iCs/>
          <w:color w:val="000000" w:themeColor="text1"/>
          <w:szCs w:val="22"/>
          <w:lang w:eastAsia="en-AU"/>
        </w:rPr>
        <w:t>Reoffending by Children and Young People in Victoria</w:t>
      </w:r>
      <w:r w:rsidRPr="002F53CF">
        <w:rPr>
          <w:rFonts w:cs="Arial"/>
          <w:color w:val="000000" w:themeColor="text1"/>
          <w:szCs w:val="22"/>
          <w:lang w:eastAsia="en-AU"/>
        </w:rPr>
        <w:t xml:space="preserve">, tells us that the likelihood of a child or young person progressing from the Children’s Court to the adult criminal jurisdiction was found to be associated with age at ‘entry’ into the criminal courts. </w:t>
      </w:r>
      <w:r w:rsidR="0055529B" w:rsidRPr="002F53CF">
        <w:rPr>
          <w:rFonts w:cs="Arial"/>
          <w:color w:val="000000" w:themeColor="text1"/>
          <w:szCs w:val="22"/>
          <w:lang w:eastAsia="en-AU"/>
        </w:rPr>
        <w:t xml:space="preserve">The </w:t>
      </w:r>
      <w:r w:rsidRPr="002F53CF">
        <w:rPr>
          <w:rFonts w:cs="Arial"/>
          <w:color w:val="000000" w:themeColor="text1"/>
          <w:szCs w:val="22"/>
          <w:lang w:eastAsia="en-AU"/>
        </w:rPr>
        <w:t xml:space="preserve">younger the children were at their first sentence, the more likely they were to reoffend generally, reoffend violently, continue offending into the adult criminal jurisdiction and be </w:t>
      </w:r>
      <w:r w:rsidRPr="002F53CF">
        <w:rPr>
          <w:rFonts w:cs="Arial"/>
          <w:color w:val="000000" w:themeColor="text1"/>
          <w:szCs w:val="22"/>
          <w:lang w:eastAsia="en-AU"/>
        </w:rPr>
        <w:lastRenderedPageBreak/>
        <w:t>sentenced to an adult sentence of imprisonment before their twenty-second birthday.</w:t>
      </w:r>
      <w:r w:rsidR="0055529B" w:rsidRPr="002F53CF">
        <w:rPr>
          <w:rFonts w:cs="Arial"/>
          <w:color w:val="000000" w:themeColor="text1"/>
          <w:szCs w:val="22"/>
          <w:lang w:eastAsia="en-AU"/>
        </w:rPr>
        <w:t xml:space="preserve"> SAC </w:t>
      </w:r>
      <w:r w:rsidRPr="002F53CF">
        <w:rPr>
          <w:rFonts w:cs="Arial"/>
          <w:color w:val="000000" w:themeColor="text1"/>
          <w:szCs w:val="22"/>
          <w:lang w:eastAsia="en-AU"/>
        </w:rPr>
        <w:t xml:space="preserve">found that after accounting for the effect of other factors, each additional year in age at entry into the criminal courts was associated with an 18 per cent decline in the likelihood of reoffending. </w:t>
      </w:r>
    </w:p>
    <w:p w14:paraId="6430C4F1" w14:textId="6547793D" w:rsidR="008F0A20" w:rsidRPr="00114928" w:rsidRDefault="000C0A14" w:rsidP="00114928">
      <w:pPr>
        <w:pStyle w:val="Heading2"/>
      </w:pPr>
      <w:bookmarkStart w:id="27" w:name="_Toc25238918"/>
      <w:r w:rsidRPr="002F53CF">
        <w:t>Pre-</w:t>
      </w:r>
      <w:r w:rsidR="00332FEB">
        <w:t>plea</w:t>
      </w:r>
      <w:r w:rsidR="00332FEB" w:rsidRPr="002F53CF">
        <w:t xml:space="preserve"> </w:t>
      </w:r>
      <w:r w:rsidRPr="002F53CF">
        <w:t>caution</w:t>
      </w:r>
      <w:bookmarkEnd w:id="27"/>
    </w:p>
    <w:p w14:paraId="0E368EA2" w14:textId="6F03145A" w:rsidR="00473F48" w:rsidRDefault="008F0A20" w:rsidP="000C0A14">
      <w:pPr>
        <w:shd w:val="clear" w:color="auto" w:fill="FFFFFF"/>
        <w:textAlignment w:val="baseline"/>
      </w:pPr>
      <w:r>
        <w:rPr>
          <w:rFonts w:cs="Arial"/>
          <w:color w:val="000000" w:themeColor="text1"/>
          <w:szCs w:val="22"/>
          <w:lang w:eastAsia="en-AU"/>
        </w:rPr>
        <w:t>T</w:t>
      </w:r>
      <w:r w:rsidR="00473F48">
        <w:rPr>
          <w:rFonts w:cs="Arial"/>
          <w:color w:val="000000" w:themeColor="text1"/>
          <w:szCs w:val="22"/>
          <w:lang w:eastAsia="en-AU"/>
        </w:rPr>
        <w:t>here</w:t>
      </w:r>
      <w:r w:rsidR="00473F48" w:rsidRPr="002F53CF">
        <w:rPr>
          <w:rFonts w:cs="Arial"/>
          <w:color w:val="000000" w:themeColor="text1"/>
          <w:szCs w:val="22"/>
          <w:lang w:eastAsia="en-AU"/>
        </w:rPr>
        <w:t xml:space="preserve"> </w:t>
      </w:r>
      <w:r>
        <w:rPr>
          <w:rFonts w:cs="Arial"/>
          <w:color w:val="000000" w:themeColor="text1"/>
          <w:szCs w:val="22"/>
          <w:lang w:eastAsia="en-AU"/>
        </w:rPr>
        <w:t xml:space="preserve">must </w:t>
      </w:r>
      <w:r w:rsidR="00473F48" w:rsidRPr="002F53CF">
        <w:rPr>
          <w:rFonts w:cs="Arial"/>
          <w:color w:val="000000" w:themeColor="text1"/>
          <w:szCs w:val="22"/>
          <w:lang w:eastAsia="en-AU"/>
        </w:rPr>
        <w:t xml:space="preserve">be legislative presumptions in </w:t>
      </w:r>
      <w:r w:rsidR="00473F48">
        <w:rPr>
          <w:rFonts w:cs="Arial"/>
          <w:color w:val="000000" w:themeColor="text1"/>
          <w:szCs w:val="22"/>
          <w:lang w:eastAsia="en-AU"/>
        </w:rPr>
        <w:t>favour of diversion from key entry points into the system – pre-plea cautions and post-charge diversion in the CYFA – to ensure young people are</w:t>
      </w:r>
      <w:r w:rsidR="00473F48" w:rsidRPr="002F53CF">
        <w:rPr>
          <w:rFonts w:cs="Arial"/>
          <w:color w:val="000000" w:themeColor="text1"/>
          <w:szCs w:val="22"/>
          <w:lang w:eastAsia="en-AU"/>
        </w:rPr>
        <w:t xml:space="preserve"> diverted away from the criminal justice system. The focus </w:t>
      </w:r>
      <w:r w:rsidR="00473F48">
        <w:rPr>
          <w:rFonts w:cs="Arial"/>
          <w:color w:val="000000" w:themeColor="text1"/>
          <w:szCs w:val="22"/>
          <w:lang w:eastAsia="en-AU"/>
        </w:rPr>
        <w:t>then shifts to</w:t>
      </w:r>
      <w:r w:rsidR="00473F48" w:rsidRPr="002F53CF">
        <w:rPr>
          <w:rFonts w:cs="Arial"/>
          <w:color w:val="000000" w:themeColor="text1"/>
          <w:szCs w:val="22"/>
          <w:lang w:eastAsia="en-AU"/>
        </w:rPr>
        <w:t xml:space="preserve"> responding to offending in a manner that acknowledges the young person’s needs, assists with rehabilitation, and connect</w:t>
      </w:r>
      <w:r w:rsidR="00473F48">
        <w:rPr>
          <w:rFonts w:cs="Arial"/>
          <w:color w:val="000000" w:themeColor="text1"/>
          <w:szCs w:val="22"/>
          <w:lang w:eastAsia="en-AU"/>
        </w:rPr>
        <w:t>s</w:t>
      </w:r>
      <w:r w:rsidR="00473F48" w:rsidRPr="002F53CF">
        <w:rPr>
          <w:rFonts w:cs="Arial"/>
          <w:color w:val="000000" w:themeColor="text1"/>
          <w:szCs w:val="22"/>
          <w:lang w:eastAsia="en-AU"/>
        </w:rPr>
        <w:t xml:space="preserve"> the young person with ongoing support services which will provide pathways to education, training and employment</w:t>
      </w:r>
      <w:r w:rsidR="00473F48" w:rsidRPr="002F53CF">
        <w:t>.</w:t>
      </w:r>
    </w:p>
    <w:p w14:paraId="07B9EE34" w14:textId="08E25C7E" w:rsidR="00E1123D" w:rsidRDefault="003571B8" w:rsidP="00D716DD">
      <w:pPr>
        <w:shd w:val="clear" w:color="auto" w:fill="FFFFFF"/>
        <w:textAlignment w:val="baseline"/>
      </w:pPr>
      <w:r w:rsidRPr="002F53CF">
        <w:t>The Crime Statistics Agency</w:t>
      </w:r>
      <w:r w:rsidR="001726E6">
        <w:t xml:space="preserve"> </w:t>
      </w:r>
      <w:r w:rsidR="00B35D62" w:rsidRPr="002F53CF">
        <w:t xml:space="preserve">(CSA) </w:t>
      </w:r>
      <w:r w:rsidRPr="002F53CF">
        <w:t>ha</w:t>
      </w:r>
      <w:r w:rsidR="00D716DD" w:rsidRPr="002F53CF">
        <w:t>s</w:t>
      </w:r>
      <w:r w:rsidRPr="002F53CF">
        <w:t xml:space="preserve"> demonstrated that young people who were cautioned were less likely to re-offend than those charged (26.8</w:t>
      </w:r>
      <w:r w:rsidR="000E03D8" w:rsidRPr="002F53CF">
        <w:t xml:space="preserve"> percent</w:t>
      </w:r>
      <w:r w:rsidRPr="002F53CF">
        <w:t xml:space="preserve"> compared to 57.6</w:t>
      </w:r>
      <w:r w:rsidR="000E03D8" w:rsidRPr="002F53CF">
        <w:t xml:space="preserve"> percent</w:t>
      </w:r>
      <w:r w:rsidRPr="002F53CF">
        <w:t>)</w:t>
      </w:r>
      <w:r w:rsidR="00CD7C41">
        <w:t xml:space="preserve"> and, for</w:t>
      </w:r>
      <w:r w:rsidRPr="002F53CF">
        <w:t xml:space="preserve"> </w:t>
      </w:r>
      <w:r w:rsidR="005C4337" w:rsidRPr="002F53CF">
        <w:t>those who did reoffend, t</w:t>
      </w:r>
      <w:r w:rsidR="000C0A14" w:rsidRPr="002F53CF">
        <w:t xml:space="preserve">here was </w:t>
      </w:r>
      <w:r w:rsidRPr="002F53CF">
        <w:t xml:space="preserve">a </w:t>
      </w:r>
      <w:r w:rsidRPr="003774A1">
        <w:t>longer duration</w:t>
      </w:r>
      <w:r w:rsidRPr="002F53CF">
        <w:t xml:space="preserve"> between the </w:t>
      </w:r>
      <w:r w:rsidR="005C4337" w:rsidRPr="002F53CF">
        <w:t xml:space="preserve">police contact </w:t>
      </w:r>
      <w:r w:rsidRPr="002F53CF">
        <w:t xml:space="preserve">and the first reoffending incident compared with those charged. Furthermore, </w:t>
      </w:r>
      <w:r w:rsidR="000C0A14" w:rsidRPr="002F53CF">
        <w:t xml:space="preserve">the </w:t>
      </w:r>
      <w:r w:rsidRPr="002F53CF">
        <w:t xml:space="preserve">CSA data demonstrates that </w:t>
      </w:r>
      <w:r w:rsidR="000C0A14" w:rsidRPr="002F53CF">
        <w:t xml:space="preserve">Aboriginal </w:t>
      </w:r>
      <w:r w:rsidRPr="002F53CF">
        <w:t xml:space="preserve">young people and those who lived in more socio-economically disadvantaged postcodes were </w:t>
      </w:r>
      <w:r w:rsidRPr="003774A1">
        <w:t>more likely to be charged than cautioned</w:t>
      </w:r>
      <w:r w:rsidRPr="00F55B65">
        <w:t>.</w:t>
      </w:r>
      <w:r w:rsidR="00CD7C41">
        <w:rPr>
          <w:rStyle w:val="FootnoteReference"/>
        </w:rPr>
        <w:footnoteReference w:id="24"/>
      </w:r>
      <w:r w:rsidRPr="002F53CF">
        <w:t xml:space="preserve"> </w:t>
      </w:r>
    </w:p>
    <w:p w14:paraId="0200327B" w14:textId="76A4EEBB" w:rsidR="000C0A14" w:rsidRPr="002F53CF" w:rsidRDefault="00556183" w:rsidP="00D716DD">
      <w:pPr>
        <w:shd w:val="clear" w:color="auto" w:fill="FFFFFF"/>
        <w:textAlignment w:val="baseline"/>
      </w:pPr>
      <w:r>
        <w:t>Our practice experience is that young people are cautioned inconsistently across the State; there are differing interpretations regarding when a young person should be cautioned and how often; misconceptions that once a young person has been charged and brief prepared that it is too late to caution them</w:t>
      </w:r>
      <w:r w:rsidR="00CD7C41">
        <w:t>.</w:t>
      </w:r>
    </w:p>
    <w:p w14:paraId="58D1FD16" w14:textId="2C030E94" w:rsidR="00D22E89" w:rsidRPr="002F53CF" w:rsidRDefault="000C0A14" w:rsidP="006326E7">
      <w:pPr>
        <w:pStyle w:val="Heading2"/>
        <w:rPr>
          <w:szCs w:val="22"/>
        </w:rPr>
      </w:pPr>
      <w:bookmarkStart w:id="28" w:name="_Toc25238919"/>
      <w:r w:rsidRPr="002F53CF">
        <w:t>Post-charge d</w:t>
      </w:r>
      <w:r w:rsidR="00D22E89" w:rsidRPr="002F53CF">
        <w:t>iversion</w:t>
      </w:r>
      <w:bookmarkEnd w:id="28"/>
      <w:r w:rsidR="002449EE" w:rsidRPr="002F53CF">
        <w:t xml:space="preserve"> </w:t>
      </w:r>
    </w:p>
    <w:p w14:paraId="5179011B" w14:textId="3FE4D10A" w:rsidR="00FD5D52" w:rsidRPr="002F53CF" w:rsidRDefault="00FD5D52" w:rsidP="00FD5D52">
      <w:pPr>
        <w:shd w:val="clear" w:color="auto" w:fill="FFFFFF"/>
        <w:textAlignment w:val="baseline"/>
        <w:rPr>
          <w:szCs w:val="22"/>
        </w:rPr>
      </w:pPr>
      <w:r w:rsidRPr="002F53CF">
        <w:rPr>
          <w:szCs w:val="22"/>
        </w:rPr>
        <w:t>Findings from several studies indicate that a young offender who participates in a diversion program is far less likely to reoffend than a young person whose case is determined in court and who is subsequently incarcerated</w:t>
      </w:r>
      <w:r w:rsidR="005C4337" w:rsidRPr="002F53CF">
        <w:rPr>
          <w:szCs w:val="22"/>
        </w:rPr>
        <w:t>, even where the seriousness of the offending is take</w:t>
      </w:r>
      <w:r w:rsidR="007478AC">
        <w:rPr>
          <w:szCs w:val="22"/>
        </w:rPr>
        <w:t>n</w:t>
      </w:r>
      <w:r w:rsidR="005C4337" w:rsidRPr="002F53CF">
        <w:rPr>
          <w:szCs w:val="22"/>
        </w:rPr>
        <w:t xml:space="preserve"> into account</w:t>
      </w:r>
      <w:r w:rsidRPr="002F53CF">
        <w:rPr>
          <w:szCs w:val="22"/>
        </w:rPr>
        <w:t>.</w:t>
      </w:r>
      <w:r w:rsidRPr="002F53CF">
        <w:rPr>
          <w:rStyle w:val="FootnoteReference"/>
          <w:szCs w:val="22"/>
        </w:rPr>
        <w:footnoteReference w:id="25"/>
      </w:r>
    </w:p>
    <w:p w14:paraId="327E9205" w14:textId="113A43DA" w:rsidR="00BE3DA8" w:rsidRPr="002F53CF" w:rsidRDefault="005C4337" w:rsidP="00BE3DA8">
      <w:pPr>
        <w:shd w:val="clear" w:color="auto" w:fill="FFFFFF"/>
        <w:textAlignment w:val="baseline"/>
        <w:rPr>
          <w:rFonts w:cs="Arial"/>
          <w:color w:val="000000" w:themeColor="text1"/>
          <w:szCs w:val="22"/>
          <w:lang w:eastAsia="en-AU"/>
        </w:rPr>
      </w:pPr>
      <w:r w:rsidRPr="002F53CF">
        <w:rPr>
          <w:rFonts w:cs="Arial"/>
          <w:color w:val="000000" w:themeColor="text1"/>
          <w:szCs w:val="22"/>
          <w:lang w:eastAsia="en-AU"/>
        </w:rPr>
        <w:t xml:space="preserve">Diversion can </w:t>
      </w:r>
      <w:r w:rsidR="000C0A14" w:rsidRPr="002F53CF">
        <w:rPr>
          <w:rFonts w:cs="Arial"/>
          <w:color w:val="000000" w:themeColor="text1"/>
          <w:szCs w:val="22"/>
          <w:lang w:eastAsia="en-AU"/>
        </w:rPr>
        <w:t xml:space="preserve">assist </w:t>
      </w:r>
      <w:r w:rsidR="00885060">
        <w:rPr>
          <w:rFonts w:cs="Arial"/>
          <w:color w:val="000000" w:themeColor="text1"/>
          <w:szCs w:val="22"/>
          <w:lang w:eastAsia="en-AU"/>
        </w:rPr>
        <w:t xml:space="preserve">in </w:t>
      </w:r>
      <w:r w:rsidR="000C0A14" w:rsidRPr="002F53CF">
        <w:rPr>
          <w:rFonts w:cs="Arial"/>
          <w:color w:val="000000" w:themeColor="text1"/>
          <w:szCs w:val="22"/>
          <w:lang w:eastAsia="en-AU"/>
        </w:rPr>
        <w:t>an offender’s rehabilitation</w:t>
      </w:r>
      <w:r w:rsidR="00C73266" w:rsidRPr="002F53CF">
        <w:rPr>
          <w:rFonts w:cs="Arial"/>
          <w:color w:val="000000" w:themeColor="text1"/>
          <w:szCs w:val="22"/>
          <w:lang w:eastAsia="en-AU"/>
        </w:rPr>
        <w:t xml:space="preserve">, </w:t>
      </w:r>
      <w:r w:rsidR="000C0A14" w:rsidRPr="002F53CF">
        <w:rPr>
          <w:rFonts w:cs="Arial"/>
          <w:color w:val="000000" w:themeColor="text1"/>
          <w:szCs w:val="22"/>
          <w:lang w:eastAsia="en-AU"/>
        </w:rPr>
        <w:t>ensure that appropriate reparation is made to the victim</w:t>
      </w:r>
      <w:r w:rsidRPr="002F53CF">
        <w:rPr>
          <w:rFonts w:cs="Arial"/>
          <w:color w:val="000000" w:themeColor="text1"/>
          <w:szCs w:val="22"/>
          <w:lang w:eastAsia="en-AU"/>
        </w:rPr>
        <w:t>, and reduce re-offending</w:t>
      </w:r>
      <w:r w:rsidR="00885060">
        <w:rPr>
          <w:rFonts w:cs="Arial"/>
          <w:color w:val="000000" w:themeColor="text1"/>
          <w:szCs w:val="22"/>
          <w:lang w:eastAsia="en-AU"/>
        </w:rPr>
        <w:t xml:space="preserve"> through ordering the offender to apologise to the victim, attend counselling or attend courses such as anger management</w:t>
      </w:r>
      <w:r w:rsidR="000C0A14" w:rsidRPr="002F53CF">
        <w:rPr>
          <w:rFonts w:cs="Arial"/>
          <w:color w:val="000000" w:themeColor="text1"/>
          <w:szCs w:val="22"/>
          <w:lang w:eastAsia="en-AU"/>
        </w:rPr>
        <w:t>.</w:t>
      </w:r>
      <w:r w:rsidR="00C73266" w:rsidRPr="002F53CF">
        <w:rPr>
          <w:rStyle w:val="FootnoteReference"/>
          <w:rFonts w:cs="Arial"/>
          <w:color w:val="000000" w:themeColor="text1"/>
          <w:szCs w:val="22"/>
          <w:lang w:eastAsia="en-AU"/>
        </w:rPr>
        <w:footnoteReference w:id="26"/>
      </w:r>
      <w:r w:rsidR="00C73266" w:rsidRPr="002F53CF">
        <w:rPr>
          <w:rFonts w:cs="Arial"/>
          <w:color w:val="000000" w:themeColor="text1"/>
          <w:szCs w:val="22"/>
          <w:lang w:eastAsia="en-AU"/>
        </w:rPr>
        <w:t xml:space="preserve"> </w:t>
      </w:r>
      <w:r w:rsidR="00984DE7" w:rsidRPr="002F53CF">
        <w:rPr>
          <w:rFonts w:cs="Arial"/>
          <w:color w:val="000000" w:themeColor="text1"/>
          <w:szCs w:val="22"/>
          <w:lang w:eastAsia="en-AU"/>
        </w:rPr>
        <w:t>A person who successfully completes the conditions and does not commit further offences during the diversion period, will not have the matter recorded as part of their criminal history.</w:t>
      </w:r>
      <w:r w:rsidR="00984DE7">
        <w:rPr>
          <w:rFonts w:cs="Arial"/>
          <w:color w:val="000000" w:themeColor="text1"/>
          <w:szCs w:val="22"/>
          <w:lang w:eastAsia="en-AU"/>
        </w:rPr>
        <w:t xml:space="preserve"> </w:t>
      </w:r>
    </w:p>
    <w:p w14:paraId="4DEA144F" w14:textId="3A90BE54" w:rsidR="00CE63E7" w:rsidRDefault="00BE3DA8" w:rsidP="0007461B">
      <w:pPr>
        <w:shd w:val="clear" w:color="auto" w:fill="FFFFFF"/>
        <w:textAlignment w:val="baseline"/>
      </w:pPr>
      <w:r w:rsidRPr="002F53CF">
        <w:t>VLA’s practice experienc</w:t>
      </w:r>
      <w:r w:rsidR="00B64E9F">
        <w:t>e,</w:t>
      </w:r>
      <w:r w:rsidR="00001A97">
        <w:t xml:space="preserve"> </w:t>
      </w:r>
      <w:r w:rsidR="00B64E9F">
        <w:t xml:space="preserve">similar to </w:t>
      </w:r>
      <w:r w:rsidR="00984DE7">
        <w:t xml:space="preserve">that </w:t>
      </w:r>
      <w:r w:rsidR="00B64E9F">
        <w:t xml:space="preserve">of cautions, </w:t>
      </w:r>
      <w:r w:rsidR="00B43FF2">
        <w:t xml:space="preserve">is </w:t>
      </w:r>
      <w:r w:rsidRPr="002F53CF">
        <w:t xml:space="preserve">that diversion </w:t>
      </w:r>
      <w:r w:rsidR="0061371E" w:rsidRPr="002F53CF">
        <w:t xml:space="preserve">is </w:t>
      </w:r>
      <w:r w:rsidRPr="002F53CF">
        <w:t>applied unevenly and inconsistently across the state</w:t>
      </w:r>
      <w:r w:rsidR="00B64E9F">
        <w:t>.</w:t>
      </w:r>
      <w:r w:rsidR="009E379E">
        <w:rPr>
          <w:rStyle w:val="FootnoteReference"/>
        </w:rPr>
        <w:footnoteReference w:id="27"/>
      </w:r>
      <w:r w:rsidR="00984DE7">
        <w:t xml:space="preserve"> </w:t>
      </w:r>
      <w:r w:rsidR="00CE63E7">
        <w:t xml:space="preserve">For </w:t>
      </w:r>
      <w:r w:rsidR="00B43FF2">
        <w:t xml:space="preserve">instance, there </w:t>
      </w:r>
      <w:r w:rsidR="00B64E9F">
        <w:t>is a separate Children’s Court matrix that is used to assist police decision</w:t>
      </w:r>
      <w:r w:rsidR="00CE63E7">
        <w:t xml:space="preserve"> </w:t>
      </w:r>
      <w:r w:rsidR="00B64E9F">
        <w:t>making and no offence is excluded.</w:t>
      </w:r>
      <w:r w:rsidR="004A4A3D">
        <w:t xml:space="preserve"> </w:t>
      </w:r>
      <w:r w:rsidR="00B64E9F">
        <w:t xml:space="preserve">However, in our experience </w:t>
      </w:r>
      <w:r w:rsidR="00B64E9F">
        <w:lastRenderedPageBreak/>
        <w:t>there is</w:t>
      </w:r>
      <w:r w:rsidR="00CE63E7">
        <w:t xml:space="preserve"> still confusion with the adult matrix </w:t>
      </w:r>
      <w:r w:rsidR="00FC6D45">
        <w:t xml:space="preserve">for example </w:t>
      </w:r>
      <w:r w:rsidR="00CE63E7">
        <w:t>lawyers are told that offences,</w:t>
      </w:r>
      <w:r w:rsidR="00FC6D45">
        <w:t xml:space="preserve"> such</w:t>
      </w:r>
      <w:r w:rsidR="00CE63E7">
        <w:t xml:space="preserve"> family violence related matters</w:t>
      </w:r>
      <w:r w:rsidR="00FC6D45">
        <w:t>,</w:t>
      </w:r>
      <w:r w:rsidR="00CE63E7">
        <w:t xml:space="preserve"> cannot </w:t>
      </w:r>
      <w:r w:rsidR="00001A97">
        <w:t>receive</w:t>
      </w:r>
      <w:r w:rsidR="00CE63E7">
        <w:t xml:space="preserve"> </w:t>
      </w:r>
      <w:r w:rsidR="00001A97">
        <w:t>diversion</w:t>
      </w:r>
      <w:r w:rsidR="00CE63E7">
        <w:t xml:space="preserve">. </w:t>
      </w:r>
    </w:p>
    <w:p w14:paraId="38478D3B" w14:textId="544963D6" w:rsidR="0007461B" w:rsidRPr="002F53CF" w:rsidRDefault="00CE63E7" w:rsidP="0007461B">
      <w:pPr>
        <w:shd w:val="clear" w:color="auto" w:fill="FFFFFF"/>
        <w:textAlignment w:val="baseline"/>
      </w:pPr>
      <w:r>
        <w:t xml:space="preserve">Lawyers are often required to provide a </w:t>
      </w:r>
      <w:r w:rsidR="000F5C9E">
        <w:t xml:space="preserve">significant </w:t>
      </w:r>
      <w:r>
        <w:t>amount of material which may need to be gathered over a number of court dates</w:t>
      </w:r>
      <w:r w:rsidR="00001A97">
        <w:t xml:space="preserve"> </w:t>
      </w:r>
      <w:r w:rsidR="00B64E9F">
        <w:t>to convince the police</w:t>
      </w:r>
      <w:r>
        <w:t xml:space="preserve"> to agree to</w:t>
      </w:r>
      <w:r w:rsidR="00B64E9F">
        <w:t xml:space="preserve"> diversion</w:t>
      </w:r>
      <w:r>
        <w:t xml:space="preserve"> (supplanting the role of the diversion coordinator)</w:t>
      </w:r>
      <w:r w:rsidR="00B64E9F">
        <w:t>.</w:t>
      </w:r>
      <w:r w:rsidR="00497C49">
        <w:t xml:space="preserve"> </w:t>
      </w:r>
      <w:r w:rsidR="00BE3DA8" w:rsidRPr="002F53CF">
        <w:t xml:space="preserve">In our experience, consistency is difficult to achieve if access to diversion </w:t>
      </w:r>
      <w:r w:rsidR="00F55B65">
        <w:t>depends</w:t>
      </w:r>
      <w:r w:rsidR="00F55B65" w:rsidRPr="002F53CF">
        <w:t xml:space="preserve"> </w:t>
      </w:r>
      <w:r w:rsidR="00BE3DA8" w:rsidRPr="002F53CF">
        <w:t xml:space="preserve">on the discretion of the prosecution. </w:t>
      </w:r>
      <w:r w:rsidR="00885060">
        <w:t>Jane’s</w:t>
      </w:r>
      <w:r w:rsidR="00885060" w:rsidRPr="002F53CF">
        <w:t xml:space="preserve"> </w:t>
      </w:r>
      <w:r w:rsidR="002402B4" w:rsidRPr="002F53CF">
        <w:t xml:space="preserve">story highlights </w:t>
      </w:r>
      <w:r w:rsidR="00F55B65">
        <w:t>the</w:t>
      </w:r>
      <w:r w:rsidR="002402B4" w:rsidRPr="002F53CF">
        <w:t xml:space="preserve"> difficulties in obtaining a diversionary outcome.</w:t>
      </w:r>
    </w:p>
    <w:p w14:paraId="1C53963E" w14:textId="77777777" w:rsidR="002402B4" w:rsidRPr="002F53CF" w:rsidRDefault="002402B4" w:rsidP="0007461B">
      <w:pPr>
        <w:shd w:val="clear" w:color="auto" w:fill="FFFFFF"/>
        <w:textAlignment w:val="baseline"/>
      </w:pPr>
    </w:p>
    <w:tbl>
      <w:tblPr>
        <w:tblStyle w:val="TableGrid"/>
        <w:tblW w:w="0" w:type="auto"/>
        <w:tblInd w:w="421" w:type="dxa"/>
        <w:tblLook w:val="04A0" w:firstRow="1" w:lastRow="0" w:firstColumn="1" w:lastColumn="0" w:noHBand="0" w:noVBand="1"/>
      </w:tblPr>
      <w:tblGrid>
        <w:gridCol w:w="9072"/>
      </w:tblGrid>
      <w:tr w:rsidR="00E66B5B" w:rsidRPr="002F53CF" w14:paraId="7DC2CC3E" w14:textId="77777777" w:rsidTr="00DE4BA3">
        <w:tc>
          <w:tcPr>
            <w:tcW w:w="9072" w:type="dxa"/>
          </w:tcPr>
          <w:p w14:paraId="15AD35FD" w14:textId="1E87F996" w:rsidR="00E66B5B" w:rsidRPr="002F53CF" w:rsidRDefault="000106AF" w:rsidP="00BB7200">
            <w:pPr>
              <w:spacing w:after="0" w:line="280" w:lineRule="atLeast"/>
              <w:textAlignment w:val="baseline"/>
              <w:rPr>
                <w:rFonts w:cs="Arial"/>
                <w:color w:val="002060"/>
                <w:sz w:val="21"/>
                <w:szCs w:val="21"/>
                <w:shd w:val="clear" w:color="auto" w:fill="FFFFFF"/>
              </w:rPr>
            </w:pPr>
            <w:r>
              <w:rPr>
                <w:rFonts w:cs="Arial"/>
                <w:i/>
                <w:iCs/>
                <w:color w:val="002060"/>
                <w:sz w:val="21"/>
                <w:szCs w:val="21"/>
                <w:shd w:val="clear" w:color="auto" w:fill="FFFFFF"/>
              </w:rPr>
              <w:t>Jane</w:t>
            </w:r>
            <w:r w:rsidR="00BC0554">
              <w:rPr>
                <w:rFonts w:cs="Arial"/>
                <w:i/>
                <w:iCs/>
                <w:color w:val="002060"/>
                <w:sz w:val="21"/>
                <w:szCs w:val="21"/>
                <w:shd w:val="clear" w:color="auto" w:fill="FFFFFF"/>
              </w:rPr>
              <w:t>*</w:t>
            </w:r>
            <w:r w:rsidR="00E66B5B" w:rsidRPr="002F53CF">
              <w:rPr>
                <w:rFonts w:cs="Arial"/>
                <w:color w:val="002060"/>
                <w:sz w:val="21"/>
                <w:szCs w:val="21"/>
                <w:shd w:val="clear" w:color="auto" w:fill="FFFFFF"/>
              </w:rPr>
              <w:t xml:space="preserve"> is 16 years old</w:t>
            </w:r>
            <w:r w:rsidR="00BC0554">
              <w:rPr>
                <w:rFonts w:cs="Arial"/>
                <w:color w:val="002060"/>
                <w:sz w:val="21"/>
                <w:szCs w:val="21"/>
                <w:shd w:val="clear" w:color="auto" w:fill="FFFFFF"/>
              </w:rPr>
              <w:t>.</w:t>
            </w:r>
            <w:r>
              <w:rPr>
                <w:rFonts w:cs="Arial"/>
                <w:color w:val="002060"/>
                <w:sz w:val="21"/>
                <w:szCs w:val="21"/>
                <w:shd w:val="clear" w:color="auto" w:fill="FFFFFF"/>
              </w:rPr>
              <w:t xml:space="preserve"> </w:t>
            </w:r>
            <w:r w:rsidR="00E66B5B" w:rsidRPr="002F53CF">
              <w:rPr>
                <w:rFonts w:cs="Arial"/>
                <w:color w:val="002060"/>
                <w:sz w:val="21"/>
                <w:szCs w:val="21"/>
                <w:shd w:val="clear" w:color="auto" w:fill="FFFFFF"/>
              </w:rPr>
              <w:t xml:space="preserve">She is Aboriginal and an aspiring football player. She was charged with </w:t>
            </w:r>
            <w:r w:rsidR="00371172" w:rsidRPr="002F53CF">
              <w:rPr>
                <w:rFonts w:cs="Arial"/>
                <w:color w:val="002060"/>
                <w:sz w:val="21"/>
                <w:szCs w:val="21"/>
                <w:shd w:val="clear" w:color="auto" w:fill="FFFFFF"/>
              </w:rPr>
              <w:t>theft of motor vehicle</w:t>
            </w:r>
            <w:r w:rsidR="00E66B5B" w:rsidRPr="002F53CF">
              <w:rPr>
                <w:rFonts w:cs="Arial"/>
                <w:color w:val="002060"/>
                <w:sz w:val="21"/>
                <w:szCs w:val="21"/>
                <w:shd w:val="clear" w:color="auto" w:fill="FFFFFF"/>
              </w:rPr>
              <w:t>. She ha</w:t>
            </w:r>
            <w:r w:rsidR="00371172" w:rsidRPr="002F53CF">
              <w:rPr>
                <w:rFonts w:cs="Arial"/>
                <w:color w:val="002060"/>
                <w:sz w:val="21"/>
                <w:szCs w:val="21"/>
                <w:shd w:val="clear" w:color="auto" w:fill="FFFFFF"/>
              </w:rPr>
              <w:t>d</w:t>
            </w:r>
            <w:r w:rsidR="00E66B5B" w:rsidRPr="002F53CF">
              <w:rPr>
                <w:rFonts w:cs="Arial"/>
                <w:color w:val="002060"/>
                <w:sz w:val="21"/>
                <w:szCs w:val="21"/>
                <w:shd w:val="clear" w:color="auto" w:fill="FFFFFF"/>
              </w:rPr>
              <w:t xml:space="preserve"> never been in trouble with the court before (not even a caution), and was able to demonstrate a number of compelling circumstances </w:t>
            </w:r>
            <w:r w:rsidR="00E66B5B" w:rsidRPr="002F53CF">
              <w:rPr>
                <w:rFonts w:cs="Arial"/>
                <w:color w:val="002060"/>
                <w:sz w:val="21"/>
                <w:szCs w:val="21"/>
                <w:lang w:eastAsia="en-AU"/>
              </w:rPr>
              <w:t>outlined in support letters</w:t>
            </w:r>
            <w:r w:rsidR="00E66B5B" w:rsidRPr="002F53CF">
              <w:rPr>
                <w:rFonts w:cs="Arial"/>
                <w:color w:val="002060"/>
                <w:sz w:val="21"/>
                <w:szCs w:val="21"/>
              </w:rPr>
              <w:t xml:space="preserve">. </w:t>
            </w:r>
            <w:r w:rsidR="00E66B5B" w:rsidRPr="002F53CF">
              <w:rPr>
                <w:rFonts w:cs="Arial"/>
                <w:color w:val="002060"/>
                <w:sz w:val="21"/>
                <w:szCs w:val="21"/>
                <w:shd w:val="clear" w:color="auto" w:fill="FFFFFF"/>
              </w:rPr>
              <w:t xml:space="preserve">All of her co-accused were approved for ROPES, which is a diversion program in which the </w:t>
            </w:r>
            <w:r w:rsidR="00BC0554">
              <w:rPr>
                <w:rFonts w:cs="Arial"/>
                <w:color w:val="002060"/>
                <w:sz w:val="21"/>
                <w:szCs w:val="21"/>
                <w:shd w:val="clear" w:color="auto" w:fill="FFFFFF"/>
              </w:rPr>
              <w:t>accused</w:t>
            </w:r>
            <w:r w:rsidR="00BC0554" w:rsidRPr="002F53CF">
              <w:rPr>
                <w:rFonts w:cs="Arial"/>
                <w:color w:val="002060"/>
                <w:sz w:val="21"/>
                <w:szCs w:val="21"/>
                <w:shd w:val="clear" w:color="auto" w:fill="FFFFFF"/>
              </w:rPr>
              <w:t xml:space="preserve"> </w:t>
            </w:r>
            <w:r w:rsidR="00E66B5B" w:rsidRPr="002F53CF">
              <w:rPr>
                <w:rFonts w:cs="Arial"/>
                <w:color w:val="002060"/>
                <w:sz w:val="21"/>
                <w:szCs w:val="21"/>
                <w:shd w:val="clear" w:color="auto" w:fill="FFFFFF"/>
              </w:rPr>
              <w:t xml:space="preserve">completes a program with police informants at a </w:t>
            </w:r>
            <w:r w:rsidR="00BC0554">
              <w:rPr>
                <w:rFonts w:cs="Arial"/>
                <w:color w:val="002060"/>
                <w:sz w:val="21"/>
                <w:szCs w:val="21"/>
                <w:shd w:val="clear" w:color="auto" w:fill="FFFFFF"/>
              </w:rPr>
              <w:t>rope</w:t>
            </w:r>
            <w:r w:rsidR="00BC0554" w:rsidRPr="002F53CF">
              <w:rPr>
                <w:rFonts w:cs="Arial"/>
                <w:color w:val="002060"/>
                <w:sz w:val="21"/>
                <w:szCs w:val="21"/>
                <w:shd w:val="clear" w:color="auto" w:fill="FFFFFF"/>
              </w:rPr>
              <w:t xml:space="preserve"> </w:t>
            </w:r>
            <w:r w:rsidR="00E66B5B" w:rsidRPr="002F53CF">
              <w:rPr>
                <w:rFonts w:cs="Arial"/>
                <w:color w:val="002060"/>
                <w:sz w:val="21"/>
                <w:szCs w:val="21"/>
                <w:shd w:val="clear" w:color="auto" w:fill="FFFFFF"/>
              </w:rPr>
              <w:t>climbing facility.</w:t>
            </w:r>
          </w:p>
          <w:p w14:paraId="5184F98A" w14:textId="29DE4D1A" w:rsidR="00E66B5B" w:rsidRPr="002F53CF" w:rsidRDefault="000106AF" w:rsidP="00BB7200">
            <w:pPr>
              <w:spacing w:after="0" w:line="280" w:lineRule="atLeast"/>
              <w:textAlignment w:val="baseline"/>
              <w:rPr>
                <w:rFonts w:cs="Arial"/>
                <w:color w:val="002060"/>
                <w:sz w:val="21"/>
                <w:szCs w:val="21"/>
                <w:shd w:val="clear" w:color="auto" w:fill="FFFFFF"/>
              </w:rPr>
            </w:pPr>
            <w:r>
              <w:rPr>
                <w:rFonts w:cs="Arial"/>
                <w:color w:val="002060"/>
                <w:sz w:val="21"/>
                <w:szCs w:val="21"/>
                <w:shd w:val="clear" w:color="auto" w:fill="FFFFFF"/>
              </w:rPr>
              <w:t>Jane’s</w:t>
            </w:r>
            <w:r w:rsidRPr="002F53CF">
              <w:rPr>
                <w:rFonts w:cs="Arial"/>
                <w:color w:val="002060"/>
                <w:sz w:val="21"/>
                <w:szCs w:val="21"/>
                <w:shd w:val="clear" w:color="auto" w:fill="FFFFFF"/>
              </w:rPr>
              <w:t xml:space="preserve"> </w:t>
            </w:r>
            <w:r w:rsidR="00E66B5B" w:rsidRPr="002F53CF">
              <w:rPr>
                <w:rFonts w:cs="Arial"/>
                <w:color w:val="002060"/>
                <w:sz w:val="21"/>
                <w:szCs w:val="21"/>
                <w:shd w:val="clear" w:color="auto" w:fill="FFFFFF"/>
              </w:rPr>
              <w:t xml:space="preserve">lawyer adjourned the matter to seek a caution, however the informant refused. The prosecution then agreed to </w:t>
            </w:r>
            <w:proofErr w:type="gramStart"/>
            <w:r w:rsidR="00E66B5B" w:rsidRPr="002F53CF">
              <w:rPr>
                <w:rFonts w:cs="Arial"/>
                <w:color w:val="002060"/>
                <w:sz w:val="21"/>
                <w:szCs w:val="21"/>
                <w:shd w:val="clear" w:color="auto" w:fill="FFFFFF"/>
              </w:rPr>
              <w:t>ROPES,</w:t>
            </w:r>
            <w:proofErr w:type="gramEnd"/>
            <w:r w:rsidR="00E66B5B" w:rsidRPr="002F53CF">
              <w:rPr>
                <w:rFonts w:cs="Arial"/>
                <w:color w:val="002060"/>
                <w:sz w:val="21"/>
                <w:szCs w:val="21"/>
                <w:shd w:val="clear" w:color="auto" w:fill="FFFFFF"/>
              </w:rPr>
              <w:t xml:space="preserve"> however the Children’s Court Magistrate refused the ROPES application. </w:t>
            </w:r>
            <w:r>
              <w:rPr>
                <w:rFonts w:cs="Arial"/>
                <w:color w:val="002060"/>
                <w:sz w:val="21"/>
                <w:szCs w:val="21"/>
                <w:shd w:val="clear" w:color="auto" w:fill="FFFFFF"/>
              </w:rPr>
              <w:t>Jane’s</w:t>
            </w:r>
            <w:r w:rsidRPr="002F53CF">
              <w:rPr>
                <w:rFonts w:cs="Arial"/>
                <w:color w:val="002060"/>
                <w:sz w:val="21"/>
                <w:szCs w:val="21"/>
                <w:shd w:val="clear" w:color="auto" w:fill="FFFFFF"/>
              </w:rPr>
              <w:t xml:space="preserve"> </w:t>
            </w:r>
            <w:r w:rsidR="00E66B5B" w:rsidRPr="002F53CF">
              <w:rPr>
                <w:rFonts w:cs="Arial"/>
                <w:color w:val="002060"/>
                <w:sz w:val="21"/>
                <w:szCs w:val="21"/>
                <w:shd w:val="clear" w:color="auto" w:fill="FFFFFF"/>
              </w:rPr>
              <w:t xml:space="preserve">lawyer proceeded with a </w:t>
            </w:r>
            <w:r w:rsidR="00BC0554">
              <w:rPr>
                <w:rFonts w:cs="Arial"/>
                <w:color w:val="002060"/>
                <w:sz w:val="21"/>
                <w:szCs w:val="21"/>
                <w:shd w:val="clear" w:color="auto" w:fill="FFFFFF"/>
              </w:rPr>
              <w:t>d</w:t>
            </w:r>
            <w:r w:rsidR="00E66B5B" w:rsidRPr="002F53CF">
              <w:rPr>
                <w:rFonts w:cs="Arial"/>
                <w:color w:val="002060"/>
                <w:sz w:val="21"/>
                <w:szCs w:val="21"/>
                <w:shd w:val="clear" w:color="auto" w:fill="FFFFFF"/>
              </w:rPr>
              <w:t xml:space="preserve">iversion application. The Magistrate refused Diversion and placed </w:t>
            </w:r>
            <w:r w:rsidR="00506B14" w:rsidRPr="00984DE7">
              <w:rPr>
                <w:rFonts w:cs="Arial"/>
                <w:color w:val="002060"/>
                <w:sz w:val="21"/>
                <w:szCs w:val="21"/>
              </w:rPr>
              <w:t xml:space="preserve">Jane </w:t>
            </w:r>
            <w:r w:rsidR="00E66B5B" w:rsidRPr="002F53CF">
              <w:rPr>
                <w:rFonts w:cs="Arial"/>
                <w:color w:val="002060"/>
                <w:sz w:val="21"/>
                <w:szCs w:val="21"/>
                <w:shd w:val="clear" w:color="auto" w:fill="FFFFFF"/>
              </w:rPr>
              <w:t xml:space="preserve">on an adjourned undertaking. </w:t>
            </w:r>
          </w:p>
          <w:p w14:paraId="4C317B9A" w14:textId="2920164E" w:rsidR="00E66B5B" w:rsidRPr="002F53CF" w:rsidRDefault="000106AF" w:rsidP="00BB7200">
            <w:pPr>
              <w:spacing w:after="0" w:line="280" w:lineRule="atLeast"/>
              <w:textAlignment w:val="baseline"/>
              <w:rPr>
                <w:rFonts w:cs="Arial"/>
                <w:color w:val="002060"/>
                <w:sz w:val="21"/>
                <w:szCs w:val="21"/>
                <w:lang w:eastAsia="en-AU"/>
              </w:rPr>
            </w:pPr>
            <w:r>
              <w:rPr>
                <w:rFonts w:cs="Arial"/>
                <w:color w:val="002060"/>
                <w:sz w:val="21"/>
                <w:szCs w:val="21"/>
                <w:shd w:val="clear" w:color="auto" w:fill="FFFFFF"/>
              </w:rPr>
              <w:t>Jane</w:t>
            </w:r>
            <w:r w:rsidRPr="002F53CF">
              <w:rPr>
                <w:rFonts w:cs="Arial"/>
                <w:color w:val="002060"/>
                <w:sz w:val="21"/>
                <w:szCs w:val="21"/>
                <w:shd w:val="clear" w:color="auto" w:fill="FFFFFF"/>
              </w:rPr>
              <w:t xml:space="preserve"> </w:t>
            </w:r>
            <w:r w:rsidR="00E66B5B" w:rsidRPr="002F53CF">
              <w:rPr>
                <w:rFonts w:cs="Arial"/>
                <w:color w:val="002060"/>
                <w:sz w:val="21"/>
                <w:szCs w:val="21"/>
                <w:shd w:val="clear" w:color="auto" w:fill="FFFFFF"/>
              </w:rPr>
              <w:t>appealed this decision. At appeal the Office of Public Prosecutions relayed that the informant does not support Diversion</w:t>
            </w:r>
            <w:r w:rsidR="00E66B5B" w:rsidRPr="002F53CF">
              <w:rPr>
                <w:rFonts w:cs="Arial"/>
                <w:color w:val="002060"/>
                <w:sz w:val="21"/>
                <w:szCs w:val="21"/>
                <w:lang w:eastAsia="en-AU"/>
              </w:rPr>
              <w:t xml:space="preserve">, however the OPP agreed to Diversion without informant consent. Diversion was approved by the County Court judge. </w:t>
            </w:r>
          </w:p>
          <w:p w14:paraId="0666E151" w14:textId="6B9E3BCF" w:rsidR="00E66B5B" w:rsidRDefault="00E66B5B" w:rsidP="00BB7200">
            <w:pPr>
              <w:spacing w:after="0" w:line="280" w:lineRule="atLeast"/>
              <w:textAlignment w:val="baseline"/>
              <w:rPr>
                <w:rFonts w:cs="Arial"/>
                <w:color w:val="002060"/>
                <w:sz w:val="21"/>
                <w:szCs w:val="21"/>
                <w:lang w:eastAsia="en-AU"/>
              </w:rPr>
            </w:pPr>
            <w:r w:rsidRPr="002F53CF">
              <w:rPr>
                <w:rFonts w:cs="Arial"/>
                <w:color w:val="002060"/>
                <w:sz w:val="21"/>
                <w:szCs w:val="21"/>
                <w:lang w:eastAsia="en-AU"/>
              </w:rPr>
              <w:t xml:space="preserve">This matter concluded in September 2019, almost six months after its first listing. This is a significant delay for a child, in the context that </w:t>
            </w:r>
            <w:r w:rsidR="0061371E" w:rsidRPr="002F53CF">
              <w:rPr>
                <w:rFonts w:cs="Arial"/>
                <w:color w:val="002060"/>
                <w:sz w:val="21"/>
                <w:szCs w:val="21"/>
                <w:lang w:eastAsia="en-AU"/>
              </w:rPr>
              <w:t xml:space="preserve">she is young, has no prior history, could demonstrate </w:t>
            </w:r>
            <w:r w:rsidRPr="002F53CF">
              <w:rPr>
                <w:rFonts w:cs="Arial"/>
                <w:color w:val="002060"/>
                <w:sz w:val="21"/>
                <w:szCs w:val="21"/>
                <w:lang w:eastAsia="en-AU"/>
              </w:rPr>
              <w:t>compelling circumstances</w:t>
            </w:r>
            <w:r w:rsidR="0061371E" w:rsidRPr="002F53CF">
              <w:rPr>
                <w:rFonts w:cs="Arial"/>
                <w:color w:val="002060"/>
                <w:sz w:val="21"/>
                <w:szCs w:val="21"/>
                <w:lang w:eastAsia="en-AU"/>
              </w:rPr>
              <w:t xml:space="preserve"> which mitigated the offending</w:t>
            </w:r>
            <w:r w:rsidRPr="002F53CF">
              <w:rPr>
                <w:rFonts w:cs="Arial"/>
                <w:color w:val="002060"/>
                <w:sz w:val="21"/>
                <w:szCs w:val="21"/>
                <w:lang w:eastAsia="en-AU"/>
              </w:rPr>
              <w:t>, and all of the co-accused had already been approved for ROPES at the first instance.</w:t>
            </w:r>
          </w:p>
          <w:p w14:paraId="30697560" w14:textId="36DA3447" w:rsidR="00BC0554" w:rsidRPr="00B73AAD" w:rsidRDefault="00BC0554" w:rsidP="00BB7200">
            <w:pPr>
              <w:spacing w:after="0" w:line="280" w:lineRule="atLeast"/>
              <w:textAlignment w:val="baseline"/>
              <w:rPr>
                <w:rFonts w:cs="Arial"/>
                <w:i/>
                <w:iCs/>
                <w:color w:val="002060"/>
                <w:sz w:val="20"/>
                <w:szCs w:val="20"/>
                <w:shd w:val="clear" w:color="auto" w:fill="FFFFFF"/>
              </w:rPr>
            </w:pPr>
            <w:r w:rsidRPr="00B73AAD">
              <w:rPr>
                <w:rFonts w:cs="Arial"/>
                <w:i/>
                <w:iCs/>
                <w:color w:val="002060"/>
                <w:sz w:val="20"/>
                <w:szCs w:val="20"/>
                <w:shd w:val="clear" w:color="auto" w:fill="FFFFFF"/>
              </w:rPr>
              <w:t>*</w:t>
            </w:r>
            <w:r w:rsidR="00B73AAD" w:rsidRPr="00B73AAD">
              <w:rPr>
                <w:rFonts w:cs="Arial"/>
                <w:i/>
                <w:iCs/>
                <w:color w:val="002060"/>
                <w:sz w:val="20"/>
                <w:szCs w:val="20"/>
                <w:shd w:val="clear" w:color="auto" w:fill="FFFFFF"/>
              </w:rPr>
              <w:t xml:space="preserve"> </w:t>
            </w:r>
            <w:r w:rsidRPr="00B73AAD">
              <w:rPr>
                <w:rFonts w:cs="Arial"/>
                <w:i/>
                <w:iCs/>
                <w:color w:val="002060"/>
                <w:sz w:val="20"/>
                <w:szCs w:val="20"/>
                <w:shd w:val="clear" w:color="auto" w:fill="FFFFFF"/>
              </w:rPr>
              <w:t>VLA client, not her real name</w:t>
            </w:r>
          </w:p>
          <w:p w14:paraId="33DE99E6" w14:textId="77777777" w:rsidR="00E66B5B" w:rsidRPr="002F53CF" w:rsidRDefault="00E66B5B" w:rsidP="00BB7200">
            <w:pPr>
              <w:spacing w:before="0" w:after="0" w:line="280" w:lineRule="atLeast"/>
              <w:textAlignment w:val="baseline"/>
              <w:rPr>
                <w:rFonts w:cs="Arial"/>
                <w:color w:val="002060"/>
                <w:sz w:val="21"/>
                <w:szCs w:val="21"/>
                <w:shd w:val="clear" w:color="auto" w:fill="FFFFFF"/>
              </w:rPr>
            </w:pPr>
          </w:p>
        </w:tc>
      </w:tr>
    </w:tbl>
    <w:p w14:paraId="53FE2200" w14:textId="62FB77C4" w:rsidR="0007461B" w:rsidRPr="002F53CF" w:rsidRDefault="00DD3D36" w:rsidP="00337802">
      <w:pPr>
        <w:shd w:val="clear" w:color="auto" w:fill="FFFFFF"/>
        <w:textAlignment w:val="baseline"/>
      </w:pPr>
      <w:r w:rsidRPr="002F53CF">
        <w:t xml:space="preserve">There is evidence that Aboriginal people </w:t>
      </w:r>
      <w:r w:rsidR="00185770" w:rsidRPr="002F53CF">
        <w:t>have lower participation and completion rates of diversion programs, particularly those who access mainstream programs.</w:t>
      </w:r>
      <w:r w:rsidR="00185770" w:rsidRPr="002F53CF">
        <w:rPr>
          <w:rStyle w:val="FootnoteReference"/>
        </w:rPr>
        <w:footnoteReference w:id="28"/>
      </w:r>
      <w:r w:rsidR="00185770" w:rsidRPr="002F53CF">
        <w:t xml:space="preserve"> </w:t>
      </w:r>
      <w:r w:rsidRPr="002F53CF">
        <w:t xml:space="preserve">The </w:t>
      </w:r>
      <w:r w:rsidR="00337802" w:rsidRPr="002F53CF">
        <w:t xml:space="preserve">Australian </w:t>
      </w:r>
      <w:r w:rsidR="00337802" w:rsidRPr="002F53CF">
        <w:rPr>
          <w:rFonts w:cs="Arial"/>
          <w:szCs w:val="18"/>
          <w:lang w:eastAsia="en-AU"/>
        </w:rPr>
        <w:t>Institute of Health and Welfare</w:t>
      </w:r>
      <w:r w:rsidR="00337802" w:rsidRPr="002F53CF">
        <w:t xml:space="preserve"> (AIHW) </w:t>
      </w:r>
      <w:r w:rsidR="00124FF8" w:rsidRPr="002F53CF">
        <w:t xml:space="preserve">found </w:t>
      </w:r>
      <w:r w:rsidR="00337802" w:rsidRPr="002F53CF">
        <w:t>that “this gap is mainly due to a lack of cultural appropriateness of the programs and a greater impetus for Indigenous clients to attend residential rehabilitation programs”</w:t>
      </w:r>
      <w:r w:rsidR="00CB6CBA" w:rsidRPr="002F53CF">
        <w:t xml:space="preserve"> (which have more rigorous compliance requirements)</w:t>
      </w:r>
      <w:r w:rsidR="00337802" w:rsidRPr="002F53CF">
        <w:t xml:space="preserve">. The AIHW </w:t>
      </w:r>
      <w:r w:rsidR="00124FF8" w:rsidRPr="002F53CF">
        <w:t xml:space="preserve">concluded </w:t>
      </w:r>
      <w:r w:rsidRPr="002F53CF">
        <w:t xml:space="preserve">that </w:t>
      </w:r>
      <w:r w:rsidR="00693FBC" w:rsidRPr="002F53CF">
        <w:t xml:space="preserve">to </w:t>
      </w:r>
      <w:r w:rsidR="00124FF8" w:rsidRPr="002F53CF">
        <w:t>be effective</w:t>
      </w:r>
      <w:r w:rsidR="009F7778" w:rsidRPr="002F53CF">
        <w:t>,</w:t>
      </w:r>
      <w:r w:rsidR="00124FF8" w:rsidRPr="002F53CF">
        <w:t xml:space="preserve"> diversionary initiatives need to be </w:t>
      </w:r>
      <w:r w:rsidRPr="002F53CF">
        <w:t>c</w:t>
      </w:r>
      <w:r w:rsidR="00185770" w:rsidRPr="002F53CF">
        <w:t>ulturally appropriate</w:t>
      </w:r>
      <w:r w:rsidR="00124FF8" w:rsidRPr="002F53CF">
        <w:t xml:space="preserve"> and </w:t>
      </w:r>
      <w:r w:rsidR="00185770" w:rsidRPr="002F53CF">
        <w:t>involv</w:t>
      </w:r>
      <w:r w:rsidR="00124FF8" w:rsidRPr="002F53CF">
        <w:t>e</w:t>
      </w:r>
      <w:r w:rsidR="00185770" w:rsidRPr="002F53CF">
        <w:t xml:space="preserve"> </w:t>
      </w:r>
      <w:r w:rsidR="00124FF8" w:rsidRPr="002F53CF">
        <w:t xml:space="preserve">Aboriginal Elders or </w:t>
      </w:r>
      <w:r w:rsidR="00185770" w:rsidRPr="002F53CF">
        <w:t>facilitators in delivery</w:t>
      </w:r>
      <w:r w:rsidRPr="002F53CF">
        <w:t>.</w:t>
      </w:r>
      <w:r w:rsidRPr="002F53CF">
        <w:rPr>
          <w:rStyle w:val="FootnoteReference"/>
        </w:rPr>
        <w:footnoteReference w:id="29"/>
      </w:r>
    </w:p>
    <w:p w14:paraId="0A26F87B" w14:textId="585C4592" w:rsidR="008119B6" w:rsidRPr="002F53CF" w:rsidRDefault="005D5F8A" w:rsidP="00337802">
      <w:pPr>
        <w:pStyle w:val="Heading1"/>
      </w:pPr>
      <w:bookmarkStart w:id="29" w:name="_Toc25238920"/>
      <w:r>
        <w:t>Preventing</w:t>
      </w:r>
      <w:r w:rsidR="008119B6" w:rsidRPr="002F53CF">
        <w:t xml:space="preserve"> children from entering custody</w:t>
      </w:r>
      <w:bookmarkEnd w:id="29"/>
      <w:r w:rsidR="008119B6" w:rsidRPr="002F53CF">
        <w:t xml:space="preserve"> </w:t>
      </w:r>
    </w:p>
    <w:p w14:paraId="3F09DB43" w14:textId="1F854570" w:rsidR="00A56205" w:rsidRPr="002F53CF" w:rsidRDefault="00C13E4C" w:rsidP="0062454C">
      <w:pPr>
        <w:pStyle w:val="ListParagraph"/>
        <w:numPr>
          <w:ilvl w:val="0"/>
          <w:numId w:val="12"/>
        </w:numPr>
        <w:spacing w:before="120" w:after="0"/>
        <w:ind w:left="2126" w:hanging="2126"/>
        <w:rPr>
          <w:b/>
          <w:bCs/>
          <w:i/>
          <w:iCs/>
          <w:lang w:eastAsia="en-AU"/>
        </w:rPr>
      </w:pPr>
      <w:bookmarkStart w:id="30" w:name="_Hlk24033835"/>
      <w:r w:rsidRPr="002F53CF">
        <w:rPr>
          <w:b/>
          <w:bCs/>
          <w:i/>
          <w:iCs/>
          <w:lang w:eastAsia="en-AU"/>
        </w:rPr>
        <w:t xml:space="preserve">Prevent </w:t>
      </w:r>
      <w:r>
        <w:rPr>
          <w:b/>
          <w:bCs/>
          <w:i/>
          <w:iCs/>
          <w:lang w:eastAsia="en-AU"/>
        </w:rPr>
        <w:t xml:space="preserve">the </w:t>
      </w:r>
      <w:r w:rsidRPr="002F53CF">
        <w:rPr>
          <w:b/>
          <w:bCs/>
          <w:i/>
          <w:iCs/>
          <w:lang w:eastAsia="en-AU"/>
        </w:rPr>
        <w:t xml:space="preserve">entry </w:t>
      </w:r>
      <w:r>
        <w:rPr>
          <w:b/>
          <w:bCs/>
          <w:i/>
          <w:iCs/>
          <w:lang w:eastAsia="en-AU"/>
        </w:rPr>
        <w:t xml:space="preserve">of Aboriginal children </w:t>
      </w:r>
      <w:r>
        <w:rPr>
          <w:b/>
          <w:bCs/>
          <w:i/>
          <w:iCs/>
          <w:lang w:eastAsia="en-AU"/>
        </w:rPr>
        <w:t xml:space="preserve">into </w:t>
      </w:r>
      <w:r w:rsidR="00703709" w:rsidRPr="002F53CF">
        <w:rPr>
          <w:b/>
          <w:bCs/>
          <w:i/>
          <w:iCs/>
          <w:lang w:eastAsia="en-AU"/>
        </w:rPr>
        <w:t>detention</w:t>
      </w:r>
    </w:p>
    <w:p w14:paraId="21EEDB3E" w14:textId="3B86DAD7" w:rsidR="006075BF" w:rsidRPr="006075BF" w:rsidRDefault="006075BF" w:rsidP="006075BF">
      <w:pPr>
        <w:pStyle w:val="ListParagraph"/>
        <w:numPr>
          <w:ilvl w:val="0"/>
          <w:numId w:val="36"/>
        </w:numPr>
        <w:shd w:val="clear" w:color="auto" w:fill="FFFFFF"/>
        <w:spacing w:before="80" w:after="0"/>
        <w:ind w:left="714" w:hanging="357"/>
        <w:textAlignment w:val="baseline"/>
        <w:rPr>
          <w:b/>
          <w:bCs/>
          <w:i/>
          <w:iCs/>
        </w:rPr>
      </w:pPr>
      <w:bookmarkStart w:id="31" w:name="_Hlk24376626"/>
      <w:r w:rsidRPr="006075BF">
        <w:rPr>
          <w:b/>
          <w:bCs/>
          <w:i/>
          <w:iCs/>
        </w:rPr>
        <w:t xml:space="preserve">There should be strict adherence to the presumption in favour of summons contained in s345 of the Children Youth and Families Act and a requirement for the police officer to provide reasons for </w:t>
      </w:r>
      <w:r w:rsidR="00EF4CD7">
        <w:rPr>
          <w:b/>
          <w:bCs/>
          <w:i/>
          <w:iCs/>
        </w:rPr>
        <w:t>not following the presumption</w:t>
      </w:r>
    </w:p>
    <w:p w14:paraId="635DA1C1" w14:textId="2F7874FC" w:rsidR="006075BF" w:rsidRPr="006075BF" w:rsidRDefault="006075BF" w:rsidP="006075BF">
      <w:pPr>
        <w:pStyle w:val="ListParagraph"/>
        <w:numPr>
          <w:ilvl w:val="0"/>
          <w:numId w:val="36"/>
        </w:numPr>
        <w:shd w:val="clear" w:color="auto" w:fill="FFFFFF"/>
        <w:spacing w:before="80" w:after="0"/>
        <w:ind w:left="714" w:hanging="357"/>
        <w:textAlignment w:val="baseline"/>
        <w:rPr>
          <w:b/>
          <w:bCs/>
          <w:i/>
          <w:iCs/>
        </w:rPr>
      </w:pPr>
      <w:r w:rsidRPr="006075BF">
        <w:rPr>
          <w:b/>
          <w:bCs/>
          <w:i/>
          <w:iCs/>
        </w:rPr>
        <w:t xml:space="preserve">Facilitate bail for Aboriginal children and young people by improving and expanding bail support services, enabling management of bail risk in the community, and </w:t>
      </w:r>
      <w:r w:rsidRPr="006075BF">
        <w:rPr>
          <w:b/>
          <w:bCs/>
          <w:i/>
          <w:iCs/>
        </w:rPr>
        <w:lastRenderedPageBreak/>
        <w:t xml:space="preserve">extending the Central After Hours Assessment and Bail Placement Service (CAHABPS) to cover full non-business hours period from 5pm to 9am </w:t>
      </w:r>
    </w:p>
    <w:p w14:paraId="1A1346DA" w14:textId="3F4021EC" w:rsidR="006075BF" w:rsidRPr="006075BF" w:rsidRDefault="006075BF" w:rsidP="006075BF">
      <w:pPr>
        <w:pStyle w:val="ListParagraph"/>
        <w:numPr>
          <w:ilvl w:val="0"/>
          <w:numId w:val="36"/>
        </w:numPr>
        <w:shd w:val="clear" w:color="auto" w:fill="FFFFFF"/>
        <w:spacing w:before="80" w:after="0"/>
        <w:ind w:left="714" w:hanging="357"/>
        <w:textAlignment w:val="baseline"/>
        <w:rPr>
          <w:b/>
          <w:bCs/>
          <w:i/>
          <w:iCs/>
        </w:rPr>
      </w:pPr>
      <w:r w:rsidRPr="006075BF">
        <w:rPr>
          <w:b/>
          <w:bCs/>
          <w:i/>
          <w:iCs/>
        </w:rPr>
        <w:t>Pre-interview advice should be mandatory for children and for Aboriginal young people</w:t>
      </w:r>
    </w:p>
    <w:p w14:paraId="506201F4" w14:textId="407D14C9" w:rsidR="007417AE" w:rsidRPr="006075BF" w:rsidRDefault="006075BF" w:rsidP="006075BF">
      <w:pPr>
        <w:pStyle w:val="ListParagraph"/>
        <w:numPr>
          <w:ilvl w:val="0"/>
          <w:numId w:val="36"/>
        </w:numPr>
        <w:shd w:val="clear" w:color="auto" w:fill="FFFFFF"/>
        <w:spacing w:before="80" w:after="0"/>
        <w:ind w:left="714" w:hanging="357"/>
        <w:textAlignment w:val="baseline"/>
        <w:rPr>
          <w:b/>
          <w:bCs/>
          <w:i/>
          <w:iCs/>
        </w:rPr>
      </w:pPr>
      <w:r w:rsidRPr="006075BF">
        <w:rPr>
          <w:b/>
          <w:bCs/>
          <w:i/>
          <w:iCs/>
        </w:rPr>
        <w:t>Increase the use of restorative conferencing, led by Aboriginal communities, and expand its availability to the pre-plea stage</w:t>
      </w:r>
    </w:p>
    <w:bookmarkEnd w:id="30"/>
    <w:bookmarkEnd w:id="31"/>
    <w:p w14:paraId="0CF745A1" w14:textId="5B5522EE" w:rsidR="000D6C7D" w:rsidRPr="002F53CF" w:rsidRDefault="00165D86" w:rsidP="00350172">
      <w:pPr>
        <w:rPr>
          <w:szCs w:val="22"/>
        </w:rPr>
      </w:pPr>
      <w:r>
        <w:rPr>
          <w:szCs w:val="22"/>
        </w:rPr>
        <w:t xml:space="preserve">Children must be kept out of custody as much as possible. </w:t>
      </w:r>
      <w:r w:rsidR="00350172" w:rsidRPr="002F53CF">
        <w:rPr>
          <w:szCs w:val="22"/>
        </w:rPr>
        <w:t>The</w:t>
      </w:r>
      <w:r w:rsidR="0085290D" w:rsidRPr="002F53CF">
        <w:rPr>
          <w:szCs w:val="22"/>
        </w:rPr>
        <w:t xml:space="preserve"> 2017</w:t>
      </w:r>
      <w:r w:rsidR="00350172" w:rsidRPr="002F53CF">
        <w:rPr>
          <w:szCs w:val="22"/>
        </w:rPr>
        <w:t xml:space="preserve"> </w:t>
      </w:r>
      <w:r w:rsidR="002C76B8" w:rsidRPr="002F53CF">
        <w:rPr>
          <w:szCs w:val="22"/>
        </w:rPr>
        <w:t>Australian Law Reform Commission’s (</w:t>
      </w:r>
      <w:r w:rsidR="00350172" w:rsidRPr="002F53CF">
        <w:rPr>
          <w:szCs w:val="22"/>
        </w:rPr>
        <w:t>ALRC</w:t>
      </w:r>
      <w:r w:rsidR="002C76B8" w:rsidRPr="002F53CF">
        <w:rPr>
          <w:szCs w:val="22"/>
        </w:rPr>
        <w:t>)</w:t>
      </w:r>
      <w:r w:rsidR="00350172" w:rsidRPr="002F53CF">
        <w:rPr>
          <w:szCs w:val="22"/>
        </w:rPr>
        <w:t xml:space="preserve"> Inquiry into </w:t>
      </w:r>
      <w:r w:rsidR="002C76B8" w:rsidRPr="002F53CF">
        <w:rPr>
          <w:szCs w:val="22"/>
        </w:rPr>
        <w:t>the i</w:t>
      </w:r>
      <w:r w:rsidR="00350172" w:rsidRPr="002F53CF">
        <w:rPr>
          <w:szCs w:val="22"/>
        </w:rPr>
        <w:t xml:space="preserve">ncarceration of Aboriginal people stated that “juvenile detention can be seen as a key driver of adult incarceration”, referring to a 2005 study which </w:t>
      </w:r>
      <w:r w:rsidR="008A3EB1" w:rsidRPr="002F53CF">
        <w:rPr>
          <w:szCs w:val="22"/>
        </w:rPr>
        <w:t>“</w:t>
      </w:r>
      <w:r w:rsidR="00350172" w:rsidRPr="002F53CF">
        <w:rPr>
          <w:szCs w:val="22"/>
        </w:rPr>
        <w:t>found that 90</w:t>
      </w:r>
      <w:r w:rsidR="008A3EB1" w:rsidRPr="002F53CF">
        <w:rPr>
          <w:szCs w:val="22"/>
        </w:rPr>
        <w:t xml:space="preserve"> percent</w:t>
      </w:r>
      <w:r w:rsidR="00350172" w:rsidRPr="002F53CF">
        <w:rPr>
          <w:szCs w:val="22"/>
        </w:rPr>
        <w:t xml:space="preserve"> of Aboriginal and Torres Strait Islander youths who appeared in a children’s court went on to appear in an adult court within eight years—with 36</w:t>
      </w:r>
      <w:r w:rsidR="008A3EB1" w:rsidRPr="002F53CF">
        <w:rPr>
          <w:szCs w:val="22"/>
        </w:rPr>
        <w:t xml:space="preserve"> percent</w:t>
      </w:r>
      <w:r w:rsidR="00350172" w:rsidRPr="002F53CF">
        <w:rPr>
          <w:szCs w:val="22"/>
        </w:rPr>
        <w:t xml:space="preserve"> of these </w:t>
      </w:r>
      <w:r w:rsidR="008A3EB1" w:rsidRPr="002F53CF">
        <w:rPr>
          <w:szCs w:val="22"/>
        </w:rPr>
        <w:t xml:space="preserve">people </w:t>
      </w:r>
      <w:r w:rsidR="00350172" w:rsidRPr="002F53CF">
        <w:rPr>
          <w:szCs w:val="22"/>
        </w:rPr>
        <w:t>receiving a prison sentence later in life</w:t>
      </w:r>
      <w:r w:rsidR="008A3EB1" w:rsidRPr="002F53CF">
        <w:rPr>
          <w:szCs w:val="22"/>
        </w:rPr>
        <w:t>”</w:t>
      </w:r>
      <w:r w:rsidR="00350172" w:rsidRPr="002F53CF">
        <w:rPr>
          <w:szCs w:val="22"/>
        </w:rPr>
        <w:t>.</w:t>
      </w:r>
      <w:r w:rsidR="008A3EB1" w:rsidRPr="002F53CF">
        <w:rPr>
          <w:rStyle w:val="FootnoteReference"/>
          <w:szCs w:val="22"/>
        </w:rPr>
        <w:footnoteReference w:id="30"/>
      </w:r>
    </w:p>
    <w:p w14:paraId="23A50C32" w14:textId="3F2700E9" w:rsidR="00D22E89" w:rsidRDefault="00E00D60" w:rsidP="006326E7">
      <w:pPr>
        <w:pStyle w:val="Heading2"/>
      </w:pPr>
      <w:bookmarkStart w:id="32" w:name="_Toc25238921"/>
      <w:r w:rsidRPr="002F53CF">
        <w:t>Proceeding by s</w:t>
      </w:r>
      <w:r w:rsidR="00D22E89" w:rsidRPr="002F53CF">
        <w:t xml:space="preserve">ummons </w:t>
      </w:r>
      <w:r w:rsidRPr="002F53CF">
        <w:t>rather than bail</w:t>
      </w:r>
      <w:bookmarkEnd w:id="32"/>
    </w:p>
    <w:p w14:paraId="211E8E91" w14:textId="3714D54E" w:rsidR="00DA0473" w:rsidRPr="002F53CF" w:rsidRDefault="003571B8" w:rsidP="004C5489">
      <w:pPr>
        <w:shd w:val="clear" w:color="auto" w:fill="FFFFFF"/>
        <w:textAlignment w:val="baseline"/>
        <w:rPr>
          <w:rFonts w:ascii="Book Antiqua" w:hAnsi="Book Antiqua" w:cs="Book Antiqua"/>
          <w:iCs/>
          <w:color w:val="000000"/>
          <w:sz w:val="24"/>
          <w:lang w:eastAsia="en-AU"/>
        </w:rPr>
      </w:pPr>
      <w:r w:rsidRPr="002F53CF">
        <w:t>There is a presumption to proceed by summons in</w:t>
      </w:r>
      <w:r w:rsidR="00086DF8">
        <w:t xml:space="preserve"> the CYFA</w:t>
      </w:r>
      <w:r w:rsidRPr="002F53CF">
        <w:t>,</w:t>
      </w:r>
      <w:r w:rsidR="002C76B8" w:rsidRPr="002F53CF">
        <w:rPr>
          <w:rStyle w:val="FootnoteReference"/>
        </w:rPr>
        <w:footnoteReference w:id="31"/>
      </w:r>
      <w:r w:rsidRPr="002F53CF">
        <w:t xml:space="preserve"> yet </w:t>
      </w:r>
      <w:r w:rsidR="00731DA8" w:rsidRPr="002F53CF">
        <w:t xml:space="preserve">our lawyers’ experience </w:t>
      </w:r>
      <w:r w:rsidR="00035266" w:rsidRPr="002F53CF">
        <w:t xml:space="preserve">is that </w:t>
      </w:r>
      <w:r w:rsidRPr="002F53CF">
        <w:t xml:space="preserve">the majority of </w:t>
      </w:r>
      <w:r w:rsidR="00035266" w:rsidRPr="002F53CF">
        <w:t xml:space="preserve">charges proceed </w:t>
      </w:r>
      <w:r w:rsidRPr="002F53CF">
        <w:t>by bail rather than summons</w:t>
      </w:r>
      <w:r w:rsidRPr="002F53CF">
        <w:rPr>
          <w:iCs/>
        </w:rPr>
        <w:t xml:space="preserve">. </w:t>
      </w:r>
      <w:r w:rsidR="002C76B8" w:rsidRPr="002F53CF">
        <w:rPr>
          <w:iCs/>
        </w:rPr>
        <w:t>The presumption is not strongly worded, simply stating that “</w:t>
      </w:r>
      <w:r w:rsidR="002C76B8" w:rsidRPr="002F53CF">
        <w:t>A police officer must have regard to this presumption in commencing a criminal proceeding against a child”.</w:t>
      </w:r>
      <w:r w:rsidR="002C76B8" w:rsidRPr="002F53CF">
        <w:rPr>
          <w:rStyle w:val="FootnoteReference"/>
        </w:rPr>
        <w:footnoteReference w:id="32"/>
      </w:r>
      <w:r w:rsidR="000F5C9E">
        <w:t xml:space="preserve"> </w:t>
      </w:r>
      <w:r w:rsidR="009771FF" w:rsidRPr="002F53CF">
        <w:rPr>
          <w:iCs/>
        </w:rPr>
        <w:t xml:space="preserve">There is no presumption in the </w:t>
      </w:r>
      <w:r w:rsidR="009771FF" w:rsidRPr="002F53CF">
        <w:rPr>
          <w:i/>
        </w:rPr>
        <w:t>Criminal Procedure Act 2009</w:t>
      </w:r>
      <w:r w:rsidR="00086DF8">
        <w:rPr>
          <w:i/>
        </w:rPr>
        <w:t xml:space="preserve"> (CPA) </w:t>
      </w:r>
      <w:r w:rsidR="00086DF8" w:rsidRPr="003774A1">
        <w:rPr>
          <w:iCs/>
        </w:rPr>
        <w:t>applying to young adults</w:t>
      </w:r>
      <w:r w:rsidR="009771FF" w:rsidRPr="002F53CF">
        <w:rPr>
          <w:iCs/>
        </w:rPr>
        <w:t xml:space="preserve"> and the summons and notice to appear provisions are highly underutilised.</w:t>
      </w:r>
      <w:r w:rsidR="009771FF" w:rsidRPr="002F53CF">
        <w:rPr>
          <w:rStyle w:val="FootnoteReference"/>
          <w:iCs/>
        </w:rPr>
        <w:footnoteReference w:id="33"/>
      </w:r>
      <w:r w:rsidR="009771FF" w:rsidRPr="002F53CF">
        <w:rPr>
          <w:iCs/>
        </w:rPr>
        <w:t xml:space="preserve"> </w:t>
      </w:r>
      <w:r w:rsidR="009771FF" w:rsidRPr="002F53CF">
        <w:t xml:space="preserve">In the </w:t>
      </w:r>
      <w:r w:rsidRPr="002F53CF">
        <w:rPr>
          <w:i/>
        </w:rPr>
        <w:t xml:space="preserve">Bail Act Review </w:t>
      </w:r>
      <w:r w:rsidR="00DA0473" w:rsidRPr="002F53CF">
        <w:rPr>
          <w:i/>
        </w:rPr>
        <w:t>2017</w:t>
      </w:r>
      <w:r w:rsidR="0078756A">
        <w:rPr>
          <w:i/>
        </w:rPr>
        <w:t xml:space="preserve"> </w:t>
      </w:r>
      <w:r w:rsidR="0078756A">
        <w:rPr>
          <w:iCs/>
        </w:rPr>
        <w:t>(“the Coghlan review”)</w:t>
      </w:r>
      <w:r w:rsidR="00DA0473" w:rsidRPr="002F53CF">
        <w:rPr>
          <w:iCs/>
        </w:rPr>
        <w:t xml:space="preserve">, </w:t>
      </w:r>
      <w:r w:rsidR="009771FF" w:rsidRPr="002F53CF">
        <w:rPr>
          <w:iCs/>
        </w:rPr>
        <w:t xml:space="preserve">the </w:t>
      </w:r>
      <w:r w:rsidR="00DA0473" w:rsidRPr="002F53CF">
        <w:rPr>
          <w:iCs/>
        </w:rPr>
        <w:t xml:space="preserve">Hon </w:t>
      </w:r>
      <w:r w:rsidR="009771FF" w:rsidRPr="002F53CF">
        <w:rPr>
          <w:iCs/>
        </w:rPr>
        <w:t xml:space="preserve">Paul </w:t>
      </w:r>
      <w:r w:rsidR="00DA0473" w:rsidRPr="002F53CF">
        <w:rPr>
          <w:iCs/>
        </w:rPr>
        <w:t xml:space="preserve">Coghlan QC states: </w:t>
      </w:r>
    </w:p>
    <w:p w14:paraId="7DD8B4C1" w14:textId="77777777" w:rsidR="004C5489" w:rsidRPr="002F53CF" w:rsidRDefault="00DA0473" w:rsidP="0051351B">
      <w:pPr>
        <w:pStyle w:val="VLAquotation"/>
      </w:pPr>
      <w:r w:rsidRPr="002F53CF">
        <w:t xml:space="preserve">Bail is rarely an appropriate process in cases involving minor, non-violent offending. People charged with such offences normally pose a negligible risk to the safety of the community, and the appropriate sentence for such offending is usually a fine or a lower sanction such as an adjourned undertaking. … </w:t>
      </w:r>
    </w:p>
    <w:p w14:paraId="1814A6B3" w14:textId="2DB1D864" w:rsidR="00DA0473" w:rsidRPr="002F53CF" w:rsidRDefault="00DA0473" w:rsidP="0051351B">
      <w:pPr>
        <w:pStyle w:val="VLAquotation"/>
      </w:pPr>
      <w:r w:rsidRPr="002F53CF">
        <w:t>The use of bail in cases of minor offending causes broader problems for the criminal justice system. It can lead to accused persons who pose a low risk to the community being remanded in custody for offences for which they would be unlikely to receive a sentence involving imprisonment.</w:t>
      </w:r>
      <w:r w:rsidR="004C5489" w:rsidRPr="002F53CF">
        <w:rPr>
          <w:rStyle w:val="FootnoteReference"/>
        </w:rPr>
        <w:footnoteReference w:id="34"/>
      </w:r>
      <w:r w:rsidRPr="002F53CF">
        <w:t xml:space="preserve"> </w:t>
      </w:r>
    </w:p>
    <w:p w14:paraId="27A4E8B6" w14:textId="77777777" w:rsidR="00A80A1E" w:rsidRDefault="000F5C9E" w:rsidP="009771FF">
      <w:pPr>
        <w:shd w:val="clear" w:color="auto" w:fill="FFFFFF"/>
        <w:textAlignment w:val="baseline"/>
        <w:rPr>
          <w:rFonts w:cs="Arial"/>
          <w:color w:val="000000" w:themeColor="text1"/>
          <w:szCs w:val="22"/>
          <w:lang w:eastAsia="en-AU"/>
        </w:rPr>
      </w:pPr>
      <w:r>
        <w:rPr>
          <w:rFonts w:cs="Arial"/>
          <w:color w:val="000000" w:themeColor="text1"/>
          <w:szCs w:val="22"/>
          <w:lang w:eastAsia="en-AU"/>
        </w:rPr>
        <w:t>The review</w:t>
      </w:r>
      <w:r w:rsidR="00DA0473" w:rsidRPr="002F53CF">
        <w:rPr>
          <w:rFonts w:cs="Arial"/>
          <w:color w:val="000000" w:themeColor="text1"/>
          <w:szCs w:val="22"/>
          <w:lang w:eastAsia="en-AU"/>
        </w:rPr>
        <w:t xml:space="preserve"> recommend</w:t>
      </w:r>
      <w:r w:rsidR="007C6A28" w:rsidRPr="002F53CF">
        <w:rPr>
          <w:rFonts w:cs="Arial"/>
          <w:color w:val="000000" w:themeColor="text1"/>
          <w:szCs w:val="22"/>
          <w:lang w:eastAsia="en-AU"/>
        </w:rPr>
        <w:t>s</w:t>
      </w:r>
      <w:r w:rsidR="00DA0473" w:rsidRPr="002F53CF">
        <w:rPr>
          <w:rFonts w:cs="Arial"/>
          <w:color w:val="000000" w:themeColor="text1"/>
          <w:szCs w:val="22"/>
          <w:lang w:eastAsia="en-AU"/>
        </w:rPr>
        <w:t xml:space="preserve"> that a </w:t>
      </w:r>
      <w:r w:rsidR="009771FF" w:rsidRPr="002F53CF">
        <w:rPr>
          <w:rFonts w:cs="Arial"/>
          <w:color w:val="000000" w:themeColor="text1"/>
          <w:szCs w:val="22"/>
          <w:lang w:eastAsia="en-AU"/>
        </w:rPr>
        <w:t xml:space="preserve">new </w:t>
      </w:r>
      <w:r w:rsidR="00DA0473" w:rsidRPr="002F53CF">
        <w:rPr>
          <w:rFonts w:cs="Arial"/>
          <w:color w:val="000000" w:themeColor="text1"/>
          <w:szCs w:val="22"/>
          <w:lang w:eastAsia="en-AU"/>
        </w:rPr>
        <w:t>Notice of Charge process be created</w:t>
      </w:r>
      <w:r w:rsidR="001D6329">
        <w:rPr>
          <w:rFonts w:cs="Arial"/>
          <w:color w:val="000000" w:themeColor="text1"/>
          <w:szCs w:val="22"/>
          <w:lang w:eastAsia="en-AU"/>
        </w:rPr>
        <w:t xml:space="preserve"> in the adult system</w:t>
      </w:r>
      <w:r w:rsidR="00DA0473" w:rsidRPr="002F53CF">
        <w:rPr>
          <w:rFonts w:cs="Arial"/>
          <w:color w:val="000000" w:themeColor="text1"/>
          <w:szCs w:val="22"/>
          <w:lang w:eastAsia="en-AU"/>
        </w:rPr>
        <w:t>, and that there be a presumption for polic</w:t>
      </w:r>
      <w:r w:rsidR="009771FF" w:rsidRPr="002F53CF">
        <w:rPr>
          <w:rFonts w:cs="Arial"/>
          <w:color w:val="000000" w:themeColor="text1"/>
          <w:szCs w:val="22"/>
          <w:lang w:eastAsia="en-AU"/>
        </w:rPr>
        <w:t>e</w:t>
      </w:r>
      <w:r w:rsidR="00DA0473" w:rsidRPr="002F53CF">
        <w:rPr>
          <w:rFonts w:cs="Arial"/>
          <w:color w:val="000000" w:themeColor="text1"/>
          <w:szCs w:val="22"/>
          <w:lang w:eastAsia="en-AU"/>
        </w:rPr>
        <w:t xml:space="preserve"> to proceed by way of a Notice of Charge, </w:t>
      </w:r>
      <w:r w:rsidR="00DA0473" w:rsidRPr="003774A1">
        <w:rPr>
          <w:rFonts w:cs="Arial"/>
          <w:color w:val="000000" w:themeColor="text1"/>
          <w:szCs w:val="22"/>
          <w:lang w:eastAsia="en-AU"/>
        </w:rPr>
        <w:t>unless there are compelling reasons why an alternative method is preferred</w:t>
      </w:r>
      <w:r w:rsidR="00DA0473" w:rsidRPr="00F55B65">
        <w:rPr>
          <w:rFonts w:cs="Arial"/>
          <w:color w:val="000000" w:themeColor="text1"/>
          <w:szCs w:val="22"/>
          <w:lang w:eastAsia="en-AU"/>
        </w:rPr>
        <w:t>.</w:t>
      </w:r>
      <w:r w:rsidR="009771FF" w:rsidRPr="002F53CF">
        <w:rPr>
          <w:rStyle w:val="FootnoteReference"/>
          <w:rFonts w:cs="Arial"/>
          <w:color w:val="000000" w:themeColor="text1"/>
          <w:szCs w:val="22"/>
          <w:lang w:eastAsia="en-AU"/>
        </w:rPr>
        <w:footnoteReference w:id="35"/>
      </w:r>
      <w:r w:rsidR="00DA0473" w:rsidRPr="002F53CF">
        <w:rPr>
          <w:rFonts w:cs="Arial"/>
          <w:color w:val="000000" w:themeColor="text1"/>
          <w:szCs w:val="22"/>
          <w:lang w:eastAsia="en-AU"/>
        </w:rPr>
        <w:t xml:space="preserve"> </w:t>
      </w:r>
      <w:r w:rsidR="002C76B8" w:rsidRPr="002F53CF">
        <w:rPr>
          <w:rFonts w:cs="Arial"/>
          <w:color w:val="000000" w:themeColor="text1"/>
          <w:szCs w:val="22"/>
          <w:lang w:eastAsia="en-AU"/>
        </w:rPr>
        <w:t xml:space="preserve">We support this recommendation, which </w:t>
      </w:r>
      <w:r>
        <w:rPr>
          <w:rFonts w:cs="Arial"/>
          <w:color w:val="000000" w:themeColor="text1"/>
          <w:szCs w:val="22"/>
          <w:lang w:eastAsia="en-AU"/>
        </w:rPr>
        <w:t>would</w:t>
      </w:r>
      <w:r w:rsidR="002C76B8" w:rsidRPr="002F53CF">
        <w:rPr>
          <w:rFonts w:cs="Arial"/>
          <w:color w:val="000000" w:themeColor="text1"/>
          <w:szCs w:val="22"/>
          <w:lang w:eastAsia="en-AU"/>
        </w:rPr>
        <w:t xml:space="preserve"> be beneficial for Aboriginal young adults. </w:t>
      </w:r>
    </w:p>
    <w:p w14:paraId="4E5A978E" w14:textId="646A0AC4" w:rsidR="00DA0473" w:rsidRPr="002F53CF" w:rsidRDefault="000F5C9E" w:rsidP="009771FF">
      <w:pPr>
        <w:shd w:val="clear" w:color="auto" w:fill="FFFFFF"/>
        <w:textAlignment w:val="baseline"/>
        <w:rPr>
          <w:rFonts w:cs="Arial"/>
          <w:color w:val="000000" w:themeColor="text1"/>
          <w:szCs w:val="22"/>
          <w:lang w:eastAsia="en-AU"/>
        </w:rPr>
      </w:pPr>
      <w:r>
        <w:rPr>
          <w:rFonts w:cs="Arial"/>
          <w:color w:val="000000" w:themeColor="text1"/>
          <w:szCs w:val="22"/>
          <w:lang w:eastAsia="en-AU"/>
        </w:rPr>
        <w:t>In our submission</w:t>
      </w:r>
      <w:r w:rsidR="00A80A1E">
        <w:rPr>
          <w:rFonts w:cs="Arial"/>
          <w:color w:val="000000" w:themeColor="text1"/>
          <w:szCs w:val="22"/>
          <w:lang w:eastAsia="en-AU"/>
        </w:rPr>
        <w:t>,</w:t>
      </w:r>
      <w:r w:rsidR="002C76B8" w:rsidRPr="002F53CF">
        <w:rPr>
          <w:rFonts w:cs="Arial"/>
          <w:color w:val="000000" w:themeColor="text1"/>
          <w:szCs w:val="22"/>
          <w:lang w:eastAsia="en-AU"/>
        </w:rPr>
        <w:t xml:space="preserve"> the CYFA presumption should be strengthened so that there should be compelling reasons why an alternative method is preferred</w:t>
      </w:r>
      <w:r w:rsidR="00A80A1E">
        <w:rPr>
          <w:rFonts w:cs="Arial"/>
          <w:color w:val="000000" w:themeColor="text1"/>
          <w:szCs w:val="22"/>
          <w:lang w:eastAsia="en-AU"/>
        </w:rPr>
        <w:t>, and police should state reasons for not following the presumption.</w:t>
      </w:r>
      <w:r w:rsidR="002C76B8" w:rsidRPr="002F53CF">
        <w:rPr>
          <w:rFonts w:cs="Arial"/>
          <w:color w:val="000000" w:themeColor="text1"/>
          <w:szCs w:val="22"/>
          <w:lang w:eastAsia="en-AU"/>
        </w:rPr>
        <w:t xml:space="preserve"> </w:t>
      </w:r>
      <w:r w:rsidR="00A80A1E">
        <w:rPr>
          <w:rFonts w:cs="Arial"/>
          <w:color w:val="000000" w:themeColor="text1"/>
          <w:szCs w:val="22"/>
          <w:lang w:eastAsia="en-AU"/>
        </w:rPr>
        <w:t>T</w:t>
      </w:r>
      <w:r w:rsidR="002C76B8" w:rsidRPr="002F53CF">
        <w:rPr>
          <w:rFonts w:cs="Arial"/>
          <w:color w:val="000000" w:themeColor="text1"/>
          <w:szCs w:val="22"/>
          <w:lang w:eastAsia="en-AU"/>
        </w:rPr>
        <w:t>raining</w:t>
      </w:r>
      <w:r w:rsidR="00F521A0">
        <w:rPr>
          <w:rFonts w:cs="Arial"/>
          <w:color w:val="000000" w:themeColor="text1"/>
          <w:szCs w:val="22"/>
          <w:lang w:eastAsia="en-AU"/>
        </w:rPr>
        <w:t xml:space="preserve"> should </w:t>
      </w:r>
      <w:r w:rsidR="002C76B8" w:rsidRPr="002F53CF">
        <w:rPr>
          <w:rFonts w:cs="Arial"/>
          <w:color w:val="000000" w:themeColor="text1"/>
          <w:szCs w:val="22"/>
          <w:lang w:eastAsia="en-AU"/>
        </w:rPr>
        <w:t>be provided with respect to proceeding</w:t>
      </w:r>
      <w:r w:rsidR="0085290D" w:rsidRPr="002F53CF">
        <w:rPr>
          <w:rFonts w:cs="Arial"/>
          <w:color w:val="000000" w:themeColor="text1"/>
          <w:szCs w:val="22"/>
          <w:lang w:eastAsia="en-AU"/>
        </w:rPr>
        <w:t xml:space="preserve"> by way of summons </w:t>
      </w:r>
      <w:r w:rsidR="002C76B8" w:rsidRPr="002F53CF">
        <w:rPr>
          <w:rFonts w:cs="Arial"/>
          <w:color w:val="000000" w:themeColor="text1"/>
          <w:szCs w:val="22"/>
          <w:lang w:eastAsia="en-AU"/>
        </w:rPr>
        <w:t xml:space="preserve">under both the CYFA and the </w:t>
      </w:r>
      <w:r w:rsidR="0085290D" w:rsidRPr="002F53CF">
        <w:rPr>
          <w:rFonts w:cs="Arial"/>
          <w:color w:val="000000" w:themeColor="text1"/>
          <w:szCs w:val="22"/>
          <w:lang w:eastAsia="en-AU"/>
        </w:rPr>
        <w:t>C</w:t>
      </w:r>
      <w:r w:rsidR="00086DF8">
        <w:rPr>
          <w:rFonts w:cs="Arial"/>
          <w:color w:val="000000" w:themeColor="text1"/>
          <w:szCs w:val="22"/>
          <w:lang w:eastAsia="en-AU"/>
        </w:rPr>
        <w:t>PA.</w:t>
      </w:r>
    </w:p>
    <w:p w14:paraId="6788F188" w14:textId="7369EAEB" w:rsidR="00B251B9" w:rsidRPr="002F53CF" w:rsidRDefault="00CF66D5" w:rsidP="006326E7">
      <w:pPr>
        <w:pStyle w:val="Heading2"/>
        <w:rPr>
          <w:szCs w:val="22"/>
        </w:rPr>
      </w:pPr>
      <w:bookmarkStart w:id="33" w:name="_Toc25238922"/>
      <w:r w:rsidRPr="002F53CF">
        <w:lastRenderedPageBreak/>
        <w:t xml:space="preserve">Facilitating access to </w:t>
      </w:r>
      <w:r w:rsidR="00B251B9" w:rsidRPr="002F53CF">
        <w:t xml:space="preserve">bail </w:t>
      </w:r>
      <w:r w:rsidRPr="002F53CF">
        <w:t xml:space="preserve">for </w:t>
      </w:r>
      <w:r w:rsidR="00693FBC" w:rsidRPr="002F53CF">
        <w:t xml:space="preserve">Aboriginal </w:t>
      </w:r>
      <w:r w:rsidRPr="002F53CF">
        <w:t>children and young people</w:t>
      </w:r>
      <w:bookmarkEnd w:id="33"/>
    </w:p>
    <w:p w14:paraId="738C87E6" w14:textId="11299CB4" w:rsidR="00E57AC0" w:rsidRPr="002F53CF" w:rsidRDefault="00DB26CD" w:rsidP="00F61814">
      <w:pPr>
        <w:shd w:val="clear" w:color="auto" w:fill="FFFFFF"/>
        <w:textAlignment w:val="baseline"/>
      </w:pPr>
      <w:r w:rsidRPr="002F53CF">
        <w:t xml:space="preserve">Following the 2018 bail reforms, more children </w:t>
      </w:r>
      <w:r w:rsidR="00877382">
        <w:t xml:space="preserve">and vulnerable </w:t>
      </w:r>
      <w:r w:rsidR="00AF12B9">
        <w:t xml:space="preserve">young </w:t>
      </w:r>
      <w:r w:rsidR="00877382">
        <w:t xml:space="preserve">adults </w:t>
      </w:r>
      <w:r w:rsidRPr="002F53CF">
        <w:t xml:space="preserve">are </w:t>
      </w:r>
      <w:r>
        <w:t xml:space="preserve">finding themselves in remand situations as a result of being propelled into </w:t>
      </w:r>
      <w:r w:rsidR="00AF12B9">
        <w:t xml:space="preserve">the </w:t>
      </w:r>
      <w:r w:rsidR="00E25EE9">
        <w:t>higher test</w:t>
      </w:r>
      <w:r w:rsidR="00AF12B9">
        <w:t xml:space="preserve"> categories</w:t>
      </w:r>
      <w:r w:rsidR="00E25EE9">
        <w:t xml:space="preserve"> for bail</w:t>
      </w:r>
      <w:r w:rsidR="00AF12B9">
        <w:t>, in particular the exceptional circumstances</w:t>
      </w:r>
      <w:r w:rsidR="00D35233">
        <w:t xml:space="preserve"> category</w:t>
      </w:r>
      <w:r w:rsidR="000D35D1">
        <w:t>, more frequently</w:t>
      </w:r>
      <w:r w:rsidR="00AF12B9">
        <w:t>.</w:t>
      </w:r>
      <w:r>
        <w:rPr>
          <w:rStyle w:val="FootnoteReference"/>
        </w:rPr>
        <w:footnoteReference w:id="36"/>
      </w:r>
      <w:r w:rsidRPr="002F53CF">
        <w:t xml:space="preserve"> </w:t>
      </w:r>
    </w:p>
    <w:p w14:paraId="6019EAAE" w14:textId="4B4A9B70" w:rsidR="00DB26CD" w:rsidRPr="002F53CF" w:rsidRDefault="00143885" w:rsidP="00DB26CD">
      <w:pPr>
        <w:shd w:val="clear" w:color="auto" w:fill="FFFFFF"/>
        <w:textAlignment w:val="baseline"/>
      </w:pPr>
      <w:r>
        <w:t>O</w:t>
      </w:r>
      <w:r w:rsidR="00DB26CD" w:rsidRPr="002F53CF">
        <w:t>ur lawyers</w:t>
      </w:r>
      <w:r w:rsidR="00DB26CD">
        <w:t xml:space="preserve"> </w:t>
      </w:r>
      <w:r>
        <w:t xml:space="preserve">have </w:t>
      </w:r>
      <w:r w:rsidR="00DB26CD" w:rsidRPr="002F53CF">
        <w:t>observed</w:t>
      </w:r>
      <w:r w:rsidR="00DB26CD">
        <w:t xml:space="preserve"> other </w:t>
      </w:r>
      <w:r>
        <w:t xml:space="preserve">particular </w:t>
      </w:r>
      <w:r w:rsidR="00DB26CD">
        <w:t>impacts</w:t>
      </w:r>
      <w:r>
        <w:t xml:space="preserve"> of bail reforms on children</w:t>
      </w:r>
      <w:r w:rsidR="00DB26CD" w:rsidRPr="002F53CF">
        <w:t xml:space="preserve">: </w:t>
      </w:r>
    </w:p>
    <w:p w14:paraId="7D35F0F8" w14:textId="0E0DEF86" w:rsidR="007179FB" w:rsidRDefault="007179FB" w:rsidP="00562211">
      <w:pPr>
        <w:pStyle w:val="ListParagraph"/>
        <w:numPr>
          <w:ilvl w:val="0"/>
          <w:numId w:val="14"/>
        </w:numPr>
        <w:shd w:val="clear" w:color="auto" w:fill="FFFFFF"/>
        <w:spacing w:before="20" w:after="0"/>
        <w:ind w:left="714" w:hanging="357"/>
        <w:textAlignment w:val="baseline"/>
        <w:rPr>
          <w:rFonts w:cs="Arial"/>
          <w:color w:val="000000" w:themeColor="text1"/>
          <w:szCs w:val="22"/>
          <w:lang w:eastAsia="en-AU"/>
        </w:rPr>
      </w:pPr>
      <w:r>
        <w:rPr>
          <w:rFonts w:cs="Arial"/>
          <w:color w:val="000000" w:themeColor="text1"/>
          <w:szCs w:val="22"/>
          <w:lang w:eastAsia="en-AU"/>
        </w:rPr>
        <w:t xml:space="preserve">Our lawyers are finding that ss 3A and 3B </w:t>
      </w:r>
      <w:r w:rsidR="007C6A2A">
        <w:rPr>
          <w:rFonts w:cs="Arial"/>
          <w:color w:val="000000" w:themeColor="text1"/>
          <w:szCs w:val="22"/>
          <w:lang w:eastAsia="en-AU"/>
        </w:rPr>
        <w:t xml:space="preserve">of </w:t>
      </w:r>
      <w:r>
        <w:rPr>
          <w:rFonts w:cs="Arial"/>
          <w:color w:val="000000" w:themeColor="text1"/>
          <w:szCs w:val="22"/>
          <w:lang w:eastAsia="en-AU"/>
        </w:rPr>
        <w:t xml:space="preserve">the Bail Act are adhered to enabling us to establish exceptional circumstances and compelling reasons in the case of Aboriginal children. However, </w:t>
      </w:r>
      <w:r w:rsidR="007C1640">
        <w:rPr>
          <w:rFonts w:cs="Arial"/>
          <w:color w:val="000000" w:themeColor="text1"/>
          <w:szCs w:val="22"/>
          <w:lang w:eastAsia="en-AU"/>
        </w:rPr>
        <w:t xml:space="preserve">the </w:t>
      </w:r>
      <w:r w:rsidR="00D81AD2">
        <w:rPr>
          <w:rFonts w:cs="Arial"/>
          <w:color w:val="000000" w:themeColor="text1"/>
          <w:szCs w:val="22"/>
          <w:lang w:eastAsia="en-AU"/>
        </w:rPr>
        <w:t xml:space="preserve">major impediment to being released on bail is the issue of unacceptable risk. </w:t>
      </w:r>
    </w:p>
    <w:p w14:paraId="2D495D92" w14:textId="50E30761" w:rsidR="003C2474" w:rsidRPr="00562211" w:rsidRDefault="007C6A2A" w:rsidP="00562211">
      <w:pPr>
        <w:pStyle w:val="ListParagraph"/>
        <w:numPr>
          <w:ilvl w:val="0"/>
          <w:numId w:val="14"/>
        </w:numPr>
        <w:shd w:val="clear" w:color="auto" w:fill="FFFFFF"/>
        <w:spacing w:before="20" w:after="0"/>
        <w:ind w:left="714" w:hanging="357"/>
        <w:textAlignment w:val="baseline"/>
        <w:rPr>
          <w:rFonts w:cs="Arial"/>
          <w:color w:val="000000" w:themeColor="text1"/>
          <w:szCs w:val="22"/>
          <w:lang w:eastAsia="en-AU"/>
        </w:rPr>
      </w:pPr>
      <w:r>
        <w:rPr>
          <w:rFonts w:cs="Arial"/>
          <w:color w:val="000000" w:themeColor="text1"/>
          <w:szCs w:val="22"/>
          <w:lang w:eastAsia="en-AU"/>
        </w:rPr>
        <w:t>C</w:t>
      </w:r>
      <w:r w:rsidR="00DB26CD" w:rsidRPr="002F53CF">
        <w:rPr>
          <w:rFonts w:cs="Arial"/>
          <w:color w:val="000000" w:themeColor="text1"/>
          <w:szCs w:val="22"/>
          <w:lang w:eastAsia="en-AU"/>
        </w:rPr>
        <w:t>hildren who commit further offences whilst on bail are being remanded even though their capacity to be charged for the initial offending has not been assessed and determined</w:t>
      </w:r>
      <w:r w:rsidR="00D35233">
        <w:rPr>
          <w:rFonts w:cs="Arial"/>
          <w:color w:val="000000" w:themeColor="text1"/>
          <w:szCs w:val="22"/>
          <w:lang w:eastAsia="en-AU"/>
        </w:rPr>
        <w:t>.</w:t>
      </w:r>
    </w:p>
    <w:p w14:paraId="621BE455" w14:textId="5C9061E4" w:rsidR="00405D71" w:rsidRDefault="007C6A2A" w:rsidP="007179FB">
      <w:pPr>
        <w:pStyle w:val="ListParagraph"/>
        <w:numPr>
          <w:ilvl w:val="0"/>
          <w:numId w:val="14"/>
        </w:numPr>
        <w:shd w:val="clear" w:color="auto" w:fill="FFFFFF"/>
        <w:spacing w:before="20" w:after="0"/>
        <w:ind w:left="714" w:hanging="357"/>
        <w:textAlignment w:val="baseline"/>
        <w:rPr>
          <w:rFonts w:cs="Arial"/>
          <w:color w:val="000000" w:themeColor="text1"/>
          <w:szCs w:val="22"/>
          <w:lang w:eastAsia="en-AU"/>
        </w:rPr>
      </w:pPr>
      <w:r>
        <w:rPr>
          <w:rFonts w:cs="Arial"/>
          <w:color w:val="000000" w:themeColor="text1"/>
          <w:szCs w:val="22"/>
          <w:lang w:eastAsia="en-AU"/>
        </w:rPr>
        <w:t>B</w:t>
      </w:r>
      <w:r w:rsidR="00DB26CD" w:rsidRPr="002F53CF">
        <w:rPr>
          <w:rFonts w:cs="Arial"/>
          <w:color w:val="000000" w:themeColor="text1"/>
          <w:szCs w:val="22"/>
          <w:lang w:eastAsia="en-AU"/>
        </w:rPr>
        <w:t xml:space="preserve">ecause children are often on bail for longer (while they participate </w:t>
      </w:r>
      <w:r w:rsidR="0021623D">
        <w:rPr>
          <w:rFonts w:cs="Arial"/>
          <w:color w:val="000000" w:themeColor="text1"/>
          <w:szCs w:val="22"/>
          <w:lang w:eastAsia="en-AU"/>
        </w:rPr>
        <w:t>on</w:t>
      </w:r>
      <w:r w:rsidR="00DB26CD" w:rsidRPr="002F53CF">
        <w:rPr>
          <w:rFonts w:cs="Arial"/>
          <w:color w:val="000000" w:themeColor="text1"/>
          <w:szCs w:val="22"/>
          <w:lang w:eastAsia="en-AU"/>
        </w:rPr>
        <w:t xml:space="preserve"> </w:t>
      </w:r>
      <w:r w:rsidR="00774A01">
        <w:rPr>
          <w:rFonts w:cs="Arial"/>
          <w:color w:val="000000" w:themeColor="text1"/>
          <w:szCs w:val="22"/>
          <w:lang w:eastAsia="en-AU"/>
        </w:rPr>
        <w:t xml:space="preserve">supervised </w:t>
      </w:r>
      <w:r w:rsidR="00DB26CD" w:rsidRPr="002F53CF">
        <w:rPr>
          <w:rFonts w:cs="Arial"/>
          <w:color w:val="000000" w:themeColor="text1"/>
          <w:szCs w:val="22"/>
          <w:lang w:eastAsia="en-AU"/>
        </w:rPr>
        <w:t>deferrals or diversion, or as matters are consolidated</w:t>
      </w:r>
      <w:r w:rsidR="009A7DCD">
        <w:rPr>
          <w:rFonts w:cs="Arial"/>
          <w:color w:val="000000" w:themeColor="text1"/>
          <w:szCs w:val="22"/>
          <w:lang w:eastAsia="en-AU"/>
        </w:rPr>
        <w:t xml:space="preserve"> and as they start to engage with therapeutic services</w:t>
      </w:r>
      <w:r w:rsidR="00DB26CD" w:rsidRPr="002F53CF">
        <w:rPr>
          <w:rFonts w:cs="Arial"/>
          <w:color w:val="000000" w:themeColor="text1"/>
          <w:szCs w:val="22"/>
          <w:lang w:eastAsia="en-AU"/>
        </w:rPr>
        <w:t>), there is a greater risk they may engage in behaviour that leads to further charges</w:t>
      </w:r>
      <w:r>
        <w:rPr>
          <w:rFonts w:cs="Arial"/>
          <w:color w:val="000000" w:themeColor="text1"/>
          <w:szCs w:val="22"/>
          <w:lang w:eastAsia="en-AU"/>
        </w:rPr>
        <w:t xml:space="preserve"> including against the Bail Act</w:t>
      </w:r>
      <w:r w:rsidR="00DB26CD" w:rsidRPr="002F53CF">
        <w:rPr>
          <w:rFonts w:cs="Arial"/>
          <w:color w:val="000000" w:themeColor="text1"/>
          <w:szCs w:val="22"/>
          <w:lang w:eastAsia="en-AU"/>
        </w:rPr>
        <w:t>, resulting in more time in custody</w:t>
      </w:r>
      <w:r w:rsidR="00D35233">
        <w:rPr>
          <w:rFonts w:cs="Arial"/>
          <w:color w:val="000000" w:themeColor="text1"/>
          <w:szCs w:val="22"/>
          <w:lang w:eastAsia="en-AU"/>
        </w:rPr>
        <w:t>.</w:t>
      </w:r>
      <w:r w:rsidR="00143885">
        <w:rPr>
          <w:rFonts w:cs="Arial"/>
          <w:color w:val="000000" w:themeColor="text1"/>
          <w:szCs w:val="22"/>
          <w:lang w:eastAsia="en-AU"/>
        </w:rPr>
        <w:t xml:space="preserve"> </w:t>
      </w:r>
    </w:p>
    <w:p w14:paraId="3D4A70A5" w14:textId="238E5DE3" w:rsidR="007179FB" w:rsidRPr="007179FB" w:rsidRDefault="00D35233" w:rsidP="007179FB">
      <w:pPr>
        <w:pStyle w:val="ListParagraph"/>
        <w:numPr>
          <w:ilvl w:val="0"/>
          <w:numId w:val="14"/>
        </w:numPr>
        <w:shd w:val="clear" w:color="auto" w:fill="FFFFFF"/>
        <w:spacing w:before="20" w:after="0"/>
        <w:ind w:left="714" w:hanging="357"/>
        <w:textAlignment w:val="baseline"/>
        <w:rPr>
          <w:rFonts w:cs="Arial"/>
          <w:color w:val="000000" w:themeColor="text1"/>
          <w:szCs w:val="22"/>
          <w:lang w:eastAsia="en-AU"/>
        </w:rPr>
      </w:pPr>
      <w:r>
        <w:rPr>
          <w:rFonts w:cs="Arial"/>
          <w:color w:val="000000" w:themeColor="text1"/>
          <w:szCs w:val="22"/>
          <w:lang w:eastAsia="en-AU"/>
        </w:rPr>
        <w:t>T</w:t>
      </w:r>
      <w:r w:rsidR="005642B9">
        <w:rPr>
          <w:rFonts w:cs="Arial"/>
          <w:color w:val="000000" w:themeColor="text1"/>
          <w:szCs w:val="22"/>
          <w:lang w:eastAsia="en-AU"/>
        </w:rPr>
        <w:t xml:space="preserve">he more frequent </w:t>
      </w:r>
      <w:r w:rsidR="008B4AAC">
        <w:rPr>
          <w:rFonts w:cs="Arial"/>
          <w:color w:val="000000" w:themeColor="text1"/>
          <w:szCs w:val="22"/>
          <w:lang w:eastAsia="en-AU"/>
        </w:rPr>
        <w:t>reman</w:t>
      </w:r>
      <w:r w:rsidR="00700508">
        <w:rPr>
          <w:rFonts w:cs="Arial"/>
          <w:color w:val="000000" w:themeColor="text1"/>
          <w:szCs w:val="22"/>
          <w:lang w:eastAsia="en-AU"/>
        </w:rPr>
        <w:t>ds</w:t>
      </w:r>
      <w:r w:rsidR="008B4AAC">
        <w:rPr>
          <w:rFonts w:cs="Arial"/>
          <w:color w:val="000000" w:themeColor="text1"/>
          <w:szCs w:val="22"/>
          <w:lang w:eastAsia="en-AU"/>
        </w:rPr>
        <w:t xml:space="preserve"> </w:t>
      </w:r>
      <w:r w:rsidR="005642B9">
        <w:rPr>
          <w:rFonts w:cs="Arial"/>
          <w:color w:val="000000" w:themeColor="text1"/>
          <w:szCs w:val="22"/>
          <w:lang w:eastAsia="en-AU"/>
        </w:rPr>
        <w:t>due to</w:t>
      </w:r>
      <w:r w:rsidR="008B4AAC">
        <w:rPr>
          <w:rFonts w:cs="Arial"/>
          <w:color w:val="000000" w:themeColor="text1"/>
          <w:szCs w:val="22"/>
          <w:lang w:eastAsia="en-AU"/>
        </w:rPr>
        <w:t xml:space="preserve"> </w:t>
      </w:r>
      <w:r w:rsidR="00405D71">
        <w:rPr>
          <w:rFonts w:cs="Arial"/>
          <w:color w:val="000000" w:themeColor="text1"/>
          <w:szCs w:val="22"/>
          <w:lang w:eastAsia="en-AU"/>
        </w:rPr>
        <w:t xml:space="preserve">non-violent offending </w:t>
      </w:r>
      <w:r w:rsidR="005642B9">
        <w:rPr>
          <w:rFonts w:cs="Arial"/>
          <w:color w:val="000000" w:themeColor="text1"/>
          <w:szCs w:val="22"/>
          <w:lang w:eastAsia="en-AU"/>
        </w:rPr>
        <w:t>is disruptive to the young person</w:t>
      </w:r>
      <w:r>
        <w:rPr>
          <w:rFonts w:cs="Arial"/>
          <w:color w:val="000000" w:themeColor="text1"/>
          <w:szCs w:val="22"/>
          <w:lang w:eastAsia="en-AU"/>
        </w:rPr>
        <w:t>’</w:t>
      </w:r>
      <w:r w:rsidR="005642B9">
        <w:rPr>
          <w:rFonts w:cs="Arial"/>
          <w:color w:val="000000" w:themeColor="text1"/>
          <w:szCs w:val="22"/>
          <w:lang w:eastAsia="en-AU"/>
        </w:rPr>
        <w:t xml:space="preserve">s ability to continue with </w:t>
      </w:r>
      <w:r w:rsidR="00405D71">
        <w:rPr>
          <w:rFonts w:cs="Arial"/>
          <w:color w:val="000000" w:themeColor="text1"/>
          <w:szCs w:val="22"/>
          <w:lang w:eastAsia="en-AU"/>
        </w:rPr>
        <w:t xml:space="preserve">therapeutic </w:t>
      </w:r>
      <w:r w:rsidR="005642B9">
        <w:rPr>
          <w:rFonts w:cs="Arial"/>
          <w:color w:val="000000" w:themeColor="text1"/>
          <w:szCs w:val="22"/>
          <w:lang w:eastAsia="en-AU"/>
        </w:rPr>
        <w:t>interventions</w:t>
      </w:r>
      <w:r>
        <w:rPr>
          <w:rFonts w:cs="Arial"/>
          <w:color w:val="000000" w:themeColor="text1"/>
          <w:szCs w:val="22"/>
          <w:lang w:eastAsia="en-AU"/>
        </w:rPr>
        <w:t>.</w:t>
      </w:r>
    </w:p>
    <w:p w14:paraId="6D08458C" w14:textId="7634780F" w:rsidR="00DB26CD" w:rsidRPr="002F53CF" w:rsidRDefault="007C6A2A" w:rsidP="00DB26CD">
      <w:pPr>
        <w:pStyle w:val="ListParagraph"/>
        <w:numPr>
          <w:ilvl w:val="0"/>
          <w:numId w:val="14"/>
        </w:numPr>
        <w:shd w:val="clear" w:color="auto" w:fill="FFFFFF"/>
        <w:spacing w:before="20" w:after="0"/>
        <w:ind w:left="714" w:hanging="357"/>
        <w:textAlignment w:val="baseline"/>
        <w:rPr>
          <w:rFonts w:cs="Arial"/>
          <w:color w:val="000000" w:themeColor="text1"/>
          <w:szCs w:val="22"/>
          <w:lang w:eastAsia="en-AU"/>
        </w:rPr>
      </w:pPr>
      <w:r>
        <w:rPr>
          <w:rFonts w:cs="Arial"/>
          <w:color w:val="000000" w:themeColor="text1"/>
          <w:szCs w:val="22"/>
          <w:lang w:eastAsia="en-AU"/>
        </w:rPr>
        <w:t>T</w:t>
      </w:r>
      <w:r w:rsidR="00F35713">
        <w:rPr>
          <w:rFonts w:cs="Arial"/>
          <w:color w:val="000000" w:themeColor="text1"/>
          <w:szCs w:val="22"/>
          <w:lang w:eastAsia="en-AU"/>
        </w:rPr>
        <w:t xml:space="preserve">he </w:t>
      </w:r>
      <w:r w:rsidR="0074428A">
        <w:rPr>
          <w:rFonts w:cs="Arial"/>
          <w:color w:val="000000" w:themeColor="text1"/>
          <w:szCs w:val="22"/>
          <w:lang w:eastAsia="en-AU"/>
        </w:rPr>
        <w:t>underutilisation of</w:t>
      </w:r>
      <w:r w:rsidR="00F35713">
        <w:rPr>
          <w:rFonts w:cs="Arial"/>
          <w:color w:val="000000" w:themeColor="text1"/>
          <w:szCs w:val="22"/>
          <w:lang w:eastAsia="en-AU"/>
        </w:rPr>
        <w:t xml:space="preserve"> </w:t>
      </w:r>
      <w:r w:rsidR="001B54EA">
        <w:rPr>
          <w:rFonts w:cs="Arial"/>
          <w:color w:val="000000" w:themeColor="text1"/>
          <w:szCs w:val="22"/>
          <w:lang w:eastAsia="en-AU"/>
        </w:rPr>
        <w:t xml:space="preserve">Intensive </w:t>
      </w:r>
      <w:r w:rsidR="00A932F5">
        <w:rPr>
          <w:rFonts w:cs="Arial"/>
          <w:color w:val="000000" w:themeColor="text1"/>
          <w:szCs w:val="22"/>
          <w:lang w:eastAsia="en-AU"/>
        </w:rPr>
        <w:t xml:space="preserve">Monitoring and </w:t>
      </w:r>
      <w:r w:rsidR="0071383C">
        <w:rPr>
          <w:rFonts w:cs="Arial"/>
          <w:color w:val="000000" w:themeColor="text1"/>
          <w:szCs w:val="22"/>
          <w:lang w:eastAsia="en-AU"/>
        </w:rPr>
        <w:t xml:space="preserve">Control </w:t>
      </w:r>
      <w:r w:rsidR="001B54EA">
        <w:rPr>
          <w:rFonts w:cs="Arial"/>
          <w:color w:val="000000" w:themeColor="text1"/>
          <w:szCs w:val="22"/>
          <w:lang w:eastAsia="en-AU"/>
        </w:rPr>
        <w:t xml:space="preserve">Bail Supervision </w:t>
      </w:r>
      <w:r w:rsidR="0071383C">
        <w:rPr>
          <w:rFonts w:cs="Arial"/>
          <w:color w:val="000000" w:themeColor="text1"/>
          <w:szCs w:val="22"/>
          <w:lang w:eastAsia="en-AU"/>
        </w:rPr>
        <w:t>O</w:t>
      </w:r>
      <w:r w:rsidR="001B54EA">
        <w:rPr>
          <w:rFonts w:cs="Arial"/>
          <w:color w:val="000000" w:themeColor="text1"/>
          <w:szCs w:val="22"/>
          <w:lang w:eastAsia="en-AU"/>
        </w:rPr>
        <w:t>rders</w:t>
      </w:r>
      <w:r w:rsidR="000B6388">
        <w:rPr>
          <w:rFonts w:cs="Arial"/>
          <w:color w:val="000000" w:themeColor="text1"/>
          <w:szCs w:val="22"/>
          <w:lang w:eastAsia="en-AU"/>
        </w:rPr>
        <w:t xml:space="preserve"> (IBOs)</w:t>
      </w:r>
      <w:r w:rsidR="00296B02">
        <w:rPr>
          <w:rFonts w:cs="Arial"/>
          <w:color w:val="000000" w:themeColor="text1"/>
          <w:szCs w:val="22"/>
          <w:lang w:eastAsia="en-AU"/>
        </w:rPr>
        <w:t>.</w:t>
      </w:r>
      <w:r w:rsidR="00DB26CD">
        <w:rPr>
          <w:rFonts w:cs="Arial"/>
          <w:color w:val="000000" w:themeColor="text1"/>
          <w:szCs w:val="22"/>
          <w:lang w:eastAsia="en-AU"/>
        </w:rPr>
        <w:t xml:space="preserve"> </w:t>
      </w:r>
    </w:p>
    <w:p w14:paraId="0B433E73" w14:textId="77777777" w:rsidR="0055529B" w:rsidRPr="002F53CF" w:rsidRDefault="0055529B" w:rsidP="0055529B">
      <w:pPr>
        <w:rPr>
          <w:lang w:eastAsia="en-AU"/>
        </w:rPr>
      </w:pPr>
    </w:p>
    <w:tbl>
      <w:tblPr>
        <w:tblStyle w:val="TableGrid"/>
        <w:tblW w:w="0" w:type="auto"/>
        <w:tblInd w:w="421" w:type="dxa"/>
        <w:tblLook w:val="04A0" w:firstRow="1" w:lastRow="0" w:firstColumn="1" w:lastColumn="0" w:noHBand="0" w:noVBand="1"/>
      </w:tblPr>
      <w:tblGrid>
        <w:gridCol w:w="9072"/>
      </w:tblGrid>
      <w:tr w:rsidR="00B83291" w:rsidRPr="002F53CF" w14:paraId="6684516E" w14:textId="77777777" w:rsidTr="00561A0A">
        <w:tc>
          <w:tcPr>
            <w:tcW w:w="9072" w:type="dxa"/>
          </w:tcPr>
          <w:p w14:paraId="44F48183" w14:textId="5589DFB8" w:rsidR="00B83291" w:rsidRPr="002F53CF" w:rsidRDefault="00B83291" w:rsidP="00561A0A">
            <w:pPr>
              <w:rPr>
                <w:rFonts w:cs="Arial"/>
                <w:color w:val="002060"/>
                <w:sz w:val="21"/>
                <w:szCs w:val="21"/>
              </w:rPr>
            </w:pPr>
            <w:r w:rsidRPr="002F53CF">
              <w:rPr>
                <w:rFonts w:cs="Arial"/>
                <w:i/>
                <w:iCs/>
                <w:color w:val="002060"/>
                <w:sz w:val="21"/>
                <w:szCs w:val="21"/>
              </w:rPr>
              <w:t>Tom</w:t>
            </w:r>
            <w:r w:rsidR="007C62F2">
              <w:rPr>
                <w:rFonts w:cs="Arial"/>
                <w:i/>
                <w:iCs/>
                <w:color w:val="002060"/>
                <w:sz w:val="21"/>
                <w:szCs w:val="21"/>
              </w:rPr>
              <w:t>*</w:t>
            </w:r>
            <w:r w:rsidR="004A4A3D">
              <w:rPr>
                <w:rFonts w:cs="Arial"/>
                <w:i/>
                <w:iCs/>
                <w:color w:val="002060"/>
                <w:sz w:val="21"/>
                <w:szCs w:val="21"/>
              </w:rPr>
              <w:t xml:space="preserve"> </w:t>
            </w:r>
            <w:r w:rsidRPr="002F53CF">
              <w:rPr>
                <w:rFonts w:cs="Arial"/>
                <w:color w:val="002060"/>
                <w:sz w:val="21"/>
                <w:szCs w:val="21"/>
              </w:rPr>
              <w:t xml:space="preserve">is 16 years old, </w:t>
            </w:r>
            <w:r w:rsidR="0055529B" w:rsidRPr="002F53CF">
              <w:rPr>
                <w:rFonts w:cs="Arial"/>
                <w:color w:val="002060"/>
                <w:sz w:val="21"/>
                <w:szCs w:val="21"/>
              </w:rPr>
              <w:t xml:space="preserve">Aboriginal, </w:t>
            </w:r>
            <w:r w:rsidRPr="002F53CF">
              <w:rPr>
                <w:rFonts w:cs="Arial"/>
                <w:color w:val="002060"/>
                <w:sz w:val="21"/>
                <w:szCs w:val="21"/>
              </w:rPr>
              <w:t>lives in regional Victoria and is a talented football player. He is intellectually disabled. During the course of his young life he has had a history of transient accommodation. He and his siblings were removed from the care of his mother and placed with his maternal uncle. Between 2013 and 2017 he attended school every day, attended weekly sporting activities and his mother was able to have regular contact with her children. Sadly, in 2017 his uncle was unable to overcome his grief following the death of a loved one. This led to Tom and his siblings being placed with various family members and then into residential care and to this day he remains the subject of a Care by Secretary Order.</w:t>
            </w:r>
          </w:p>
          <w:p w14:paraId="73195E7F" w14:textId="77777777" w:rsidR="00B83291" w:rsidRPr="002F53CF" w:rsidRDefault="00B83291" w:rsidP="00561A0A">
            <w:pPr>
              <w:rPr>
                <w:rFonts w:cs="Arial"/>
                <w:color w:val="002060"/>
                <w:sz w:val="21"/>
                <w:szCs w:val="21"/>
              </w:rPr>
            </w:pPr>
            <w:r w:rsidRPr="002F53CF">
              <w:rPr>
                <w:rFonts w:cs="Arial"/>
                <w:color w:val="002060"/>
                <w:sz w:val="21"/>
                <w:szCs w:val="21"/>
              </w:rPr>
              <w:t xml:space="preserve">Tom does not remember when he started drinking alcohol but eventually it led him to being banned from playing with his local football club. He was charged with two counts of theft of a motor vehicle and correspondingly committing an indictable offence whilst on bail. He was refused bail and appealed the decision to the Supreme Court. Tom had no prior convictions at the time of his Supreme Court bail application. </w:t>
            </w:r>
          </w:p>
          <w:p w14:paraId="2F4B1B29" w14:textId="2918C3D0" w:rsidR="00B83291" w:rsidRPr="002F53CF" w:rsidRDefault="005E4194" w:rsidP="00561A0A">
            <w:pPr>
              <w:rPr>
                <w:rFonts w:cs="Arial"/>
                <w:color w:val="002060"/>
                <w:sz w:val="21"/>
                <w:szCs w:val="21"/>
              </w:rPr>
            </w:pPr>
            <w:r>
              <w:rPr>
                <w:rFonts w:cs="Arial"/>
                <w:color w:val="002060"/>
                <w:sz w:val="21"/>
                <w:szCs w:val="21"/>
              </w:rPr>
              <w:t>His Honour</w:t>
            </w:r>
            <w:r w:rsidR="00C80557">
              <w:rPr>
                <w:rFonts w:cs="Arial"/>
                <w:color w:val="002060"/>
                <w:sz w:val="21"/>
                <w:szCs w:val="21"/>
              </w:rPr>
              <w:t xml:space="preserve"> </w:t>
            </w:r>
            <w:r w:rsidR="00B83291" w:rsidRPr="002F53CF">
              <w:rPr>
                <w:rFonts w:cs="Arial"/>
                <w:color w:val="002060"/>
                <w:sz w:val="21"/>
                <w:szCs w:val="21"/>
              </w:rPr>
              <w:t>Justice Lasry noted “this applicant represents the consequences of the failings of our society”. His Honour found that the “answers to many of (Tom’s) difficulties may well lie in his Indigenous background and the willingness of his community to support him”. His Honour continued “it is time society paid more attention to the ability, insight and influence of the Indigenous community”.</w:t>
            </w:r>
            <w:r w:rsidR="00B83291" w:rsidRPr="002F53CF">
              <w:rPr>
                <w:rStyle w:val="FootnoteReference"/>
                <w:rFonts w:cs="Arial"/>
                <w:color w:val="002060"/>
                <w:szCs w:val="21"/>
              </w:rPr>
              <w:footnoteReference w:id="37"/>
            </w:r>
            <w:r w:rsidR="00B83291" w:rsidRPr="002F53CF">
              <w:rPr>
                <w:rFonts w:cs="Arial"/>
                <w:color w:val="002060"/>
                <w:sz w:val="21"/>
                <w:szCs w:val="21"/>
              </w:rPr>
              <w:t xml:space="preserve"> To this end Tom’s bail conditions were tailored to focus on his reintegration into culture. </w:t>
            </w:r>
          </w:p>
          <w:p w14:paraId="6F5DB275" w14:textId="61C69AB4" w:rsidR="00B83291" w:rsidRDefault="00B83291" w:rsidP="00561A0A">
            <w:pPr>
              <w:rPr>
                <w:rFonts w:cs="Arial"/>
                <w:color w:val="002060"/>
                <w:sz w:val="21"/>
                <w:szCs w:val="21"/>
              </w:rPr>
            </w:pPr>
            <w:r w:rsidRPr="002F53CF">
              <w:rPr>
                <w:rFonts w:cs="Arial"/>
                <w:color w:val="002060"/>
                <w:sz w:val="21"/>
                <w:szCs w:val="21"/>
              </w:rPr>
              <w:t>When Tom was connected to his biological family and culture he thrived. His reintegration into the community, via his bail conditions, has the potential to provide Tom that opportunity again.</w:t>
            </w:r>
            <w:r w:rsidR="001726E6">
              <w:rPr>
                <w:rFonts w:cs="Arial"/>
                <w:color w:val="002060"/>
                <w:sz w:val="21"/>
                <w:szCs w:val="21"/>
              </w:rPr>
              <w:t xml:space="preserve"> </w:t>
            </w:r>
          </w:p>
          <w:p w14:paraId="7894260A" w14:textId="2D70B1DC" w:rsidR="00B83291" w:rsidRPr="00C53728" w:rsidRDefault="007C62F2" w:rsidP="00C53728">
            <w:pPr>
              <w:spacing w:after="120" w:line="280" w:lineRule="atLeast"/>
              <w:textAlignment w:val="baseline"/>
              <w:rPr>
                <w:i/>
                <w:iCs/>
                <w:sz w:val="20"/>
                <w:szCs w:val="20"/>
              </w:rPr>
            </w:pPr>
            <w:r w:rsidRPr="00C53728">
              <w:rPr>
                <w:rFonts w:cs="Arial"/>
                <w:i/>
                <w:iCs/>
                <w:color w:val="002060"/>
                <w:sz w:val="20"/>
                <w:szCs w:val="20"/>
              </w:rPr>
              <w:t>*</w:t>
            </w:r>
            <w:r w:rsidR="00C53728" w:rsidRPr="00C53728">
              <w:rPr>
                <w:rFonts w:cs="Arial"/>
                <w:i/>
                <w:iCs/>
                <w:color w:val="002060"/>
                <w:sz w:val="20"/>
                <w:szCs w:val="20"/>
              </w:rPr>
              <w:t xml:space="preserve"> </w:t>
            </w:r>
            <w:r w:rsidRPr="00C53728">
              <w:rPr>
                <w:rFonts w:cs="Arial"/>
                <w:i/>
                <w:iCs/>
                <w:color w:val="002060"/>
                <w:sz w:val="20"/>
                <w:szCs w:val="20"/>
              </w:rPr>
              <w:t>VLA client, not his real name</w:t>
            </w:r>
          </w:p>
        </w:tc>
      </w:tr>
    </w:tbl>
    <w:p w14:paraId="55F98A3C" w14:textId="77777777" w:rsidR="00D35233" w:rsidRDefault="0078756A" w:rsidP="0078756A">
      <w:pPr>
        <w:rPr>
          <w:lang w:eastAsia="en-AU"/>
        </w:rPr>
      </w:pPr>
      <w:r w:rsidRPr="002F53CF">
        <w:rPr>
          <w:rFonts w:cs="Arial"/>
          <w:color w:val="000000" w:themeColor="text1"/>
          <w:szCs w:val="22"/>
          <w:lang w:eastAsia="en-AU"/>
        </w:rPr>
        <w:lastRenderedPageBreak/>
        <w:t>The Coghlan</w:t>
      </w:r>
      <w:r>
        <w:rPr>
          <w:rFonts w:cs="Arial"/>
          <w:color w:val="000000" w:themeColor="text1"/>
          <w:szCs w:val="22"/>
          <w:lang w:eastAsia="en-AU"/>
        </w:rPr>
        <w:t xml:space="preserve"> Review</w:t>
      </w:r>
      <w:r w:rsidRPr="002F53CF">
        <w:rPr>
          <w:rFonts w:cs="Arial"/>
          <w:color w:val="000000" w:themeColor="text1"/>
          <w:szCs w:val="22"/>
          <w:lang w:eastAsia="en-AU"/>
        </w:rPr>
        <w:t xml:space="preserve"> recommended that there be Aboriginal specific bail support services, and funding for increased numbers of Koori case managers to provide culturally specific support to Aboriginal people while on bail.</w:t>
      </w:r>
      <w:r w:rsidRPr="002F53CF">
        <w:rPr>
          <w:rStyle w:val="FootnoteReference"/>
          <w:rFonts w:cs="Arial"/>
          <w:color w:val="000000" w:themeColor="text1"/>
          <w:szCs w:val="22"/>
          <w:lang w:eastAsia="en-AU"/>
        </w:rPr>
        <w:footnoteReference w:id="38"/>
      </w:r>
      <w:r w:rsidRPr="002F53CF">
        <w:rPr>
          <w:rFonts w:cs="Arial"/>
          <w:color w:val="000000" w:themeColor="text1"/>
          <w:szCs w:val="22"/>
          <w:lang w:eastAsia="en-AU"/>
        </w:rPr>
        <w:t xml:space="preserve"> Similarly, t</w:t>
      </w:r>
      <w:r w:rsidRPr="002F53CF">
        <w:t>he 2017 ALRC Report recommended that culturally appropriate bail support programs and diversion options should be developed and implemented by all jurisdictions.</w:t>
      </w:r>
      <w:r w:rsidRPr="002F53CF">
        <w:rPr>
          <w:rStyle w:val="FootnoteReference"/>
        </w:rPr>
        <w:footnoteReference w:id="39"/>
      </w:r>
      <w:r w:rsidRPr="002F53CF">
        <w:rPr>
          <w:lang w:eastAsia="en-AU"/>
        </w:rPr>
        <w:t xml:space="preserve"> </w:t>
      </w:r>
    </w:p>
    <w:p w14:paraId="5BC3A898" w14:textId="27B4965F" w:rsidR="0078756A" w:rsidRPr="002F53CF" w:rsidRDefault="0078756A" w:rsidP="0078756A">
      <w:r w:rsidRPr="002F53CF">
        <w:rPr>
          <w:lang w:eastAsia="en-AU"/>
        </w:rPr>
        <w:t xml:space="preserve">VLA supports these recommendations as critical to facilitating young people’s engagement with therapeutic supports and success in participating in bail programs. Furthermore, the Bail Act should </w:t>
      </w:r>
      <w:r>
        <w:rPr>
          <w:lang w:eastAsia="en-AU"/>
        </w:rPr>
        <w:t>require</w:t>
      </w:r>
      <w:r w:rsidRPr="002F53CF">
        <w:rPr>
          <w:lang w:eastAsia="en-AU"/>
        </w:rPr>
        <w:t xml:space="preserve"> the court t</w:t>
      </w:r>
      <w:r w:rsidR="00BE57DC">
        <w:rPr>
          <w:lang w:eastAsia="en-AU"/>
        </w:rPr>
        <w:t xml:space="preserve">o actively consider </w:t>
      </w:r>
      <w:bookmarkStart w:id="34" w:name="_Hlk24377301"/>
      <w:r w:rsidRPr="002F53CF">
        <w:rPr>
          <w:lang w:eastAsia="en-AU"/>
        </w:rPr>
        <w:t xml:space="preserve">management of any </w:t>
      </w:r>
      <w:r w:rsidRPr="002F53CF">
        <w:t xml:space="preserve">bail risk in the community either through </w:t>
      </w:r>
      <w:r w:rsidR="005E62A4">
        <w:t xml:space="preserve">bail conditions to engage with </w:t>
      </w:r>
      <w:r w:rsidRPr="002F53CF">
        <w:t xml:space="preserve">culturally competent and safe community supports </w:t>
      </w:r>
      <w:bookmarkEnd w:id="34"/>
      <w:r w:rsidRPr="002F53CF">
        <w:t>or Youth Justice</w:t>
      </w:r>
      <w:r w:rsidR="00F55B65">
        <w:t>, w</w:t>
      </w:r>
      <w:r w:rsidRPr="002F53CF">
        <w:t>ith the option of regular reviews to monitor progress and ensure supports being held to account.</w:t>
      </w:r>
    </w:p>
    <w:p w14:paraId="6354A24C" w14:textId="77777777" w:rsidR="00D35233" w:rsidRDefault="00B83291" w:rsidP="002E2147">
      <w:pPr>
        <w:rPr>
          <w:color w:val="000000"/>
        </w:rPr>
      </w:pPr>
      <w:r w:rsidRPr="002F53CF">
        <w:t>T</w:t>
      </w:r>
      <w:r w:rsidR="00D45188" w:rsidRPr="002F53CF">
        <w:t xml:space="preserve">he </w:t>
      </w:r>
      <w:r w:rsidR="00143885">
        <w:t>Coghlan Review</w:t>
      </w:r>
      <w:r w:rsidR="00083F4D" w:rsidRPr="002F53CF">
        <w:t xml:space="preserve"> </w:t>
      </w:r>
      <w:r w:rsidRPr="002F53CF">
        <w:t xml:space="preserve">also </w:t>
      </w:r>
      <w:r w:rsidR="00083F4D" w:rsidRPr="002F53CF">
        <w:t xml:space="preserve">recommended that </w:t>
      </w:r>
      <w:r w:rsidR="00177F42" w:rsidRPr="002F53CF">
        <w:t xml:space="preserve">the </w:t>
      </w:r>
      <w:r w:rsidR="00177F42" w:rsidRPr="002F53CF">
        <w:rPr>
          <w:lang w:eastAsia="en-AU"/>
        </w:rPr>
        <w:t xml:space="preserve">Victorian Central After Hours Assessment and Bail Placement Service (CAHABPS) </w:t>
      </w:r>
      <w:r w:rsidR="00083F4D" w:rsidRPr="002F53CF">
        <w:t xml:space="preserve">be </w:t>
      </w:r>
      <w:r w:rsidR="00177F42" w:rsidRPr="002F53CF">
        <w:t xml:space="preserve">a </w:t>
      </w:r>
      <w:r w:rsidR="00083F4D" w:rsidRPr="002F53CF">
        <w:t>24</w:t>
      </w:r>
      <w:r w:rsidR="00177F42" w:rsidRPr="002F53CF">
        <w:t xml:space="preserve"> </w:t>
      </w:r>
      <w:r w:rsidR="00083F4D" w:rsidRPr="002F53CF">
        <w:t>h</w:t>
      </w:r>
      <w:r w:rsidR="00177F42" w:rsidRPr="002F53CF">
        <w:t>ou</w:t>
      </w:r>
      <w:r w:rsidR="00083F4D" w:rsidRPr="002F53CF">
        <w:t xml:space="preserve">r service, and replace the existing bail supervision program </w:t>
      </w:r>
      <w:r w:rsidR="00177F42" w:rsidRPr="002F53CF">
        <w:t>“</w:t>
      </w:r>
      <w:r w:rsidR="00083F4D" w:rsidRPr="002F53CF">
        <w:t>which is not meeting the needs of the highest risk young accused</w:t>
      </w:r>
      <w:r w:rsidR="00177F42" w:rsidRPr="002F53CF">
        <w:t>”</w:t>
      </w:r>
      <w:r w:rsidR="00083F4D" w:rsidRPr="002F53CF">
        <w:t xml:space="preserve">. </w:t>
      </w:r>
      <w:r w:rsidR="006261F6" w:rsidRPr="002F53CF">
        <w:t xml:space="preserve">CAHABS </w:t>
      </w:r>
      <w:r w:rsidR="006261F6" w:rsidRPr="002F53CF">
        <w:rPr>
          <w:lang w:eastAsia="en-AU"/>
        </w:rPr>
        <w:t>provides a single point of contact when police are considering refusing bail to a young person</w:t>
      </w:r>
      <w:r w:rsidR="003074A8" w:rsidRPr="002F53CF">
        <w:rPr>
          <w:lang w:eastAsia="en-AU"/>
        </w:rPr>
        <w:t>; p</w:t>
      </w:r>
      <w:r w:rsidR="006261F6" w:rsidRPr="002F53CF">
        <w:rPr>
          <w:lang w:eastAsia="en-AU"/>
        </w:rPr>
        <w:t xml:space="preserve">olice must notify CAHABPS and allow the young person to be in contact with a CAHABPS worker. However, it currently </w:t>
      </w:r>
      <w:r w:rsidR="006261F6" w:rsidRPr="002F53CF">
        <w:rPr>
          <w:color w:val="000000"/>
        </w:rPr>
        <w:t xml:space="preserve">finishes at 3am. </w:t>
      </w:r>
    </w:p>
    <w:p w14:paraId="518BDFA1" w14:textId="1D866071" w:rsidR="008A28ED" w:rsidRPr="002F53CF" w:rsidRDefault="0078756A" w:rsidP="002E2147">
      <w:r>
        <w:rPr>
          <w:color w:val="000000"/>
        </w:rPr>
        <w:t xml:space="preserve">Consistent with the Coghlan Review </w:t>
      </w:r>
      <w:r w:rsidR="006261F6" w:rsidRPr="002F53CF">
        <w:rPr>
          <w:color w:val="000000"/>
        </w:rPr>
        <w:t xml:space="preserve">recommendation, it should be extended </w:t>
      </w:r>
      <w:r w:rsidR="006261F6" w:rsidRPr="002F53CF">
        <w:t>so that it covers the full non-business hours period from 5pm to 9am</w:t>
      </w:r>
      <w:r>
        <w:t>, as</w:t>
      </w:r>
      <w:r w:rsidR="006261F6" w:rsidRPr="002F53CF">
        <w:t xml:space="preserve"> </w:t>
      </w:r>
      <w:r w:rsidR="00083F4D" w:rsidRPr="002F53CF">
        <w:t>“this should result in an improvement to the overuse of remand of young people, less than half of whom go on to receive a custodial sentence.”</w:t>
      </w:r>
      <w:r w:rsidR="00083F4D" w:rsidRPr="002F53CF">
        <w:rPr>
          <w:rStyle w:val="FootnoteReference"/>
        </w:rPr>
        <w:footnoteReference w:id="40"/>
      </w:r>
      <w:r w:rsidR="008904AB">
        <w:t xml:space="preserve"> Our practice experience tells us that police</w:t>
      </w:r>
      <w:r w:rsidR="00565CD8">
        <w:t>,</w:t>
      </w:r>
      <w:r w:rsidR="008904AB">
        <w:t xml:space="preserve"> as decision makers</w:t>
      </w:r>
      <w:r w:rsidR="00565CD8">
        <w:t>,</w:t>
      </w:r>
      <w:r w:rsidR="008904AB">
        <w:t xml:space="preserve"> are reluctant to </w:t>
      </w:r>
      <w:r w:rsidR="006577D2">
        <w:t>grant bail at the station and feel compelled, regardless of the offending, to bring the matter before court. Police also tell us that if they had more community support options available</w:t>
      </w:r>
      <w:r w:rsidR="00D35233">
        <w:t>,</w:t>
      </w:r>
      <w:r w:rsidR="006577D2">
        <w:t xml:space="preserve"> they would </w:t>
      </w:r>
      <w:r w:rsidR="00F55B65">
        <w:t xml:space="preserve">be more likely to </w:t>
      </w:r>
      <w:r w:rsidR="00D35233">
        <w:t xml:space="preserve">grant </w:t>
      </w:r>
      <w:r w:rsidR="006577D2">
        <w:t xml:space="preserve">bail from the police station. </w:t>
      </w:r>
    </w:p>
    <w:p w14:paraId="10EEC022" w14:textId="77777777" w:rsidR="00D22E89" w:rsidRPr="002F53CF" w:rsidRDefault="00D22E89" w:rsidP="006326E7">
      <w:pPr>
        <w:pStyle w:val="Heading2"/>
      </w:pPr>
      <w:bookmarkStart w:id="35" w:name="_Toc25238923"/>
      <w:r w:rsidRPr="002F53CF">
        <w:t>Pre-interview advice</w:t>
      </w:r>
      <w:bookmarkEnd w:id="35"/>
    </w:p>
    <w:p w14:paraId="0C3FBB23" w14:textId="09A5486F" w:rsidR="00D45188" w:rsidRPr="002F53CF" w:rsidRDefault="00D72892" w:rsidP="00D22E89">
      <w:pPr>
        <w:shd w:val="clear" w:color="auto" w:fill="FFFFFF"/>
        <w:textAlignment w:val="baseline"/>
      </w:pPr>
      <w:r w:rsidRPr="002F53CF">
        <w:t xml:space="preserve">VLA provides </w:t>
      </w:r>
      <w:r w:rsidR="00FE4A2C" w:rsidRPr="002F53CF">
        <w:t xml:space="preserve">a telephone advice service to young people including </w:t>
      </w:r>
      <w:r w:rsidRPr="002F53CF">
        <w:t xml:space="preserve">pre-interview advice for young people who are suspected of having committed a criminal offence and are about to participate in a recorded police interview. </w:t>
      </w:r>
      <w:r w:rsidR="00FE4A2C" w:rsidRPr="002F53CF">
        <w:t xml:space="preserve">We also provide volunteers for the </w:t>
      </w:r>
      <w:r w:rsidR="00332EFF" w:rsidRPr="002F53CF">
        <w:t>after-hours</w:t>
      </w:r>
      <w:r w:rsidR="00FE4A2C" w:rsidRPr="002F53CF">
        <w:t xml:space="preserve"> </w:t>
      </w:r>
      <w:r w:rsidR="00332EFF" w:rsidRPr="002F53CF">
        <w:t xml:space="preserve">Youth Referral and Independent Persons Program (YRIPP) </w:t>
      </w:r>
      <w:r w:rsidR="00FE4A2C" w:rsidRPr="002F53CF">
        <w:t xml:space="preserve">pre interview advice service. </w:t>
      </w:r>
      <w:r w:rsidRPr="002F53CF">
        <w:t xml:space="preserve">The confidential advice is an opportunity for the lawyer to conduct a welfare check on the young person and thereafter empower them with their rights when engaging with police. The lawyer can brainstorm the possible options with a young person who often call in a distressed and anxious state. </w:t>
      </w:r>
    </w:p>
    <w:p w14:paraId="66869854" w14:textId="75DDE64B" w:rsidR="00D22E89" w:rsidRPr="002F53CF" w:rsidRDefault="00FE4A2C" w:rsidP="00D22E89">
      <w:pPr>
        <w:shd w:val="clear" w:color="auto" w:fill="FFFFFF"/>
        <w:textAlignment w:val="baseline"/>
      </w:pPr>
      <w:r w:rsidRPr="002F53CF">
        <w:t>Our practice experience is that children do not take up their right to speak with a lawyer pre</w:t>
      </w:r>
      <w:r w:rsidR="007C62F2">
        <w:t>-</w:t>
      </w:r>
      <w:r w:rsidRPr="002F53CF">
        <w:t xml:space="preserve">police interview. The reasons range </w:t>
      </w:r>
      <w:r w:rsidR="001F60A3" w:rsidRPr="002F53CF">
        <w:t>from</w:t>
      </w:r>
      <w:r w:rsidR="00B93173">
        <w:t xml:space="preserve"> a</w:t>
      </w:r>
      <w:r w:rsidR="001F60A3" w:rsidRPr="002F53CF">
        <w:t xml:space="preserve"> limited understanding </w:t>
      </w:r>
      <w:r w:rsidR="008B435F">
        <w:t>of how a lawyer can assist them, not understanding how the answers they give could be used against them in court, to</w:t>
      </w:r>
      <w:r w:rsidR="00B93173">
        <w:t xml:space="preserve"> </w:t>
      </w:r>
      <w:r w:rsidR="00F55B65">
        <w:t>simply wanting</w:t>
      </w:r>
      <w:r w:rsidR="00B93173">
        <w:t xml:space="preserve"> to have the interview ‘over and done’</w:t>
      </w:r>
      <w:r w:rsidR="00332EFF" w:rsidRPr="002F53CF">
        <w:t>.</w:t>
      </w:r>
      <w:r w:rsidR="001726E6">
        <w:t xml:space="preserve"> </w:t>
      </w:r>
      <w:r w:rsidR="00D45188" w:rsidRPr="002F53CF">
        <w:t xml:space="preserve">Mandatory obligations to arrange pre-interview advice for children </w:t>
      </w:r>
      <w:r w:rsidR="00044DCF">
        <w:t>including</w:t>
      </w:r>
      <w:r w:rsidR="00044DCF" w:rsidRPr="002F53CF">
        <w:t xml:space="preserve"> </w:t>
      </w:r>
      <w:r w:rsidR="00D45188" w:rsidRPr="002F53CF">
        <w:t>Aboriginal young people</w:t>
      </w:r>
      <w:r w:rsidR="00582B4E" w:rsidRPr="002F53CF">
        <w:t>,</w:t>
      </w:r>
      <w:r w:rsidR="00D45188" w:rsidRPr="002F53CF">
        <w:t xml:space="preserve"> would ensure that these vulnerable cohorts are supported and empowered with their rights before </w:t>
      </w:r>
      <w:r w:rsidR="00582B4E" w:rsidRPr="002F53CF">
        <w:t xml:space="preserve">participating in a </w:t>
      </w:r>
      <w:r w:rsidR="00D45188" w:rsidRPr="002F53CF">
        <w:t>police</w:t>
      </w:r>
      <w:r w:rsidR="00582B4E" w:rsidRPr="002F53CF">
        <w:t xml:space="preserve"> interview</w:t>
      </w:r>
      <w:r w:rsidR="00D45188" w:rsidRPr="002F53CF">
        <w:t xml:space="preserve">. </w:t>
      </w:r>
    </w:p>
    <w:p w14:paraId="6266415E" w14:textId="70FA6119" w:rsidR="002E2147" w:rsidRPr="002F53CF" w:rsidRDefault="002E2147" w:rsidP="006326E7">
      <w:pPr>
        <w:pStyle w:val="Heading2"/>
        <w:rPr>
          <w:szCs w:val="22"/>
        </w:rPr>
      </w:pPr>
      <w:bookmarkStart w:id="36" w:name="_Toc25238924"/>
      <w:r w:rsidRPr="002F53CF">
        <w:lastRenderedPageBreak/>
        <w:t xml:space="preserve">Restorative </w:t>
      </w:r>
      <w:r w:rsidR="00A042E5">
        <w:t xml:space="preserve">justice </w:t>
      </w:r>
      <w:r w:rsidRPr="002F53CF">
        <w:t>conferencing</w:t>
      </w:r>
      <w:bookmarkEnd w:id="36"/>
      <w:r w:rsidRPr="002F53CF">
        <w:t xml:space="preserve"> </w:t>
      </w:r>
    </w:p>
    <w:p w14:paraId="7C0ACF99" w14:textId="40DB7941" w:rsidR="00FC06BD" w:rsidRPr="002F53CF" w:rsidRDefault="002E2147" w:rsidP="001F60A3">
      <w:pPr>
        <w:widowControl w:val="0"/>
      </w:pPr>
      <w:r w:rsidRPr="002F53CF">
        <w:t>Youth Justice Group Conferencing is a state-wide, legislated program providing a community rehabilitation intervention in the Children's Court at the pre-sentence stage. It brings together those involved in an offence including the young person, their family and the victims of the crime. It encourages the offender to take responsibility for the harm done to the victim</w:t>
      </w:r>
      <w:r w:rsidR="00017191">
        <w:rPr>
          <w:rStyle w:val="FootnoteReference"/>
        </w:rPr>
        <w:footnoteReference w:id="41"/>
      </w:r>
      <w:r w:rsidRPr="002F53CF">
        <w:t xml:space="preserve"> and to make reparation to the victim and the community.</w:t>
      </w:r>
      <w:r w:rsidRPr="002F53CF">
        <w:rPr>
          <w:rStyle w:val="FootnoteReference"/>
        </w:rPr>
        <w:footnoteReference w:id="42"/>
      </w:r>
      <w:r w:rsidRPr="002F53CF">
        <w:t xml:space="preserve"> </w:t>
      </w:r>
      <w:r w:rsidR="00E31EB9" w:rsidRPr="002F53CF">
        <w:t>It is a key way of developing empathy in immature young offenders and encourages families to play an active role in the young person’s rehabilitation.</w:t>
      </w:r>
      <w:r w:rsidR="00E31EB9" w:rsidRPr="002F53CF">
        <w:rPr>
          <w:rStyle w:val="FootnoteReference"/>
        </w:rPr>
        <w:footnoteReference w:id="43"/>
      </w:r>
      <w:r w:rsidR="00E31EB9" w:rsidRPr="002F53CF">
        <w:t xml:space="preserve"> </w:t>
      </w:r>
    </w:p>
    <w:p w14:paraId="6E25AFEE" w14:textId="5AAAC39D" w:rsidR="002E2147" w:rsidRPr="002F53CF" w:rsidRDefault="002E2147" w:rsidP="002E2147">
      <w:pPr>
        <w:shd w:val="clear" w:color="auto" w:fill="FFFFFF"/>
        <w:textAlignment w:val="baseline"/>
        <w:rPr>
          <w:szCs w:val="22"/>
        </w:rPr>
      </w:pPr>
      <w:r w:rsidRPr="002F53CF">
        <w:rPr>
          <w:szCs w:val="22"/>
        </w:rPr>
        <w:t xml:space="preserve">A 2010 evaluation by KPMG found </w:t>
      </w:r>
      <w:r w:rsidR="00072753" w:rsidRPr="002F53CF">
        <w:rPr>
          <w:szCs w:val="22"/>
        </w:rPr>
        <w:t xml:space="preserve">that </w:t>
      </w:r>
      <w:r w:rsidRPr="002F53CF">
        <w:rPr>
          <w:szCs w:val="22"/>
        </w:rPr>
        <w:t>youth group conferencing was more successful in reducing reoffending than more formal sanctions</w:t>
      </w:r>
      <w:r w:rsidR="00072753" w:rsidRPr="002F53CF">
        <w:rPr>
          <w:szCs w:val="22"/>
        </w:rPr>
        <w:t xml:space="preserve">. KPMG found that </w:t>
      </w:r>
      <w:r w:rsidRPr="002F53CF">
        <w:rPr>
          <w:szCs w:val="22"/>
        </w:rPr>
        <w:t xml:space="preserve">over 80 </w:t>
      </w:r>
      <w:r w:rsidR="005A59D9" w:rsidRPr="002F53CF">
        <w:rPr>
          <w:szCs w:val="22"/>
        </w:rPr>
        <w:t xml:space="preserve">percent </w:t>
      </w:r>
      <w:r w:rsidRPr="002F53CF">
        <w:rPr>
          <w:szCs w:val="22"/>
        </w:rPr>
        <w:t>of young people involved had not reoffended two years later, compared to 57</w:t>
      </w:r>
      <w:r w:rsidR="005A59D9" w:rsidRPr="002F53CF">
        <w:rPr>
          <w:szCs w:val="22"/>
        </w:rPr>
        <w:t xml:space="preserve"> percent</w:t>
      </w:r>
      <w:r w:rsidRPr="002F53CF">
        <w:rPr>
          <w:szCs w:val="22"/>
        </w:rPr>
        <w:t xml:space="preserve"> of young people placed on Probation or a Youth Supervision Order.</w:t>
      </w:r>
      <w:r w:rsidRPr="002F53CF">
        <w:rPr>
          <w:rStyle w:val="FootnoteReference"/>
          <w:szCs w:val="22"/>
        </w:rPr>
        <w:footnoteReference w:id="44"/>
      </w:r>
      <w:r w:rsidRPr="002F53CF">
        <w:rPr>
          <w:szCs w:val="22"/>
        </w:rPr>
        <w:t xml:space="preserve"> Importantly, 95 percent of the victims and all of the </w:t>
      </w:r>
      <w:r w:rsidR="00F5465E">
        <w:rPr>
          <w:szCs w:val="22"/>
        </w:rPr>
        <w:t>accused</w:t>
      </w:r>
      <w:r w:rsidR="00F5465E" w:rsidRPr="002F53CF">
        <w:rPr>
          <w:szCs w:val="22"/>
        </w:rPr>
        <w:t xml:space="preserve"> </w:t>
      </w:r>
      <w:r w:rsidRPr="002F53CF">
        <w:rPr>
          <w:szCs w:val="22"/>
        </w:rPr>
        <w:t>participants surveyed agreed or strongly agreed that they were satisfied, overall, with the process and conduct of the group conference.</w:t>
      </w:r>
    </w:p>
    <w:p w14:paraId="39426FE6" w14:textId="4AC9E604" w:rsidR="003571B8" w:rsidRPr="002F53CF" w:rsidRDefault="002E2147" w:rsidP="00D22E89">
      <w:pPr>
        <w:shd w:val="clear" w:color="auto" w:fill="FFFFFF"/>
        <w:textAlignment w:val="baseline"/>
        <w:rPr>
          <w:szCs w:val="22"/>
        </w:rPr>
      </w:pPr>
      <w:r w:rsidRPr="002F53CF">
        <w:rPr>
          <w:szCs w:val="22"/>
        </w:rPr>
        <w:t>Despite its successes, the level of youth justice group conferencing in Victoria is particularly low compared with other Australian jurisdictions, and government expenditure on group conferencing is correspondingly low.</w:t>
      </w:r>
      <w:r w:rsidRPr="002F53CF">
        <w:rPr>
          <w:rStyle w:val="FootnoteReference"/>
          <w:szCs w:val="22"/>
        </w:rPr>
        <w:footnoteReference w:id="45"/>
      </w:r>
      <w:r w:rsidRPr="002F53CF">
        <w:rPr>
          <w:szCs w:val="22"/>
        </w:rPr>
        <w:t xml:space="preserve"> This may be in part because </w:t>
      </w:r>
      <w:r w:rsidR="00D57402" w:rsidRPr="002F53CF">
        <w:rPr>
          <w:szCs w:val="22"/>
        </w:rPr>
        <w:t>in Victoria, only the court can refer a young person to group conferencing</w:t>
      </w:r>
      <w:r w:rsidR="00D57402">
        <w:rPr>
          <w:szCs w:val="22"/>
        </w:rPr>
        <w:t>, whereas</w:t>
      </w:r>
      <w:r w:rsidR="00D57402" w:rsidRPr="002F53CF">
        <w:rPr>
          <w:szCs w:val="22"/>
        </w:rPr>
        <w:t xml:space="preserve"> </w:t>
      </w:r>
      <w:r w:rsidRPr="002F53CF">
        <w:rPr>
          <w:szCs w:val="22"/>
        </w:rPr>
        <w:t xml:space="preserve">in all other Australian jurisdictions </w:t>
      </w:r>
      <w:r w:rsidR="00D57402" w:rsidRPr="002F53CF">
        <w:rPr>
          <w:szCs w:val="22"/>
        </w:rPr>
        <w:t>referrals are made by police and courts</w:t>
      </w:r>
      <w:r w:rsidRPr="002F53CF">
        <w:rPr>
          <w:szCs w:val="22"/>
        </w:rPr>
        <w:t xml:space="preserve">. </w:t>
      </w:r>
      <w:r w:rsidR="006906F8" w:rsidRPr="002F53CF">
        <w:rPr>
          <w:szCs w:val="22"/>
        </w:rPr>
        <w:t>Conferencing</w:t>
      </w:r>
      <w:r w:rsidRPr="002F53CF">
        <w:rPr>
          <w:szCs w:val="22"/>
        </w:rPr>
        <w:t xml:space="preserve"> </w:t>
      </w:r>
      <w:r w:rsidR="006906F8" w:rsidRPr="002F53CF">
        <w:rPr>
          <w:szCs w:val="22"/>
        </w:rPr>
        <w:t xml:space="preserve">is </w:t>
      </w:r>
      <w:r w:rsidRPr="002F53CF">
        <w:rPr>
          <w:szCs w:val="22"/>
        </w:rPr>
        <w:t xml:space="preserve">also not available at </w:t>
      </w:r>
      <w:r w:rsidRPr="002F53CF">
        <w:rPr>
          <w:rFonts w:cs="Arial"/>
        </w:rPr>
        <w:t>the pre-plea stage</w:t>
      </w:r>
      <w:r w:rsidR="00072753" w:rsidRPr="002F53CF">
        <w:rPr>
          <w:rFonts w:cs="Arial"/>
        </w:rPr>
        <w:t xml:space="preserve"> in Victoria</w:t>
      </w:r>
      <w:r w:rsidRPr="002F53CF">
        <w:rPr>
          <w:rFonts w:cs="Arial"/>
        </w:rPr>
        <w:t xml:space="preserve">. Expanding conferencing to the pre-plea stage could facilitate access to diversion or improved sentencing outcomes. </w:t>
      </w:r>
    </w:p>
    <w:p w14:paraId="296AD320" w14:textId="4B8ED729" w:rsidR="001A1005" w:rsidRPr="002F53CF" w:rsidRDefault="008E1D7F" w:rsidP="00D57402">
      <w:pPr>
        <w:pStyle w:val="Heading1"/>
      </w:pPr>
      <w:bookmarkStart w:id="37" w:name="_Hlk23972579"/>
      <w:bookmarkStart w:id="38" w:name="_Toc25238925"/>
      <w:r w:rsidRPr="002F53CF">
        <w:t>F</w:t>
      </w:r>
      <w:r w:rsidR="0087608E" w:rsidRPr="002F53CF">
        <w:t xml:space="preserve">acilitating </w:t>
      </w:r>
      <w:r w:rsidRPr="002F53CF">
        <w:t xml:space="preserve">the </w:t>
      </w:r>
      <w:r w:rsidR="0087608E" w:rsidRPr="002F53CF">
        <w:t xml:space="preserve">rehabilitation of </w:t>
      </w:r>
      <w:r w:rsidR="00406307" w:rsidRPr="002F53CF">
        <w:t xml:space="preserve">Aboriginal </w:t>
      </w:r>
      <w:r w:rsidR="004B55A8" w:rsidRPr="002F53CF">
        <w:t xml:space="preserve">young </w:t>
      </w:r>
      <w:r w:rsidR="000773D4" w:rsidRPr="002F53CF">
        <w:t>people who have entered the youth justice system</w:t>
      </w:r>
      <w:bookmarkEnd w:id="38"/>
      <w:r w:rsidR="000773D4" w:rsidRPr="002F53CF">
        <w:t xml:space="preserve"> </w:t>
      </w:r>
      <w:bookmarkEnd w:id="37"/>
    </w:p>
    <w:p w14:paraId="576093A2" w14:textId="64EE6A24" w:rsidR="001A1005" w:rsidRPr="002F53CF" w:rsidRDefault="001A1005" w:rsidP="001A1005">
      <w:pPr>
        <w:pStyle w:val="ListParagraph"/>
        <w:numPr>
          <w:ilvl w:val="0"/>
          <w:numId w:val="12"/>
        </w:numPr>
        <w:spacing w:before="120" w:after="0"/>
        <w:ind w:left="2126" w:hanging="2126"/>
        <w:rPr>
          <w:b/>
          <w:bCs/>
          <w:i/>
          <w:iCs/>
          <w:lang w:eastAsia="en-AU"/>
        </w:rPr>
      </w:pPr>
      <w:r w:rsidRPr="002F53CF">
        <w:rPr>
          <w:b/>
          <w:bCs/>
          <w:i/>
          <w:iCs/>
          <w:lang w:eastAsia="en-AU"/>
        </w:rPr>
        <w:t xml:space="preserve">Facilitating the rehabilitation of young Aboriginal people who have entered the youth justice system </w:t>
      </w:r>
    </w:p>
    <w:p w14:paraId="2F0C8512" w14:textId="2DDB047E" w:rsidR="001A1005" w:rsidRPr="002F53CF" w:rsidRDefault="002A1CA0" w:rsidP="001A1005">
      <w:pPr>
        <w:pStyle w:val="ListParagraph"/>
        <w:numPr>
          <w:ilvl w:val="1"/>
          <w:numId w:val="12"/>
        </w:numPr>
        <w:spacing w:before="120" w:after="0"/>
        <w:rPr>
          <w:b/>
          <w:bCs/>
          <w:i/>
          <w:iCs/>
          <w:lang w:eastAsia="en-AU"/>
        </w:rPr>
      </w:pPr>
      <w:r w:rsidRPr="00F55B65">
        <w:rPr>
          <w:rFonts w:cs="Arial"/>
          <w:b/>
          <w:bCs/>
          <w:i/>
        </w:rPr>
        <w:t>Expanding th</w:t>
      </w:r>
      <w:r w:rsidRPr="00F55B65">
        <w:rPr>
          <w:b/>
          <w:bCs/>
          <w:i/>
        </w:rPr>
        <w:t>e Children’s Koori Court geographically and increasing eligibility</w:t>
      </w:r>
      <w:r w:rsidRPr="002F53CF">
        <w:rPr>
          <w:b/>
          <w:bCs/>
          <w:i/>
          <w:iCs/>
          <w:lang w:eastAsia="en-AU"/>
        </w:rPr>
        <w:t xml:space="preserve"> </w:t>
      </w:r>
    </w:p>
    <w:p w14:paraId="0E59C781" w14:textId="0E35BC4C" w:rsidR="001A1005" w:rsidRPr="002F53CF" w:rsidRDefault="001A1005" w:rsidP="001A1005">
      <w:pPr>
        <w:pStyle w:val="ListParagraph"/>
        <w:numPr>
          <w:ilvl w:val="1"/>
          <w:numId w:val="12"/>
        </w:numPr>
        <w:spacing w:before="120" w:after="0"/>
        <w:rPr>
          <w:b/>
          <w:bCs/>
          <w:i/>
          <w:iCs/>
          <w:lang w:eastAsia="en-AU"/>
        </w:rPr>
      </w:pPr>
      <w:r w:rsidRPr="002F53CF">
        <w:rPr>
          <w:b/>
          <w:bCs/>
          <w:i/>
          <w:iCs/>
          <w:lang w:eastAsia="en-AU"/>
        </w:rPr>
        <w:t xml:space="preserve">Sentencing </w:t>
      </w:r>
      <w:r w:rsidR="00114928" w:rsidRPr="00114928">
        <w:rPr>
          <w:b/>
          <w:bCs/>
          <w:i/>
          <w:iCs/>
          <w:lang w:eastAsia="en-AU"/>
        </w:rPr>
        <w:t>legislation should be amended to specifically ensure that the sentencing court can give weight to the young person’s cultural context, and factors such as disadvantage, trauma, abuse and neglect, as well as the importance of culture to rehabilitation. This should enable admission of materials such as cultural context reports (Gladue Reports).</w:t>
      </w:r>
    </w:p>
    <w:p w14:paraId="1D4034C6" w14:textId="0707174E" w:rsidR="00E22E00" w:rsidRPr="002F53CF" w:rsidRDefault="00B83291" w:rsidP="00E22E00">
      <w:pPr>
        <w:pStyle w:val="ListParagraph"/>
        <w:numPr>
          <w:ilvl w:val="1"/>
          <w:numId w:val="12"/>
        </w:numPr>
        <w:spacing w:before="120" w:after="0"/>
        <w:rPr>
          <w:b/>
          <w:bCs/>
          <w:i/>
          <w:iCs/>
          <w:lang w:eastAsia="en-AU"/>
        </w:rPr>
      </w:pPr>
      <w:r w:rsidRPr="002F53CF">
        <w:rPr>
          <w:b/>
          <w:bCs/>
          <w:i/>
          <w:iCs/>
          <w:lang w:eastAsia="en-AU"/>
        </w:rPr>
        <w:t>A culturally competent and trauma informed w</w:t>
      </w:r>
      <w:r w:rsidR="00E22E00" w:rsidRPr="002F53CF">
        <w:rPr>
          <w:b/>
          <w:bCs/>
          <w:i/>
          <w:iCs/>
          <w:lang w:eastAsia="en-AU"/>
        </w:rPr>
        <w:t xml:space="preserve">orkforce </w:t>
      </w:r>
    </w:p>
    <w:p w14:paraId="0355B4C6" w14:textId="47F9D6A9" w:rsidR="00D22E89" w:rsidRPr="002F53CF" w:rsidRDefault="00E621F3" w:rsidP="006326E7">
      <w:pPr>
        <w:pStyle w:val="Heading2"/>
      </w:pPr>
      <w:bookmarkStart w:id="39" w:name="_Toc25238926"/>
      <w:r w:rsidRPr="002F53CF">
        <w:t>Koori Courts</w:t>
      </w:r>
      <w:bookmarkEnd w:id="39"/>
    </w:p>
    <w:p w14:paraId="6A9B6869" w14:textId="77777777" w:rsidR="0010602E" w:rsidRPr="002F53CF" w:rsidRDefault="0010602E" w:rsidP="0010602E">
      <w:pPr>
        <w:rPr>
          <w:szCs w:val="22"/>
        </w:rPr>
      </w:pPr>
      <w:r w:rsidRPr="002F53CF">
        <w:rPr>
          <w:szCs w:val="22"/>
        </w:rPr>
        <w:t xml:space="preserve">A 2010 evaluation of the Children’s Koori Court found: </w:t>
      </w:r>
    </w:p>
    <w:p w14:paraId="67017A61" w14:textId="77777777" w:rsidR="0010602E" w:rsidRPr="002F53CF" w:rsidRDefault="0010602E" w:rsidP="0010602E">
      <w:pPr>
        <w:pStyle w:val="ListParagraph"/>
        <w:numPr>
          <w:ilvl w:val="0"/>
          <w:numId w:val="24"/>
        </w:numPr>
        <w:spacing w:before="60" w:after="0"/>
        <w:ind w:left="714" w:hanging="357"/>
        <w:rPr>
          <w:szCs w:val="22"/>
        </w:rPr>
      </w:pPr>
      <w:r w:rsidRPr="002F53CF">
        <w:rPr>
          <w:szCs w:val="22"/>
        </w:rPr>
        <w:t xml:space="preserve">failure to appear and court order breaches were low </w:t>
      </w:r>
    </w:p>
    <w:p w14:paraId="3EC0CD34" w14:textId="77777777" w:rsidR="0010602E" w:rsidRPr="002F53CF" w:rsidRDefault="0010602E" w:rsidP="0010602E">
      <w:pPr>
        <w:pStyle w:val="ListParagraph"/>
        <w:numPr>
          <w:ilvl w:val="0"/>
          <w:numId w:val="24"/>
        </w:numPr>
        <w:spacing w:before="60" w:after="0"/>
        <w:ind w:left="714" w:hanging="357"/>
        <w:rPr>
          <w:szCs w:val="22"/>
        </w:rPr>
      </w:pPr>
      <w:r w:rsidRPr="002F53CF">
        <w:rPr>
          <w:szCs w:val="22"/>
        </w:rPr>
        <w:lastRenderedPageBreak/>
        <w:t>it fostered positive participation by Koori youth, their families and their community</w:t>
      </w:r>
    </w:p>
    <w:p w14:paraId="058D284C" w14:textId="77777777" w:rsidR="0010602E" w:rsidRPr="002F53CF" w:rsidRDefault="0010602E" w:rsidP="0010602E">
      <w:pPr>
        <w:pStyle w:val="ListParagraph"/>
        <w:numPr>
          <w:ilvl w:val="0"/>
          <w:numId w:val="24"/>
        </w:numPr>
        <w:spacing w:before="60" w:after="0"/>
        <w:ind w:left="714" w:hanging="357"/>
        <w:rPr>
          <w:szCs w:val="22"/>
        </w:rPr>
      </w:pPr>
      <w:r w:rsidRPr="002F53CF">
        <w:rPr>
          <w:szCs w:val="22"/>
        </w:rPr>
        <w:t>it increased the accountability of the Koori community for Koori youth</w:t>
      </w:r>
    </w:p>
    <w:p w14:paraId="134FAE60" w14:textId="77777777" w:rsidR="0010602E" w:rsidRPr="002F53CF" w:rsidRDefault="0010602E" w:rsidP="0010602E">
      <w:pPr>
        <w:pStyle w:val="ListParagraph"/>
        <w:numPr>
          <w:ilvl w:val="0"/>
          <w:numId w:val="24"/>
        </w:numPr>
        <w:spacing w:before="60" w:after="0"/>
        <w:ind w:left="714" w:hanging="357"/>
        <w:rPr>
          <w:szCs w:val="22"/>
        </w:rPr>
      </w:pPr>
      <w:r w:rsidRPr="002F53CF">
        <w:rPr>
          <w:szCs w:val="22"/>
        </w:rPr>
        <w:t>it fostered increased community awareness of Indigenous and community codes of conduct and standards of behaviour.</w:t>
      </w:r>
      <w:r w:rsidRPr="002F53CF">
        <w:rPr>
          <w:rStyle w:val="FootnoteReference"/>
          <w:szCs w:val="22"/>
        </w:rPr>
        <w:footnoteReference w:id="46"/>
      </w:r>
      <w:r w:rsidRPr="002F53CF">
        <w:rPr>
          <w:szCs w:val="22"/>
        </w:rPr>
        <w:t xml:space="preserve"> </w:t>
      </w:r>
    </w:p>
    <w:p w14:paraId="5928A47D" w14:textId="109127EF" w:rsidR="002D3B0F" w:rsidRPr="002F53CF" w:rsidRDefault="0010602E" w:rsidP="0022143F">
      <w:pPr>
        <w:rPr>
          <w:lang w:eastAsia="en-AU"/>
        </w:rPr>
      </w:pPr>
      <w:r>
        <w:rPr>
          <w:lang w:eastAsia="en-AU"/>
        </w:rPr>
        <w:t>The continued success of Koori Courts, in empowering its participants, is demonstrated in our client</w:t>
      </w:r>
      <w:r w:rsidR="00F55B65">
        <w:rPr>
          <w:lang w:eastAsia="en-AU"/>
        </w:rPr>
        <w:t>’</w:t>
      </w:r>
      <w:r>
        <w:rPr>
          <w:lang w:eastAsia="en-AU"/>
        </w:rPr>
        <w:t xml:space="preserve">s story. </w:t>
      </w:r>
    </w:p>
    <w:p w14:paraId="3F633531" w14:textId="77777777" w:rsidR="002337D7" w:rsidRPr="002F53CF" w:rsidRDefault="002337D7" w:rsidP="00D22E89">
      <w:pPr>
        <w:shd w:val="clear" w:color="auto" w:fill="FFFFFF"/>
        <w:textAlignment w:val="baseline"/>
        <w:rPr>
          <w:rFonts w:cs="Arial"/>
          <w:color w:val="000000" w:themeColor="text1"/>
          <w:szCs w:val="22"/>
          <w:lang w:eastAsia="en-AU"/>
        </w:rPr>
      </w:pPr>
    </w:p>
    <w:tbl>
      <w:tblPr>
        <w:tblStyle w:val="TableGrid"/>
        <w:tblW w:w="0" w:type="auto"/>
        <w:tblInd w:w="421" w:type="dxa"/>
        <w:tblLook w:val="04A0" w:firstRow="1" w:lastRow="0" w:firstColumn="1" w:lastColumn="0" w:noHBand="0" w:noVBand="1"/>
      </w:tblPr>
      <w:tblGrid>
        <w:gridCol w:w="9207"/>
      </w:tblGrid>
      <w:tr w:rsidR="00D22E89" w:rsidRPr="002F53CF" w14:paraId="6E2913D9" w14:textId="77777777" w:rsidTr="0007461B">
        <w:tc>
          <w:tcPr>
            <w:tcW w:w="9349" w:type="dxa"/>
          </w:tcPr>
          <w:p w14:paraId="360A10BD" w14:textId="7D0ED720" w:rsidR="00D22E89" w:rsidRPr="002F53CF" w:rsidRDefault="007367FE" w:rsidP="0007461B">
            <w:pPr>
              <w:spacing w:after="0" w:line="280" w:lineRule="atLeast"/>
              <w:textAlignment w:val="baseline"/>
              <w:rPr>
                <w:rFonts w:cs="Arial"/>
                <w:color w:val="002060"/>
                <w:sz w:val="21"/>
                <w:szCs w:val="21"/>
                <w:shd w:val="clear" w:color="auto" w:fill="FFFFFF"/>
              </w:rPr>
            </w:pPr>
            <w:r w:rsidRPr="005168D0">
              <w:rPr>
                <w:rFonts w:cs="Arial"/>
                <w:i/>
                <w:iCs/>
                <w:color w:val="002060"/>
                <w:sz w:val="21"/>
                <w:szCs w:val="21"/>
                <w:shd w:val="clear" w:color="auto" w:fill="FFFFFF"/>
              </w:rPr>
              <w:t>Julia</w:t>
            </w:r>
            <w:r w:rsidR="00F5465E">
              <w:rPr>
                <w:rFonts w:cs="Arial"/>
                <w:i/>
                <w:iCs/>
                <w:color w:val="002060"/>
                <w:sz w:val="21"/>
                <w:szCs w:val="21"/>
                <w:shd w:val="clear" w:color="auto" w:fill="FFFFFF"/>
              </w:rPr>
              <w:t>*</w:t>
            </w:r>
            <w:r w:rsidRPr="002F53CF">
              <w:rPr>
                <w:rFonts w:cs="Arial"/>
                <w:color w:val="002060"/>
                <w:sz w:val="21"/>
                <w:szCs w:val="21"/>
                <w:shd w:val="clear" w:color="auto" w:fill="FFFFFF"/>
              </w:rPr>
              <w:t xml:space="preserve"> </w:t>
            </w:r>
            <w:r w:rsidR="00D22E89" w:rsidRPr="002F53CF">
              <w:rPr>
                <w:rFonts w:cs="Arial"/>
                <w:color w:val="002060"/>
                <w:sz w:val="21"/>
                <w:szCs w:val="21"/>
                <w:shd w:val="clear" w:color="auto" w:fill="FFFFFF"/>
              </w:rPr>
              <w:t xml:space="preserve">is a 17 year old Aboriginal young person. </w:t>
            </w:r>
            <w:r w:rsidRPr="002F53CF">
              <w:rPr>
                <w:rFonts w:cs="Arial"/>
                <w:color w:val="002060"/>
                <w:sz w:val="21"/>
                <w:szCs w:val="21"/>
                <w:shd w:val="clear" w:color="auto" w:fill="FFFFFF"/>
              </w:rPr>
              <w:t xml:space="preserve">She </w:t>
            </w:r>
            <w:r w:rsidR="00D22E89" w:rsidRPr="002F53CF">
              <w:rPr>
                <w:rFonts w:cs="Arial"/>
                <w:color w:val="002060"/>
                <w:sz w:val="21"/>
                <w:szCs w:val="21"/>
                <w:shd w:val="clear" w:color="auto" w:fill="FFFFFF"/>
              </w:rPr>
              <w:t xml:space="preserve">has significant issues with </w:t>
            </w:r>
            <w:r w:rsidR="00072753" w:rsidRPr="002F53CF">
              <w:rPr>
                <w:rFonts w:cs="Arial"/>
                <w:color w:val="002060"/>
                <w:sz w:val="21"/>
                <w:szCs w:val="21"/>
                <w:shd w:val="clear" w:color="auto" w:fill="FFFFFF"/>
              </w:rPr>
              <w:t>methamphetamine</w:t>
            </w:r>
            <w:r w:rsidR="00D22E89" w:rsidRPr="002F53CF">
              <w:rPr>
                <w:rFonts w:cs="Arial"/>
                <w:color w:val="002060"/>
                <w:sz w:val="21"/>
                <w:szCs w:val="21"/>
                <w:shd w:val="clear" w:color="auto" w:fill="FFFFFF"/>
              </w:rPr>
              <w:t xml:space="preserve"> </w:t>
            </w:r>
            <w:r w:rsidR="00072753" w:rsidRPr="002F53CF">
              <w:rPr>
                <w:rFonts w:cs="Arial"/>
                <w:color w:val="002060"/>
                <w:sz w:val="21"/>
                <w:szCs w:val="21"/>
                <w:shd w:val="clear" w:color="auto" w:fill="FFFFFF"/>
              </w:rPr>
              <w:t xml:space="preserve">dependence </w:t>
            </w:r>
            <w:r w:rsidRPr="002F53CF">
              <w:rPr>
                <w:rFonts w:cs="Arial"/>
                <w:color w:val="002060"/>
                <w:sz w:val="21"/>
                <w:szCs w:val="21"/>
                <w:shd w:val="clear" w:color="auto" w:fill="FFFFFF"/>
              </w:rPr>
              <w:t xml:space="preserve">and </w:t>
            </w:r>
            <w:r w:rsidR="00072753" w:rsidRPr="002F53CF">
              <w:rPr>
                <w:rFonts w:cs="Arial"/>
                <w:color w:val="002060"/>
                <w:sz w:val="21"/>
                <w:szCs w:val="21"/>
                <w:shd w:val="clear" w:color="auto" w:fill="FFFFFF"/>
              </w:rPr>
              <w:t xml:space="preserve">has </w:t>
            </w:r>
            <w:r w:rsidRPr="002F53CF">
              <w:rPr>
                <w:rFonts w:cs="Arial"/>
                <w:color w:val="002060"/>
                <w:sz w:val="21"/>
                <w:szCs w:val="21"/>
                <w:shd w:val="clear" w:color="auto" w:fill="FFFFFF"/>
              </w:rPr>
              <w:t xml:space="preserve">been involved in the </w:t>
            </w:r>
            <w:r w:rsidR="00D22E89" w:rsidRPr="002F53CF">
              <w:rPr>
                <w:rFonts w:cs="Arial"/>
                <w:color w:val="002060"/>
                <w:sz w:val="21"/>
                <w:szCs w:val="21"/>
                <w:shd w:val="clear" w:color="auto" w:fill="FFFFFF"/>
              </w:rPr>
              <w:t xml:space="preserve">criminal justice system since </w:t>
            </w:r>
            <w:r w:rsidR="00072753" w:rsidRPr="002F53CF">
              <w:rPr>
                <w:rFonts w:cs="Arial"/>
                <w:color w:val="002060"/>
                <w:sz w:val="21"/>
                <w:szCs w:val="21"/>
                <w:shd w:val="clear" w:color="auto" w:fill="FFFFFF"/>
              </w:rPr>
              <w:t xml:space="preserve">she was </w:t>
            </w:r>
            <w:r w:rsidR="00D22E89" w:rsidRPr="002F53CF">
              <w:rPr>
                <w:rFonts w:cs="Arial"/>
                <w:color w:val="002060"/>
                <w:sz w:val="21"/>
                <w:szCs w:val="21"/>
                <w:shd w:val="clear" w:color="auto" w:fill="FFFFFF"/>
              </w:rPr>
              <w:t>14</w:t>
            </w:r>
            <w:r w:rsidR="00072753" w:rsidRPr="002F53CF">
              <w:rPr>
                <w:rFonts w:cs="Arial"/>
                <w:color w:val="002060"/>
                <w:sz w:val="21"/>
                <w:szCs w:val="21"/>
                <w:shd w:val="clear" w:color="auto" w:fill="FFFFFF"/>
              </w:rPr>
              <w:t xml:space="preserve"> years old.</w:t>
            </w:r>
            <w:r w:rsidR="00D22E89" w:rsidRPr="002F53CF">
              <w:rPr>
                <w:rFonts w:cs="Arial"/>
                <w:color w:val="002060"/>
                <w:sz w:val="21"/>
                <w:szCs w:val="21"/>
                <w:shd w:val="clear" w:color="auto" w:fill="FFFFFF"/>
              </w:rPr>
              <w:t xml:space="preserve"> Unfortunately, due to new matters </w:t>
            </w:r>
            <w:r w:rsidR="00072753" w:rsidRPr="002F53CF">
              <w:rPr>
                <w:rFonts w:cs="Arial"/>
                <w:color w:val="002060"/>
                <w:sz w:val="21"/>
                <w:szCs w:val="21"/>
                <w:shd w:val="clear" w:color="auto" w:fill="FFFFFF"/>
              </w:rPr>
              <w:t>involving causing injury</w:t>
            </w:r>
            <w:r w:rsidR="00D22E89" w:rsidRPr="002F53CF">
              <w:rPr>
                <w:rFonts w:cs="Arial"/>
                <w:color w:val="002060"/>
                <w:sz w:val="21"/>
                <w:szCs w:val="21"/>
                <w:shd w:val="clear" w:color="auto" w:fill="FFFFFF"/>
              </w:rPr>
              <w:t xml:space="preserve">, diversion </w:t>
            </w:r>
            <w:r w:rsidR="008008E2">
              <w:rPr>
                <w:rFonts w:cs="Arial"/>
                <w:color w:val="002060"/>
                <w:sz w:val="21"/>
                <w:szCs w:val="21"/>
                <w:shd w:val="clear" w:color="auto" w:fill="FFFFFF"/>
              </w:rPr>
              <w:t>was</w:t>
            </w:r>
            <w:r w:rsidR="00D22E89" w:rsidRPr="002F53CF">
              <w:rPr>
                <w:rFonts w:cs="Arial"/>
                <w:color w:val="002060"/>
                <w:sz w:val="21"/>
                <w:szCs w:val="21"/>
                <w:shd w:val="clear" w:color="auto" w:fill="FFFFFF"/>
              </w:rPr>
              <w:t xml:space="preserve"> no longer an option. </w:t>
            </w:r>
            <w:r w:rsidRPr="002F53CF">
              <w:rPr>
                <w:rFonts w:cs="Arial"/>
                <w:color w:val="002060"/>
                <w:sz w:val="21"/>
                <w:szCs w:val="21"/>
                <w:shd w:val="clear" w:color="auto" w:fill="FFFFFF"/>
              </w:rPr>
              <w:t>Julia agreed to have h</w:t>
            </w:r>
            <w:r w:rsidR="00D22E89" w:rsidRPr="002F53CF">
              <w:rPr>
                <w:rFonts w:cs="Arial"/>
                <w:color w:val="002060"/>
                <w:sz w:val="21"/>
                <w:szCs w:val="21"/>
                <w:shd w:val="clear" w:color="auto" w:fill="FFFFFF"/>
              </w:rPr>
              <w:t xml:space="preserve">er matters dealt with by Koori </w:t>
            </w:r>
            <w:r w:rsidR="00072753" w:rsidRPr="002F53CF">
              <w:rPr>
                <w:rFonts w:cs="Arial"/>
                <w:color w:val="002060"/>
                <w:sz w:val="21"/>
                <w:szCs w:val="21"/>
                <w:shd w:val="clear" w:color="auto" w:fill="FFFFFF"/>
              </w:rPr>
              <w:t>C</w:t>
            </w:r>
            <w:r w:rsidR="00D22E89" w:rsidRPr="002F53CF">
              <w:rPr>
                <w:rFonts w:cs="Arial"/>
                <w:color w:val="002060"/>
                <w:sz w:val="21"/>
                <w:szCs w:val="21"/>
                <w:shd w:val="clear" w:color="auto" w:fill="FFFFFF"/>
              </w:rPr>
              <w:t xml:space="preserve">ourt. </w:t>
            </w:r>
            <w:r w:rsidRPr="002F53CF">
              <w:rPr>
                <w:rFonts w:cs="Arial"/>
                <w:color w:val="002060"/>
                <w:sz w:val="21"/>
                <w:szCs w:val="21"/>
                <w:shd w:val="clear" w:color="auto" w:fill="FFFFFF"/>
              </w:rPr>
              <w:t xml:space="preserve">Julia </w:t>
            </w:r>
            <w:r w:rsidR="00D22E89" w:rsidRPr="002F53CF">
              <w:rPr>
                <w:rFonts w:cs="Arial"/>
                <w:color w:val="002060"/>
                <w:sz w:val="21"/>
                <w:szCs w:val="21"/>
                <w:shd w:val="clear" w:color="auto" w:fill="FFFFFF"/>
              </w:rPr>
              <w:t xml:space="preserve">was very open </w:t>
            </w:r>
            <w:r w:rsidRPr="002F53CF">
              <w:rPr>
                <w:rFonts w:cs="Arial"/>
                <w:color w:val="002060"/>
                <w:sz w:val="21"/>
                <w:szCs w:val="21"/>
                <w:shd w:val="clear" w:color="auto" w:fill="FFFFFF"/>
              </w:rPr>
              <w:t xml:space="preserve">with </w:t>
            </w:r>
            <w:r w:rsidR="00D22E89" w:rsidRPr="002F53CF">
              <w:rPr>
                <w:rFonts w:cs="Arial"/>
                <w:color w:val="002060"/>
                <w:sz w:val="21"/>
                <w:szCs w:val="21"/>
                <w:shd w:val="clear" w:color="auto" w:fill="FFFFFF"/>
              </w:rPr>
              <w:t xml:space="preserve">the Magistrate and the </w:t>
            </w:r>
            <w:r w:rsidR="00F5465E">
              <w:rPr>
                <w:rFonts w:cs="Arial"/>
                <w:color w:val="002060"/>
                <w:sz w:val="21"/>
                <w:szCs w:val="21"/>
                <w:shd w:val="clear" w:color="auto" w:fill="FFFFFF"/>
              </w:rPr>
              <w:t>E</w:t>
            </w:r>
            <w:r w:rsidR="00F5465E" w:rsidRPr="002F53CF">
              <w:rPr>
                <w:rFonts w:cs="Arial"/>
                <w:color w:val="002060"/>
                <w:sz w:val="21"/>
                <w:szCs w:val="21"/>
                <w:shd w:val="clear" w:color="auto" w:fill="FFFFFF"/>
              </w:rPr>
              <w:t xml:space="preserve">lders </w:t>
            </w:r>
            <w:r w:rsidR="00D22E89" w:rsidRPr="002F53CF">
              <w:rPr>
                <w:rFonts w:cs="Arial"/>
                <w:color w:val="002060"/>
                <w:sz w:val="21"/>
                <w:szCs w:val="21"/>
                <w:shd w:val="clear" w:color="auto" w:fill="FFFFFF"/>
              </w:rPr>
              <w:t xml:space="preserve">in identifying what she needs help with. </w:t>
            </w:r>
            <w:r w:rsidRPr="002F53CF">
              <w:rPr>
                <w:rFonts w:cs="Arial"/>
                <w:color w:val="002060"/>
                <w:sz w:val="21"/>
                <w:szCs w:val="21"/>
                <w:shd w:val="clear" w:color="auto" w:fill="FFFFFF"/>
              </w:rPr>
              <w:t>She</w:t>
            </w:r>
            <w:r w:rsidR="00D22E89" w:rsidRPr="002F53CF">
              <w:rPr>
                <w:rFonts w:cs="Arial"/>
                <w:color w:val="002060"/>
                <w:sz w:val="21"/>
                <w:szCs w:val="21"/>
                <w:shd w:val="clear" w:color="auto" w:fill="FFFFFF"/>
              </w:rPr>
              <w:t xml:space="preserve"> made a list on the day- she needs help with her anger, frustrations, drug use. She said that she had felt “lost and floating about life”. She had said she had lacked motivation in attending school and find</w:t>
            </w:r>
            <w:r w:rsidR="00F42ACD" w:rsidRPr="002F53CF">
              <w:rPr>
                <w:rFonts w:cs="Arial"/>
                <w:color w:val="002060"/>
                <w:sz w:val="21"/>
                <w:szCs w:val="21"/>
                <w:shd w:val="clear" w:color="auto" w:fill="FFFFFF"/>
              </w:rPr>
              <w:t>s</w:t>
            </w:r>
            <w:r w:rsidR="00D22E89" w:rsidRPr="002F53CF">
              <w:rPr>
                <w:rFonts w:cs="Arial"/>
                <w:color w:val="002060"/>
                <w:sz w:val="21"/>
                <w:szCs w:val="21"/>
                <w:shd w:val="clear" w:color="auto" w:fill="FFFFFF"/>
              </w:rPr>
              <w:t xml:space="preserve"> it hard to get up in the morning. </w:t>
            </w:r>
            <w:r w:rsidR="00F42ACD" w:rsidRPr="002F53CF">
              <w:rPr>
                <w:rFonts w:cs="Arial"/>
                <w:color w:val="002060"/>
                <w:sz w:val="21"/>
                <w:szCs w:val="21"/>
                <w:shd w:val="clear" w:color="auto" w:fill="FFFFFF"/>
              </w:rPr>
              <w:t xml:space="preserve">Julia </w:t>
            </w:r>
            <w:r w:rsidR="00D22E89" w:rsidRPr="002F53CF">
              <w:rPr>
                <w:rFonts w:cs="Arial"/>
                <w:color w:val="002060"/>
                <w:sz w:val="21"/>
                <w:szCs w:val="21"/>
                <w:shd w:val="clear" w:color="auto" w:fill="FFFFFF"/>
              </w:rPr>
              <w:t xml:space="preserve">was placed on a deferral with youth justice to be able to assist her with her needs. </w:t>
            </w:r>
          </w:p>
          <w:p w14:paraId="4D629B54" w14:textId="17C54188" w:rsidR="00D22E89" w:rsidRPr="002F53CF" w:rsidRDefault="00D22E89" w:rsidP="0007461B">
            <w:pPr>
              <w:spacing w:after="0" w:line="280" w:lineRule="atLeast"/>
              <w:textAlignment w:val="baseline"/>
              <w:rPr>
                <w:rFonts w:cs="Arial"/>
                <w:color w:val="002060"/>
                <w:sz w:val="21"/>
                <w:szCs w:val="21"/>
                <w:shd w:val="clear" w:color="auto" w:fill="FFFFFF"/>
              </w:rPr>
            </w:pPr>
            <w:r w:rsidRPr="002F53CF">
              <w:rPr>
                <w:rFonts w:cs="Arial"/>
                <w:color w:val="002060"/>
                <w:sz w:val="21"/>
                <w:szCs w:val="21"/>
                <w:shd w:val="clear" w:color="auto" w:fill="FFFFFF"/>
              </w:rPr>
              <w:t xml:space="preserve">The Magistrate </w:t>
            </w:r>
            <w:r w:rsidR="00F42ACD" w:rsidRPr="002F53CF">
              <w:rPr>
                <w:rFonts w:cs="Arial"/>
                <w:color w:val="002060"/>
                <w:sz w:val="21"/>
                <w:szCs w:val="21"/>
                <w:shd w:val="clear" w:color="auto" w:fill="FFFFFF"/>
              </w:rPr>
              <w:t xml:space="preserve">said they are going to take it </w:t>
            </w:r>
            <w:r w:rsidRPr="002F53CF">
              <w:rPr>
                <w:rFonts w:cs="Arial"/>
                <w:color w:val="002060"/>
                <w:sz w:val="21"/>
                <w:szCs w:val="21"/>
                <w:shd w:val="clear" w:color="auto" w:fill="FFFFFF"/>
              </w:rPr>
              <w:t>step by step</w:t>
            </w:r>
            <w:r w:rsidR="00072753" w:rsidRPr="002F53CF">
              <w:rPr>
                <w:rFonts w:cs="Arial"/>
                <w:color w:val="002060"/>
                <w:sz w:val="21"/>
                <w:szCs w:val="21"/>
                <w:shd w:val="clear" w:color="auto" w:fill="FFFFFF"/>
              </w:rPr>
              <w:t xml:space="preserve">, slowly so as to </w:t>
            </w:r>
            <w:r w:rsidRPr="002F53CF">
              <w:rPr>
                <w:rFonts w:cs="Arial"/>
                <w:color w:val="002060"/>
                <w:sz w:val="21"/>
                <w:szCs w:val="21"/>
                <w:shd w:val="clear" w:color="auto" w:fill="FFFFFF"/>
              </w:rPr>
              <w:t xml:space="preserve">not overwhelm </w:t>
            </w:r>
            <w:r w:rsidR="00F42ACD" w:rsidRPr="002F53CF">
              <w:rPr>
                <w:rFonts w:cs="Arial"/>
                <w:color w:val="002060"/>
                <w:sz w:val="21"/>
                <w:szCs w:val="21"/>
                <w:shd w:val="clear" w:color="auto" w:fill="FFFFFF"/>
              </w:rPr>
              <w:t>Julia</w:t>
            </w:r>
            <w:r w:rsidRPr="002F53CF">
              <w:rPr>
                <w:rFonts w:cs="Arial"/>
                <w:color w:val="002060"/>
                <w:sz w:val="21"/>
                <w:szCs w:val="21"/>
                <w:shd w:val="clear" w:color="auto" w:fill="FFFFFF"/>
              </w:rPr>
              <w:t xml:space="preserve">. </w:t>
            </w:r>
            <w:r w:rsidR="00F42ACD" w:rsidRPr="002F53CF">
              <w:rPr>
                <w:rFonts w:cs="Arial"/>
                <w:color w:val="002060"/>
                <w:sz w:val="21"/>
                <w:szCs w:val="21"/>
                <w:shd w:val="clear" w:color="auto" w:fill="FFFFFF"/>
              </w:rPr>
              <w:t>Julia</w:t>
            </w:r>
            <w:r w:rsidRPr="002F53CF">
              <w:rPr>
                <w:rFonts w:cs="Arial"/>
                <w:color w:val="002060"/>
                <w:sz w:val="21"/>
                <w:szCs w:val="21"/>
                <w:shd w:val="clear" w:color="auto" w:fill="FFFFFF"/>
              </w:rPr>
              <w:t xml:space="preserve"> </w:t>
            </w:r>
            <w:r w:rsidR="00072753" w:rsidRPr="002F53CF">
              <w:rPr>
                <w:rFonts w:cs="Arial"/>
                <w:color w:val="002060"/>
                <w:sz w:val="21"/>
                <w:szCs w:val="21"/>
                <w:shd w:val="clear" w:color="auto" w:fill="FFFFFF"/>
              </w:rPr>
              <w:t xml:space="preserve">returned to court for two judicial monitoring appearances over the following two months. She </w:t>
            </w:r>
            <w:r w:rsidRPr="002F53CF">
              <w:rPr>
                <w:rFonts w:cs="Arial"/>
                <w:color w:val="002060"/>
                <w:sz w:val="21"/>
                <w:szCs w:val="21"/>
                <w:shd w:val="clear" w:color="auto" w:fill="FFFFFF"/>
              </w:rPr>
              <w:t>ha</w:t>
            </w:r>
            <w:r w:rsidR="00072753" w:rsidRPr="002F53CF">
              <w:rPr>
                <w:rFonts w:cs="Arial"/>
                <w:color w:val="002060"/>
                <w:sz w:val="21"/>
                <w:szCs w:val="21"/>
                <w:shd w:val="clear" w:color="auto" w:fill="FFFFFF"/>
              </w:rPr>
              <w:t>d</w:t>
            </w:r>
            <w:r w:rsidRPr="002F53CF">
              <w:rPr>
                <w:rFonts w:cs="Arial"/>
                <w:color w:val="002060"/>
                <w:sz w:val="21"/>
                <w:szCs w:val="21"/>
                <w:shd w:val="clear" w:color="auto" w:fill="FFFFFF"/>
              </w:rPr>
              <w:t xml:space="preserve"> increased school attendance</w:t>
            </w:r>
            <w:r w:rsidR="00072753"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w:t>
            </w:r>
            <w:r w:rsidR="00072753" w:rsidRPr="002F53CF">
              <w:rPr>
                <w:rFonts w:cs="Arial"/>
                <w:color w:val="002060"/>
                <w:sz w:val="21"/>
                <w:szCs w:val="21"/>
                <w:shd w:val="clear" w:color="auto" w:fill="FFFFFF"/>
              </w:rPr>
              <w:t>largely due to youth justice providing transportation</w:t>
            </w:r>
            <w:r w:rsidRPr="002F53CF">
              <w:rPr>
                <w:rFonts w:cs="Arial"/>
                <w:color w:val="002060"/>
                <w:sz w:val="21"/>
                <w:szCs w:val="21"/>
                <w:shd w:val="clear" w:color="auto" w:fill="FFFFFF"/>
              </w:rPr>
              <w:t xml:space="preserve">. She had attended all her appointments and accepted a referral to the Victoria Aboriginal Health Service as well as Bert Williams Aboriginal Youth Justice Support. </w:t>
            </w:r>
            <w:r w:rsidR="00F42ACD" w:rsidRPr="002F53CF">
              <w:rPr>
                <w:rFonts w:cs="Arial"/>
                <w:color w:val="002060"/>
                <w:sz w:val="21"/>
                <w:szCs w:val="21"/>
                <w:shd w:val="clear" w:color="auto" w:fill="FFFFFF"/>
              </w:rPr>
              <w:t xml:space="preserve">Julia </w:t>
            </w:r>
            <w:r w:rsidR="00072753" w:rsidRPr="002F53CF">
              <w:rPr>
                <w:rFonts w:cs="Arial"/>
                <w:color w:val="002060"/>
                <w:sz w:val="21"/>
                <w:szCs w:val="21"/>
                <w:shd w:val="clear" w:color="auto" w:fill="FFFFFF"/>
              </w:rPr>
              <w:t xml:space="preserve">became </w:t>
            </w:r>
            <w:r w:rsidRPr="002F53CF">
              <w:rPr>
                <w:rFonts w:cs="Arial"/>
                <w:color w:val="002060"/>
                <w:sz w:val="21"/>
                <w:szCs w:val="21"/>
                <w:shd w:val="clear" w:color="auto" w:fill="FFFFFF"/>
              </w:rPr>
              <w:t xml:space="preserve">pregnant </w:t>
            </w:r>
            <w:r w:rsidR="00072753" w:rsidRPr="002F53CF">
              <w:rPr>
                <w:rFonts w:cs="Arial"/>
                <w:color w:val="002060"/>
                <w:sz w:val="21"/>
                <w:szCs w:val="21"/>
                <w:shd w:val="clear" w:color="auto" w:fill="FFFFFF"/>
              </w:rPr>
              <w:t xml:space="preserve">and </w:t>
            </w:r>
            <w:r w:rsidRPr="002F53CF">
              <w:rPr>
                <w:rFonts w:cs="Arial"/>
                <w:color w:val="002060"/>
                <w:sz w:val="21"/>
                <w:szCs w:val="21"/>
                <w:shd w:val="clear" w:color="auto" w:fill="FFFFFF"/>
              </w:rPr>
              <w:t xml:space="preserve">was </w:t>
            </w:r>
            <w:r w:rsidR="00072753" w:rsidRPr="002F53CF">
              <w:rPr>
                <w:rFonts w:cs="Arial"/>
                <w:color w:val="002060"/>
                <w:sz w:val="21"/>
                <w:szCs w:val="21"/>
                <w:shd w:val="clear" w:color="auto" w:fill="FFFFFF"/>
              </w:rPr>
              <w:t xml:space="preserve">continuing to </w:t>
            </w:r>
            <w:r w:rsidRPr="002F53CF">
              <w:rPr>
                <w:rFonts w:cs="Arial"/>
                <w:color w:val="002060"/>
                <w:sz w:val="21"/>
                <w:szCs w:val="21"/>
                <w:shd w:val="clear" w:color="auto" w:fill="FFFFFF"/>
              </w:rPr>
              <w:t xml:space="preserve">do well, still attending her </w:t>
            </w:r>
            <w:r w:rsidR="00F42ACD" w:rsidRPr="002F53CF">
              <w:rPr>
                <w:rFonts w:cs="Arial"/>
                <w:color w:val="002060"/>
                <w:sz w:val="21"/>
                <w:szCs w:val="21"/>
                <w:shd w:val="clear" w:color="auto" w:fill="FFFFFF"/>
              </w:rPr>
              <w:t xml:space="preserve">youth justice (YJ) </w:t>
            </w:r>
            <w:r w:rsidRPr="002F53CF">
              <w:rPr>
                <w:rFonts w:cs="Arial"/>
                <w:color w:val="002060"/>
                <w:sz w:val="21"/>
                <w:szCs w:val="21"/>
                <w:shd w:val="clear" w:color="auto" w:fill="FFFFFF"/>
              </w:rPr>
              <w:t>appointments.</w:t>
            </w:r>
            <w:r w:rsidR="00072753" w:rsidRPr="002F53CF">
              <w:rPr>
                <w:rFonts w:cs="Arial"/>
                <w:color w:val="002060"/>
                <w:sz w:val="21"/>
                <w:szCs w:val="21"/>
                <w:shd w:val="clear" w:color="auto" w:fill="FFFFFF"/>
              </w:rPr>
              <w:t xml:space="preserve"> After a third judicial monitoring appearance had </w:t>
            </w:r>
            <w:r w:rsidRPr="002F53CF">
              <w:rPr>
                <w:rFonts w:cs="Arial"/>
                <w:color w:val="002060"/>
                <w:sz w:val="21"/>
                <w:szCs w:val="21"/>
                <w:shd w:val="clear" w:color="auto" w:fill="FFFFFF"/>
              </w:rPr>
              <w:t xml:space="preserve">attended all her YJ appointments and accepted all referrals on top of all her medical appointments. </w:t>
            </w:r>
            <w:r w:rsidR="00F42ACD" w:rsidRPr="002F53CF">
              <w:rPr>
                <w:rFonts w:cs="Arial"/>
                <w:color w:val="002060"/>
                <w:sz w:val="21"/>
                <w:szCs w:val="21"/>
                <w:shd w:val="clear" w:color="auto" w:fill="FFFFFF"/>
              </w:rPr>
              <w:t xml:space="preserve">Julia </w:t>
            </w:r>
            <w:r w:rsidRPr="002F53CF">
              <w:rPr>
                <w:rFonts w:cs="Arial"/>
                <w:color w:val="002060"/>
                <w:sz w:val="21"/>
                <w:szCs w:val="21"/>
                <w:shd w:val="clear" w:color="auto" w:fill="FFFFFF"/>
              </w:rPr>
              <w:t xml:space="preserve">was placed on a three month </w:t>
            </w:r>
            <w:r w:rsidR="00F42ACD" w:rsidRPr="002F53CF">
              <w:rPr>
                <w:rFonts w:cs="Arial"/>
                <w:color w:val="002060"/>
                <w:sz w:val="21"/>
                <w:szCs w:val="21"/>
                <w:shd w:val="clear" w:color="auto" w:fill="FFFFFF"/>
              </w:rPr>
              <w:t>good behaviour bond</w:t>
            </w:r>
            <w:r w:rsidRPr="002F53CF">
              <w:rPr>
                <w:rFonts w:cs="Arial"/>
                <w:color w:val="002060"/>
                <w:sz w:val="21"/>
                <w:szCs w:val="21"/>
                <w:shd w:val="clear" w:color="auto" w:fill="FFFFFF"/>
              </w:rPr>
              <w:t>. The Magistrate and elders were very impressed with her significant progress and acknowledge</w:t>
            </w:r>
            <w:r w:rsidR="00F42ACD" w:rsidRPr="002F53CF">
              <w:rPr>
                <w:rFonts w:cs="Arial"/>
                <w:color w:val="002060"/>
                <w:sz w:val="21"/>
                <w:szCs w:val="21"/>
                <w:shd w:val="clear" w:color="auto" w:fill="FFFFFF"/>
              </w:rPr>
              <w:t>d</w:t>
            </w:r>
            <w:r w:rsidRPr="002F53CF">
              <w:rPr>
                <w:rFonts w:cs="Arial"/>
                <w:color w:val="002060"/>
                <w:sz w:val="21"/>
                <w:szCs w:val="21"/>
                <w:shd w:val="clear" w:color="auto" w:fill="FFFFFF"/>
              </w:rPr>
              <w:t xml:space="preserve"> that </w:t>
            </w:r>
            <w:r w:rsidR="00F42ACD" w:rsidRPr="002F53CF">
              <w:rPr>
                <w:rFonts w:cs="Arial"/>
                <w:color w:val="002060"/>
                <w:sz w:val="21"/>
                <w:szCs w:val="21"/>
                <w:shd w:val="clear" w:color="auto" w:fill="FFFFFF"/>
              </w:rPr>
              <w:t xml:space="preserve">she is </w:t>
            </w:r>
            <w:r w:rsidRPr="002F53CF">
              <w:rPr>
                <w:rFonts w:cs="Arial"/>
                <w:color w:val="002060"/>
                <w:sz w:val="21"/>
                <w:szCs w:val="21"/>
                <w:shd w:val="clear" w:color="auto" w:fill="FFFFFF"/>
              </w:rPr>
              <w:t xml:space="preserve">now </w:t>
            </w:r>
            <w:r w:rsidR="00F42ACD" w:rsidRPr="002F53CF">
              <w:rPr>
                <w:rFonts w:cs="Arial"/>
                <w:color w:val="002060"/>
                <w:sz w:val="21"/>
                <w:szCs w:val="21"/>
                <w:shd w:val="clear" w:color="auto" w:fill="FFFFFF"/>
              </w:rPr>
              <w:t>in a</w:t>
            </w:r>
            <w:r w:rsidRPr="002F53CF">
              <w:rPr>
                <w:rFonts w:cs="Arial"/>
                <w:color w:val="002060"/>
                <w:sz w:val="21"/>
                <w:szCs w:val="21"/>
                <w:shd w:val="clear" w:color="auto" w:fill="FFFFFF"/>
              </w:rPr>
              <w:t xml:space="preserve"> very important point in her life to focus on becoming a mother.</w:t>
            </w:r>
          </w:p>
          <w:p w14:paraId="58D03678" w14:textId="1A40413E" w:rsidR="00F42ACD" w:rsidRDefault="00F42ACD" w:rsidP="0007461B">
            <w:pPr>
              <w:spacing w:after="0" w:line="280" w:lineRule="atLeast"/>
              <w:textAlignment w:val="baseline"/>
              <w:rPr>
                <w:rFonts w:cs="Arial"/>
                <w:color w:val="002060"/>
                <w:sz w:val="21"/>
                <w:szCs w:val="21"/>
                <w:shd w:val="clear" w:color="auto" w:fill="FFFFFF"/>
              </w:rPr>
            </w:pPr>
            <w:r w:rsidRPr="002F53CF">
              <w:rPr>
                <w:rFonts w:cs="Arial"/>
                <w:color w:val="002060"/>
                <w:sz w:val="21"/>
                <w:szCs w:val="21"/>
                <w:shd w:val="clear" w:color="auto" w:fill="FFFFFF"/>
              </w:rPr>
              <w:t xml:space="preserve">Julia’s voice was </w:t>
            </w:r>
            <w:proofErr w:type="gramStart"/>
            <w:r w:rsidRPr="002F53CF">
              <w:rPr>
                <w:rFonts w:cs="Arial"/>
                <w:color w:val="002060"/>
                <w:sz w:val="21"/>
                <w:szCs w:val="21"/>
                <w:shd w:val="clear" w:color="auto" w:fill="FFFFFF"/>
              </w:rPr>
              <w:t>heard</w:t>
            </w:r>
            <w:proofErr w:type="gramEnd"/>
            <w:r w:rsidRPr="002F53CF">
              <w:rPr>
                <w:rFonts w:cs="Arial"/>
                <w:color w:val="002060"/>
                <w:sz w:val="21"/>
                <w:szCs w:val="21"/>
                <w:shd w:val="clear" w:color="auto" w:fill="FFFFFF"/>
              </w:rPr>
              <w:t xml:space="preserve"> and her needs were acknowledged. With the backing of her cultural </w:t>
            </w:r>
            <w:r w:rsidR="00F5465E">
              <w:rPr>
                <w:rFonts w:cs="Arial"/>
                <w:color w:val="002060"/>
                <w:sz w:val="21"/>
                <w:szCs w:val="21"/>
                <w:shd w:val="clear" w:color="auto" w:fill="FFFFFF"/>
              </w:rPr>
              <w:t>E</w:t>
            </w:r>
            <w:r w:rsidR="00F5465E" w:rsidRPr="002F53CF">
              <w:rPr>
                <w:rFonts w:cs="Arial"/>
                <w:color w:val="002060"/>
                <w:sz w:val="21"/>
                <w:szCs w:val="21"/>
                <w:shd w:val="clear" w:color="auto" w:fill="FFFFFF"/>
              </w:rPr>
              <w:t xml:space="preserve">lders </w:t>
            </w:r>
            <w:r w:rsidRPr="002F53CF">
              <w:rPr>
                <w:rFonts w:cs="Arial"/>
                <w:color w:val="002060"/>
                <w:sz w:val="21"/>
                <w:szCs w:val="21"/>
                <w:shd w:val="clear" w:color="auto" w:fill="FFFFFF"/>
              </w:rPr>
              <w:t>and the authority of the Magistrate</w:t>
            </w:r>
            <w:r w:rsidR="00072753"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she was provided assistance in addressing </w:t>
            </w:r>
            <w:r w:rsidR="00E110E2" w:rsidRPr="002F53CF">
              <w:rPr>
                <w:rFonts w:cs="Arial"/>
                <w:color w:val="002060"/>
                <w:sz w:val="21"/>
                <w:szCs w:val="21"/>
                <w:shd w:val="clear" w:color="auto" w:fill="FFFFFF"/>
              </w:rPr>
              <w:t>those</w:t>
            </w:r>
            <w:r w:rsidRPr="002F53CF">
              <w:rPr>
                <w:rFonts w:cs="Arial"/>
                <w:color w:val="002060"/>
                <w:sz w:val="21"/>
                <w:szCs w:val="21"/>
                <w:shd w:val="clear" w:color="auto" w:fill="FFFFFF"/>
              </w:rPr>
              <w:t xml:space="preserve"> needs. She was held accountable for her actions however her sentence will empower, rather than diminish, her life prospects.</w:t>
            </w:r>
          </w:p>
          <w:p w14:paraId="5AEDC19A" w14:textId="5DB85CB1" w:rsidR="00D22E89" w:rsidRPr="006011E3" w:rsidRDefault="006011E3" w:rsidP="006011E3">
            <w:pPr>
              <w:spacing w:after="120" w:line="280" w:lineRule="atLeast"/>
              <w:textAlignment w:val="baseline"/>
              <w:rPr>
                <w:rFonts w:cs="Arial"/>
                <w:i/>
                <w:iCs/>
                <w:color w:val="002060"/>
                <w:sz w:val="20"/>
                <w:szCs w:val="20"/>
                <w:shd w:val="clear" w:color="auto" w:fill="FFFFFF"/>
              </w:rPr>
            </w:pPr>
            <w:r w:rsidRPr="006011E3">
              <w:rPr>
                <w:rFonts w:cs="Arial"/>
                <w:i/>
                <w:iCs/>
                <w:color w:val="002060"/>
                <w:sz w:val="20"/>
                <w:szCs w:val="20"/>
                <w:shd w:val="clear" w:color="auto" w:fill="FFFFFF"/>
              </w:rPr>
              <w:t xml:space="preserve">* </w:t>
            </w:r>
            <w:r w:rsidR="00F5465E" w:rsidRPr="006011E3">
              <w:rPr>
                <w:rFonts w:cs="Arial"/>
                <w:i/>
                <w:iCs/>
                <w:color w:val="002060"/>
                <w:sz w:val="20"/>
                <w:szCs w:val="20"/>
                <w:shd w:val="clear" w:color="auto" w:fill="FFFFFF"/>
              </w:rPr>
              <w:t>VLA client, not her real name.</w:t>
            </w:r>
          </w:p>
        </w:tc>
      </w:tr>
    </w:tbl>
    <w:p w14:paraId="4EACD88E" w14:textId="21B3C926" w:rsidR="000B7591" w:rsidRPr="002F53CF" w:rsidRDefault="00E621F3" w:rsidP="000974CF">
      <w:pPr>
        <w:rPr>
          <w:lang w:eastAsia="en-AU"/>
        </w:rPr>
      </w:pPr>
      <w:r w:rsidRPr="002F53CF">
        <w:rPr>
          <w:lang w:eastAsia="en-AU"/>
        </w:rPr>
        <w:t xml:space="preserve">In our experience, </w:t>
      </w:r>
      <w:r w:rsidR="000B7591" w:rsidRPr="002F53CF">
        <w:rPr>
          <w:lang w:eastAsia="en-AU"/>
        </w:rPr>
        <w:t xml:space="preserve">access to a Koori Court is particularly helpful for Aboriginal young people who feel disconnected from </w:t>
      </w:r>
      <w:r w:rsidR="00F5465E">
        <w:rPr>
          <w:lang w:eastAsia="en-AU"/>
        </w:rPr>
        <w:t>the rest of</w:t>
      </w:r>
      <w:r w:rsidR="00F5465E" w:rsidRPr="002F53CF">
        <w:rPr>
          <w:lang w:eastAsia="en-AU"/>
        </w:rPr>
        <w:t xml:space="preserve"> </w:t>
      </w:r>
      <w:r w:rsidR="000B7591" w:rsidRPr="002F53CF">
        <w:rPr>
          <w:lang w:eastAsia="en-AU"/>
        </w:rPr>
        <w:t xml:space="preserve">society and as a result may not engage positively with mainstream criminal justice agencies. By enabling Elders a seat at the table the decisions are more likely to be culturally appropriate, and may be perceived with greater respect and connection by the young person. </w:t>
      </w:r>
    </w:p>
    <w:p w14:paraId="0135C2B8" w14:textId="3C1CB70F" w:rsidR="00E621F3" w:rsidRPr="002F53CF" w:rsidRDefault="005212F1" w:rsidP="00E621F3">
      <w:pPr>
        <w:rPr>
          <w:lang w:eastAsia="en-AU"/>
        </w:rPr>
      </w:pPr>
      <w:r w:rsidRPr="002F53CF">
        <w:rPr>
          <w:lang w:eastAsia="en-AU"/>
        </w:rPr>
        <w:t>Despite the community and cultural benefits of the Koori Court, it is not available state</w:t>
      </w:r>
      <w:r w:rsidR="008A4CFF" w:rsidRPr="002F53CF">
        <w:rPr>
          <w:lang w:eastAsia="en-AU"/>
        </w:rPr>
        <w:t>-</w:t>
      </w:r>
      <w:r w:rsidRPr="002F53CF">
        <w:rPr>
          <w:lang w:eastAsia="en-AU"/>
        </w:rPr>
        <w:t xml:space="preserve">wide. The </w:t>
      </w:r>
      <w:r w:rsidR="00E621F3" w:rsidRPr="002F53CF">
        <w:rPr>
          <w:lang w:eastAsia="en-AU"/>
        </w:rPr>
        <w:t xml:space="preserve">Koori Court is available in </w:t>
      </w:r>
      <w:r w:rsidR="00315923">
        <w:rPr>
          <w:lang w:eastAsia="en-AU"/>
        </w:rPr>
        <w:t>12</w:t>
      </w:r>
      <w:r w:rsidR="00F5465E" w:rsidRPr="002F53CF">
        <w:rPr>
          <w:lang w:eastAsia="en-AU"/>
        </w:rPr>
        <w:t xml:space="preserve"> </w:t>
      </w:r>
      <w:r w:rsidRPr="002F53CF">
        <w:rPr>
          <w:lang w:eastAsia="en-AU"/>
        </w:rPr>
        <w:t>C</w:t>
      </w:r>
      <w:r w:rsidR="00ED39ED" w:rsidRPr="002F53CF">
        <w:rPr>
          <w:lang w:eastAsia="en-AU"/>
        </w:rPr>
        <w:t>hildren</w:t>
      </w:r>
      <w:r w:rsidRPr="002F53CF">
        <w:rPr>
          <w:lang w:eastAsia="en-AU"/>
        </w:rPr>
        <w:t>’</w:t>
      </w:r>
      <w:r w:rsidR="00ED39ED" w:rsidRPr="002F53CF">
        <w:rPr>
          <w:lang w:eastAsia="en-AU"/>
        </w:rPr>
        <w:t>s Court locations,</w:t>
      </w:r>
      <w:r w:rsidR="00ED39ED" w:rsidRPr="002F53CF">
        <w:rPr>
          <w:rStyle w:val="FootnoteReference"/>
          <w:lang w:eastAsia="en-AU"/>
        </w:rPr>
        <w:footnoteReference w:id="47"/>
      </w:r>
      <w:r w:rsidR="00ED39ED" w:rsidRPr="002F53CF">
        <w:rPr>
          <w:lang w:eastAsia="en-AU"/>
        </w:rPr>
        <w:t xml:space="preserve"> </w:t>
      </w:r>
      <w:r w:rsidR="00E621F3" w:rsidRPr="002F53CF">
        <w:rPr>
          <w:lang w:eastAsia="en-AU"/>
        </w:rPr>
        <w:t>11 Magistrates’ Court locations</w:t>
      </w:r>
      <w:r w:rsidR="00ED39ED" w:rsidRPr="002F53CF">
        <w:rPr>
          <w:lang w:eastAsia="en-AU"/>
        </w:rPr>
        <w:t>,</w:t>
      </w:r>
      <w:r w:rsidR="00E621F3" w:rsidRPr="002F53CF">
        <w:rPr>
          <w:rStyle w:val="FootnoteReference"/>
          <w:lang w:eastAsia="en-AU"/>
        </w:rPr>
        <w:footnoteReference w:id="48"/>
      </w:r>
      <w:r w:rsidR="00E621F3" w:rsidRPr="002F53CF">
        <w:rPr>
          <w:lang w:eastAsia="en-AU"/>
        </w:rPr>
        <w:t xml:space="preserve"> </w:t>
      </w:r>
      <w:r w:rsidR="00ED39ED" w:rsidRPr="002F53CF">
        <w:rPr>
          <w:lang w:eastAsia="en-AU"/>
        </w:rPr>
        <w:t xml:space="preserve">and </w:t>
      </w:r>
      <w:r w:rsidRPr="002F53CF">
        <w:rPr>
          <w:lang w:eastAsia="en-AU"/>
        </w:rPr>
        <w:t>4 </w:t>
      </w:r>
      <w:r w:rsidR="00ED39ED" w:rsidRPr="002F53CF">
        <w:rPr>
          <w:lang w:eastAsia="en-AU"/>
        </w:rPr>
        <w:t>County Court locations.</w:t>
      </w:r>
      <w:r w:rsidR="00ED39ED" w:rsidRPr="002F53CF">
        <w:rPr>
          <w:rStyle w:val="FootnoteReference"/>
          <w:lang w:eastAsia="en-AU"/>
        </w:rPr>
        <w:footnoteReference w:id="49"/>
      </w:r>
      <w:r w:rsidR="00ED39ED" w:rsidRPr="002F53CF">
        <w:rPr>
          <w:lang w:eastAsia="en-AU"/>
        </w:rPr>
        <w:t xml:space="preserve"> </w:t>
      </w:r>
      <w:r w:rsidRPr="002F53CF">
        <w:rPr>
          <w:lang w:eastAsia="en-AU"/>
        </w:rPr>
        <w:t xml:space="preserve">Furthermore, </w:t>
      </w:r>
      <w:r w:rsidR="00E621F3" w:rsidRPr="002F53CF">
        <w:rPr>
          <w:lang w:eastAsia="en-AU"/>
        </w:rPr>
        <w:t xml:space="preserve">in </w:t>
      </w:r>
      <w:r w:rsidRPr="002F53CF">
        <w:rPr>
          <w:lang w:eastAsia="en-AU"/>
        </w:rPr>
        <w:t xml:space="preserve">some </w:t>
      </w:r>
      <w:r w:rsidR="00E621F3" w:rsidRPr="002F53CF">
        <w:rPr>
          <w:lang w:eastAsia="en-AU"/>
        </w:rPr>
        <w:t xml:space="preserve">regional locations it sits as infrequently as every </w:t>
      </w:r>
      <w:r w:rsidR="00E621F3" w:rsidRPr="002F53CF">
        <w:rPr>
          <w:lang w:eastAsia="en-AU"/>
        </w:rPr>
        <w:lastRenderedPageBreak/>
        <w:t xml:space="preserve">six weeks, so </w:t>
      </w:r>
      <w:r w:rsidR="0078756A">
        <w:rPr>
          <w:lang w:eastAsia="en-AU"/>
        </w:rPr>
        <w:t xml:space="preserve">in our experience a </w:t>
      </w:r>
      <w:r w:rsidR="00ED39ED" w:rsidRPr="002F53CF">
        <w:rPr>
          <w:lang w:eastAsia="en-AU"/>
        </w:rPr>
        <w:t>young person</w:t>
      </w:r>
      <w:r w:rsidR="00E621F3" w:rsidRPr="002F53CF">
        <w:rPr>
          <w:lang w:eastAsia="en-AU"/>
        </w:rPr>
        <w:t xml:space="preserve"> </w:t>
      </w:r>
      <w:r w:rsidR="0078756A">
        <w:rPr>
          <w:lang w:eastAsia="en-AU"/>
        </w:rPr>
        <w:t xml:space="preserve">may </w:t>
      </w:r>
      <w:r w:rsidR="00E621F3" w:rsidRPr="002F53CF">
        <w:rPr>
          <w:lang w:eastAsia="en-AU"/>
        </w:rPr>
        <w:t>go to the mainstream court</w:t>
      </w:r>
      <w:r w:rsidRPr="002F53CF">
        <w:rPr>
          <w:lang w:eastAsia="en-AU"/>
        </w:rPr>
        <w:t xml:space="preserve"> instead of waiting for </w:t>
      </w:r>
      <w:r w:rsidR="00E22E00" w:rsidRPr="002F53CF">
        <w:rPr>
          <w:lang w:eastAsia="en-AU"/>
        </w:rPr>
        <w:t xml:space="preserve">a </w:t>
      </w:r>
      <w:r w:rsidRPr="002F53CF">
        <w:rPr>
          <w:lang w:eastAsia="en-AU"/>
        </w:rPr>
        <w:t xml:space="preserve">Koori Court </w:t>
      </w:r>
      <w:r w:rsidR="00E22E00" w:rsidRPr="002F53CF">
        <w:rPr>
          <w:lang w:eastAsia="en-AU"/>
        </w:rPr>
        <w:t>date</w:t>
      </w:r>
      <w:r w:rsidR="00E621F3" w:rsidRPr="002F53CF">
        <w:rPr>
          <w:lang w:eastAsia="en-AU"/>
        </w:rPr>
        <w:t xml:space="preserve">. </w:t>
      </w:r>
    </w:p>
    <w:p w14:paraId="1D12F9EF" w14:textId="5285CC6B" w:rsidR="00F10421" w:rsidRPr="002F53CF" w:rsidRDefault="00E621F3" w:rsidP="00A22260">
      <w:pPr>
        <w:rPr>
          <w:lang w:eastAsia="en-AU"/>
        </w:rPr>
      </w:pPr>
      <w:r w:rsidRPr="002F53CF">
        <w:rPr>
          <w:lang w:eastAsia="en-AU"/>
        </w:rPr>
        <w:t xml:space="preserve">The Koori Court </w:t>
      </w:r>
      <w:r w:rsidR="005212F1" w:rsidRPr="002F53CF">
        <w:rPr>
          <w:lang w:eastAsia="en-AU"/>
        </w:rPr>
        <w:t xml:space="preserve">is also </w:t>
      </w:r>
      <w:r w:rsidRPr="002F53CF">
        <w:rPr>
          <w:lang w:eastAsia="en-AU"/>
        </w:rPr>
        <w:t xml:space="preserve">limited to a plea </w:t>
      </w:r>
      <w:r w:rsidR="00F5465E">
        <w:rPr>
          <w:lang w:eastAsia="en-AU"/>
        </w:rPr>
        <w:t xml:space="preserve">and diversion </w:t>
      </w:r>
      <w:r w:rsidRPr="002F53CF">
        <w:rPr>
          <w:lang w:eastAsia="en-AU"/>
        </w:rPr>
        <w:t xml:space="preserve">court. </w:t>
      </w:r>
      <w:r w:rsidR="00A22260" w:rsidRPr="002F53CF">
        <w:rPr>
          <w:lang w:eastAsia="en-AU"/>
        </w:rPr>
        <w:t xml:space="preserve">Extending </w:t>
      </w:r>
      <w:r w:rsidRPr="002F53CF">
        <w:rPr>
          <w:lang w:eastAsia="en-AU"/>
        </w:rPr>
        <w:t>the Koori Courts to the pre-resolution stage</w:t>
      </w:r>
      <w:r w:rsidR="00A22260" w:rsidRPr="002F53CF">
        <w:rPr>
          <w:lang w:eastAsia="en-AU"/>
        </w:rPr>
        <w:t xml:space="preserve"> </w:t>
      </w:r>
      <w:r w:rsidRPr="002F53CF">
        <w:rPr>
          <w:lang w:eastAsia="en-AU"/>
        </w:rPr>
        <w:t xml:space="preserve">would allow people to engage early in a culturally appropriate program that would address underlying criminogenic factors, which may then improve their sentence outcomes. </w:t>
      </w:r>
      <w:r w:rsidR="00A73B9F" w:rsidRPr="002F53CF">
        <w:rPr>
          <w:lang w:eastAsia="en-AU"/>
        </w:rPr>
        <w:t xml:space="preserve">In addition, it would preclude the possibility of people pleading guilty to charges which they may have otherwise contested. </w:t>
      </w:r>
      <w:r w:rsidR="00231909" w:rsidRPr="002F53CF">
        <w:rPr>
          <w:lang w:eastAsia="en-AU"/>
        </w:rPr>
        <w:t xml:space="preserve">Harry </w:t>
      </w:r>
      <w:proofErr w:type="spellStart"/>
      <w:r w:rsidR="00A22260" w:rsidRPr="002F53CF">
        <w:rPr>
          <w:lang w:eastAsia="en-AU"/>
        </w:rPr>
        <w:t>Blagg</w:t>
      </w:r>
      <w:proofErr w:type="spellEnd"/>
      <w:r w:rsidR="00A22260" w:rsidRPr="002F53CF">
        <w:rPr>
          <w:lang w:eastAsia="en-AU"/>
        </w:rPr>
        <w:t xml:space="preserve"> </w:t>
      </w:r>
      <w:r w:rsidR="00F10421" w:rsidRPr="002F53CF">
        <w:rPr>
          <w:lang w:eastAsia="en-AU"/>
        </w:rPr>
        <w:t xml:space="preserve">and </w:t>
      </w:r>
      <w:r w:rsidR="00A73B9F" w:rsidRPr="002F53CF">
        <w:rPr>
          <w:lang w:eastAsia="en-AU"/>
        </w:rPr>
        <w:t xml:space="preserve">his </w:t>
      </w:r>
      <w:r w:rsidR="00F10421" w:rsidRPr="002F53CF">
        <w:rPr>
          <w:lang w:eastAsia="en-AU"/>
        </w:rPr>
        <w:t xml:space="preserve">colleagues found that: </w:t>
      </w:r>
    </w:p>
    <w:p w14:paraId="5D5E4330" w14:textId="69F5FBDF" w:rsidR="00F10421" w:rsidRPr="002F53CF" w:rsidRDefault="00A73B9F" w:rsidP="00F10421">
      <w:pPr>
        <w:pStyle w:val="VLAquotation"/>
      </w:pPr>
      <w:r w:rsidRPr="002F53CF">
        <w:t xml:space="preserve">The </w:t>
      </w:r>
      <w:r w:rsidR="00F10421" w:rsidRPr="002F53CF">
        <w:t>jurisdictional limitation was accepted as inevitable at the current time; but the necessity to plead guilty was a major source of dissatisfaction. Koori people, it was said, want to go to a Koori court because they want to be judged by their elders and to have access to culturally appropriate treatment options – there is a wide belief that the court is not a soft option but is willing to address the cultural, health and welfare needs of offenders. We were told on many occasions and by different sources, that this has led to some Koori offenders pleading guilty to charges they might otherwise have challenged (or which they said they had not committed), in order to gain access to the court. As one expressed it: “</w:t>
      </w:r>
      <w:r w:rsidR="00F10421" w:rsidRPr="002433F0">
        <w:rPr>
          <w:i/>
          <w:iCs/>
        </w:rPr>
        <w:t>I wanted to turn my life around, only my own people could help me do that</w:t>
      </w:r>
      <w:r w:rsidR="00F10421" w:rsidRPr="002F53CF">
        <w:t>”.</w:t>
      </w:r>
      <w:r w:rsidR="00F10421" w:rsidRPr="002F53CF">
        <w:rPr>
          <w:rStyle w:val="FootnoteReference"/>
        </w:rPr>
        <w:footnoteReference w:id="50"/>
      </w:r>
    </w:p>
    <w:p w14:paraId="56ACE71D" w14:textId="73C00F42" w:rsidR="00E621F3" w:rsidRPr="002F53CF" w:rsidRDefault="00E621F3" w:rsidP="006326E7">
      <w:pPr>
        <w:pStyle w:val="Heading2"/>
      </w:pPr>
      <w:bookmarkStart w:id="40" w:name="_Toc25238927"/>
      <w:r w:rsidRPr="002F53CF">
        <w:t>Sentencing options</w:t>
      </w:r>
      <w:bookmarkEnd w:id="40"/>
    </w:p>
    <w:p w14:paraId="05065F00" w14:textId="0EDE1F6A" w:rsidR="006C63DE" w:rsidRPr="002F53CF" w:rsidRDefault="00AA2FB4" w:rsidP="006C63DE">
      <w:r w:rsidRPr="002F53CF">
        <w:t xml:space="preserve">The CYFA and the Sentencing Act </w:t>
      </w:r>
      <w:r w:rsidR="004C6351" w:rsidRPr="002F53CF">
        <w:t xml:space="preserve">should be amended to explicitly </w:t>
      </w:r>
      <w:r w:rsidRPr="002F53CF">
        <w:t xml:space="preserve">enable the court to take into account </w:t>
      </w:r>
      <w:r w:rsidR="00E22E00" w:rsidRPr="002F53CF">
        <w:t>Aboriginal</w:t>
      </w:r>
      <w:r w:rsidR="004C6351" w:rsidRPr="002F53CF">
        <w:t xml:space="preserve"> cultural background and context, regardless of whether it is directly relevant to the offending being sentenced. </w:t>
      </w:r>
      <w:r w:rsidR="006C63DE" w:rsidRPr="002F53CF">
        <w:t>Bronitt and McSherry noted that “a review of the authorities reveals considerable judicial ambivalence about the extent to which the accused’s Aboriginal background may be taken into account, particularly in cases where the violence occurs within Indigenous communities.”</w:t>
      </w:r>
      <w:r w:rsidR="006C63DE" w:rsidRPr="002F53CF">
        <w:rPr>
          <w:rStyle w:val="FootnoteReference"/>
        </w:rPr>
        <w:footnoteReference w:id="51"/>
      </w:r>
      <w:r w:rsidR="006C63DE" w:rsidRPr="002F53CF">
        <w:t xml:space="preserve"> </w:t>
      </w:r>
    </w:p>
    <w:p w14:paraId="3D4C96A7" w14:textId="7616AAD2" w:rsidR="006C63DE" w:rsidRPr="002F53CF" w:rsidRDefault="0096733F" w:rsidP="006C63DE">
      <w:r w:rsidRPr="002F53CF">
        <w:t xml:space="preserve">The 2013 High Court in </w:t>
      </w:r>
      <w:proofErr w:type="spellStart"/>
      <w:r w:rsidRPr="002F53CF">
        <w:rPr>
          <w:i/>
          <w:iCs/>
        </w:rPr>
        <w:t>Bugmy</w:t>
      </w:r>
      <w:proofErr w:type="spellEnd"/>
      <w:r w:rsidRPr="002F53CF">
        <w:rPr>
          <w:i/>
          <w:iCs/>
        </w:rPr>
        <w:t xml:space="preserve"> v R</w:t>
      </w:r>
      <w:r w:rsidRPr="002F53CF">
        <w:rPr>
          <w:rStyle w:val="FootnoteReference"/>
        </w:rPr>
        <w:footnoteReference w:id="52"/>
      </w:r>
      <w:r w:rsidRPr="002F53CF">
        <w:t xml:space="preserve"> held that although an offender’s background of deprivation is a relevant factor when determining an appropriate sentence, the </w:t>
      </w:r>
      <w:r w:rsidR="00E22E00" w:rsidRPr="002F53CF">
        <w:t>applicable sentencing legislation</w:t>
      </w:r>
      <w:r w:rsidRPr="002F53CF">
        <w:t xml:space="preserve"> </w:t>
      </w:r>
      <w:r w:rsidR="00E22E00" w:rsidRPr="002F53CF">
        <w:t xml:space="preserve">does </w:t>
      </w:r>
      <w:r w:rsidRPr="002F53CF">
        <w:t xml:space="preserve">not direct a sentencing judge to give attention to the circumstances of an Aboriginal offender in a way that is different from the attention </w:t>
      </w:r>
      <w:r w:rsidR="00E22E00" w:rsidRPr="002F53CF">
        <w:t>they</w:t>
      </w:r>
      <w:r w:rsidRPr="002F53CF">
        <w:t xml:space="preserve"> would give to the circumstances of an offender who is not Aboriginal.</w:t>
      </w:r>
      <w:r w:rsidR="006C63DE" w:rsidRPr="002F53CF">
        <w:t xml:space="preserve"> Though </w:t>
      </w:r>
      <w:proofErr w:type="spellStart"/>
      <w:r w:rsidR="006C63DE" w:rsidRPr="002F53CF">
        <w:rPr>
          <w:i/>
          <w:iCs/>
        </w:rPr>
        <w:t>Bugmy</w:t>
      </w:r>
      <w:proofErr w:type="spellEnd"/>
      <w:r w:rsidR="006C63DE" w:rsidRPr="002F53CF">
        <w:t xml:space="preserve"> is </w:t>
      </w:r>
      <w:proofErr w:type="gramStart"/>
      <w:r w:rsidR="006C63DE" w:rsidRPr="002F53CF">
        <w:t>a</w:t>
      </w:r>
      <w:proofErr w:type="gramEnd"/>
      <w:r w:rsidR="006C63DE" w:rsidRPr="002F53CF">
        <w:t xml:space="preserve"> NSW focused case, Victorian sentencing legislation suffers from the same</w:t>
      </w:r>
      <w:r w:rsidR="00E22E00" w:rsidRPr="002F53CF">
        <w:t xml:space="preserve"> deficiency</w:t>
      </w:r>
      <w:r w:rsidR="00344422">
        <w:t xml:space="preserve"> -</w:t>
      </w:r>
      <w:r w:rsidR="006C63DE" w:rsidRPr="002F53CF">
        <w:t xml:space="preserve"> </w:t>
      </w:r>
      <w:r w:rsidR="00E22E00" w:rsidRPr="002F53CF">
        <w:t>one’s</w:t>
      </w:r>
      <w:r w:rsidR="006C63DE" w:rsidRPr="002F53CF">
        <w:t xml:space="preserve"> Aboriginal background may be taken into account in </w:t>
      </w:r>
      <w:r w:rsidR="00E22E00" w:rsidRPr="002F53CF">
        <w:t>s</w:t>
      </w:r>
      <w:r w:rsidR="006C63DE" w:rsidRPr="002F53CF">
        <w:t>ome cases</w:t>
      </w:r>
      <w:r w:rsidR="00E22E00" w:rsidRPr="002F53CF">
        <w:t xml:space="preserve"> but </w:t>
      </w:r>
      <w:r w:rsidR="00F14524" w:rsidRPr="002F53CF">
        <w:t xml:space="preserve">this </w:t>
      </w:r>
      <w:r w:rsidR="006C63DE" w:rsidRPr="002F53CF">
        <w:t>is not</w:t>
      </w:r>
      <w:r w:rsidR="00E22E00" w:rsidRPr="002F53CF">
        <w:t xml:space="preserve"> </w:t>
      </w:r>
      <w:r w:rsidR="00F14524" w:rsidRPr="002F53CF">
        <w:t>guaranteed</w:t>
      </w:r>
      <w:r w:rsidR="006C63DE" w:rsidRPr="002F53CF">
        <w:t xml:space="preserve">. </w:t>
      </w:r>
    </w:p>
    <w:p w14:paraId="17FB8BA5" w14:textId="7066C67F" w:rsidR="008A4CFF" w:rsidRPr="002F53CF" w:rsidRDefault="006C63DE" w:rsidP="008A4CFF">
      <w:pPr>
        <w:shd w:val="clear" w:color="auto" w:fill="FFFFFF"/>
        <w:textAlignment w:val="baseline"/>
        <w:rPr>
          <w:rFonts w:cs="Arial"/>
          <w:color w:val="000000" w:themeColor="text1"/>
          <w:szCs w:val="22"/>
          <w:lang w:eastAsia="en-AU"/>
        </w:rPr>
      </w:pPr>
      <w:r w:rsidRPr="002F53CF">
        <w:t xml:space="preserve">VLA </w:t>
      </w:r>
      <w:r w:rsidR="00C25927" w:rsidRPr="002F53CF">
        <w:t xml:space="preserve">supports the introduction of </w:t>
      </w:r>
      <w:r w:rsidR="005212F1" w:rsidRPr="002F53CF">
        <w:t xml:space="preserve">cultural context reports, also known as </w:t>
      </w:r>
      <w:r w:rsidR="00C25927" w:rsidRPr="002F53CF">
        <w:t>Gladue report</w:t>
      </w:r>
      <w:r w:rsidRPr="002F53CF">
        <w:t>s,</w:t>
      </w:r>
      <w:r w:rsidR="005212F1" w:rsidRPr="002F53CF">
        <w:t xml:space="preserve"> to sentencing processes</w:t>
      </w:r>
      <w:r w:rsidR="008A4CFF" w:rsidRPr="002F53CF">
        <w:t>.</w:t>
      </w:r>
      <w:r w:rsidR="008A4CFF" w:rsidRPr="002F53CF">
        <w:rPr>
          <w:rStyle w:val="FootnoteReference"/>
        </w:rPr>
        <w:footnoteReference w:id="53"/>
      </w:r>
      <w:r w:rsidR="00C25927" w:rsidRPr="002F53CF">
        <w:rPr>
          <w:rFonts w:cs="Arial"/>
          <w:color w:val="000000" w:themeColor="text1"/>
          <w:szCs w:val="22"/>
          <w:lang w:eastAsia="en-AU"/>
        </w:rPr>
        <w:t xml:space="preserve"> Gladue report</w:t>
      </w:r>
      <w:r w:rsidR="008A4CFF" w:rsidRPr="002F53CF">
        <w:rPr>
          <w:rFonts w:cs="Arial"/>
          <w:color w:val="000000" w:themeColor="text1"/>
          <w:szCs w:val="22"/>
          <w:lang w:eastAsia="en-AU"/>
        </w:rPr>
        <w:t>s</w:t>
      </w:r>
      <w:r w:rsidR="00C25927" w:rsidRPr="002F53CF">
        <w:rPr>
          <w:rFonts w:cs="Arial"/>
          <w:color w:val="000000" w:themeColor="text1"/>
          <w:szCs w:val="22"/>
          <w:lang w:eastAsia="en-AU"/>
        </w:rPr>
        <w:t xml:space="preserve"> are the means by which information is gathered about the individual defendant to assist the judge to better understand the impact of colonisation on </w:t>
      </w:r>
      <w:r w:rsidR="008A4CFF" w:rsidRPr="002F53CF">
        <w:t>contemporary cultural issues and socio-economic disadvantage</w:t>
      </w:r>
      <w:r w:rsidR="008A4CFF" w:rsidRPr="002F53CF">
        <w:rPr>
          <w:rFonts w:cs="Arial"/>
          <w:color w:val="000000" w:themeColor="text1"/>
          <w:szCs w:val="22"/>
          <w:lang w:eastAsia="en-AU"/>
        </w:rPr>
        <w:t>, and how that context has affected that individual</w:t>
      </w:r>
      <w:r w:rsidR="00C25927" w:rsidRPr="002F53CF">
        <w:rPr>
          <w:rFonts w:cs="Arial"/>
          <w:color w:val="000000" w:themeColor="text1"/>
          <w:szCs w:val="22"/>
          <w:lang w:eastAsia="en-AU"/>
        </w:rPr>
        <w:t xml:space="preserve">. </w:t>
      </w:r>
    </w:p>
    <w:p w14:paraId="15112F2D" w14:textId="09DCA641" w:rsidR="003329E1" w:rsidRPr="002F53CF" w:rsidRDefault="00F5465E" w:rsidP="005212F1">
      <w:r>
        <w:t>The following client</w:t>
      </w:r>
      <w:r w:rsidR="008A4CFF" w:rsidRPr="002F53CF">
        <w:t xml:space="preserve"> story illustrates t</w:t>
      </w:r>
      <w:r w:rsidR="003329E1" w:rsidRPr="002F53CF">
        <w:t xml:space="preserve">he </w:t>
      </w:r>
      <w:r w:rsidR="008A4CFF" w:rsidRPr="002F53CF">
        <w:t>significance of a</w:t>
      </w:r>
      <w:r w:rsidR="003329E1" w:rsidRPr="002F53CF">
        <w:t xml:space="preserve"> culturally attuned sentencing response </w:t>
      </w:r>
      <w:r w:rsidR="008A4CFF" w:rsidRPr="002F53CF">
        <w:t xml:space="preserve">for a </w:t>
      </w:r>
      <w:r w:rsidR="003329E1" w:rsidRPr="002F53CF">
        <w:t xml:space="preserve">young </w:t>
      </w:r>
      <w:r w:rsidR="008A4CFF" w:rsidRPr="002F53CF">
        <w:t xml:space="preserve">person </w:t>
      </w:r>
      <w:r w:rsidR="003329E1" w:rsidRPr="002F53CF">
        <w:t xml:space="preserve">who has </w:t>
      </w:r>
      <w:r w:rsidR="008A4CFF" w:rsidRPr="002F53CF">
        <w:t xml:space="preserve">been </w:t>
      </w:r>
      <w:r w:rsidR="003329E1" w:rsidRPr="002F53CF">
        <w:t>removed from his heritage</w:t>
      </w:r>
      <w:r w:rsidR="008A4CFF" w:rsidRPr="002F53CF">
        <w:t xml:space="preserve"> and institutionalised.</w:t>
      </w:r>
      <w:r w:rsidR="003329E1" w:rsidRPr="002F53CF">
        <w:br/>
      </w:r>
    </w:p>
    <w:tbl>
      <w:tblPr>
        <w:tblStyle w:val="TableGrid"/>
        <w:tblW w:w="0" w:type="auto"/>
        <w:tblInd w:w="279" w:type="dxa"/>
        <w:tblLook w:val="04A0" w:firstRow="1" w:lastRow="0" w:firstColumn="1" w:lastColumn="0" w:noHBand="0" w:noVBand="1"/>
      </w:tblPr>
      <w:tblGrid>
        <w:gridCol w:w="8930"/>
      </w:tblGrid>
      <w:tr w:rsidR="003329E1" w:rsidRPr="002F53CF" w14:paraId="4C29EC98" w14:textId="77777777" w:rsidTr="008A4CFF">
        <w:tc>
          <w:tcPr>
            <w:tcW w:w="8930" w:type="dxa"/>
          </w:tcPr>
          <w:p w14:paraId="3FB74127" w14:textId="61F537C2" w:rsidR="003329E1" w:rsidRPr="002F53CF" w:rsidRDefault="008A4CFF" w:rsidP="008A4CFF">
            <w:pPr>
              <w:spacing w:after="0" w:line="280" w:lineRule="atLeast"/>
              <w:textAlignment w:val="baseline"/>
              <w:rPr>
                <w:rFonts w:cs="Arial"/>
                <w:color w:val="002060"/>
                <w:sz w:val="21"/>
                <w:szCs w:val="21"/>
                <w:shd w:val="clear" w:color="auto" w:fill="FFFFFF"/>
              </w:rPr>
            </w:pPr>
            <w:r w:rsidRPr="002F53CF">
              <w:rPr>
                <w:rFonts w:cs="Arial"/>
                <w:i/>
                <w:iCs/>
                <w:color w:val="002060"/>
                <w:sz w:val="21"/>
                <w:szCs w:val="21"/>
                <w:shd w:val="clear" w:color="auto" w:fill="FFFFFF"/>
              </w:rPr>
              <w:lastRenderedPageBreak/>
              <w:t>Adam</w:t>
            </w:r>
            <w:r w:rsidR="00F5465E">
              <w:rPr>
                <w:rFonts w:cs="Arial"/>
                <w:i/>
                <w:iCs/>
                <w:color w:val="002060"/>
                <w:sz w:val="21"/>
                <w:szCs w:val="21"/>
                <w:shd w:val="clear" w:color="auto" w:fill="FFFFFF"/>
              </w:rPr>
              <w:t>*</w:t>
            </w:r>
            <w:r w:rsidRPr="002F53CF">
              <w:rPr>
                <w:rFonts w:cs="Arial"/>
                <w:color w:val="002060"/>
                <w:sz w:val="21"/>
                <w:szCs w:val="21"/>
                <w:shd w:val="clear" w:color="auto" w:fill="FFFFFF"/>
              </w:rPr>
              <w:t xml:space="preserve"> </w:t>
            </w:r>
            <w:r w:rsidR="003329E1" w:rsidRPr="002F53CF">
              <w:rPr>
                <w:rFonts w:cs="Arial"/>
                <w:color w:val="002060"/>
                <w:sz w:val="21"/>
                <w:szCs w:val="21"/>
                <w:shd w:val="clear" w:color="auto" w:fill="FFFFFF"/>
              </w:rPr>
              <w:t xml:space="preserve">is a young Koori teenager. Adam was removed from his mother’s care </w:t>
            </w:r>
            <w:r w:rsidRPr="002F53CF">
              <w:rPr>
                <w:rFonts w:cs="Arial"/>
                <w:color w:val="002060"/>
                <w:sz w:val="21"/>
                <w:szCs w:val="21"/>
                <w:shd w:val="clear" w:color="auto" w:fill="FFFFFF"/>
              </w:rPr>
              <w:t>at less than 6 months old, and he had been placed in foster care</w:t>
            </w:r>
            <w:r w:rsidR="003329E1" w:rsidRPr="002F53CF">
              <w:rPr>
                <w:rFonts w:cs="Arial"/>
                <w:color w:val="002060"/>
                <w:sz w:val="21"/>
                <w:szCs w:val="21"/>
                <w:shd w:val="clear" w:color="auto" w:fill="FFFFFF"/>
              </w:rPr>
              <w:t xml:space="preserve"> before he had turned 3. At a young age Adam was diagnosed with an intellectual disability and, as a teenager, he was diagnosed with multiple complex mental health issues, including Attention Deficit Hyperactivity Disorder, anxiety and depression. An expert found he had mental age of a child less than half his biological age. </w:t>
            </w:r>
          </w:p>
          <w:p w14:paraId="065CA5D6" w14:textId="6462E605" w:rsidR="003329E1" w:rsidRPr="002F53CF" w:rsidRDefault="003329E1" w:rsidP="008A4CFF">
            <w:pPr>
              <w:spacing w:after="0" w:line="280" w:lineRule="atLeast"/>
              <w:textAlignment w:val="baseline"/>
              <w:rPr>
                <w:rFonts w:cs="Arial"/>
                <w:color w:val="002060"/>
                <w:sz w:val="21"/>
                <w:szCs w:val="21"/>
                <w:shd w:val="clear" w:color="auto" w:fill="FFFFFF"/>
              </w:rPr>
            </w:pPr>
            <w:r w:rsidRPr="002F53CF">
              <w:rPr>
                <w:rFonts w:cs="Arial"/>
                <w:color w:val="002060"/>
                <w:sz w:val="21"/>
                <w:szCs w:val="21"/>
                <w:shd w:val="clear" w:color="auto" w:fill="FFFFFF"/>
              </w:rPr>
              <w:t xml:space="preserve">Adam was </w:t>
            </w:r>
            <w:r w:rsidR="008A4CFF" w:rsidRPr="002F53CF">
              <w:rPr>
                <w:rFonts w:cs="Arial"/>
                <w:color w:val="002060"/>
                <w:sz w:val="21"/>
                <w:szCs w:val="21"/>
                <w:shd w:val="clear" w:color="auto" w:fill="FFFFFF"/>
              </w:rPr>
              <w:t xml:space="preserve">able to be </w:t>
            </w:r>
            <w:r w:rsidRPr="002F53CF">
              <w:rPr>
                <w:rFonts w:cs="Arial"/>
                <w:color w:val="002060"/>
                <w:sz w:val="21"/>
                <w:szCs w:val="21"/>
                <w:shd w:val="clear" w:color="auto" w:fill="FFFFFF"/>
              </w:rPr>
              <w:t>placed with a relative</w:t>
            </w:r>
            <w:r w:rsidR="008A4CFF" w:rsidRPr="002F53CF">
              <w:rPr>
                <w:rFonts w:cs="Arial"/>
                <w:color w:val="002060"/>
                <w:sz w:val="21"/>
                <w:szCs w:val="21"/>
                <w:shd w:val="clear" w:color="auto" w:fill="FFFFFF"/>
              </w:rPr>
              <w:t xml:space="preserve"> after he had already spent his early childhood years in foster care.</w:t>
            </w:r>
            <w:r w:rsidRPr="002F53CF">
              <w:rPr>
                <w:rFonts w:cs="Arial"/>
                <w:color w:val="002060"/>
                <w:sz w:val="21"/>
                <w:szCs w:val="21"/>
                <w:shd w:val="clear" w:color="auto" w:fill="FFFFFF"/>
              </w:rPr>
              <w:t xml:space="preserve"> </w:t>
            </w:r>
            <w:r w:rsidR="008A4CFF" w:rsidRPr="002F53CF">
              <w:rPr>
                <w:rFonts w:cs="Arial"/>
                <w:color w:val="002060"/>
                <w:sz w:val="21"/>
                <w:szCs w:val="21"/>
                <w:shd w:val="clear" w:color="auto" w:fill="FFFFFF"/>
              </w:rPr>
              <w:t xml:space="preserve">However, his relative </w:t>
            </w:r>
            <w:r w:rsidRPr="002F53CF">
              <w:rPr>
                <w:rFonts w:cs="Arial"/>
                <w:color w:val="002060"/>
                <w:sz w:val="21"/>
                <w:szCs w:val="21"/>
                <w:shd w:val="clear" w:color="auto" w:fill="FFFFFF"/>
              </w:rPr>
              <w:t xml:space="preserve">found it increasingly difficult to care for him. By the time Adam was a young teenager, he had started using alcohol and drugs and was often running away from home. At around the same time he started offending, mostly in the company of his peers, and soon became involved in the </w:t>
            </w:r>
            <w:r w:rsidR="008A4CFF" w:rsidRPr="002F53CF">
              <w:rPr>
                <w:rFonts w:cs="Arial"/>
                <w:color w:val="002060"/>
                <w:sz w:val="21"/>
                <w:szCs w:val="21"/>
                <w:shd w:val="clear" w:color="auto" w:fill="FFFFFF"/>
              </w:rPr>
              <w:t>youth</w:t>
            </w:r>
            <w:r w:rsidRPr="002F53CF">
              <w:rPr>
                <w:rFonts w:cs="Arial"/>
                <w:color w:val="002060"/>
                <w:sz w:val="21"/>
                <w:szCs w:val="21"/>
                <w:shd w:val="clear" w:color="auto" w:fill="FFFFFF"/>
              </w:rPr>
              <w:t xml:space="preserve"> justice system, amassing a string of charges. </w:t>
            </w:r>
          </w:p>
          <w:p w14:paraId="2B52B4B9" w14:textId="38466C4B" w:rsidR="003329E1" w:rsidRPr="002F53CF" w:rsidRDefault="003329E1" w:rsidP="008A4CFF">
            <w:pPr>
              <w:spacing w:after="0" w:line="280" w:lineRule="atLeast"/>
              <w:textAlignment w:val="baseline"/>
              <w:rPr>
                <w:rFonts w:cs="Arial"/>
                <w:color w:val="002060"/>
                <w:sz w:val="21"/>
                <w:szCs w:val="21"/>
                <w:shd w:val="clear" w:color="auto" w:fill="FFFFFF"/>
              </w:rPr>
            </w:pPr>
            <w:bookmarkStart w:id="41" w:name="_Hlk22804210"/>
            <w:r w:rsidRPr="002F53CF">
              <w:rPr>
                <w:rFonts w:cs="Arial"/>
                <w:color w:val="002060"/>
                <w:sz w:val="21"/>
                <w:szCs w:val="21"/>
                <w:shd w:val="clear" w:color="auto" w:fill="FFFFFF"/>
              </w:rPr>
              <w:t>A psychologist was recently asked to examine Adam to determine the underlying medical issues that may have contributed</w:t>
            </w:r>
            <w:r w:rsidR="00E00C87">
              <w:rPr>
                <w:rFonts w:cs="Arial"/>
                <w:color w:val="002060"/>
                <w:sz w:val="21"/>
                <w:szCs w:val="21"/>
                <w:shd w:val="clear" w:color="auto" w:fill="FFFFFF"/>
              </w:rPr>
              <w:t xml:space="preserve"> to his offending</w:t>
            </w:r>
            <w:r w:rsidRPr="002F53CF">
              <w:rPr>
                <w:rFonts w:cs="Arial"/>
                <w:color w:val="002060"/>
                <w:sz w:val="21"/>
                <w:szCs w:val="21"/>
                <w:shd w:val="clear" w:color="auto" w:fill="FFFFFF"/>
              </w:rPr>
              <w:t xml:space="preserve">. </w:t>
            </w:r>
            <w:r w:rsidR="008A4CFF" w:rsidRPr="002F53CF">
              <w:rPr>
                <w:rFonts w:cs="Arial"/>
                <w:color w:val="002060"/>
                <w:sz w:val="21"/>
                <w:szCs w:val="21"/>
                <w:shd w:val="clear" w:color="auto" w:fill="FFFFFF"/>
              </w:rPr>
              <w:t xml:space="preserve">The psychologist concluded </w:t>
            </w:r>
            <w:r w:rsidRPr="002F53CF">
              <w:rPr>
                <w:rFonts w:cs="Arial"/>
                <w:color w:val="002060"/>
                <w:sz w:val="21"/>
                <w:szCs w:val="21"/>
                <w:shd w:val="clear" w:color="auto" w:fill="FFFFFF"/>
              </w:rPr>
              <w:t xml:space="preserve">that </w:t>
            </w:r>
            <w:r w:rsidR="008A4CFF" w:rsidRPr="002F53CF">
              <w:rPr>
                <w:rFonts w:cs="Arial"/>
                <w:color w:val="002060"/>
                <w:sz w:val="21"/>
                <w:szCs w:val="21"/>
                <w:shd w:val="clear" w:color="auto" w:fill="FFFFFF"/>
              </w:rPr>
              <w:t xml:space="preserve">Adam’s </w:t>
            </w:r>
            <w:r w:rsidRPr="002F53CF">
              <w:rPr>
                <w:rFonts w:cs="Arial"/>
                <w:color w:val="002060"/>
                <w:sz w:val="21"/>
                <w:szCs w:val="21"/>
                <w:shd w:val="clear" w:color="auto" w:fill="FFFFFF"/>
              </w:rPr>
              <w:t>disrupted early attachment</w:t>
            </w:r>
            <w:r w:rsidR="00830910"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complex psychosocial situation</w:t>
            </w:r>
            <w:r w:rsidR="00830910"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intellectual disability</w:t>
            </w:r>
            <w:r w:rsidR="00830910"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mental health issues</w:t>
            </w:r>
            <w:r w:rsidR="00830910"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harmful influence of </w:t>
            </w:r>
            <w:r w:rsidR="0086595A" w:rsidRPr="002F53CF">
              <w:rPr>
                <w:rFonts w:cs="Arial"/>
                <w:color w:val="002060"/>
                <w:sz w:val="21"/>
                <w:szCs w:val="21"/>
                <w:shd w:val="clear" w:color="auto" w:fill="FFFFFF"/>
              </w:rPr>
              <w:t>his</w:t>
            </w:r>
            <w:r w:rsidRPr="002F53CF">
              <w:rPr>
                <w:rFonts w:cs="Arial"/>
                <w:color w:val="002060"/>
                <w:sz w:val="21"/>
                <w:szCs w:val="21"/>
                <w:shd w:val="clear" w:color="auto" w:fill="FFFFFF"/>
              </w:rPr>
              <w:t xml:space="preserve"> peer group</w:t>
            </w:r>
            <w:r w:rsidR="00830910" w:rsidRPr="002F53CF">
              <w:rPr>
                <w:rFonts w:cs="Arial"/>
                <w:color w:val="002060"/>
                <w:sz w:val="21"/>
                <w:szCs w:val="21"/>
                <w:shd w:val="clear" w:color="auto" w:fill="FFFFFF"/>
              </w:rPr>
              <w:t>,</w:t>
            </w:r>
            <w:r w:rsidRPr="002F53CF">
              <w:rPr>
                <w:rFonts w:cs="Arial"/>
                <w:color w:val="002060"/>
                <w:sz w:val="21"/>
                <w:szCs w:val="21"/>
                <w:shd w:val="clear" w:color="auto" w:fill="FFFFFF"/>
              </w:rPr>
              <w:t xml:space="preserve"> hormonal changes and the impact of drugs on </w:t>
            </w:r>
            <w:r w:rsidR="0086595A" w:rsidRPr="002F53CF">
              <w:rPr>
                <w:rFonts w:cs="Arial"/>
                <w:color w:val="002060"/>
                <w:sz w:val="21"/>
                <w:szCs w:val="21"/>
                <w:shd w:val="clear" w:color="auto" w:fill="FFFFFF"/>
              </w:rPr>
              <w:t>his</w:t>
            </w:r>
            <w:r w:rsidRPr="002F53CF">
              <w:rPr>
                <w:rFonts w:cs="Arial"/>
                <w:color w:val="002060"/>
                <w:sz w:val="21"/>
                <w:szCs w:val="21"/>
                <w:shd w:val="clear" w:color="auto" w:fill="FFFFFF"/>
              </w:rPr>
              <w:t xml:space="preserve"> developing brain, had </w:t>
            </w:r>
            <w:r w:rsidR="00830910" w:rsidRPr="002F53CF">
              <w:rPr>
                <w:rFonts w:cs="Arial"/>
                <w:color w:val="002060"/>
                <w:sz w:val="21"/>
                <w:szCs w:val="21"/>
                <w:shd w:val="clear" w:color="auto" w:fill="FFFFFF"/>
              </w:rPr>
              <w:t xml:space="preserve">all </w:t>
            </w:r>
            <w:r w:rsidRPr="002F53CF">
              <w:rPr>
                <w:rFonts w:cs="Arial"/>
                <w:color w:val="002060"/>
                <w:sz w:val="21"/>
                <w:szCs w:val="21"/>
                <w:shd w:val="clear" w:color="auto" w:fill="FFFFFF"/>
              </w:rPr>
              <w:t xml:space="preserve">contributed to </w:t>
            </w:r>
            <w:r w:rsidR="0086595A" w:rsidRPr="002F53CF">
              <w:rPr>
                <w:rFonts w:cs="Arial"/>
                <w:color w:val="002060"/>
                <w:sz w:val="21"/>
                <w:szCs w:val="21"/>
                <w:shd w:val="clear" w:color="auto" w:fill="FFFFFF"/>
              </w:rPr>
              <w:t>his</w:t>
            </w:r>
            <w:r w:rsidRPr="002F53CF">
              <w:rPr>
                <w:rFonts w:cs="Arial"/>
                <w:color w:val="002060"/>
                <w:sz w:val="21"/>
                <w:szCs w:val="21"/>
                <w:shd w:val="clear" w:color="auto" w:fill="FFFFFF"/>
              </w:rPr>
              <w:t xml:space="preserve"> behaviour.</w:t>
            </w:r>
          </w:p>
          <w:bookmarkEnd w:id="41"/>
          <w:p w14:paraId="2EACD0D2" w14:textId="0F299DB7" w:rsidR="003329E1" w:rsidRPr="002F53CF" w:rsidRDefault="0086595A" w:rsidP="00830910">
            <w:pPr>
              <w:spacing w:after="0" w:line="280" w:lineRule="atLeast"/>
              <w:textAlignment w:val="baseline"/>
              <w:rPr>
                <w:rFonts w:cs="Arial"/>
                <w:color w:val="002060"/>
                <w:sz w:val="21"/>
                <w:szCs w:val="21"/>
                <w:shd w:val="clear" w:color="auto" w:fill="FFFFFF"/>
              </w:rPr>
            </w:pPr>
            <w:r w:rsidRPr="002F53CF">
              <w:rPr>
                <w:rFonts w:cs="Arial"/>
                <w:color w:val="002060"/>
                <w:sz w:val="21"/>
                <w:szCs w:val="21"/>
                <w:shd w:val="clear" w:color="auto" w:fill="FFFFFF"/>
              </w:rPr>
              <w:t>Adam</w:t>
            </w:r>
            <w:r w:rsidR="003329E1" w:rsidRPr="002F53CF">
              <w:rPr>
                <w:rFonts w:cs="Arial"/>
                <w:color w:val="002060"/>
                <w:sz w:val="21"/>
                <w:szCs w:val="21"/>
                <w:shd w:val="clear" w:color="auto" w:fill="FFFFFF"/>
              </w:rPr>
              <w:t xml:space="preserve"> </w:t>
            </w:r>
            <w:r w:rsidR="00830910" w:rsidRPr="002F53CF">
              <w:rPr>
                <w:rFonts w:cs="Arial"/>
                <w:color w:val="002060"/>
                <w:sz w:val="21"/>
                <w:szCs w:val="21"/>
                <w:shd w:val="clear" w:color="auto" w:fill="FFFFFF"/>
              </w:rPr>
              <w:t xml:space="preserve">told his VLA lawyer that he </w:t>
            </w:r>
            <w:r w:rsidR="003329E1" w:rsidRPr="002F53CF">
              <w:rPr>
                <w:rFonts w:cs="Arial"/>
                <w:color w:val="002060"/>
                <w:sz w:val="21"/>
                <w:szCs w:val="21"/>
                <w:shd w:val="clear" w:color="auto" w:fill="FFFFFF"/>
              </w:rPr>
              <w:t>rejects the authority of the judge, court or police</w:t>
            </w:r>
            <w:r w:rsidR="00830910" w:rsidRPr="002F53CF">
              <w:rPr>
                <w:rFonts w:cs="Arial"/>
                <w:color w:val="002060"/>
                <w:sz w:val="21"/>
                <w:szCs w:val="21"/>
                <w:shd w:val="clear" w:color="auto" w:fill="FFFFFF"/>
              </w:rPr>
              <w:t>. H</w:t>
            </w:r>
            <w:r w:rsidR="003329E1" w:rsidRPr="002F53CF">
              <w:rPr>
                <w:rFonts w:cs="Arial"/>
                <w:color w:val="002060"/>
                <w:sz w:val="21"/>
                <w:szCs w:val="21"/>
                <w:shd w:val="clear" w:color="auto" w:fill="FFFFFF"/>
              </w:rPr>
              <w:t>e says</w:t>
            </w:r>
            <w:r w:rsidR="00505E40" w:rsidRPr="002F53CF">
              <w:rPr>
                <w:rFonts w:cs="Arial"/>
                <w:color w:val="002060"/>
                <w:sz w:val="21"/>
                <w:szCs w:val="21"/>
                <w:shd w:val="clear" w:color="auto" w:fill="FFFFFF"/>
              </w:rPr>
              <w:t>:</w:t>
            </w:r>
            <w:r w:rsidR="003329E1" w:rsidRPr="002F53CF">
              <w:rPr>
                <w:rFonts w:cs="Arial"/>
                <w:color w:val="002060"/>
                <w:sz w:val="21"/>
                <w:szCs w:val="21"/>
                <w:shd w:val="clear" w:color="auto" w:fill="FFFFFF"/>
              </w:rPr>
              <w:t xml:space="preserve"> </w:t>
            </w:r>
            <w:r w:rsidR="00505E40" w:rsidRPr="002F53CF">
              <w:rPr>
                <w:rFonts w:cs="Arial"/>
                <w:color w:val="002060"/>
                <w:sz w:val="21"/>
                <w:szCs w:val="21"/>
                <w:shd w:val="clear" w:color="auto" w:fill="FFFFFF"/>
              </w:rPr>
              <w:t>“</w:t>
            </w:r>
            <w:r w:rsidR="003329E1" w:rsidRPr="002F53CF">
              <w:rPr>
                <w:rFonts w:cs="Arial"/>
                <w:color w:val="002060"/>
                <w:sz w:val="21"/>
                <w:szCs w:val="21"/>
                <w:shd w:val="clear" w:color="auto" w:fill="FFFFFF"/>
              </w:rPr>
              <w:t xml:space="preserve">the only people </w:t>
            </w:r>
            <w:r w:rsidR="00505E40" w:rsidRPr="002F53CF">
              <w:rPr>
                <w:rFonts w:cs="Arial"/>
                <w:color w:val="002060"/>
                <w:sz w:val="21"/>
                <w:szCs w:val="21"/>
                <w:shd w:val="clear" w:color="auto" w:fill="FFFFFF"/>
              </w:rPr>
              <w:t xml:space="preserve">I </w:t>
            </w:r>
            <w:r w:rsidR="003329E1" w:rsidRPr="002F53CF">
              <w:rPr>
                <w:rFonts w:cs="Arial"/>
                <w:color w:val="002060"/>
                <w:sz w:val="21"/>
                <w:szCs w:val="21"/>
                <w:shd w:val="clear" w:color="auto" w:fill="FFFFFF"/>
              </w:rPr>
              <w:t xml:space="preserve">respect are </w:t>
            </w:r>
            <w:r w:rsidR="00505E40" w:rsidRPr="002F53CF">
              <w:rPr>
                <w:rFonts w:cs="Arial"/>
                <w:color w:val="002060"/>
                <w:sz w:val="21"/>
                <w:szCs w:val="21"/>
                <w:shd w:val="clear" w:color="auto" w:fill="FFFFFF"/>
              </w:rPr>
              <w:t>my [Aboriginal] E</w:t>
            </w:r>
            <w:r w:rsidR="003329E1" w:rsidRPr="002F53CF">
              <w:rPr>
                <w:rFonts w:cs="Arial"/>
                <w:color w:val="002060"/>
                <w:sz w:val="21"/>
                <w:szCs w:val="21"/>
                <w:shd w:val="clear" w:color="auto" w:fill="FFFFFF"/>
              </w:rPr>
              <w:t>lders</w:t>
            </w:r>
            <w:r w:rsidR="00505E40" w:rsidRPr="002F53CF">
              <w:rPr>
                <w:rFonts w:cs="Arial"/>
                <w:color w:val="002060"/>
                <w:sz w:val="21"/>
                <w:szCs w:val="21"/>
                <w:shd w:val="clear" w:color="auto" w:fill="FFFFFF"/>
              </w:rPr>
              <w:t>”</w:t>
            </w:r>
            <w:r w:rsidR="003329E1" w:rsidRPr="002F53CF">
              <w:rPr>
                <w:rFonts w:cs="Arial"/>
                <w:color w:val="002060"/>
                <w:sz w:val="21"/>
                <w:szCs w:val="21"/>
                <w:shd w:val="clear" w:color="auto" w:fill="FFFFFF"/>
              </w:rPr>
              <w:t>.</w:t>
            </w:r>
            <w:r w:rsidR="009F3981" w:rsidRPr="002F53CF">
              <w:rPr>
                <w:rFonts w:cs="Arial"/>
                <w:color w:val="002060"/>
                <w:sz w:val="21"/>
                <w:szCs w:val="21"/>
                <w:shd w:val="clear" w:color="auto" w:fill="FFFFFF"/>
              </w:rPr>
              <w:t xml:space="preserve"> </w:t>
            </w:r>
            <w:r w:rsidR="00505E40" w:rsidRPr="002F53CF">
              <w:rPr>
                <w:rFonts w:cs="Arial"/>
                <w:color w:val="002060"/>
                <w:sz w:val="21"/>
                <w:szCs w:val="21"/>
                <w:shd w:val="clear" w:color="auto" w:fill="FFFFFF"/>
              </w:rPr>
              <w:t xml:space="preserve">Adam’s </w:t>
            </w:r>
            <w:r w:rsidR="003329E1" w:rsidRPr="002F53CF">
              <w:rPr>
                <w:rFonts w:cs="Arial"/>
                <w:color w:val="002060"/>
                <w:sz w:val="21"/>
                <w:szCs w:val="21"/>
                <w:shd w:val="clear" w:color="auto" w:fill="FFFFFF"/>
              </w:rPr>
              <w:t xml:space="preserve">deep identification with </w:t>
            </w:r>
            <w:r w:rsidRPr="002F53CF">
              <w:rPr>
                <w:rFonts w:cs="Arial"/>
                <w:color w:val="002060"/>
                <w:sz w:val="21"/>
                <w:szCs w:val="21"/>
                <w:shd w:val="clear" w:color="auto" w:fill="FFFFFF"/>
              </w:rPr>
              <w:t>his</w:t>
            </w:r>
            <w:r w:rsidR="003329E1" w:rsidRPr="002F53CF">
              <w:rPr>
                <w:rFonts w:cs="Arial"/>
                <w:color w:val="002060"/>
                <w:sz w:val="21"/>
                <w:szCs w:val="21"/>
                <w:shd w:val="clear" w:color="auto" w:fill="FFFFFF"/>
              </w:rPr>
              <w:t xml:space="preserve"> Aboriginal community and the respect he has for h</w:t>
            </w:r>
            <w:r w:rsidR="008420F0">
              <w:rPr>
                <w:rFonts w:cs="Arial"/>
                <w:color w:val="002060"/>
                <w:sz w:val="21"/>
                <w:szCs w:val="21"/>
                <w:shd w:val="clear" w:color="auto" w:fill="FFFFFF"/>
              </w:rPr>
              <w:t>is</w:t>
            </w:r>
            <w:r w:rsidR="003329E1" w:rsidRPr="002F53CF">
              <w:rPr>
                <w:rFonts w:cs="Arial"/>
                <w:color w:val="002060"/>
                <w:sz w:val="21"/>
                <w:szCs w:val="21"/>
                <w:shd w:val="clear" w:color="auto" w:fill="FFFFFF"/>
              </w:rPr>
              <w:t xml:space="preserve"> Aboriginal </w:t>
            </w:r>
            <w:r w:rsidR="00505E40" w:rsidRPr="002F53CF">
              <w:rPr>
                <w:rFonts w:cs="Arial"/>
                <w:color w:val="002060"/>
                <w:sz w:val="21"/>
                <w:szCs w:val="21"/>
                <w:shd w:val="clear" w:color="auto" w:fill="FFFFFF"/>
              </w:rPr>
              <w:t>E</w:t>
            </w:r>
            <w:r w:rsidR="003329E1" w:rsidRPr="002F53CF">
              <w:rPr>
                <w:rFonts w:cs="Arial"/>
                <w:color w:val="002060"/>
                <w:sz w:val="21"/>
                <w:szCs w:val="21"/>
                <w:shd w:val="clear" w:color="auto" w:fill="FFFFFF"/>
              </w:rPr>
              <w:t xml:space="preserve">lders is, according to the psychologist, the key to </w:t>
            </w:r>
            <w:r w:rsidR="00830910" w:rsidRPr="002F53CF">
              <w:rPr>
                <w:rFonts w:cs="Arial"/>
                <w:color w:val="002060"/>
                <w:sz w:val="21"/>
                <w:szCs w:val="21"/>
                <w:shd w:val="clear" w:color="auto" w:fill="FFFFFF"/>
              </w:rPr>
              <w:t xml:space="preserve">Adam’s rehabilitation. The psychologist </w:t>
            </w:r>
            <w:r w:rsidR="003329E1" w:rsidRPr="002F53CF">
              <w:rPr>
                <w:rFonts w:cs="Arial"/>
                <w:color w:val="002060"/>
                <w:sz w:val="21"/>
                <w:szCs w:val="21"/>
                <w:shd w:val="clear" w:color="auto" w:fill="FFFFFF"/>
              </w:rPr>
              <w:t>recommends that a meeting with h</w:t>
            </w:r>
            <w:r w:rsidRPr="002F53CF">
              <w:rPr>
                <w:rFonts w:cs="Arial"/>
                <w:color w:val="002060"/>
                <w:sz w:val="21"/>
                <w:szCs w:val="21"/>
                <w:shd w:val="clear" w:color="auto" w:fill="FFFFFF"/>
              </w:rPr>
              <w:t>is</w:t>
            </w:r>
            <w:r w:rsidR="003329E1" w:rsidRPr="002F53CF">
              <w:rPr>
                <w:rFonts w:cs="Arial"/>
                <w:color w:val="002060"/>
                <w:sz w:val="21"/>
                <w:szCs w:val="21"/>
                <w:shd w:val="clear" w:color="auto" w:fill="FFFFFF"/>
              </w:rPr>
              <w:t xml:space="preserve"> </w:t>
            </w:r>
            <w:r w:rsidR="00161E5C">
              <w:rPr>
                <w:rFonts w:cs="Arial"/>
                <w:color w:val="002060"/>
                <w:sz w:val="21"/>
                <w:szCs w:val="21"/>
                <w:shd w:val="clear" w:color="auto" w:fill="FFFFFF"/>
              </w:rPr>
              <w:t>E</w:t>
            </w:r>
            <w:r w:rsidR="00161E5C" w:rsidRPr="002F53CF">
              <w:rPr>
                <w:rFonts w:cs="Arial"/>
                <w:color w:val="002060"/>
                <w:sz w:val="21"/>
                <w:szCs w:val="21"/>
                <w:shd w:val="clear" w:color="auto" w:fill="FFFFFF"/>
              </w:rPr>
              <w:t xml:space="preserve">lders </w:t>
            </w:r>
            <w:r w:rsidR="003329E1" w:rsidRPr="002F53CF">
              <w:rPr>
                <w:rFonts w:cs="Arial"/>
                <w:color w:val="002060"/>
                <w:sz w:val="21"/>
                <w:szCs w:val="21"/>
                <w:shd w:val="clear" w:color="auto" w:fill="FFFFFF"/>
              </w:rPr>
              <w:t>and community should be facilitated with this goal in mind.</w:t>
            </w:r>
            <w:r w:rsidR="009F3981" w:rsidRPr="002F53CF">
              <w:rPr>
                <w:rFonts w:cs="Arial"/>
                <w:color w:val="002060"/>
                <w:sz w:val="21"/>
                <w:szCs w:val="21"/>
                <w:shd w:val="clear" w:color="auto" w:fill="FFFFFF"/>
              </w:rPr>
              <w:t xml:space="preserve"> </w:t>
            </w:r>
          </w:p>
          <w:p w14:paraId="478ECBB6" w14:textId="4DE3B12F" w:rsidR="00F5465E" w:rsidRPr="00752BC6" w:rsidRDefault="00F5465E" w:rsidP="00752BC6">
            <w:pPr>
              <w:spacing w:after="120"/>
              <w:rPr>
                <w:i/>
                <w:iCs/>
                <w:lang w:eastAsia="en-AU"/>
              </w:rPr>
            </w:pPr>
            <w:r w:rsidRPr="00752BC6">
              <w:rPr>
                <w:i/>
                <w:iCs/>
                <w:sz w:val="20"/>
                <w:szCs w:val="22"/>
                <w:lang w:eastAsia="en-AU"/>
              </w:rPr>
              <w:t>*</w:t>
            </w:r>
            <w:r w:rsidRPr="00752BC6">
              <w:rPr>
                <w:i/>
                <w:iCs/>
                <w:color w:val="002060"/>
                <w:sz w:val="20"/>
                <w:szCs w:val="22"/>
                <w:lang w:eastAsia="en-AU"/>
              </w:rPr>
              <w:t>VLA client,</w:t>
            </w:r>
            <w:r w:rsidR="004A4A3D" w:rsidRPr="00752BC6">
              <w:rPr>
                <w:i/>
                <w:iCs/>
                <w:color w:val="002060"/>
                <w:sz w:val="20"/>
                <w:szCs w:val="22"/>
                <w:lang w:eastAsia="en-AU"/>
              </w:rPr>
              <w:t xml:space="preserve"> </w:t>
            </w:r>
            <w:r w:rsidRPr="00752BC6">
              <w:rPr>
                <w:i/>
                <w:iCs/>
                <w:color w:val="002060"/>
                <w:sz w:val="20"/>
                <w:szCs w:val="22"/>
                <w:lang w:eastAsia="en-AU"/>
              </w:rPr>
              <w:t>not his real name</w:t>
            </w:r>
            <w:r w:rsidRPr="00752BC6">
              <w:rPr>
                <w:i/>
                <w:iCs/>
                <w:sz w:val="20"/>
                <w:szCs w:val="22"/>
                <w:lang w:eastAsia="en-AU"/>
              </w:rPr>
              <w:t xml:space="preserve">. </w:t>
            </w:r>
          </w:p>
        </w:tc>
      </w:tr>
    </w:tbl>
    <w:p w14:paraId="7A5C6A52" w14:textId="77777777" w:rsidR="008A4CFF" w:rsidRPr="002F53CF" w:rsidRDefault="008A4CFF" w:rsidP="008A4CFF">
      <w:pPr>
        <w:shd w:val="clear" w:color="auto" w:fill="FFFFFF"/>
        <w:textAlignment w:val="baseline"/>
        <w:rPr>
          <w:rFonts w:cs="Arial"/>
          <w:color w:val="000000" w:themeColor="text1"/>
          <w:szCs w:val="22"/>
          <w:lang w:eastAsia="en-AU"/>
        </w:rPr>
      </w:pPr>
      <w:r w:rsidRPr="002F53CF">
        <w:rPr>
          <w:rFonts w:cs="Arial"/>
          <w:color w:val="000000" w:themeColor="text1"/>
          <w:szCs w:val="22"/>
          <w:lang w:eastAsia="en-AU"/>
        </w:rPr>
        <w:t>Gladue reports are not used in Australia. The Canadian Gladue decision has legislative underpinning.</w:t>
      </w:r>
      <w:r w:rsidRPr="002F53CF">
        <w:rPr>
          <w:rStyle w:val="FootnoteReference"/>
          <w:rFonts w:cs="Arial"/>
          <w:color w:val="000000" w:themeColor="text1"/>
          <w:szCs w:val="22"/>
          <w:lang w:eastAsia="en-AU"/>
        </w:rPr>
        <w:footnoteReference w:id="54"/>
      </w:r>
      <w:r w:rsidRPr="002F53CF">
        <w:rPr>
          <w:rFonts w:cs="Arial"/>
          <w:color w:val="000000" w:themeColor="text1"/>
          <w:szCs w:val="22"/>
          <w:lang w:eastAsia="en-AU"/>
        </w:rPr>
        <w:t xml:space="preserve"> In contrast, Victorian and other Australian sentencing legislation does not contain similar provisions and the courts have not followed suit. </w:t>
      </w:r>
      <w:r w:rsidRPr="002F53CF">
        <w:t>Bronitt and McSherry concluded in 2017 “The modern trend is firmly against the recognition of customary law and the “cultural context” of the offending behaviour in sentencing decisions”.</w:t>
      </w:r>
      <w:r w:rsidRPr="002F53CF">
        <w:rPr>
          <w:rStyle w:val="FootnoteReference"/>
        </w:rPr>
        <w:footnoteReference w:id="55"/>
      </w:r>
    </w:p>
    <w:p w14:paraId="4667CDA4" w14:textId="249F8FF3" w:rsidR="008A4CFF" w:rsidRPr="002F53CF" w:rsidRDefault="008A4CFF" w:rsidP="008A4CFF">
      <w:pPr>
        <w:rPr>
          <w:rFonts w:cs="Arial"/>
          <w:color w:val="000000" w:themeColor="text1"/>
          <w:szCs w:val="22"/>
          <w:lang w:eastAsia="en-AU"/>
        </w:rPr>
      </w:pPr>
      <w:r w:rsidRPr="002F53CF">
        <w:rPr>
          <w:rFonts w:cs="Arial"/>
          <w:color w:val="000000" w:themeColor="text1"/>
          <w:szCs w:val="22"/>
          <w:lang w:eastAsia="en-AU"/>
        </w:rPr>
        <w:t>The Bail Act</w:t>
      </w:r>
      <w:r w:rsidRPr="002F53CF">
        <w:rPr>
          <w:rFonts w:cs="Arial"/>
          <w:i/>
          <w:iCs/>
          <w:color w:val="000000" w:themeColor="text1"/>
          <w:szCs w:val="22"/>
          <w:lang w:eastAsia="en-AU"/>
        </w:rPr>
        <w:t xml:space="preserve"> </w:t>
      </w:r>
      <w:r w:rsidRPr="002F53CF">
        <w:rPr>
          <w:rFonts w:cs="Arial"/>
          <w:color w:val="000000" w:themeColor="text1"/>
          <w:szCs w:val="22"/>
          <w:lang w:eastAsia="en-AU"/>
        </w:rPr>
        <w:t>s 3A directs bail decision-makers to take into account the person’s cultural background, including the person’s ties to extended family or place, and any other relevant cultural issue or obligation. We recommend that Victorian sentencing legislation</w:t>
      </w:r>
      <w:r w:rsidR="005168D0">
        <w:rPr>
          <w:rFonts w:cs="Arial"/>
          <w:color w:val="000000" w:themeColor="text1"/>
          <w:szCs w:val="22"/>
          <w:lang w:eastAsia="en-AU"/>
        </w:rPr>
        <w:t>, including the CYFA,</w:t>
      </w:r>
      <w:r w:rsidRPr="002F53CF">
        <w:rPr>
          <w:rFonts w:cs="Arial"/>
          <w:color w:val="000000" w:themeColor="text1"/>
          <w:szCs w:val="22"/>
          <w:lang w:eastAsia="en-AU"/>
        </w:rPr>
        <w:t xml:space="preserve"> should include a similar provision.</w:t>
      </w:r>
    </w:p>
    <w:p w14:paraId="1748DE2E" w14:textId="3680C680" w:rsidR="008A4CFF" w:rsidRPr="002F53CF" w:rsidRDefault="008A4CFF" w:rsidP="008A4CFF">
      <w:r w:rsidRPr="002F53CF">
        <w:rPr>
          <w:rFonts w:cs="Arial"/>
          <w:color w:val="000000" w:themeColor="text1"/>
          <w:szCs w:val="22"/>
          <w:lang w:eastAsia="en-AU"/>
        </w:rPr>
        <w:t xml:space="preserve">Finally, it must be </w:t>
      </w:r>
      <w:r w:rsidR="009F3981" w:rsidRPr="002F53CF">
        <w:rPr>
          <w:rFonts w:cs="Arial"/>
          <w:color w:val="000000" w:themeColor="text1"/>
          <w:szCs w:val="22"/>
          <w:lang w:eastAsia="en-AU"/>
        </w:rPr>
        <w:t>highlighted</w:t>
      </w:r>
      <w:r w:rsidRPr="002F53CF">
        <w:rPr>
          <w:rFonts w:cs="Arial"/>
          <w:color w:val="000000" w:themeColor="text1"/>
          <w:szCs w:val="22"/>
          <w:lang w:eastAsia="en-AU"/>
        </w:rPr>
        <w:t xml:space="preserve"> that the success of the Gladue report processes is underpinned by the involvement of Aboriginal community organisations</w:t>
      </w:r>
      <w:r w:rsidR="008E463B" w:rsidRPr="002F53CF">
        <w:rPr>
          <w:rFonts w:cs="Arial"/>
          <w:color w:val="000000" w:themeColor="text1"/>
          <w:szCs w:val="22"/>
          <w:lang w:eastAsia="en-AU"/>
        </w:rPr>
        <w:t xml:space="preserve">. In Canada </w:t>
      </w:r>
      <w:r w:rsidRPr="002F53CF">
        <w:rPr>
          <w:rFonts w:cs="Arial"/>
          <w:color w:val="000000" w:themeColor="text1"/>
          <w:szCs w:val="22"/>
          <w:lang w:eastAsia="en-AU"/>
        </w:rPr>
        <w:t>the Aboriginal Legal Service of Toronto prepares Gladue reports with specifically trained Aboriginal Gladue writers.</w:t>
      </w:r>
      <w:r w:rsidRPr="002F53CF">
        <w:t xml:space="preserve"> A similar process</w:t>
      </w:r>
      <w:r w:rsidR="005168D0">
        <w:t>, with appropriate</w:t>
      </w:r>
      <w:r w:rsidR="004A4A3D">
        <w:t xml:space="preserve"> </w:t>
      </w:r>
      <w:r w:rsidR="005168D0">
        <w:t>funding,</w:t>
      </w:r>
      <w:r w:rsidRPr="002F53CF">
        <w:t xml:space="preserve"> </w:t>
      </w:r>
      <w:r w:rsidR="00E9730E">
        <w:t>should</w:t>
      </w:r>
      <w:r w:rsidR="00E9730E" w:rsidRPr="002F53CF">
        <w:t xml:space="preserve"> </w:t>
      </w:r>
      <w:r w:rsidRPr="002F53CF">
        <w:t xml:space="preserve">accompany </w:t>
      </w:r>
      <w:r w:rsidR="00E9730E">
        <w:t xml:space="preserve">any </w:t>
      </w:r>
      <w:r w:rsidRPr="002F53CF">
        <w:t>legislative change.</w:t>
      </w:r>
    </w:p>
    <w:p w14:paraId="701ED2BA" w14:textId="0CE7550D" w:rsidR="00D22E89" w:rsidRPr="002F53CF" w:rsidRDefault="00D22E89" w:rsidP="006326E7">
      <w:pPr>
        <w:pStyle w:val="Heading2"/>
      </w:pPr>
      <w:bookmarkStart w:id="42" w:name="_Toc25238928"/>
      <w:r w:rsidRPr="002F53CF">
        <w:t>Workforce competency</w:t>
      </w:r>
      <w:bookmarkEnd w:id="42"/>
      <w:r w:rsidRPr="002F53CF">
        <w:t xml:space="preserve"> </w:t>
      </w:r>
    </w:p>
    <w:p w14:paraId="66CD5CF8" w14:textId="250F96E4" w:rsidR="00616BF8" w:rsidRDefault="00E47D00" w:rsidP="00616BF8">
      <w:pPr>
        <w:shd w:val="clear" w:color="auto" w:fill="FFFFFF"/>
        <w:textAlignment w:val="baseline"/>
      </w:pPr>
      <w:r w:rsidRPr="002F53CF">
        <w:t xml:space="preserve">A </w:t>
      </w:r>
      <w:proofErr w:type="gramStart"/>
      <w:r w:rsidRPr="002F53CF">
        <w:t>key way</w:t>
      </w:r>
      <w:proofErr w:type="gramEnd"/>
      <w:r w:rsidRPr="002F53CF">
        <w:t xml:space="preserve"> to reduce the overrepresentation of </w:t>
      </w:r>
      <w:r w:rsidR="00E22E00" w:rsidRPr="002F53CF">
        <w:t>Aboriginal</w:t>
      </w:r>
      <w:r w:rsidRPr="002F53CF">
        <w:t xml:space="preserve"> children and young people in the youth justice system is to ensure that all decision</w:t>
      </w:r>
      <w:r w:rsidR="006200E2">
        <w:t>-</w:t>
      </w:r>
      <w:r w:rsidRPr="002F53CF">
        <w:t>makers and service</w:t>
      </w:r>
      <w:r w:rsidR="006200E2">
        <w:t>-</w:t>
      </w:r>
      <w:r w:rsidRPr="002F53CF">
        <w:t>providers are culturally competent and trauma</w:t>
      </w:r>
      <w:r w:rsidR="0083241B">
        <w:t>-</w:t>
      </w:r>
      <w:r w:rsidRPr="002F53CF">
        <w:t>informed.</w:t>
      </w:r>
      <w:r w:rsidR="001726E6">
        <w:t xml:space="preserve"> </w:t>
      </w:r>
      <w:r w:rsidR="00AA2FB4" w:rsidRPr="002F53CF">
        <w:t xml:space="preserve">It is critical that </w:t>
      </w:r>
      <w:r w:rsidR="009A7F25" w:rsidRPr="002F53CF">
        <w:t xml:space="preserve">all </w:t>
      </w:r>
      <w:r w:rsidR="008E463B" w:rsidRPr="002F53CF">
        <w:t xml:space="preserve">relevant </w:t>
      </w:r>
      <w:r w:rsidR="00AA2FB4" w:rsidRPr="002F53CF">
        <w:t>agencies</w:t>
      </w:r>
      <w:r w:rsidR="008E463B" w:rsidRPr="002F53CF">
        <w:t xml:space="preserve">, including child protection, youth justice, </w:t>
      </w:r>
      <w:r w:rsidR="008E463B" w:rsidRPr="002F53CF">
        <w:lastRenderedPageBreak/>
        <w:t>law enforcement, prosecutions, defence lawyers and court staff,</w:t>
      </w:r>
      <w:r w:rsidR="00AA2FB4" w:rsidRPr="002F53CF">
        <w:t xml:space="preserve"> </w:t>
      </w:r>
      <w:r w:rsidR="00D22E89" w:rsidRPr="002F53CF">
        <w:t xml:space="preserve">ensure ongoing cultural competency training, </w:t>
      </w:r>
      <w:r w:rsidR="00AA2FB4" w:rsidRPr="002F53CF">
        <w:t xml:space="preserve">and </w:t>
      </w:r>
      <w:r w:rsidR="00D22E89" w:rsidRPr="002F53CF">
        <w:t xml:space="preserve">actively </w:t>
      </w:r>
      <w:r w:rsidR="00AA2FB4" w:rsidRPr="002F53CF">
        <w:t>demonstrate</w:t>
      </w:r>
      <w:r w:rsidR="00D22E89" w:rsidRPr="002F53CF">
        <w:t xml:space="preserve"> awareness of adolescent welfare, cultural context and the impact of trauma</w:t>
      </w:r>
      <w:r w:rsidR="00AA2FB4" w:rsidRPr="002F53CF">
        <w:t xml:space="preserve"> on these young people</w:t>
      </w:r>
      <w:r w:rsidR="00D22E89" w:rsidRPr="002F53CF">
        <w:t>.</w:t>
      </w:r>
      <w:r w:rsidR="00616BF8" w:rsidRPr="002F53CF">
        <w:t xml:space="preserve"> In our view this would be best accomplished with clear targets for the entire youth justice workforce</w:t>
      </w:r>
      <w:r w:rsidR="008E463B" w:rsidRPr="002F53CF">
        <w:t>.</w:t>
      </w:r>
    </w:p>
    <w:p w14:paraId="5BE32F90" w14:textId="1FDDC0BD" w:rsidR="00616BF8" w:rsidRPr="002F53CF" w:rsidRDefault="00D81AD2" w:rsidP="00D22E89">
      <w:pPr>
        <w:shd w:val="clear" w:color="auto" w:fill="FFFFFF"/>
        <w:textAlignment w:val="baseline"/>
      </w:pPr>
      <w:r>
        <w:t>This</w:t>
      </w:r>
      <w:r w:rsidRPr="002F53CF">
        <w:t xml:space="preserve"> </w:t>
      </w:r>
      <w:r w:rsidR="00D22E89" w:rsidRPr="002F53CF">
        <w:t>is a particular issue for youth custody staff, as there is a high turnover rate of youth custody officers</w:t>
      </w:r>
      <w:r w:rsidR="00616BF8" w:rsidRPr="002F53CF">
        <w:t xml:space="preserve"> and their workforce suffers from frequent absenteeism. As a result, young people are frequently held in lockdown. The Victorian Ombudsman reported that Custody Officers at Malmsbury regularly use lockdowns and solitary confinement as a behaviour control tool.</w:t>
      </w:r>
      <w:r w:rsidR="008E463B" w:rsidRPr="002F53CF">
        <w:rPr>
          <w:rStyle w:val="FootnoteReference"/>
        </w:rPr>
        <w:t xml:space="preserve"> </w:t>
      </w:r>
      <w:r w:rsidR="008E463B" w:rsidRPr="002F53CF">
        <w:rPr>
          <w:rStyle w:val="FootnoteReference"/>
        </w:rPr>
        <w:footnoteReference w:id="56"/>
      </w:r>
      <w:r w:rsidR="00616BF8" w:rsidRPr="002F53CF">
        <w:t xml:space="preserve"> This practice is aggravating the reactivity of young people in custody, resulting in disruptive behaviour. </w:t>
      </w:r>
    </w:p>
    <w:p w14:paraId="62660770" w14:textId="7F3835B1" w:rsidR="00251709" w:rsidRDefault="00D20EB2" w:rsidP="00D22E89">
      <w:pPr>
        <w:shd w:val="clear" w:color="auto" w:fill="FFFFFF"/>
        <w:textAlignment w:val="baseline"/>
      </w:pPr>
      <w:r w:rsidRPr="002F53CF">
        <w:t xml:space="preserve">Investment in resourcing and intensive training for the Youth Justice community workforce would improve quality and consistency in bail assessments and supervision, community assessments and supervision and parole planning and support. In VLA’s experience, there is significant variability in the size and seniority of the youth justice workforce across Victoria. </w:t>
      </w:r>
      <w:r w:rsidR="00565CD8">
        <w:t xml:space="preserve">This </w:t>
      </w:r>
      <w:r w:rsidRPr="002F53CF">
        <w:t>results in insufficient support in the system and insufficient access to programs and plans.</w:t>
      </w:r>
    </w:p>
    <w:p w14:paraId="7FF8D94A" w14:textId="1937C53D" w:rsidR="00D22E89" w:rsidRDefault="00D81AD2" w:rsidP="00D22E89">
      <w:pPr>
        <w:shd w:val="clear" w:color="auto" w:fill="FFFFFF"/>
        <w:textAlignment w:val="baseline"/>
      </w:pPr>
      <w:r>
        <w:t>T</w:t>
      </w:r>
      <w:r w:rsidR="00D22E89" w:rsidRPr="002F53CF">
        <w:t xml:space="preserve">here should be a </w:t>
      </w:r>
      <w:r w:rsidR="008E463B" w:rsidRPr="002F53CF">
        <w:t xml:space="preserve">consistent, </w:t>
      </w:r>
      <w:r w:rsidR="00D22E89" w:rsidRPr="002F53CF">
        <w:t>specialised magistracy in Children’s Court</w:t>
      </w:r>
      <w:r w:rsidR="008E463B" w:rsidRPr="002F53CF">
        <w:t>,</w:t>
      </w:r>
      <w:r w:rsidR="00D20EB2" w:rsidRPr="002F53CF">
        <w:t xml:space="preserve"> trained in youth crime, child protection, child and adolescent brain development, culturally safe and</w:t>
      </w:r>
      <w:r w:rsidR="0083241B">
        <w:t xml:space="preserve"> trauma</w:t>
      </w:r>
      <w:r w:rsidR="0083241B">
        <w:noBreakHyphen/>
        <w:t xml:space="preserve">informed </w:t>
      </w:r>
      <w:r w:rsidR="00D20EB2" w:rsidRPr="002F53CF">
        <w:t>practice, and communication</w:t>
      </w:r>
      <w:r w:rsidR="0083241B">
        <w:t xml:space="preserve"> with children</w:t>
      </w:r>
      <w:r w:rsidR="00D20EB2" w:rsidRPr="002F53CF">
        <w:t xml:space="preserve">. </w:t>
      </w:r>
      <w:r w:rsidR="00616BF8" w:rsidRPr="002F53CF">
        <w:t>We recognise that t</w:t>
      </w:r>
      <w:r w:rsidR="00D22E89" w:rsidRPr="002F53CF">
        <w:t>his would require intensive training in the regions to ensure that the small number of magistrates in some courts have had the requisite specialist training.</w:t>
      </w:r>
    </w:p>
    <w:p w14:paraId="17BDEAA5" w14:textId="37C22227" w:rsidR="00D81AD2" w:rsidRPr="002F53CF" w:rsidRDefault="00D81AD2" w:rsidP="00D22E89">
      <w:pPr>
        <w:shd w:val="clear" w:color="auto" w:fill="FFFFFF"/>
        <w:textAlignment w:val="baseline"/>
      </w:pPr>
      <w:r>
        <w:t xml:space="preserve">Finally, Aboriginal Community Controlled Organisations already play a vital role in delivering culturally specific programs which are trauma informed. Adequate and appropriate funding should be provided to assist such organisations to continue their services. Similarly, </w:t>
      </w:r>
      <w:proofErr w:type="spellStart"/>
      <w:r>
        <w:rPr>
          <w:i/>
          <w:iCs/>
        </w:rPr>
        <w:t>Balit</w:t>
      </w:r>
      <w:proofErr w:type="spellEnd"/>
      <w:r>
        <w:rPr>
          <w:i/>
          <w:iCs/>
        </w:rPr>
        <w:t xml:space="preserve"> </w:t>
      </w:r>
      <w:proofErr w:type="spellStart"/>
      <w:r>
        <w:rPr>
          <w:i/>
          <w:iCs/>
        </w:rPr>
        <w:t>Ngulu</w:t>
      </w:r>
      <w:proofErr w:type="spellEnd"/>
      <w:r>
        <w:rPr>
          <w:i/>
          <w:iCs/>
        </w:rPr>
        <w:t xml:space="preserve"> </w:t>
      </w:r>
      <w:r>
        <w:t>was the first and only legal service that expressly catered for the needs of Aboriginal children and young people. We support the provision of funding to reinstate the service and with a state</w:t>
      </w:r>
      <w:r w:rsidR="009E2DD2">
        <w:t>-</w:t>
      </w:r>
      <w:r>
        <w:t xml:space="preserve">wide reach. </w:t>
      </w:r>
    </w:p>
    <w:sectPr w:rsidR="00D81AD2" w:rsidRPr="002F53CF" w:rsidSect="003074A8">
      <w:headerReference w:type="even" r:id="rId18"/>
      <w:headerReference w:type="first" r:id="rId19"/>
      <w:footerReference w:type="first" r:id="rId20"/>
      <w:pgSz w:w="11906" w:h="16838" w:code="9"/>
      <w:pgMar w:top="1021" w:right="1134" w:bottom="851"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B450" w14:textId="77777777" w:rsidR="00C56518" w:rsidRDefault="00C56518">
      <w:r>
        <w:separator/>
      </w:r>
    </w:p>
    <w:p w14:paraId="54A22B3E" w14:textId="77777777" w:rsidR="00C56518" w:rsidRDefault="00C56518"/>
    <w:p w14:paraId="6C61BC9E" w14:textId="77777777" w:rsidR="00C56518" w:rsidRDefault="00C56518"/>
  </w:endnote>
  <w:endnote w:type="continuationSeparator" w:id="0">
    <w:p w14:paraId="6A745FBB" w14:textId="77777777" w:rsidR="00C56518" w:rsidRDefault="00C56518">
      <w:r>
        <w:continuationSeparator/>
      </w:r>
    </w:p>
    <w:p w14:paraId="0D89823F" w14:textId="77777777" w:rsidR="00C56518" w:rsidRDefault="00C56518"/>
    <w:p w14:paraId="6F566148" w14:textId="77777777" w:rsidR="00C56518" w:rsidRDefault="00C56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08E8" w14:textId="77777777" w:rsidR="00C56518" w:rsidRDefault="00C5651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370F" w14:textId="00301072" w:rsidR="00C56518" w:rsidRDefault="00C56518" w:rsidP="00632BC6">
    <w:pPr>
      <w:pStyle w:val="VLAdivision"/>
    </w:pPr>
    <w:r>
      <w:t>Victoria Legal Aid</w:t>
    </w:r>
  </w:p>
  <w:p w14:paraId="1F7A170D" w14:textId="5252B9FD" w:rsidR="00C56518" w:rsidRDefault="00C56518" w:rsidP="00632BC6">
    <w:pPr>
      <w:pStyle w:val="Confidentialityclause"/>
      <w:spacing w:before="800"/>
      <w:rPr>
        <w:bCs w:val="0"/>
      </w:rPr>
    </w:pPr>
    <w:r w:rsidRPr="00632BC6">
      <w:rPr>
        <w:color w:val="971A4B"/>
      </w:rPr>
      <w:t>© 2019</w:t>
    </w:r>
    <w:r>
      <w:rPr>
        <w:color w:val="971A4B"/>
      </w:rPr>
      <w:t xml:space="preserve"> </w:t>
    </w:r>
    <w:r w:rsidRPr="005D5637">
      <w:rPr>
        <w:color w:val="971A4B"/>
      </w:rPr>
      <w:t>Victoria Legal Aid.</w:t>
    </w:r>
    <w:r>
      <w:t xml:space="preserve"> </w:t>
    </w:r>
    <w:r w:rsidRPr="006E2882">
      <w:rPr>
        <w:bCs w:val="0"/>
      </w:rPr>
      <w:t>Reproduction without express written permission is prohibited</w:t>
    </w:r>
    <w:r>
      <w:rPr>
        <w:bCs w:val="0"/>
      </w:rPr>
      <w:t>.</w:t>
    </w:r>
  </w:p>
  <w:p w14:paraId="29D32132" w14:textId="64B1C348" w:rsidR="00C56518" w:rsidRDefault="00C56518" w:rsidP="00632BC6">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Pr="00495ED9">
      <w:rPr>
        <w:rFonts w:cs="Arial"/>
        <w:szCs w:val="18"/>
      </w:rPr>
      <w:t>Level 9, 570 Bourke</w:t>
    </w:r>
    <w:r>
      <w:rPr>
        <w:rFonts w:cs="Arial"/>
        <w:sz w:val="16"/>
      </w:rPr>
      <w:t xml:space="preserve"> </w:t>
    </w:r>
    <w:r w:rsidRPr="006E2882">
      <w:rPr>
        <w:bCs w:val="0"/>
      </w:rPr>
      <w:t>Street, Melbourne Vic</w:t>
    </w:r>
    <w:r>
      <w:rPr>
        <w:bCs w:val="0"/>
      </w:rPr>
      <w:t xml:space="preserve"> </w:t>
    </w:r>
    <w:r w:rsidRPr="006E2882">
      <w:rPr>
        <w:bCs w:val="0"/>
      </w:rPr>
      <w:t>3000.</w:t>
    </w:r>
  </w:p>
  <w:p w14:paraId="3748C97A" w14:textId="77777777" w:rsidR="00C56518" w:rsidRPr="00985BF8" w:rsidRDefault="00C56518" w:rsidP="00985BF8">
    <w:pPr>
      <w:pStyle w:val="Confidentialityclause"/>
      <w:rPr>
        <w:bCs w:val="0"/>
      </w:rPr>
    </w:pPr>
    <w:r w:rsidRPr="00985BF8">
      <w:rPr>
        <w:bCs w:val="0"/>
      </w:rPr>
      <w:t>Disclaimer</w:t>
    </w:r>
  </w:p>
  <w:p w14:paraId="7E662D60" w14:textId="77777777" w:rsidR="00C56518" w:rsidRPr="00985BF8" w:rsidRDefault="00C56518" w:rsidP="00985BF8">
    <w:pPr>
      <w:pStyle w:val="Confidentialityclause"/>
      <w:rPr>
        <w:bCs w:val="0"/>
      </w:rPr>
    </w:pPr>
    <w:r w:rsidRPr="00985BF8">
      <w:rPr>
        <w:bCs w:val="0"/>
      </w:rPr>
      <w:t>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D2E1" w14:textId="4D58BACF" w:rsidR="00C56518" w:rsidRPr="005A14A5" w:rsidRDefault="00C56518" w:rsidP="000A3657">
    <w:pPr>
      <w:pStyle w:val="Filename"/>
      <w:tabs>
        <w:tab w:val="clear" w:pos="9240"/>
      </w:tabs>
      <w:jc w:val="center"/>
    </w:pPr>
    <w:r w:rsidRPr="005A14A5">
      <w:t xml:space="preserve">Victoria Legal Aid – Submission to </w:t>
    </w:r>
    <w:r w:rsidRPr="005A14A5">
      <w:rPr>
        <w:i/>
        <w:iCs/>
      </w:rPr>
      <w:t>Our Youth, Our Way</w:t>
    </w:r>
    <w:r w:rsidRPr="005A14A5">
      <w:t xml:space="preserve"> – November 2019</w:t>
    </w:r>
  </w:p>
  <w:p w14:paraId="449BB284" w14:textId="77777777" w:rsidR="00C56518" w:rsidRPr="005A14A5" w:rsidRDefault="00C56518" w:rsidP="00161EEF">
    <w:pPr>
      <w:pStyle w:val="Filename"/>
      <w:pBdr>
        <w:top w:val="none" w:sz="0" w:space="0" w:color="auto"/>
      </w:pBdr>
      <w:tabs>
        <w:tab w:val="clear" w:pos="9240"/>
      </w:tabs>
      <w:jc w:val="center"/>
      <w:rPr>
        <w:szCs w:val="18"/>
      </w:rPr>
    </w:pPr>
    <w:r w:rsidRPr="005A14A5">
      <w:rPr>
        <w:rStyle w:val="PageNumber"/>
      </w:rPr>
      <w:t xml:space="preserve">- </w:t>
    </w:r>
    <w:r w:rsidRPr="005A14A5">
      <w:rPr>
        <w:rStyle w:val="PageNumber"/>
      </w:rPr>
      <w:fldChar w:fldCharType="begin"/>
    </w:r>
    <w:r w:rsidRPr="005A14A5">
      <w:rPr>
        <w:rStyle w:val="PageNumber"/>
      </w:rPr>
      <w:instrText xml:space="preserve"> PAGE </w:instrText>
    </w:r>
    <w:r w:rsidRPr="005A14A5">
      <w:rPr>
        <w:rStyle w:val="PageNumber"/>
      </w:rPr>
      <w:fldChar w:fldCharType="separate"/>
    </w:r>
    <w:r w:rsidRPr="005A14A5">
      <w:rPr>
        <w:rStyle w:val="PageNumber"/>
        <w:noProof/>
      </w:rPr>
      <w:t>3</w:t>
    </w:r>
    <w:r w:rsidRPr="005A14A5">
      <w:rPr>
        <w:rStyle w:val="PageNumber"/>
      </w:rPr>
      <w:fldChar w:fldCharType="end"/>
    </w:r>
    <w:r w:rsidRPr="005A14A5">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8B80" w14:textId="0403CDFD" w:rsidR="00C56518" w:rsidRPr="005A14A5" w:rsidRDefault="00C56518" w:rsidP="00546E1D">
    <w:pPr>
      <w:pStyle w:val="Filename"/>
      <w:tabs>
        <w:tab w:val="clear" w:pos="9240"/>
      </w:tabs>
      <w:jc w:val="center"/>
    </w:pPr>
    <w:r w:rsidRPr="005A14A5">
      <w:t xml:space="preserve">Victoria Legal Aid – Submission to </w:t>
    </w:r>
    <w:r w:rsidRPr="005A14A5">
      <w:rPr>
        <w:i/>
        <w:iCs/>
      </w:rPr>
      <w:t>Our Youth, Our Way</w:t>
    </w:r>
    <w:r w:rsidRPr="005A14A5">
      <w:t xml:space="preserve"> – November 2019</w:t>
    </w:r>
  </w:p>
  <w:p w14:paraId="63EDB2AF" w14:textId="77777777" w:rsidR="00C56518" w:rsidRPr="005A14A5" w:rsidRDefault="00C56518" w:rsidP="00161EEF">
    <w:pPr>
      <w:pStyle w:val="Filename"/>
      <w:pBdr>
        <w:top w:val="none" w:sz="0" w:space="0" w:color="auto"/>
      </w:pBdr>
      <w:tabs>
        <w:tab w:val="clear" w:pos="9240"/>
      </w:tabs>
      <w:jc w:val="center"/>
      <w:rPr>
        <w:szCs w:val="18"/>
      </w:rPr>
    </w:pPr>
    <w:r w:rsidRPr="005A14A5">
      <w:rPr>
        <w:rStyle w:val="PageNumber"/>
      </w:rPr>
      <w:t xml:space="preserve">- </w:t>
    </w:r>
    <w:r w:rsidRPr="005A14A5">
      <w:rPr>
        <w:rStyle w:val="PageNumber"/>
      </w:rPr>
      <w:fldChar w:fldCharType="begin"/>
    </w:r>
    <w:r w:rsidRPr="005A14A5">
      <w:rPr>
        <w:rStyle w:val="PageNumber"/>
      </w:rPr>
      <w:instrText xml:space="preserve"> PAGE </w:instrText>
    </w:r>
    <w:r w:rsidRPr="005A14A5">
      <w:rPr>
        <w:rStyle w:val="PageNumber"/>
      </w:rPr>
      <w:fldChar w:fldCharType="separate"/>
    </w:r>
    <w:r w:rsidRPr="005A14A5">
      <w:rPr>
        <w:rStyle w:val="PageNumber"/>
        <w:noProof/>
      </w:rPr>
      <w:t>1</w:t>
    </w:r>
    <w:r w:rsidRPr="005A14A5">
      <w:rPr>
        <w:rStyle w:val="PageNumber"/>
      </w:rPr>
      <w:fldChar w:fldCharType="end"/>
    </w:r>
    <w:r w:rsidRPr="005A14A5">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D002" w14:textId="77777777" w:rsidR="00C56518" w:rsidRPr="00E9228F" w:rsidRDefault="00C56518" w:rsidP="00E9228F">
      <w:pPr>
        <w:rPr>
          <w:sz w:val="18"/>
          <w:szCs w:val="18"/>
        </w:rPr>
      </w:pPr>
      <w:r w:rsidRPr="006831FC">
        <w:rPr>
          <w:sz w:val="18"/>
        </w:rPr>
        <w:separator/>
      </w:r>
    </w:p>
  </w:footnote>
  <w:footnote w:type="continuationSeparator" w:id="0">
    <w:p w14:paraId="54C0F83E" w14:textId="77777777" w:rsidR="00C56518" w:rsidRDefault="00C56518">
      <w:r>
        <w:continuationSeparator/>
      </w:r>
    </w:p>
    <w:p w14:paraId="0A004F2C" w14:textId="77777777" w:rsidR="00C56518" w:rsidRDefault="00C56518"/>
    <w:p w14:paraId="48EA0CFF" w14:textId="77777777" w:rsidR="00C56518" w:rsidRDefault="00C56518"/>
  </w:footnote>
  <w:footnote w:id="1">
    <w:p w14:paraId="3A848170" w14:textId="6DF40A5D"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The Inquiry terms refers to ‘Aboriginal children and young peoples’ and VLA has adopted this phrase throughout this submission. </w:t>
      </w:r>
    </w:p>
  </w:footnote>
  <w:footnote w:id="2">
    <w:p w14:paraId="4AFF5C5B" w14:textId="784032B1" w:rsidR="00C56518" w:rsidRPr="00985BF8" w:rsidRDefault="00C56518" w:rsidP="003074A8">
      <w:pPr>
        <w:pStyle w:val="FootnoteText"/>
        <w:spacing w:before="0" w:line="240" w:lineRule="auto"/>
        <w:rPr>
          <w:lang w:val="en-US"/>
        </w:rPr>
      </w:pPr>
      <w:r>
        <w:rPr>
          <w:rStyle w:val="FootnoteReference"/>
        </w:rPr>
        <w:footnoteRef/>
      </w:r>
      <w:r>
        <w:t xml:space="preserve"> </w:t>
      </w:r>
      <w:r>
        <w:rPr>
          <w:lang w:val="en-US"/>
        </w:rPr>
        <w:t xml:space="preserve">Victoria Legal Aid, </w:t>
      </w:r>
      <w:r w:rsidRPr="00985BF8">
        <w:rPr>
          <w:i/>
          <w:iCs/>
          <w:lang w:val="en-US"/>
        </w:rPr>
        <w:t>Annual Report 2018–19</w:t>
      </w:r>
      <w:r>
        <w:rPr>
          <w:lang w:val="en-US"/>
        </w:rPr>
        <w:t>.</w:t>
      </w:r>
    </w:p>
  </w:footnote>
  <w:footnote w:id="3">
    <w:p w14:paraId="12DAEE44" w14:textId="77777777" w:rsidR="00C56518" w:rsidRPr="00981DB7" w:rsidRDefault="00C56518" w:rsidP="003074A8">
      <w:pPr>
        <w:pStyle w:val="FootnoteText"/>
        <w:spacing w:before="0" w:line="240" w:lineRule="auto"/>
        <w:rPr>
          <w:rFonts w:cs="Arial"/>
          <w:szCs w:val="18"/>
        </w:rPr>
      </w:pPr>
      <w:r w:rsidRPr="00981DB7">
        <w:rPr>
          <w:rStyle w:val="FootnoteReference"/>
          <w:rFonts w:cs="Arial"/>
          <w:sz w:val="18"/>
          <w:szCs w:val="18"/>
        </w:rPr>
        <w:footnoteRef/>
      </w:r>
      <w:r w:rsidRPr="00981DB7">
        <w:rPr>
          <w:rFonts w:cs="Arial"/>
          <w:szCs w:val="18"/>
        </w:rPr>
        <w:t xml:space="preserve"> Victoria Legal Aid and Analytics for Change, </w:t>
      </w:r>
      <w:r w:rsidRPr="00981DB7">
        <w:rPr>
          <w:rFonts w:cs="Arial"/>
          <w:i/>
          <w:iCs/>
          <w:szCs w:val="18"/>
        </w:rPr>
        <w:t>VLA Client and Service Data Analysis</w:t>
      </w:r>
      <w:r w:rsidRPr="00981DB7">
        <w:rPr>
          <w:rFonts w:cs="Arial"/>
          <w:szCs w:val="18"/>
        </w:rPr>
        <w:t xml:space="preserve">, 2017, </w:t>
      </w:r>
      <w:hyperlink r:id="rId1" w:history="1">
        <w:r w:rsidRPr="00981DB7">
          <w:rPr>
            <w:rStyle w:val="Hyperlink"/>
            <w:szCs w:val="18"/>
          </w:rPr>
          <w:t>https://www.legalaid.vic.gov.au/about-us/research-and-analysis/client-profiles/client-profiles-analysis-of-2006-16-data</w:t>
        </w:r>
      </w:hyperlink>
      <w:r w:rsidRPr="00981DB7">
        <w:rPr>
          <w:szCs w:val="18"/>
        </w:rPr>
        <w:t>.</w:t>
      </w:r>
    </w:p>
  </w:footnote>
  <w:footnote w:id="4">
    <w:p w14:paraId="50EA053A" w14:textId="2BB8211F" w:rsidR="00C56518" w:rsidRPr="00981DB7" w:rsidRDefault="00C56518" w:rsidP="003074A8">
      <w:pPr>
        <w:pStyle w:val="FootnoteText"/>
        <w:spacing w:before="0" w:line="240" w:lineRule="auto"/>
        <w:rPr>
          <w:rFonts w:cs="Arial"/>
          <w:szCs w:val="18"/>
        </w:rPr>
      </w:pPr>
      <w:r w:rsidRPr="00981DB7">
        <w:rPr>
          <w:rStyle w:val="FootnoteReference"/>
          <w:rFonts w:cs="Arial"/>
          <w:sz w:val="18"/>
          <w:szCs w:val="18"/>
        </w:rPr>
        <w:footnoteRef/>
      </w:r>
      <w:r w:rsidRPr="00981DB7">
        <w:rPr>
          <w:rFonts w:cs="Arial"/>
          <w:szCs w:val="18"/>
        </w:rPr>
        <w:t xml:space="preserve"> Ibid.</w:t>
      </w:r>
    </w:p>
  </w:footnote>
  <w:footnote w:id="5">
    <w:p w14:paraId="03E6C574" w14:textId="0E2E0A43" w:rsidR="00C56518" w:rsidRPr="00EB02DF" w:rsidRDefault="00C56518" w:rsidP="003074A8">
      <w:pPr>
        <w:pStyle w:val="FootnoteText"/>
        <w:spacing w:before="0" w:line="240" w:lineRule="auto"/>
        <w:ind w:left="0" w:firstLine="0"/>
        <w:rPr>
          <w:lang w:val="en-US"/>
        </w:rPr>
      </w:pPr>
      <w:r>
        <w:rPr>
          <w:rStyle w:val="FootnoteReference"/>
        </w:rPr>
        <w:footnoteRef/>
      </w:r>
      <w:r>
        <w:rPr>
          <w:lang w:val="en-US"/>
        </w:rPr>
        <w:t xml:space="preserve"> Victoria Legal Aid, </w:t>
      </w:r>
      <w:r w:rsidRPr="00985BF8">
        <w:rPr>
          <w:i/>
          <w:iCs/>
          <w:lang w:val="en-US"/>
        </w:rPr>
        <w:t>Annual Report 2018–19</w:t>
      </w:r>
      <w:r>
        <w:rPr>
          <w:lang w:val="en-US"/>
        </w:rPr>
        <w:t>.</w:t>
      </w:r>
    </w:p>
  </w:footnote>
  <w:footnote w:id="6">
    <w:p w14:paraId="7403F69E" w14:textId="77777777" w:rsidR="00C56518" w:rsidRPr="009D20D3" w:rsidRDefault="00C56518" w:rsidP="000B4571">
      <w:pPr>
        <w:pStyle w:val="FootnoteText"/>
      </w:pPr>
      <w:r>
        <w:rPr>
          <w:rStyle w:val="FootnoteReference"/>
        </w:rPr>
        <w:footnoteRef/>
      </w:r>
      <w:r>
        <w:t xml:space="preserve"> See Commission for Young People and Children, </w:t>
      </w:r>
      <w:r>
        <w:rPr>
          <w:i/>
          <w:iCs/>
        </w:rPr>
        <w:t>Always was, always will be koori children: Systemic inquiry into services provided to Aboriginal children and young people in out of home care in Victoria</w:t>
      </w:r>
      <w:r>
        <w:t xml:space="preserve">, 2016 </w:t>
      </w:r>
      <w:hyperlink r:id="rId2" w:history="1">
        <w:r>
          <w:rPr>
            <w:rStyle w:val="Hyperlink"/>
          </w:rPr>
          <w:t>https://ccyp.vic.gov.au/assets/Publications-inquiries/always-was-always-will-be-koori-children-inquiry-report-oct16.pdf</w:t>
        </w:r>
      </w:hyperlink>
    </w:p>
  </w:footnote>
  <w:footnote w:id="7">
    <w:p w14:paraId="57190F1F" w14:textId="3F998590" w:rsidR="00C56518" w:rsidRPr="009D20D3" w:rsidRDefault="00C56518" w:rsidP="000B4571">
      <w:pPr>
        <w:pStyle w:val="FootnoteText"/>
      </w:pPr>
      <w:r>
        <w:rPr>
          <w:rStyle w:val="FootnoteReference"/>
        </w:rPr>
        <w:footnoteRef/>
      </w:r>
      <w:r>
        <w:t xml:space="preserve"> See Gippsland Legal Assistance Forum, </w:t>
      </w:r>
      <w:r>
        <w:rPr>
          <w:i/>
          <w:iCs/>
        </w:rPr>
        <w:t xml:space="preserve">Equal Justice for a strong, healthy, resilient Latrobe Valley, </w:t>
      </w:r>
      <w:r>
        <w:t>February 2019, p</w:t>
      </w:r>
      <w:r w:rsidR="004A4A3D">
        <w:t> </w:t>
      </w:r>
      <w:r>
        <w:t xml:space="preserve">24 </w:t>
      </w:r>
      <w:hyperlink r:id="rId3" w:history="1">
        <w:r>
          <w:rPr>
            <w:rStyle w:val="Hyperlink"/>
          </w:rPr>
          <w:t>https://www.legalaid.vic.gov.au/sites/www.legalaid.vic.gov.au/files/vla-equal-justice-for-a-strong-equal-and-resilient-latrobe-valley.pdf</w:t>
        </w:r>
      </w:hyperlink>
      <w:r w:rsidRPr="009D20D3">
        <w:t xml:space="preserve"> </w:t>
      </w:r>
    </w:p>
  </w:footnote>
  <w:footnote w:id="8">
    <w:p w14:paraId="7765FEB0" w14:textId="77777777" w:rsidR="00C56518" w:rsidRDefault="00C56518" w:rsidP="000B4571">
      <w:pPr>
        <w:pStyle w:val="FootnoteText"/>
      </w:pPr>
      <w:r>
        <w:rPr>
          <w:rStyle w:val="FootnoteReference"/>
        </w:rPr>
        <w:footnoteRef/>
      </w:r>
      <w:r>
        <w:t xml:space="preserve"> See above p 29. </w:t>
      </w:r>
    </w:p>
  </w:footnote>
  <w:footnote w:id="9">
    <w:p w14:paraId="1EE88B65" w14:textId="77777777" w:rsidR="00C56518" w:rsidRDefault="00C56518" w:rsidP="000B4571">
      <w:pPr>
        <w:pStyle w:val="FootnoteText"/>
      </w:pPr>
      <w:r>
        <w:rPr>
          <w:rStyle w:val="FootnoteReference"/>
        </w:rPr>
        <w:footnoteRef/>
      </w:r>
      <w:r>
        <w:t xml:space="preserve"> See above p 20. </w:t>
      </w:r>
    </w:p>
  </w:footnote>
  <w:footnote w:id="10">
    <w:p w14:paraId="5A385311" w14:textId="3D6DF010" w:rsidR="00C56518" w:rsidRPr="00336C76" w:rsidRDefault="00C56518" w:rsidP="000B4571">
      <w:pPr>
        <w:pStyle w:val="FootnoteText"/>
        <w:rPr>
          <w:rFonts w:cs="Arial"/>
          <w:szCs w:val="16"/>
        </w:rPr>
      </w:pPr>
      <w:r w:rsidRPr="00336C76">
        <w:rPr>
          <w:rStyle w:val="FootnoteReference"/>
          <w:rFonts w:cs="Arial"/>
          <w:sz w:val="16"/>
          <w:szCs w:val="16"/>
        </w:rPr>
        <w:footnoteRef/>
      </w:r>
      <w:r w:rsidRPr="00336C76">
        <w:rPr>
          <w:rFonts w:cs="Arial"/>
          <w:szCs w:val="16"/>
        </w:rPr>
        <w:t xml:space="preserve"> Victorian Government</w:t>
      </w:r>
      <w:r w:rsidRPr="00336C76">
        <w:rPr>
          <w:rFonts w:cs="Arial"/>
          <w:i/>
          <w:szCs w:val="16"/>
        </w:rPr>
        <w:t>,</w:t>
      </w:r>
      <w:r w:rsidRPr="00336C76">
        <w:rPr>
          <w:rFonts w:cs="Arial"/>
          <w:szCs w:val="16"/>
        </w:rPr>
        <w:t xml:space="preserve"> ‘Chapter 23’,</w:t>
      </w:r>
      <w:r w:rsidRPr="00336C76">
        <w:rPr>
          <w:rFonts w:cs="Arial"/>
          <w:i/>
          <w:iCs/>
          <w:szCs w:val="16"/>
        </w:rPr>
        <w:t xml:space="preserve"> </w:t>
      </w:r>
      <w:r w:rsidRPr="00336C76">
        <w:rPr>
          <w:rFonts w:cs="Arial"/>
          <w:i/>
          <w:szCs w:val="16"/>
        </w:rPr>
        <w:t>Royal Commission into Family Violence, Volume 4, Report and Recommendations</w:t>
      </w:r>
      <w:r w:rsidRPr="00336C76">
        <w:rPr>
          <w:rFonts w:cs="Arial"/>
          <w:szCs w:val="16"/>
        </w:rPr>
        <w:t xml:space="preserve">. 2016, </w:t>
      </w:r>
      <w:r w:rsidR="004A4A3D">
        <w:rPr>
          <w:rFonts w:cs="Arial"/>
          <w:szCs w:val="16"/>
        </w:rPr>
        <w:t xml:space="preserve">p </w:t>
      </w:r>
      <w:r w:rsidRPr="00336C76">
        <w:rPr>
          <w:rFonts w:cs="Arial"/>
          <w:szCs w:val="16"/>
        </w:rPr>
        <w:t xml:space="preserve">165. </w:t>
      </w:r>
    </w:p>
  </w:footnote>
  <w:footnote w:id="11">
    <w:p w14:paraId="3DD7A7EA" w14:textId="77D4BA54" w:rsidR="00C56518" w:rsidRDefault="00C56518" w:rsidP="000B4571">
      <w:pPr>
        <w:pStyle w:val="FootnoteText"/>
      </w:pPr>
      <w:r>
        <w:rPr>
          <w:rStyle w:val="FootnoteReference"/>
        </w:rPr>
        <w:footnoteRef/>
      </w:r>
      <w:r>
        <w:t xml:space="preserve"> See Gippsland Legal Assistance Forum, </w:t>
      </w:r>
      <w:r>
        <w:rPr>
          <w:i/>
          <w:iCs/>
        </w:rPr>
        <w:t xml:space="preserve">Equal Justice for a strong, healthy, resilient Latrobe Valley, </w:t>
      </w:r>
      <w:r>
        <w:t>February 2019, p</w:t>
      </w:r>
      <w:r w:rsidR="004A4A3D">
        <w:t> </w:t>
      </w:r>
      <w:r>
        <w:t xml:space="preserve">27 </w:t>
      </w:r>
      <w:hyperlink r:id="rId4" w:history="1">
        <w:r>
          <w:rPr>
            <w:rStyle w:val="Hyperlink"/>
          </w:rPr>
          <w:t>https://www.legalaid.vic.gov.au/sites/www.legalaid.vic.gov.au/files/vla-equal-justice-for-a-strong-equal-and-resilient-latrobe-valley.pdf</w:t>
        </w:r>
      </w:hyperlink>
    </w:p>
  </w:footnote>
  <w:footnote w:id="12">
    <w:p w14:paraId="155195B3" w14:textId="77777777" w:rsidR="00C56518" w:rsidRDefault="00C56518" w:rsidP="000B4571">
      <w:pPr>
        <w:pStyle w:val="FootnoteText"/>
      </w:pPr>
      <w:r>
        <w:rPr>
          <w:rStyle w:val="FootnoteReference"/>
        </w:rPr>
        <w:footnoteRef/>
      </w:r>
      <w:r>
        <w:t xml:space="preserve"> See Victoria Legal Aid, </w:t>
      </w:r>
      <w:r>
        <w:rPr>
          <w:i/>
          <w:iCs/>
        </w:rPr>
        <w:t xml:space="preserve">Roads to Recovery: Building a better system for people experiencing mental health issues in Victoria, </w:t>
      </w:r>
      <w:r>
        <w:t xml:space="preserve">Submission to the Royal Commission into Victoria’s Mental Health System, 2019, </w:t>
      </w:r>
      <w:r w:rsidRPr="005E7A36">
        <w:t>p</w:t>
      </w:r>
      <w:r>
        <w:t xml:space="preserve"> 57 </w:t>
      </w:r>
      <w:hyperlink r:id="rId5" w:history="1">
        <w:r>
          <w:rPr>
            <w:rStyle w:val="Hyperlink"/>
          </w:rPr>
          <w:t>https://www.legalaid.vic.gov.au/about-us/strategic-advocacy-and-law-reform/access-to-justice-for-people-with-mental-illness-and-disability/roads-to-recovery-building-better-system-for-people-experiencing-mental-health-issues-in-victoria</w:t>
        </w:r>
      </w:hyperlink>
    </w:p>
  </w:footnote>
  <w:footnote w:id="13">
    <w:p w14:paraId="75E8B7C2" w14:textId="77777777" w:rsidR="00C56518" w:rsidRDefault="00C56518" w:rsidP="000B4571">
      <w:pPr>
        <w:pStyle w:val="FootnoteText"/>
      </w:pPr>
      <w:r>
        <w:rPr>
          <w:rStyle w:val="FootnoteReference"/>
        </w:rPr>
        <w:footnoteRef/>
      </w:r>
      <w:r>
        <w:t xml:space="preserve"> See Victoria Legal Aid website, ‘Independent Family and Advocacy Support’, 2019, </w:t>
      </w:r>
      <w:hyperlink r:id="rId6" w:history="1">
        <w:r>
          <w:rPr>
            <w:rStyle w:val="Hyperlink"/>
          </w:rPr>
          <w:t>https://www.legalaid.vic.gov.au/about-us/what-we-do/independent-family-advocacy-and-support</w:t>
        </w:r>
      </w:hyperlink>
    </w:p>
  </w:footnote>
  <w:footnote w:id="14">
    <w:p w14:paraId="7BDE9578" w14:textId="77777777" w:rsidR="00C56518" w:rsidRPr="00981DB7" w:rsidRDefault="00C56518" w:rsidP="000B4571">
      <w:pPr>
        <w:pStyle w:val="FootnoteText"/>
        <w:spacing w:before="0" w:line="240" w:lineRule="auto"/>
        <w:rPr>
          <w:rFonts w:cs="Arial"/>
          <w:szCs w:val="18"/>
        </w:rPr>
      </w:pPr>
      <w:r w:rsidRPr="00981DB7">
        <w:rPr>
          <w:rStyle w:val="FootnoteReference"/>
          <w:rFonts w:cs="Arial"/>
          <w:sz w:val="18"/>
          <w:szCs w:val="18"/>
        </w:rPr>
        <w:footnoteRef/>
      </w:r>
      <w:r w:rsidRPr="00981DB7">
        <w:rPr>
          <w:rFonts w:cs="Arial"/>
          <w:szCs w:val="18"/>
        </w:rPr>
        <w:t xml:space="preserve"> See The Commission for Children and Young People report ‘In the child’s best interests’, 2015, </w:t>
      </w:r>
      <w:hyperlink r:id="rId7" w:history="1">
        <w:r w:rsidRPr="00981DB7">
          <w:rPr>
            <w:rStyle w:val="Hyperlink"/>
            <w:rFonts w:cs="Arial"/>
            <w:szCs w:val="18"/>
          </w:rPr>
          <w:t>https://Commission.vic.gov.au/assets/Publications-inquiries/In-the-childs-best-interests-inquiry-report.pdf</w:t>
        </w:r>
      </w:hyperlink>
      <w:r w:rsidRPr="00981DB7">
        <w:rPr>
          <w:rFonts w:cs="Arial"/>
          <w:szCs w:val="18"/>
        </w:rPr>
        <w:t xml:space="preserve"> </w:t>
      </w:r>
    </w:p>
  </w:footnote>
  <w:footnote w:id="15">
    <w:p w14:paraId="25191083" w14:textId="77777777" w:rsidR="00C56518" w:rsidRPr="00981DB7" w:rsidRDefault="00C56518" w:rsidP="000B4571">
      <w:pPr>
        <w:pStyle w:val="FootnoteText"/>
        <w:spacing w:before="0" w:line="240" w:lineRule="auto"/>
        <w:rPr>
          <w:rFonts w:cs="Arial"/>
          <w:szCs w:val="18"/>
        </w:rPr>
      </w:pPr>
      <w:r w:rsidRPr="00981DB7">
        <w:rPr>
          <w:rStyle w:val="FootnoteReference"/>
          <w:rFonts w:cs="Arial"/>
          <w:sz w:val="18"/>
          <w:szCs w:val="18"/>
        </w:rPr>
        <w:footnoteRef/>
      </w:r>
      <w:r w:rsidRPr="00981DB7">
        <w:rPr>
          <w:rFonts w:cs="Arial"/>
          <w:szCs w:val="18"/>
        </w:rPr>
        <w:t xml:space="preserve"> See Sentencing Advisory Council, </w:t>
      </w:r>
      <w:r w:rsidRPr="00981DB7">
        <w:rPr>
          <w:rFonts w:cs="Arial"/>
          <w:i/>
          <w:iCs/>
          <w:szCs w:val="18"/>
        </w:rPr>
        <w:t>‘Crossover Kids’: Vulnerable Children in the Youth Justice System Report 1: Children Who Are Known to Child Protection among Sentenced and Diverted Children in the Victorian Children’s Court</w:t>
      </w:r>
      <w:r w:rsidRPr="00981DB7">
        <w:rPr>
          <w:rFonts w:cs="Arial"/>
          <w:szCs w:val="18"/>
        </w:rPr>
        <w:t>, 2019</w:t>
      </w:r>
      <w:r>
        <w:rPr>
          <w:rFonts w:cs="Arial"/>
          <w:szCs w:val="18"/>
        </w:rPr>
        <w:t>.</w:t>
      </w:r>
    </w:p>
  </w:footnote>
  <w:footnote w:id="16">
    <w:p w14:paraId="4D9B2511" w14:textId="77777777" w:rsidR="00C56518" w:rsidRPr="00981DB7" w:rsidRDefault="00C56518" w:rsidP="000B4571">
      <w:pPr>
        <w:pStyle w:val="FootnoteText"/>
        <w:spacing w:before="0" w:line="240" w:lineRule="auto"/>
        <w:rPr>
          <w:rFonts w:cs="Arial"/>
          <w:szCs w:val="18"/>
        </w:rPr>
      </w:pPr>
      <w:r w:rsidRPr="00981DB7">
        <w:rPr>
          <w:rStyle w:val="FootnoteReference"/>
          <w:rFonts w:cs="Arial"/>
          <w:sz w:val="18"/>
          <w:szCs w:val="18"/>
        </w:rPr>
        <w:footnoteRef/>
      </w:r>
      <w:r w:rsidRPr="00981DB7">
        <w:rPr>
          <w:rFonts w:cs="Arial"/>
          <w:szCs w:val="18"/>
        </w:rPr>
        <w:t xml:space="preserve"> See </w:t>
      </w:r>
      <w:r w:rsidRPr="00981DB7">
        <w:rPr>
          <w:rFonts w:cs="Arial"/>
          <w:i/>
          <w:iCs/>
          <w:szCs w:val="18"/>
        </w:rPr>
        <w:t>Family Matters Report 2019</w:t>
      </w:r>
      <w:r w:rsidRPr="00981DB7">
        <w:rPr>
          <w:rFonts w:cs="Arial"/>
          <w:szCs w:val="18"/>
        </w:rPr>
        <w:t xml:space="preserve"> </w:t>
      </w:r>
      <w:hyperlink r:id="rId8" w:history="1">
        <w:r w:rsidRPr="00981DB7">
          <w:rPr>
            <w:rStyle w:val="Hyperlink"/>
            <w:rFonts w:cs="Arial"/>
            <w:szCs w:val="18"/>
          </w:rPr>
          <w:t>https://www.familymatters.org.au/wp-content/uploads/2019/10/cropped_1099FM-Snapshot-2019HRprint.pdf</w:t>
        </w:r>
      </w:hyperlink>
    </w:p>
  </w:footnote>
  <w:footnote w:id="17">
    <w:p w14:paraId="599C61B2" w14:textId="77777777" w:rsidR="00593F7D" w:rsidRDefault="00593F7D" w:rsidP="00593F7D">
      <w:pPr>
        <w:pStyle w:val="FootnoteText"/>
      </w:pPr>
      <w:r>
        <w:rPr>
          <w:rStyle w:val="FootnoteReference"/>
        </w:rPr>
        <w:footnoteRef/>
      </w:r>
      <w:r>
        <w:t xml:space="preserve"> </w:t>
      </w:r>
      <w:r w:rsidRPr="00981DB7">
        <w:rPr>
          <w:szCs w:val="18"/>
        </w:rPr>
        <w:t xml:space="preserve">Victoria Legal Aid, </w:t>
      </w:r>
      <w:r w:rsidRPr="00981DB7">
        <w:rPr>
          <w:i/>
          <w:iCs/>
          <w:szCs w:val="18"/>
        </w:rPr>
        <w:t>Care not custody: A new approach to keep kids in residential care out of the criminal justice system,</w:t>
      </w:r>
      <w:r w:rsidRPr="00981DB7">
        <w:rPr>
          <w:szCs w:val="18"/>
        </w:rPr>
        <w:t xml:space="preserve"> 2016.</w:t>
      </w:r>
    </w:p>
  </w:footnote>
  <w:footnote w:id="18">
    <w:p w14:paraId="4BB13439" w14:textId="77777777" w:rsidR="00C56518" w:rsidRPr="00981DB7" w:rsidRDefault="00C56518" w:rsidP="000B4571">
      <w:pPr>
        <w:pStyle w:val="FootnoteText"/>
        <w:spacing w:before="0" w:line="240" w:lineRule="auto"/>
        <w:rPr>
          <w:szCs w:val="18"/>
        </w:rPr>
      </w:pPr>
      <w:r w:rsidRPr="00981DB7">
        <w:rPr>
          <w:rStyle w:val="FootnoteReference"/>
          <w:sz w:val="18"/>
          <w:szCs w:val="18"/>
        </w:rPr>
        <w:footnoteRef/>
      </w:r>
      <w:r w:rsidRPr="00981DB7">
        <w:rPr>
          <w:szCs w:val="18"/>
        </w:rPr>
        <w:t xml:space="preserve"> </w:t>
      </w:r>
      <w:r>
        <w:rPr>
          <w:szCs w:val="18"/>
        </w:rPr>
        <w:t xml:space="preserve">Ibid. </w:t>
      </w:r>
    </w:p>
  </w:footnote>
  <w:footnote w:id="19">
    <w:p w14:paraId="682D3CEE" w14:textId="77777777" w:rsidR="00C56518" w:rsidRDefault="00C56518" w:rsidP="000B4571">
      <w:pPr>
        <w:pStyle w:val="FootnoteText"/>
      </w:pPr>
      <w:r>
        <w:rPr>
          <w:rStyle w:val="FootnoteReference"/>
        </w:rPr>
        <w:footnoteRef/>
      </w:r>
      <w:r>
        <w:t xml:space="preserve"> </w:t>
      </w:r>
      <w:r w:rsidRPr="00981DB7">
        <w:rPr>
          <w:rFonts w:cs="Arial"/>
          <w:szCs w:val="18"/>
        </w:rPr>
        <w:t xml:space="preserve">See Sentencing Advisory Council, </w:t>
      </w:r>
      <w:r w:rsidRPr="00981DB7">
        <w:rPr>
          <w:rFonts w:cs="Arial"/>
          <w:i/>
          <w:iCs/>
          <w:szCs w:val="18"/>
        </w:rPr>
        <w:t>‘Crossover Kids’: Vulnerable Children in the Youth Justice System Report 1: Children Who Are Known to Child Protection among Sentenced and Diverted Children in the Victorian Children’s Court</w:t>
      </w:r>
      <w:r w:rsidRPr="00981DB7">
        <w:rPr>
          <w:rFonts w:cs="Arial"/>
          <w:szCs w:val="18"/>
        </w:rPr>
        <w:t>, 2019</w:t>
      </w:r>
      <w:r>
        <w:rPr>
          <w:rFonts w:cs="Arial"/>
          <w:szCs w:val="18"/>
        </w:rPr>
        <w:t>.</w:t>
      </w:r>
    </w:p>
  </w:footnote>
  <w:footnote w:id="20">
    <w:p w14:paraId="2A876894" w14:textId="77777777" w:rsidR="00C56518" w:rsidRPr="00981DB7" w:rsidRDefault="00C56518" w:rsidP="000B4571">
      <w:pPr>
        <w:pStyle w:val="FootnoteText"/>
        <w:spacing w:before="0" w:line="240" w:lineRule="auto"/>
        <w:rPr>
          <w:szCs w:val="18"/>
        </w:rPr>
      </w:pPr>
      <w:r w:rsidRPr="00981DB7">
        <w:rPr>
          <w:rStyle w:val="FootnoteReference"/>
          <w:sz w:val="18"/>
          <w:szCs w:val="18"/>
        </w:rPr>
        <w:footnoteRef/>
      </w:r>
      <w:r w:rsidRPr="00981DB7">
        <w:rPr>
          <w:szCs w:val="18"/>
        </w:rPr>
        <w:t xml:space="preserve"> </w:t>
      </w:r>
      <w:r w:rsidRPr="00981DB7">
        <w:rPr>
          <w:szCs w:val="18"/>
          <w:lang w:val="en" w:eastAsia="en-AU"/>
        </w:rPr>
        <w:t xml:space="preserve">Australian Bureau of Statistics data </w:t>
      </w:r>
      <w:r w:rsidRPr="00E31EB9">
        <w:rPr>
          <w:rFonts w:cs="Arial"/>
          <w:szCs w:val="18"/>
        </w:rPr>
        <w:t>shows</w:t>
      </w:r>
      <w:r w:rsidRPr="00981DB7">
        <w:rPr>
          <w:szCs w:val="18"/>
          <w:lang w:val="en" w:eastAsia="en-AU"/>
        </w:rPr>
        <w:t xml:space="preserve"> that in 2011, 88% of 15-19 years </w:t>
      </w:r>
      <w:proofErr w:type="spellStart"/>
      <w:r w:rsidRPr="00981DB7">
        <w:rPr>
          <w:szCs w:val="18"/>
          <w:lang w:val="en" w:eastAsia="en-AU"/>
        </w:rPr>
        <w:t>olds</w:t>
      </w:r>
      <w:proofErr w:type="spellEnd"/>
      <w:r w:rsidRPr="00981DB7">
        <w:rPr>
          <w:szCs w:val="18"/>
          <w:lang w:val="en" w:eastAsia="en-AU"/>
        </w:rPr>
        <w:t xml:space="preserve"> and 51% of 20-24 year </w:t>
      </w:r>
      <w:proofErr w:type="spellStart"/>
      <w:r w:rsidRPr="00981DB7">
        <w:rPr>
          <w:szCs w:val="18"/>
          <w:lang w:val="en" w:eastAsia="en-AU"/>
        </w:rPr>
        <w:t>olds</w:t>
      </w:r>
      <w:proofErr w:type="spellEnd"/>
      <w:r w:rsidRPr="00981DB7">
        <w:rPr>
          <w:szCs w:val="18"/>
          <w:lang w:val="en" w:eastAsia="en-AU"/>
        </w:rPr>
        <w:t xml:space="preserve"> lived with at least one parent, and predicted that trend would continue: </w:t>
      </w:r>
      <w:r w:rsidRPr="00981DB7">
        <w:rPr>
          <w:szCs w:val="18"/>
        </w:rPr>
        <w:t xml:space="preserve">Australian Bureau of Statistics, </w:t>
      </w:r>
      <w:hyperlink r:id="rId9" w:history="1">
        <w:r w:rsidRPr="00981DB7">
          <w:rPr>
            <w:rStyle w:val="Hyperlink"/>
            <w:szCs w:val="18"/>
          </w:rPr>
          <w:t>Household and Family Projections, Australia, 2011 to 2036 (cat. no. 3236.0)</w:t>
        </w:r>
      </w:hyperlink>
      <w:r w:rsidRPr="00981DB7">
        <w:rPr>
          <w:rStyle w:val="Hyperlink"/>
          <w:szCs w:val="18"/>
        </w:rPr>
        <w:t>.</w:t>
      </w:r>
    </w:p>
  </w:footnote>
  <w:footnote w:id="21">
    <w:p w14:paraId="27C3C1BF" w14:textId="77777777" w:rsidR="00C56518" w:rsidRDefault="00C56518" w:rsidP="000B4571">
      <w:pPr>
        <w:pStyle w:val="FootnoteText"/>
        <w:spacing w:before="0" w:line="240" w:lineRule="auto"/>
      </w:pPr>
      <w:r>
        <w:rPr>
          <w:rStyle w:val="FootnoteReference"/>
        </w:rPr>
        <w:footnoteRef/>
      </w:r>
      <w:r>
        <w:t xml:space="preserve"> </w:t>
      </w:r>
      <w:r w:rsidRPr="00981DB7">
        <w:rPr>
          <w:szCs w:val="18"/>
          <w:lang w:val="en-US"/>
        </w:rPr>
        <w:t xml:space="preserve">See SJ4YP’s factsheet “More </w:t>
      </w:r>
      <w:r w:rsidRPr="00981DB7">
        <w:rPr>
          <w:rFonts w:cs="Arial"/>
          <w:szCs w:val="18"/>
        </w:rPr>
        <w:t>prisons</w:t>
      </w:r>
      <w:r w:rsidRPr="00981DB7">
        <w:rPr>
          <w:szCs w:val="18"/>
          <w:lang w:val="en-US"/>
        </w:rPr>
        <w:t xml:space="preserve"> are not the answer to reducing crime”, available from </w:t>
      </w:r>
      <w:hyperlink r:id="rId10" w:history="1">
        <w:r w:rsidRPr="00981DB7">
          <w:rPr>
            <w:rStyle w:val="Hyperlink"/>
            <w:szCs w:val="18"/>
            <w:lang w:val="en-US"/>
          </w:rPr>
          <w:t>http://www.smartjustice.org.au/cb_pages/more_prisons_are_not_the_answer_to_reducing_crime.php</w:t>
        </w:r>
      </w:hyperlink>
      <w:r w:rsidRPr="00981DB7">
        <w:rPr>
          <w:szCs w:val="18"/>
          <w:lang w:val="en-US"/>
        </w:rPr>
        <w:t xml:space="preserve">, </w:t>
      </w:r>
      <w:r w:rsidRPr="00981DB7">
        <w:rPr>
          <w:szCs w:val="18"/>
          <w:lang w:val="en" w:eastAsia="en-AU"/>
        </w:rPr>
        <w:t>particularly the section ‘Reducing disadvantage reduces crime’.</w:t>
      </w:r>
    </w:p>
  </w:footnote>
  <w:footnote w:id="22">
    <w:p w14:paraId="1BEC76E9" w14:textId="73AA59AF" w:rsidR="00C56518" w:rsidRPr="00981DB7" w:rsidRDefault="00C56518" w:rsidP="000B4571">
      <w:pPr>
        <w:pStyle w:val="FootnoteText"/>
        <w:spacing w:before="0" w:line="240" w:lineRule="auto"/>
        <w:rPr>
          <w:rFonts w:cs="Arial"/>
          <w:szCs w:val="18"/>
        </w:rPr>
      </w:pPr>
      <w:r w:rsidRPr="00981DB7">
        <w:rPr>
          <w:rStyle w:val="FootnoteReference"/>
          <w:rFonts w:cs="Arial"/>
          <w:sz w:val="18"/>
          <w:szCs w:val="18"/>
        </w:rPr>
        <w:footnoteRef/>
      </w:r>
      <w:r w:rsidRPr="00981DB7">
        <w:rPr>
          <w:rFonts w:cs="Arial"/>
          <w:szCs w:val="18"/>
        </w:rPr>
        <w:t xml:space="preserve"> See Victoria Legal Aid client profiles – high-contact users of legal aid services, June 2014,</w:t>
      </w:r>
      <w:r w:rsidR="004A4A3D">
        <w:rPr>
          <w:rFonts w:cs="Arial"/>
          <w:szCs w:val="18"/>
        </w:rPr>
        <w:t xml:space="preserve"> </w:t>
      </w:r>
      <w:hyperlink r:id="rId11" w:history="1">
        <w:r w:rsidRPr="00981DB7">
          <w:rPr>
            <w:rStyle w:val="Hyperlink"/>
            <w:rFonts w:cs="Arial"/>
            <w:szCs w:val="18"/>
          </w:rPr>
          <w:t>https://www.legalaid.vic.gov.au/about-us/what-we-do/research-and-analysis/client-profiles</w:t>
        </w:r>
      </w:hyperlink>
    </w:p>
  </w:footnote>
  <w:footnote w:id="23">
    <w:p w14:paraId="2699A14F" w14:textId="2E358F2A" w:rsidR="00C56518" w:rsidRPr="00BA2798" w:rsidRDefault="00C56518">
      <w:pPr>
        <w:pStyle w:val="FootnoteText"/>
        <w:rPr>
          <w:i/>
          <w:iCs/>
        </w:rPr>
      </w:pPr>
      <w:r>
        <w:rPr>
          <w:rStyle w:val="FootnoteReference"/>
        </w:rPr>
        <w:footnoteRef/>
      </w:r>
      <w:r>
        <w:t xml:space="preserve"> </w:t>
      </w:r>
      <w:r w:rsidR="004A4A3D">
        <w:t>S</w:t>
      </w:r>
      <w:r>
        <w:t xml:space="preserve">B Johnson, </w:t>
      </w:r>
      <w:r w:rsidR="004A4A3D">
        <w:t>R</w:t>
      </w:r>
      <w:r>
        <w:t xml:space="preserve">W Blum and </w:t>
      </w:r>
      <w:r w:rsidR="004A4A3D">
        <w:t>JN</w:t>
      </w:r>
      <w:r>
        <w:t xml:space="preserve"> </w:t>
      </w:r>
      <w:proofErr w:type="spellStart"/>
      <w:r>
        <w:t>Giedd</w:t>
      </w:r>
      <w:proofErr w:type="spellEnd"/>
      <w:r>
        <w:t>, ‘</w:t>
      </w:r>
      <w:r w:rsidRPr="00BA2798">
        <w:t>Adolescent Maturity and the Brain: The Promise and Pitfalls of Neuroscience Research in Adolescent Health Policy</w:t>
      </w:r>
      <w:r>
        <w:t xml:space="preserve">’ (September 2009) </w:t>
      </w:r>
      <w:r w:rsidR="004A4A3D">
        <w:t>V</w:t>
      </w:r>
      <w:r>
        <w:t xml:space="preserve">ol 45 Issue 3 </w:t>
      </w:r>
      <w:r>
        <w:rPr>
          <w:i/>
          <w:iCs/>
        </w:rPr>
        <w:t xml:space="preserve">Journal of Adolescent Health, </w:t>
      </w:r>
      <w:r w:rsidR="004A4A3D">
        <w:t xml:space="preserve">pp </w:t>
      </w:r>
      <w:r>
        <w:t>216</w:t>
      </w:r>
      <w:r w:rsidR="004A4A3D">
        <w:t>-</w:t>
      </w:r>
      <w:r>
        <w:t>221.</w:t>
      </w:r>
      <w:r w:rsidR="004A4A3D">
        <w:t xml:space="preserve"> </w:t>
      </w:r>
      <w:r w:rsidRPr="00BA2798">
        <w:t xml:space="preserve"> </w:t>
      </w:r>
    </w:p>
  </w:footnote>
  <w:footnote w:id="24">
    <w:p w14:paraId="1B504E1F" w14:textId="4458587F" w:rsidR="00C56518" w:rsidRDefault="00C56518">
      <w:pPr>
        <w:pStyle w:val="FootnoteText"/>
      </w:pPr>
      <w:r>
        <w:rPr>
          <w:rStyle w:val="FootnoteReference"/>
        </w:rPr>
        <w:footnoteRef/>
      </w:r>
      <w:r>
        <w:t xml:space="preserve"> </w:t>
      </w:r>
      <w:r w:rsidRPr="00981DB7">
        <w:rPr>
          <w:szCs w:val="18"/>
        </w:rPr>
        <w:t xml:space="preserve">Crime Statistics Agency, </w:t>
      </w:r>
      <w:r w:rsidRPr="00981DB7">
        <w:rPr>
          <w:i/>
          <w:szCs w:val="18"/>
        </w:rPr>
        <w:t>The Cautious Approach: Police cautions and the impact on youth reoffending,</w:t>
      </w:r>
      <w:r w:rsidRPr="00981DB7">
        <w:rPr>
          <w:szCs w:val="18"/>
          <w:lang w:val="en-US"/>
        </w:rPr>
        <w:t xml:space="preserve"> p13; at </w:t>
      </w:r>
      <w:hyperlink r:id="rId12" w:history="1">
        <w:r w:rsidRPr="00981DB7">
          <w:rPr>
            <w:rStyle w:val="Hyperlink"/>
            <w:szCs w:val="18"/>
            <w:lang w:val="en-US"/>
          </w:rPr>
          <w:t>https://www.crimestatistics.vic.gov.au/sites/default/files/embridge_cache/emshare/original/public/2017/09/7f/e1e924c80/20170925_in%20brief9%20FINAL.pdf</w:t>
        </w:r>
      </w:hyperlink>
      <w:r w:rsidRPr="00981DB7">
        <w:rPr>
          <w:szCs w:val="18"/>
          <w:lang w:val="en-US"/>
        </w:rPr>
        <w:t>.</w:t>
      </w:r>
    </w:p>
  </w:footnote>
  <w:footnote w:id="25">
    <w:p w14:paraId="2A2C3DC7" w14:textId="4951C937"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Caitlin Grover, Victorian Parliamentary Library &amp; Information Service, </w:t>
      </w:r>
      <w:r w:rsidRPr="00981DB7">
        <w:rPr>
          <w:i/>
          <w:iCs/>
          <w:szCs w:val="18"/>
        </w:rPr>
        <w:t xml:space="preserve">Youth </w:t>
      </w:r>
      <w:r w:rsidR="004A4A3D" w:rsidRPr="00981DB7">
        <w:rPr>
          <w:i/>
          <w:iCs/>
          <w:szCs w:val="18"/>
        </w:rPr>
        <w:t xml:space="preserve">Justice </w:t>
      </w:r>
      <w:r w:rsidRPr="00981DB7">
        <w:rPr>
          <w:i/>
          <w:iCs/>
          <w:szCs w:val="18"/>
        </w:rPr>
        <w:t>in Victoria</w:t>
      </w:r>
      <w:r w:rsidRPr="00981DB7">
        <w:rPr>
          <w:szCs w:val="18"/>
        </w:rPr>
        <w:t>, April 2017.</w:t>
      </w:r>
    </w:p>
  </w:footnote>
  <w:footnote w:id="26">
    <w:p w14:paraId="605CCA30" w14:textId="279793E7"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Diversion began as an adult pilot program at the Broadmeadows Magistrates’ Court in January 1997, and was reviewed and revised in late 2000. Diversion is now available in all Magistrates’ Courts in Victoria. Youth diversion began as a pilot in the Children’s Court in January 2017. In 2017 a legislated diversion option was inserted into the </w:t>
      </w:r>
      <w:r w:rsidRPr="00981DB7">
        <w:rPr>
          <w:i/>
          <w:iCs/>
          <w:szCs w:val="18"/>
        </w:rPr>
        <w:t>Children, Youth and Families Act 2005</w:t>
      </w:r>
      <w:r w:rsidRPr="00981DB7">
        <w:rPr>
          <w:szCs w:val="18"/>
        </w:rPr>
        <w:t>.</w:t>
      </w:r>
    </w:p>
  </w:footnote>
  <w:footnote w:id="27">
    <w:p w14:paraId="3E94A0FA" w14:textId="098DC6BF" w:rsidR="00C56518" w:rsidRDefault="00C56518">
      <w:pPr>
        <w:pStyle w:val="FootnoteText"/>
      </w:pPr>
      <w:r>
        <w:rPr>
          <w:rStyle w:val="FootnoteReference"/>
        </w:rPr>
        <w:footnoteRef/>
      </w:r>
      <w:r>
        <w:t xml:space="preserve"> </w:t>
      </w:r>
      <w:r w:rsidRPr="002F53CF">
        <w:rPr>
          <w:szCs w:val="22"/>
        </w:rPr>
        <w:t>Research has found young Aboriginal people are less likely to receive police referrals to diversionary processes</w:t>
      </w:r>
      <w:r>
        <w:rPr>
          <w:szCs w:val="22"/>
        </w:rPr>
        <w:t xml:space="preserve"> see </w:t>
      </w:r>
      <w:r w:rsidRPr="00981DB7">
        <w:rPr>
          <w:rFonts w:cs="Arial"/>
          <w:color w:val="000000" w:themeColor="text1"/>
          <w:szCs w:val="18"/>
          <w:lang w:eastAsia="en-AU"/>
        </w:rPr>
        <w:t xml:space="preserve">K Richards, ‘Police-referred restorative justice for juveniles in Australia’, </w:t>
      </w:r>
      <w:r w:rsidRPr="00981DB7">
        <w:rPr>
          <w:rFonts w:cs="Arial"/>
          <w:i/>
          <w:iCs/>
          <w:color w:val="000000" w:themeColor="text1"/>
          <w:szCs w:val="18"/>
          <w:lang w:eastAsia="en-AU"/>
        </w:rPr>
        <w:t>Trends and Issues in Criminal Justice no 398</w:t>
      </w:r>
      <w:r w:rsidRPr="00981DB7">
        <w:rPr>
          <w:rFonts w:cs="Arial"/>
          <w:color w:val="000000" w:themeColor="text1"/>
          <w:szCs w:val="18"/>
          <w:lang w:eastAsia="en-AU"/>
        </w:rPr>
        <w:t>, Australian Institute of Criminology, 2010.</w:t>
      </w:r>
      <w:r>
        <w:rPr>
          <w:szCs w:val="22"/>
        </w:rPr>
        <w:t xml:space="preserve"> </w:t>
      </w:r>
    </w:p>
  </w:footnote>
  <w:footnote w:id="28">
    <w:p w14:paraId="4D88DD07" w14:textId="11F60F57"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w:t>
      </w:r>
      <w:r w:rsidRPr="00981DB7">
        <w:rPr>
          <w:szCs w:val="18"/>
          <w:lang w:val="en-US"/>
        </w:rPr>
        <w:t xml:space="preserve">Australian </w:t>
      </w:r>
      <w:r w:rsidRPr="00981DB7">
        <w:rPr>
          <w:rFonts w:cs="Arial"/>
          <w:szCs w:val="18"/>
          <w:lang w:val="en" w:eastAsia="en-AU"/>
        </w:rPr>
        <w:t>Institute of Health and Welfare,</w:t>
      </w:r>
      <w:r w:rsidRPr="00981DB7">
        <w:rPr>
          <w:rFonts w:cs="Arial"/>
          <w:i/>
          <w:iCs/>
          <w:szCs w:val="18"/>
          <w:lang w:val="en" w:eastAsia="en-AU"/>
        </w:rPr>
        <w:t xml:space="preserve"> Resource Sheet no.24, Diverting Indigenous offenders from the criminal justice system</w:t>
      </w:r>
      <w:r w:rsidRPr="00981DB7">
        <w:rPr>
          <w:rFonts w:cs="Arial"/>
          <w:szCs w:val="18"/>
          <w:lang w:val="en" w:eastAsia="en-AU"/>
        </w:rPr>
        <w:t>,</w:t>
      </w:r>
      <w:r w:rsidRPr="00981DB7">
        <w:rPr>
          <w:rFonts w:cs="Arial"/>
          <w:szCs w:val="18"/>
        </w:rPr>
        <w:t xml:space="preserve"> December 2013</w:t>
      </w:r>
      <w:r w:rsidRPr="00981DB7">
        <w:rPr>
          <w:szCs w:val="18"/>
        </w:rPr>
        <w:t>.</w:t>
      </w:r>
    </w:p>
  </w:footnote>
  <w:footnote w:id="29">
    <w:p w14:paraId="65FD49A6" w14:textId="40AA75D1"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w:t>
      </w:r>
      <w:r w:rsidRPr="00981DB7">
        <w:rPr>
          <w:szCs w:val="18"/>
          <w:lang w:val="en-US"/>
        </w:rPr>
        <w:t xml:space="preserve">Ibid. </w:t>
      </w:r>
    </w:p>
  </w:footnote>
  <w:footnote w:id="30">
    <w:p w14:paraId="0030826C" w14:textId="0625B86D" w:rsidR="00C56518" w:rsidRDefault="00C56518" w:rsidP="003074A8">
      <w:pPr>
        <w:pStyle w:val="FootnoteText"/>
        <w:spacing w:before="0" w:line="240" w:lineRule="auto"/>
      </w:pPr>
      <w:r>
        <w:rPr>
          <w:rStyle w:val="FootnoteReference"/>
        </w:rPr>
        <w:footnoteRef/>
      </w:r>
      <w:r>
        <w:t xml:space="preserve"> Chen, S, ‘The Transition from Juvenile to Adult Criminal Careers’, </w:t>
      </w:r>
      <w:r w:rsidRPr="008A3EB1">
        <w:rPr>
          <w:i/>
          <w:iCs/>
        </w:rPr>
        <w:t>Contemporary Issues in Crime and Justice</w:t>
      </w:r>
      <w:r>
        <w:t xml:space="preserve"> </w:t>
      </w:r>
      <w:r w:rsidRPr="008A3EB1">
        <w:rPr>
          <w:i/>
          <w:iCs/>
        </w:rPr>
        <w:t>No 86</w:t>
      </w:r>
      <w:r>
        <w:t>, NSW Bureau of Crime Statistics and Research, 2005;</w:t>
      </w:r>
      <w:r>
        <w:rPr>
          <w:szCs w:val="18"/>
        </w:rPr>
        <w:t xml:space="preserve"> cited in </w:t>
      </w:r>
      <w:r w:rsidRPr="00981DB7">
        <w:rPr>
          <w:szCs w:val="18"/>
        </w:rPr>
        <w:t xml:space="preserve">Australian Law Reform Commission, </w:t>
      </w:r>
      <w:r w:rsidRPr="00981DB7">
        <w:rPr>
          <w:i/>
          <w:iCs/>
          <w:szCs w:val="18"/>
        </w:rPr>
        <w:t>Incarceration Rates of Aboriginal and Torres Strait Islander Peoples</w:t>
      </w:r>
      <w:r w:rsidRPr="00981DB7">
        <w:rPr>
          <w:szCs w:val="18"/>
        </w:rPr>
        <w:t>, Discussion Paper No 84, 19 July 2017,</w:t>
      </w:r>
      <w:r>
        <w:rPr>
          <w:szCs w:val="18"/>
        </w:rPr>
        <w:t xml:space="preserve"> p486</w:t>
      </w:r>
      <w:r w:rsidRPr="00981DB7">
        <w:rPr>
          <w:szCs w:val="18"/>
        </w:rPr>
        <w:t>.</w:t>
      </w:r>
    </w:p>
  </w:footnote>
  <w:footnote w:id="31">
    <w:p w14:paraId="6E62BC8F" w14:textId="78F20117" w:rsidR="00C56518" w:rsidRPr="002C76B8" w:rsidRDefault="00C56518" w:rsidP="003074A8">
      <w:pPr>
        <w:pStyle w:val="FootnoteText"/>
        <w:spacing w:before="0"/>
        <w:rPr>
          <w:lang w:val="en-US"/>
        </w:rPr>
      </w:pPr>
      <w:r>
        <w:rPr>
          <w:rStyle w:val="FootnoteReference"/>
        </w:rPr>
        <w:footnoteRef/>
      </w:r>
      <w:r>
        <w:t xml:space="preserve"> </w:t>
      </w:r>
      <w:r w:rsidRPr="002C76B8">
        <w:rPr>
          <w:i/>
          <w:iCs/>
        </w:rPr>
        <w:t xml:space="preserve">Children’s </w:t>
      </w:r>
      <w:r>
        <w:rPr>
          <w:i/>
          <w:iCs/>
        </w:rPr>
        <w:t>Y</w:t>
      </w:r>
      <w:r w:rsidRPr="002C76B8">
        <w:rPr>
          <w:i/>
          <w:iCs/>
        </w:rPr>
        <w:t>outh and Families Act 2005</w:t>
      </w:r>
      <w:r>
        <w:t>,</w:t>
      </w:r>
      <w:r w:rsidRPr="002C76B8">
        <w:t xml:space="preserve"> s</w:t>
      </w:r>
      <w:r>
        <w:t xml:space="preserve">ection </w:t>
      </w:r>
      <w:r w:rsidRPr="002C76B8">
        <w:t>345</w:t>
      </w:r>
      <w:r>
        <w:t>(1).</w:t>
      </w:r>
    </w:p>
  </w:footnote>
  <w:footnote w:id="32">
    <w:p w14:paraId="4A4C630C" w14:textId="07EB94D3" w:rsidR="00C56518" w:rsidRPr="002C76B8" w:rsidRDefault="00C56518" w:rsidP="003074A8">
      <w:pPr>
        <w:pStyle w:val="FootnoteText"/>
        <w:spacing w:before="0"/>
        <w:rPr>
          <w:lang w:val="en-US"/>
        </w:rPr>
      </w:pPr>
      <w:r>
        <w:rPr>
          <w:rStyle w:val="FootnoteReference"/>
        </w:rPr>
        <w:footnoteRef/>
      </w:r>
      <w:r>
        <w:t xml:space="preserve"> </w:t>
      </w:r>
      <w:r w:rsidRPr="002C76B8">
        <w:rPr>
          <w:i/>
          <w:iCs/>
        </w:rPr>
        <w:t xml:space="preserve">Children’s </w:t>
      </w:r>
      <w:r>
        <w:rPr>
          <w:i/>
          <w:iCs/>
        </w:rPr>
        <w:t>Y</w:t>
      </w:r>
      <w:r w:rsidRPr="002C76B8">
        <w:rPr>
          <w:i/>
          <w:iCs/>
        </w:rPr>
        <w:t>outh and Families Act 2005</w:t>
      </w:r>
      <w:r>
        <w:t>,</w:t>
      </w:r>
      <w:r w:rsidRPr="002C76B8">
        <w:t xml:space="preserve"> s</w:t>
      </w:r>
      <w:r>
        <w:t xml:space="preserve">ection </w:t>
      </w:r>
      <w:r w:rsidRPr="002C76B8">
        <w:t>345</w:t>
      </w:r>
      <w:r>
        <w:t>(2).</w:t>
      </w:r>
    </w:p>
  </w:footnote>
  <w:footnote w:id="33">
    <w:p w14:paraId="55FE0706" w14:textId="0BD70A19"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The Hon Paul Coghlan QC, </w:t>
      </w:r>
      <w:r w:rsidRPr="00981DB7">
        <w:rPr>
          <w:i/>
          <w:iCs/>
          <w:szCs w:val="18"/>
          <w:lang w:val="en-US"/>
        </w:rPr>
        <w:t>Bail Review: Second Advice to the Victorian Government</w:t>
      </w:r>
      <w:r w:rsidRPr="00981DB7">
        <w:rPr>
          <w:szCs w:val="18"/>
          <w:lang w:val="en-US"/>
        </w:rPr>
        <w:t>, May 2017.</w:t>
      </w:r>
    </w:p>
  </w:footnote>
  <w:footnote w:id="34">
    <w:p w14:paraId="1BA006DF" w14:textId="7C939931"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The Hon Paul Coghlan QC, </w:t>
      </w:r>
      <w:r w:rsidRPr="00981DB7">
        <w:rPr>
          <w:i/>
          <w:iCs/>
          <w:szCs w:val="18"/>
          <w:lang w:val="en-US"/>
        </w:rPr>
        <w:t>Bail Review: Second Advice to the Victorian Government</w:t>
      </w:r>
      <w:r w:rsidRPr="00981DB7">
        <w:rPr>
          <w:szCs w:val="18"/>
          <w:lang w:val="en-US"/>
        </w:rPr>
        <w:t>, May 2017</w:t>
      </w:r>
      <w:r>
        <w:rPr>
          <w:szCs w:val="18"/>
          <w:lang w:val="en-US"/>
        </w:rPr>
        <w:t>, p</w:t>
      </w:r>
      <w:r w:rsidR="004A4A3D">
        <w:rPr>
          <w:szCs w:val="18"/>
          <w:lang w:val="en-US"/>
        </w:rPr>
        <w:t xml:space="preserve">p </w:t>
      </w:r>
      <w:r>
        <w:rPr>
          <w:szCs w:val="18"/>
          <w:lang w:val="en-US"/>
        </w:rPr>
        <w:t>14-15</w:t>
      </w:r>
      <w:r w:rsidRPr="00981DB7">
        <w:rPr>
          <w:szCs w:val="18"/>
          <w:lang w:val="en-US"/>
        </w:rPr>
        <w:t>.</w:t>
      </w:r>
    </w:p>
  </w:footnote>
  <w:footnote w:id="35">
    <w:p w14:paraId="39BC40E7" w14:textId="7309AC99"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w:t>
      </w:r>
      <w:r w:rsidRPr="00981DB7">
        <w:rPr>
          <w:szCs w:val="18"/>
          <w:lang w:val="en-US"/>
        </w:rPr>
        <w:t xml:space="preserve">Ibid, </w:t>
      </w:r>
      <w:r w:rsidRPr="00981DB7">
        <w:rPr>
          <w:rFonts w:cs="Arial"/>
          <w:color w:val="000000" w:themeColor="text1"/>
          <w:szCs w:val="18"/>
          <w:lang w:eastAsia="en-AU"/>
        </w:rPr>
        <w:t>Recommendation 26.</w:t>
      </w:r>
    </w:p>
  </w:footnote>
  <w:footnote w:id="36">
    <w:p w14:paraId="7328AC2D" w14:textId="71FBE1E4" w:rsidR="00C56518" w:rsidRPr="00557369" w:rsidRDefault="00C56518" w:rsidP="00DB26CD">
      <w:pPr>
        <w:pStyle w:val="FootnoteText"/>
      </w:pPr>
      <w:r>
        <w:rPr>
          <w:rStyle w:val="FootnoteReference"/>
        </w:rPr>
        <w:footnoteRef/>
      </w:r>
      <w:r>
        <w:t xml:space="preserve"> </w:t>
      </w:r>
      <w:r>
        <w:rPr>
          <w:i/>
          <w:iCs/>
        </w:rPr>
        <w:t xml:space="preserve">Brock Hall v Constable Nico </w:t>
      </w:r>
      <w:proofErr w:type="spellStart"/>
      <w:r>
        <w:rPr>
          <w:i/>
          <w:iCs/>
        </w:rPr>
        <w:t>Pangemanan</w:t>
      </w:r>
      <w:proofErr w:type="spellEnd"/>
      <w:r>
        <w:rPr>
          <w:i/>
          <w:iCs/>
        </w:rPr>
        <w:t xml:space="preserve"> </w:t>
      </w:r>
      <w:r>
        <w:t xml:space="preserve">[2018] VSC 533. </w:t>
      </w:r>
    </w:p>
  </w:footnote>
  <w:footnote w:id="37">
    <w:p w14:paraId="7D34D647" w14:textId="77777777" w:rsidR="00C56518" w:rsidRPr="00DF3F68" w:rsidRDefault="00C56518" w:rsidP="003074A8">
      <w:pPr>
        <w:pStyle w:val="FootnoteText"/>
        <w:spacing w:before="0" w:line="240" w:lineRule="auto"/>
      </w:pPr>
      <w:r>
        <w:rPr>
          <w:rStyle w:val="FootnoteReference"/>
        </w:rPr>
        <w:footnoteRef/>
      </w:r>
      <w:r>
        <w:t xml:space="preserve"> </w:t>
      </w:r>
      <w:r>
        <w:rPr>
          <w:i/>
          <w:iCs/>
        </w:rPr>
        <w:t xml:space="preserve">Re LW </w:t>
      </w:r>
      <w:r>
        <w:t xml:space="preserve">[2019] VSC 616. </w:t>
      </w:r>
    </w:p>
  </w:footnote>
  <w:footnote w:id="38">
    <w:p w14:paraId="7C27C587" w14:textId="77777777" w:rsidR="00C56518" w:rsidRPr="00981DB7" w:rsidRDefault="00C56518" w:rsidP="0078756A">
      <w:pPr>
        <w:pStyle w:val="FootnoteText"/>
        <w:spacing w:before="0" w:line="240" w:lineRule="auto"/>
        <w:rPr>
          <w:szCs w:val="18"/>
          <w:lang w:val="en-US"/>
        </w:rPr>
      </w:pPr>
      <w:r w:rsidRPr="00981DB7">
        <w:rPr>
          <w:rStyle w:val="FootnoteReference"/>
          <w:sz w:val="18"/>
          <w:szCs w:val="18"/>
        </w:rPr>
        <w:footnoteRef/>
      </w:r>
      <w:r w:rsidRPr="00981DB7">
        <w:rPr>
          <w:szCs w:val="18"/>
        </w:rPr>
        <w:t xml:space="preserve"> The Hon Paul Coghlan QC, </w:t>
      </w:r>
      <w:r w:rsidRPr="00981DB7">
        <w:rPr>
          <w:i/>
          <w:iCs/>
          <w:szCs w:val="18"/>
          <w:lang w:val="en-US"/>
        </w:rPr>
        <w:t>Bail Review: Second Advice to the Victorian Government</w:t>
      </w:r>
      <w:r w:rsidRPr="00981DB7">
        <w:rPr>
          <w:szCs w:val="18"/>
          <w:lang w:val="en-US"/>
        </w:rPr>
        <w:t>, May 2017, Re</w:t>
      </w:r>
      <w:r>
        <w:rPr>
          <w:szCs w:val="18"/>
          <w:lang w:val="en-US"/>
        </w:rPr>
        <w:t>c</w:t>
      </w:r>
      <w:r w:rsidRPr="00981DB7">
        <w:rPr>
          <w:szCs w:val="18"/>
          <w:lang w:val="en-US"/>
        </w:rPr>
        <w:t xml:space="preserve"> 27.</w:t>
      </w:r>
    </w:p>
  </w:footnote>
  <w:footnote w:id="39">
    <w:p w14:paraId="1CD1C4FB" w14:textId="77777777" w:rsidR="00C56518" w:rsidRPr="00981DB7" w:rsidRDefault="00C56518" w:rsidP="0078756A">
      <w:pPr>
        <w:pStyle w:val="FootnoteText"/>
        <w:spacing w:before="0" w:line="240" w:lineRule="auto"/>
        <w:rPr>
          <w:szCs w:val="18"/>
          <w:lang w:val="en-US"/>
        </w:rPr>
      </w:pPr>
      <w:r w:rsidRPr="00981DB7">
        <w:rPr>
          <w:rStyle w:val="FootnoteReference"/>
          <w:sz w:val="18"/>
          <w:szCs w:val="18"/>
        </w:rPr>
        <w:footnoteRef/>
      </w:r>
      <w:r w:rsidRPr="00981DB7">
        <w:rPr>
          <w:szCs w:val="18"/>
        </w:rPr>
        <w:t xml:space="preserve"> Australian Law Reform Commission, </w:t>
      </w:r>
      <w:r w:rsidRPr="00981DB7">
        <w:rPr>
          <w:i/>
          <w:iCs/>
          <w:szCs w:val="18"/>
        </w:rPr>
        <w:t>Incarceration Rates of Aboriginal and Torres Strait Islander Peoples</w:t>
      </w:r>
      <w:r w:rsidRPr="00981DB7">
        <w:rPr>
          <w:szCs w:val="18"/>
        </w:rPr>
        <w:t xml:space="preserve">, </w:t>
      </w:r>
      <w:r>
        <w:rPr>
          <w:szCs w:val="18"/>
        </w:rPr>
        <w:t>Report</w:t>
      </w:r>
      <w:r w:rsidRPr="00981DB7">
        <w:rPr>
          <w:szCs w:val="18"/>
        </w:rPr>
        <w:t>, 19 July 2017, Recommendation 5–2.</w:t>
      </w:r>
    </w:p>
  </w:footnote>
  <w:footnote w:id="40">
    <w:p w14:paraId="17AA69B4" w14:textId="7A6EE071"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The Hon Paul Coghlan QC, </w:t>
      </w:r>
      <w:r w:rsidRPr="00981DB7">
        <w:rPr>
          <w:i/>
          <w:iCs/>
          <w:szCs w:val="18"/>
          <w:lang w:val="en-US"/>
        </w:rPr>
        <w:t>Bail Review: Second Advice to the Victorian Government</w:t>
      </w:r>
      <w:r w:rsidRPr="00981DB7">
        <w:rPr>
          <w:szCs w:val="18"/>
          <w:lang w:val="en-US"/>
        </w:rPr>
        <w:t xml:space="preserve">, May 2017, </w:t>
      </w:r>
      <w:r w:rsidRPr="00981DB7">
        <w:rPr>
          <w:szCs w:val="18"/>
        </w:rPr>
        <w:t>p</w:t>
      </w:r>
      <w:r w:rsidRPr="00981DB7">
        <w:rPr>
          <w:szCs w:val="18"/>
          <w:lang w:val="en-US"/>
        </w:rPr>
        <w:t>p 35-36.</w:t>
      </w:r>
    </w:p>
  </w:footnote>
  <w:footnote w:id="41">
    <w:p w14:paraId="1387BDB1" w14:textId="1AC4A6B0" w:rsidR="00C56518" w:rsidRDefault="00C56518" w:rsidP="004A4A3D">
      <w:pPr>
        <w:pStyle w:val="FootnoteText"/>
        <w:spacing w:before="0" w:line="240" w:lineRule="auto"/>
      </w:pPr>
      <w:r>
        <w:rPr>
          <w:rStyle w:val="FootnoteReference"/>
        </w:rPr>
        <w:footnoteRef/>
      </w:r>
      <w:r>
        <w:t xml:space="preserve"> </w:t>
      </w:r>
      <w:r w:rsidRPr="00981DB7">
        <w:rPr>
          <w:szCs w:val="18"/>
          <w:lang w:val="en-US"/>
        </w:rPr>
        <w:t xml:space="preserve">Grant, P, 2008, </w:t>
      </w:r>
      <w:r>
        <w:rPr>
          <w:szCs w:val="18"/>
          <w:lang w:val="en-US"/>
        </w:rPr>
        <w:t>‘</w:t>
      </w:r>
      <w:r w:rsidRPr="00981DB7">
        <w:rPr>
          <w:szCs w:val="18"/>
          <w:lang w:val="en-US"/>
        </w:rPr>
        <w:t xml:space="preserve">Interventions that work: dealing with young people in conflict with the law', Conference Paper: </w:t>
      </w:r>
      <w:r w:rsidRPr="00981DB7">
        <w:rPr>
          <w:i/>
          <w:iCs/>
          <w:szCs w:val="18"/>
          <w:lang w:val="en-US"/>
        </w:rPr>
        <w:t>Young People, Crime and Community Safety: Engagement and Early Intervention</w:t>
      </w:r>
      <w:r w:rsidRPr="00981DB7">
        <w:rPr>
          <w:szCs w:val="18"/>
          <w:lang w:val="en-US"/>
        </w:rPr>
        <w:t>, Australian Institute of Criminology International Conference, Melbourne.</w:t>
      </w:r>
    </w:p>
  </w:footnote>
  <w:footnote w:id="42">
    <w:p w14:paraId="13C83549" w14:textId="0226BE47"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Sentencing Advisory Council, </w:t>
      </w:r>
      <w:r w:rsidRPr="00981DB7">
        <w:rPr>
          <w:i/>
          <w:iCs/>
          <w:szCs w:val="18"/>
        </w:rPr>
        <w:t xml:space="preserve">Sentencing </w:t>
      </w:r>
      <w:r w:rsidRPr="00981DB7">
        <w:rPr>
          <w:i/>
          <w:iCs/>
          <w:szCs w:val="18"/>
          <w:lang w:val="en-US"/>
        </w:rPr>
        <w:t>Children</w:t>
      </w:r>
      <w:r w:rsidRPr="00981DB7">
        <w:rPr>
          <w:i/>
          <w:iCs/>
          <w:szCs w:val="18"/>
        </w:rPr>
        <w:t xml:space="preserve"> and Young People in Victoria</w:t>
      </w:r>
      <w:r w:rsidRPr="00981DB7">
        <w:rPr>
          <w:szCs w:val="18"/>
        </w:rPr>
        <w:t>, April 2012</w:t>
      </w:r>
      <w:r>
        <w:rPr>
          <w:szCs w:val="18"/>
        </w:rPr>
        <w:t>.</w:t>
      </w:r>
    </w:p>
  </w:footnote>
  <w:footnote w:id="43">
    <w:p w14:paraId="3A8D4607" w14:textId="4568E07D" w:rsidR="00C56518" w:rsidRPr="00981DB7" w:rsidRDefault="00C56518" w:rsidP="003074A8">
      <w:pPr>
        <w:pStyle w:val="FootnoteText"/>
        <w:spacing w:before="0" w:line="240" w:lineRule="auto"/>
        <w:rPr>
          <w:szCs w:val="18"/>
        </w:rPr>
      </w:pPr>
      <w:r w:rsidRPr="00981DB7">
        <w:rPr>
          <w:rStyle w:val="FootnoteReference"/>
          <w:rFonts w:cs="Gill Sans Std Light"/>
          <w:sz w:val="18"/>
          <w:szCs w:val="18"/>
        </w:rPr>
        <w:footnoteRef/>
      </w:r>
      <w:r w:rsidRPr="00981DB7">
        <w:rPr>
          <w:szCs w:val="18"/>
        </w:rPr>
        <w:t xml:space="preserve"> KPMG 2010, </w:t>
      </w:r>
      <w:r w:rsidRPr="00981DB7">
        <w:rPr>
          <w:i/>
          <w:szCs w:val="18"/>
        </w:rPr>
        <w:t>Review of the Youth Justice Group Conferencing Program Final Report</w:t>
      </w:r>
      <w:r w:rsidRPr="00981DB7">
        <w:rPr>
          <w:szCs w:val="18"/>
        </w:rPr>
        <w:t xml:space="preserve">, </w:t>
      </w:r>
      <w:r>
        <w:rPr>
          <w:szCs w:val="18"/>
        </w:rPr>
        <w:t>DHS</w:t>
      </w:r>
      <w:r w:rsidRPr="00981DB7">
        <w:rPr>
          <w:szCs w:val="18"/>
        </w:rPr>
        <w:t>, p</w:t>
      </w:r>
      <w:r w:rsidR="004A4A3D">
        <w:rPr>
          <w:szCs w:val="18"/>
        </w:rPr>
        <w:t xml:space="preserve"> </w:t>
      </w:r>
      <w:r w:rsidRPr="00981DB7">
        <w:rPr>
          <w:szCs w:val="18"/>
        </w:rPr>
        <w:t xml:space="preserve">64. </w:t>
      </w:r>
    </w:p>
  </w:footnote>
  <w:footnote w:id="44">
    <w:p w14:paraId="74E8507A" w14:textId="0737FD50"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Ibid.</w:t>
      </w:r>
      <w:r>
        <w:rPr>
          <w:szCs w:val="18"/>
        </w:rPr>
        <w:t xml:space="preserve"> </w:t>
      </w:r>
    </w:p>
  </w:footnote>
  <w:footnote w:id="45">
    <w:p w14:paraId="0F644053" w14:textId="637906A1" w:rsidR="00C56518" w:rsidRPr="00981DB7" w:rsidRDefault="00C56518" w:rsidP="003074A8">
      <w:pPr>
        <w:pStyle w:val="FootnoteText"/>
        <w:spacing w:before="0" w:line="240" w:lineRule="auto"/>
        <w:rPr>
          <w:szCs w:val="18"/>
          <w:lang w:val="en-US"/>
        </w:rPr>
      </w:pPr>
      <w:r w:rsidRPr="00981DB7">
        <w:rPr>
          <w:rStyle w:val="FootnoteReference"/>
          <w:sz w:val="18"/>
          <w:szCs w:val="18"/>
        </w:rPr>
        <w:footnoteRef/>
      </w:r>
      <w:r w:rsidRPr="00981DB7">
        <w:rPr>
          <w:szCs w:val="18"/>
        </w:rPr>
        <w:t xml:space="preserve"> Caitlin Grover, Victorian Parliamentary Library &amp; Information Service, </w:t>
      </w:r>
      <w:r w:rsidRPr="00981DB7">
        <w:rPr>
          <w:i/>
          <w:iCs/>
          <w:szCs w:val="18"/>
        </w:rPr>
        <w:t>Youth justice in Victoria</w:t>
      </w:r>
      <w:r w:rsidRPr="00981DB7">
        <w:rPr>
          <w:szCs w:val="18"/>
        </w:rPr>
        <w:t>, April 2017, p</w:t>
      </w:r>
      <w:r w:rsidR="004A4A3D">
        <w:rPr>
          <w:szCs w:val="18"/>
        </w:rPr>
        <w:t xml:space="preserve"> </w:t>
      </w:r>
      <w:r w:rsidRPr="00981DB7">
        <w:rPr>
          <w:szCs w:val="18"/>
        </w:rPr>
        <w:t>12.</w:t>
      </w:r>
    </w:p>
  </w:footnote>
  <w:footnote w:id="46">
    <w:p w14:paraId="72E14647" w14:textId="1EF51F55" w:rsidR="00C56518" w:rsidRPr="00981DB7" w:rsidRDefault="00C56518" w:rsidP="0010602E">
      <w:pPr>
        <w:pStyle w:val="FootnoteText"/>
        <w:spacing w:before="0" w:line="240" w:lineRule="auto"/>
        <w:rPr>
          <w:szCs w:val="18"/>
          <w:lang w:val="en-US"/>
        </w:rPr>
      </w:pPr>
      <w:r w:rsidRPr="00981DB7">
        <w:rPr>
          <w:rStyle w:val="FootnoteReference"/>
          <w:sz w:val="18"/>
          <w:szCs w:val="18"/>
        </w:rPr>
        <w:footnoteRef/>
      </w:r>
      <w:r w:rsidRPr="00981DB7">
        <w:rPr>
          <w:szCs w:val="18"/>
        </w:rPr>
        <w:t xml:space="preserve"> Borowski, A (2010) ‘Evaluating the Children’s Koori Court of Victoria: Some key findings’, presentation to the Australian Institute of </w:t>
      </w:r>
      <w:r w:rsidR="004A4A3D" w:rsidRPr="00981DB7">
        <w:rPr>
          <w:szCs w:val="18"/>
        </w:rPr>
        <w:t>Criminology</w:t>
      </w:r>
      <w:r w:rsidRPr="00981DB7">
        <w:rPr>
          <w:szCs w:val="18"/>
        </w:rPr>
        <w:t xml:space="preserve"> Occasional Seminar, 15 March 2010, cited in</w:t>
      </w:r>
      <w:r>
        <w:rPr>
          <w:szCs w:val="18"/>
        </w:rPr>
        <w:t xml:space="preserve"> ibid, p</w:t>
      </w:r>
      <w:r w:rsidR="004A4A3D">
        <w:rPr>
          <w:szCs w:val="18"/>
        </w:rPr>
        <w:t xml:space="preserve"> </w:t>
      </w:r>
      <w:r>
        <w:rPr>
          <w:szCs w:val="18"/>
        </w:rPr>
        <w:t>30.</w:t>
      </w:r>
    </w:p>
  </w:footnote>
  <w:footnote w:id="47">
    <w:p w14:paraId="6A1CB253" w14:textId="3CBFC1D1" w:rsidR="00C56518" w:rsidRPr="00ED39ED" w:rsidRDefault="00C56518" w:rsidP="003074A8">
      <w:pPr>
        <w:pStyle w:val="FootnoteText"/>
        <w:spacing w:before="0" w:line="240" w:lineRule="auto"/>
      </w:pPr>
      <w:r>
        <w:rPr>
          <w:rStyle w:val="FootnoteReference"/>
        </w:rPr>
        <w:footnoteRef/>
      </w:r>
      <w:r>
        <w:t xml:space="preserve"> The Children’s Koori Court is available at </w:t>
      </w:r>
      <w:r w:rsidRPr="009B75E5">
        <w:rPr>
          <w:noProof/>
          <w:lang w:val="en-US"/>
        </w:rPr>
        <w:t xml:space="preserve">Melbourne, Mildura, Swan Hill, Warrnambool, Portland, Hamilton, </w:t>
      </w:r>
      <w:r>
        <w:rPr>
          <w:noProof/>
          <w:lang w:val="en-US"/>
        </w:rPr>
        <w:t>Latrobe Valley (</w:t>
      </w:r>
      <w:r w:rsidRPr="009B75E5">
        <w:rPr>
          <w:noProof/>
          <w:lang w:val="en-US"/>
        </w:rPr>
        <w:t>Morwell</w:t>
      </w:r>
      <w:r>
        <w:rPr>
          <w:noProof/>
          <w:lang w:val="en-US"/>
        </w:rPr>
        <w:t>)</w:t>
      </w:r>
      <w:r w:rsidRPr="009B75E5">
        <w:rPr>
          <w:noProof/>
          <w:lang w:val="en-US"/>
        </w:rPr>
        <w:t>, Bairnsdale, Shepparton, Geelong, Heidelberg and Dandenong</w:t>
      </w:r>
      <w:r>
        <w:rPr>
          <w:noProof/>
          <w:lang w:val="en-US"/>
        </w:rPr>
        <w:t>.</w:t>
      </w:r>
    </w:p>
  </w:footnote>
  <w:footnote w:id="48">
    <w:p w14:paraId="3E93FBF1" w14:textId="77777777" w:rsidR="00C56518" w:rsidRPr="00262DA4" w:rsidRDefault="00C56518" w:rsidP="003074A8">
      <w:pPr>
        <w:pStyle w:val="FootnoteText"/>
        <w:spacing w:before="0" w:line="240" w:lineRule="auto"/>
        <w:rPr>
          <w:lang w:val="en-US"/>
        </w:rPr>
      </w:pPr>
      <w:r>
        <w:rPr>
          <w:rStyle w:val="FootnoteReference"/>
        </w:rPr>
        <w:footnoteRef/>
      </w:r>
      <w:r>
        <w:t xml:space="preserve"> The Magistrates’ Koori Court sits at Bairnsdale, Broadmeadows, Geelong, Latrobe Valley, Melbourne, Mildura, Shepparton, Swan Hill, Warrnambool, Portland, Hamilton. </w:t>
      </w:r>
    </w:p>
  </w:footnote>
  <w:footnote w:id="49">
    <w:p w14:paraId="3A69E8A0" w14:textId="77777777" w:rsidR="00C56518" w:rsidRPr="000A473A" w:rsidRDefault="00C56518" w:rsidP="003074A8">
      <w:pPr>
        <w:pStyle w:val="FootnoteText"/>
        <w:spacing w:before="0" w:line="240" w:lineRule="auto"/>
        <w:rPr>
          <w:lang w:val="en-US"/>
        </w:rPr>
      </w:pPr>
      <w:r>
        <w:rPr>
          <w:rStyle w:val="FootnoteReference"/>
        </w:rPr>
        <w:footnoteRef/>
      </w:r>
      <w:r>
        <w:t xml:space="preserve"> The County Koori Court sits at La Trobe Valley, Melbourne, Mildura and Shepparton.</w:t>
      </w:r>
    </w:p>
  </w:footnote>
  <w:footnote w:id="50">
    <w:p w14:paraId="3AE736F5" w14:textId="34D6219F" w:rsidR="00C56518" w:rsidRPr="00F10421" w:rsidRDefault="00C56518" w:rsidP="003074A8">
      <w:pPr>
        <w:pStyle w:val="FootnoteText"/>
        <w:spacing w:before="0" w:line="240" w:lineRule="auto"/>
      </w:pPr>
      <w:r>
        <w:rPr>
          <w:rStyle w:val="FootnoteReference"/>
        </w:rPr>
        <w:footnoteRef/>
      </w:r>
      <w:r>
        <w:t xml:space="preserve"> Harry </w:t>
      </w:r>
      <w:proofErr w:type="spellStart"/>
      <w:r>
        <w:t>Blagg</w:t>
      </w:r>
      <w:proofErr w:type="spellEnd"/>
      <w:r>
        <w:t xml:space="preserve">, Neil Morgan, Chris Cunneen, Anna Ferrante, </w:t>
      </w:r>
      <w:r w:rsidRPr="00F10421">
        <w:rPr>
          <w:i/>
          <w:iCs/>
        </w:rPr>
        <w:t xml:space="preserve">Systemic Racism as a Factor in the Overrepresentation of Aboriginal People in the Victorian Criminal Justice System, </w:t>
      </w:r>
      <w:r>
        <w:t>September 2005, p</w:t>
      </w:r>
      <w:r w:rsidR="004A4A3D">
        <w:t xml:space="preserve"> </w:t>
      </w:r>
      <w:r>
        <w:t>124</w:t>
      </w:r>
      <w:r w:rsidR="002433F0">
        <w:t xml:space="preserve"> (emphasis added)</w:t>
      </w:r>
      <w:r>
        <w:t>.</w:t>
      </w:r>
    </w:p>
  </w:footnote>
  <w:footnote w:id="51">
    <w:p w14:paraId="572FE558" w14:textId="4ABD6339" w:rsidR="00C56518" w:rsidRPr="004C6351" w:rsidRDefault="00C56518" w:rsidP="003074A8">
      <w:pPr>
        <w:pStyle w:val="FootnoteText"/>
        <w:spacing w:before="0" w:line="240" w:lineRule="auto"/>
        <w:rPr>
          <w:lang w:val="en-US"/>
        </w:rPr>
      </w:pPr>
      <w:r>
        <w:rPr>
          <w:rStyle w:val="FootnoteReference"/>
        </w:rPr>
        <w:footnoteRef/>
      </w:r>
      <w:r>
        <w:t xml:space="preserve"> </w:t>
      </w:r>
      <w:r>
        <w:rPr>
          <w:lang w:val="en-US"/>
        </w:rPr>
        <w:t xml:space="preserve">Bronitt, S and McSherry, B, </w:t>
      </w:r>
      <w:r w:rsidRPr="004C6351">
        <w:rPr>
          <w:i/>
          <w:iCs/>
          <w:lang w:val="en-US"/>
        </w:rPr>
        <w:t>Principles of Criminal Law 4</w:t>
      </w:r>
      <w:r w:rsidRPr="004C6351">
        <w:rPr>
          <w:i/>
          <w:iCs/>
          <w:vertAlign w:val="superscript"/>
          <w:lang w:val="en-US"/>
        </w:rPr>
        <w:t>th</w:t>
      </w:r>
      <w:r w:rsidRPr="004C6351">
        <w:rPr>
          <w:i/>
          <w:iCs/>
          <w:lang w:val="en-US"/>
        </w:rPr>
        <w:t xml:space="preserve"> Ed</w:t>
      </w:r>
      <w:r>
        <w:rPr>
          <w:lang w:val="en-US"/>
        </w:rPr>
        <w:t>, 2017, p</w:t>
      </w:r>
      <w:r w:rsidR="004A4A3D">
        <w:rPr>
          <w:lang w:val="en-US"/>
        </w:rPr>
        <w:t xml:space="preserve"> </w:t>
      </w:r>
      <w:r>
        <w:rPr>
          <w:lang w:val="en-US"/>
        </w:rPr>
        <w:t>162.</w:t>
      </w:r>
    </w:p>
  </w:footnote>
  <w:footnote w:id="52">
    <w:p w14:paraId="7F3BFBE8" w14:textId="77777777" w:rsidR="00C56518" w:rsidRPr="006F355C" w:rsidRDefault="00C56518" w:rsidP="003074A8">
      <w:pPr>
        <w:pStyle w:val="FootnoteText"/>
        <w:spacing w:before="0" w:line="240" w:lineRule="auto"/>
        <w:rPr>
          <w:lang w:val="en-US"/>
        </w:rPr>
      </w:pPr>
      <w:r>
        <w:rPr>
          <w:rStyle w:val="FootnoteReference"/>
        </w:rPr>
        <w:footnoteRef/>
      </w:r>
      <w:r>
        <w:t xml:space="preserve"> </w:t>
      </w:r>
      <w:proofErr w:type="spellStart"/>
      <w:r w:rsidRPr="006F355C">
        <w:rPr>
          <w:i/>
          <w:iCs/>
        </w:rPr>
        <w:t>Bugmy</w:t>
      </w:r>
      <w:proofErr w:type="spellEnd"/>
      <w:r w:rsidRPr="006F355C">
        <w:rPr>
          <w:i/>
          <w:iCs/>
        </w:rPr>
        <w:t xml:space="preserve"> v R</w:t>
      </w:r>
      <w:r w:rsidRPr="006F355C">
        <w:t xml:space="preserve"> (2013) 302 ALR 192</w:t>
      </w:r>
      <w:r>
        <w:t>.</w:t>
      </w:r>
    </w:p>
  </w:footnote>
  <w:footnote w:id="53">
    <w:p w14:paraId="7DEBC783" w14:textId="2A80C70B" w:rsidR="00C56518" w:rsidRPr="008A4CFF" w:rsidRDefault="00C56518" w:rsidP="003074A8">
      <w:pPr>
        <w:pStyle w:val="FootnoteText"/>
        <w:spacing w:before="0"/>
        <w:rPr>
          <w:lang w:val="en-US"/>
        </w:rPr>
      </w:pPr>
      <w:r>
        <w:rPr>
          <w:rStyle w:val="FootnoteReference"/>
        </w:rPr>
        <w:footnoteRef/>
      </w:r>
      <w:r>
        <w:t xml:space="preserve"> </w:t>
      </w:r>
      <w:r w:rsidRPr="008A4CFF">
        <w:t xml:space="preserve">By way of background, in the 1999 Canadian case of </w:t>
      </w:r>
      <w:r w:rsidRPr="008A4CFF">
        <w:rPr>
          <w:i/>
          <w:iCs/>
        </w:rPr>
        <w:t>R v Gladue</w:t>
      </w:r>
      <w:r w:rsidRPr="008A4CFF">
        <w:t>, it was successfully argued that the defendant’s low socio-economic background was a result of colonisation and this was central to the commission of the offence.</w:t>
      </w:r>
    </w:p>
  </w:footnote>
  <w:footnote w:id="54">
    <w:p w14:paraId="618036C4" w14:textId="1B468898" w:rsidR="00C56518" w:rsidRPr="008A4CFF" w:rsidRDefault="00C56518" w:rsidP="003074A8">
      <w:pPr>
        <w:pStyle w:val="FootnoteText"/>
        <w:spacing w:before="0"/>
        <w:rPr>
          <w:lang w:val="en-US"/>
        </w:rPr>
      </w:pPr>
      <w:r>
        <w:rPr>
          <w:rStyle w:val="FootnoteReference"/>
        </w:rPr>
        <w:footnoteRef/>
      </w:r>
      <w:r>
        <w:t xml:space="preserve"> </w:t>
      </w:r>
      <w:r>
        <w:rPr>
          <w:rFonts w:cs="Arial"/>
          <w:color w:val="000000" w:themeColor="text1"/>
          <w:szCs w:val="22"/>
          <w:lang w:eastAsia="en-AU"/>
        </w:rPr>
        <w:t>S</w:t>
      </w:r>
      <w:r w:rsidRPr="00823F8E">
        <w:rPr>
          <w:rFonts w:cs="Arial"/>
          <w:color w:val="000000" w:themeColor="text1"/>
          <w:szCs w:val="22"/>
          <w:lang w:eastAsia="en-AU"/>
        </w:rPr>
        <w:t>ection 718.2(e) of the Canadian</w:t>
      </w:r>
      <w:r>
        <w:rPr>
          <w:rFonts w:cs="Arial"/>
          <w:color w:val="000000" w:themeColor="text1"/>
          <w:szCs w:val="22"/>
          <w:lang w:eastAsia="en-AU"/>
        </w:rPr>
        <w:t xml:space="preserve"> </w:t>
      </w:r>
      <w:r w:rsidRPr="00823F8E">
        <w:rPr>
          <w:rFonts w:cs="Arial"/>
          <w:color w:val="000000" w:themeColor="text1"/>
          <w:szCs w:val="22"/>
          <w:lang w:eastAsia="en-AU"/>
        </w:rPr>
        <w:t>Criminal Code</w:t>
      </w:r>
      <w:r>
        <w:rPr>
          <w:rFonts w:cs="Arial"/>
          <w:color w:val="000000" w:themeColor="text1"/>
          <w:szCs w:val="22"/>
          <w:lang w:eastAsia="en-AU"/>
        </w:rPr>
        <w:t xml:space="preserve"> requires the</w:t>
      </w:r>
      <w:r w:rsidRPr="00823F8E">
        <w:rPr>
          <w:rFonts w:cs="Arial"/>
          <w:color w:val="000000" w:themeColor="text1"/>
          <w:szCs w:val="22"/>
          <w:lang w:eastAsia="en-AU"/>
        </w:rPr>
        <w:t xml:space="preserve"> sentencing judge to pay </w:t>
      </w:r>
      <w:r>
        <w:rPr>
          <w:rFonts w:cs="Arial"/>
          <w:color w:val="000000" w:themeColor="text1"/>
          <w:szCs w:val="22"/>
          <w:lang w:eastAsia="en-AU"/>
        </w:rPr>
        <w:t>“</w:t>
      </w:r>
      <w:r w:rsidRPr="00823F8E">
        <w:rPr>
          <w:rFonts w:cs="Arial"/>
          <w:color w:val="000000" w:themeColor="text1"/>
          <w:szCs w:val="22"/>
          <w:lang w:eastAsia="en-AU"/>
        </w:rPr>
        <w:t>particular</w:t>
      </w:r>
      <w:r>
        <w:rPr>
          <w:rFonts w:cs="Arial"/>
          <w:color w:val="000000" w:themeColor="text1"/>
          <w:szCs w:val="22"/>
          <w:lang w:eastAsia="en-AU"/>
        </w:rPr>
        <w:t xml:space="preserve"> </w:t>
      </w:r>
      <w:r w:rsidRPr="00823F8E">
        <w:rPr>
          <w:rFonts w:cs="Arial"/>
          <w:color w:val="000000" w:themeColor="text1"/>
          <w:szCs w:val="22"/>
          <w:lang w:eastAsia="en-AU"/>
        </w:rPr>
        <w:t>attention to the circumstances of Aboriginal offenders</w:t>
      </w:r>
      <w:r>
        <w:rPr>
          <w:rFonts w:cs="Arial"/>
          <w:color w:val="000000" w:themeColor="text1"/>
          <w:szCs w:val="22"/>
          <w:lang w:eastAsia="en-AU"/>
        </w:rPr>
        <w:t>”.</w:t>
      </w:r>
    </w:p>
  </w:footnote>
  <w:footnote w:id="55">
    <w:p w14:paraId="0EC1F5EA" w14:textId="7A7E4531" w:rsidR="00C56518" w:rsidRPr="004C6351" w:rsidRDefault="00C56518" w:rsidP="003074A8">
      <w:pPr>
        <w:pStyle w:val="FootnoteText"/>
        <w:spacing w:before="0" w:line="240" w:lineRule="auto"/>
        <w:rPr>
          <w:lang w:val="en-US"/>
        </w:rPr>
      </w:pPr>
      <w:r>
        <w:rPr>
          <w:rStyle w:val="FootnoteReference"/>
        </w:rPr>
        <w:footnoteRef/>
      </w:r>
      <w:r>
        <w:t xml:space="preserve"> </w:t>
      </w:r>
      <w:r>
        <w:rPr>
          <w:lang w:val="en-US"/>
        </w:rPr>
        <w:t xml:space="preserve">Bronitt, S and McSherry, B, </w:t>
      </w:r>
      <w:r w:rsidRPr="004C6351">
        <w:rPr>
          <w:i/>
          <w:iCs/>
          <w:lang w:val="en-US"/>
        </w:rPr>
        <w:t>Principles of Criminal Law 4</w:t>
      </w:r>
      <w:r w:rsidRPr="004C6351">
        <w:rPr>
          <w:i/>
          <w:iCs/>
          <w:vertAlign w:val="superscript"/>
          <w:lang w:val="en-US"/>
        </w:rPr>
        <w:t>th</w:t>
      </w:r>
      <w:r w:rsidRPr="004C6351">
        <w:rPr>
          <w:i/>
          <w:iCs/>
          <w:lang w:val="en-US"/>
        </w:rPr>
        <w:t xml:space="preserve"> Ed</w:t>
      </w:r>
      <w:r>
        <w:rPr>
          <w:lang w:val="en-US"/>
        </w:rPr>
        <w:t>, 2017, p</w:t>
      </w:r>
      <w:r w:rsidR="004A4A3D">
        <w:rPr>
          <w:lang w:val="en-US"/>
        </w:rPr>
        <w:t xml:space="preserve"> </w:t>
      </w:r>
      <w:r>
        <w:rPr>
          <w:lang w:val="en-US"/>
        </w:rPr>
        <w:t>162.</w:t>
      </w:r>
    </w:p>
  </w:footnote>
  <w:footnote w:id="56">
    <w:p w14:paraId="7B5E6393" w14:textId="299CDD63" w:rsidR="00C56518" w:rsidRPr="00616BF8" w:rsidRDefault="00C56518" w:rsidP="003074A8">
      <w:pPr>
        <w:pStyle w:val="FootnoteText"/>
        <w:spacing w:before="0" w:line="240" w:lineRule="auto"/>
        <w:rPr>
          <w:lang w:val="en-US"/>
        </w:rPr>
      </w:pPr>
      <w:r w:rsidRPr="00C83848">
        <w:rPr>
          <w:rStyle w:val="FootnoteReference"/>
        </w:rPr>
        <w:footnoteRef/>
      </w:r>
      <w:r w:rsidRPr="00C83848">
        <w:t xml:space="preserve"> Victorian </w:t>
      </w:r>
      <w:r w:rsidRPr="00C83848">
        <w:rPr>
          <w:lang w:val="en-US"/>
        </w:rPr>
        <w:t xml:space="preserve">Ombudsman, 2017, </w:t>
      </w:r>
      <w:r w:rsidRPr="00C83848">
        <w:rPr>
          <w:i/>
          <w:iCs/>
          <w:lang w:val="en-US"/>
        </w:rPr>
        <w:t>Report on youth justice facilities at the Grevillea unit of Barwon Prison, Malmsbury and Parkville</w:t>
      </w:r>
      <w:r>
        <w:rPr>
          <w:i/>
          <w:i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2313" w14:textId="77777777" w:rsidR="00C56518" w:rsidRDefault="00C56518">
    <w:pPr>
      <w:pStyle w:val="Header"/>
    </w:pPr>
    <w:r>
      <w:rPr>
        <w:noProof/>
      </w:rPr>
      <w:pict w14:anchorId="33F34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183139E2">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C9C3" w14:textId="77777777" w:rsidR="00C56518" w:rsidRPr="009F7B2D" w:rsidRDefault="00C56518" w:rsidP="004E0688">
    <w:pPr>
      <w:pStyle w:val="Header"/>
      <w:jc w:val="right"/>
    </w:pPr>
    <w:r>
      <w:rPr>
        <w:noProof/>
        <w:lang w:eastAsia="en-AU"/>
      </w:rPr>
      <w:drawing>
        <wp:inline distT="0" distB="0" distL="0" distR="0" wp14:anchorId="33863FFC" wp14:editId="405178D2">
          <wp:extent cx="1806575" cy="1445260"/>
          <wp:effectExtent l="0" t="0" r="3175" b="2540"/>
          <wp:docPr id="3" name="Picture 3"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3184" w14:textId="77777777" w:rsidR="00C56518" w:rsidRDefault="00C56518" w:rsidP="006E2882">
    <w:pPr>
      <w:spacing w:before="400"/>
      <w:jc w:val="right"/>
    </w:pPr>
    <w:r>
      <w:rPr>
        <w:noProof/>
        <w:lang w:eastAsia="en-AU"/>
      </w:rPr>
      <w:drawing>
        <wp:inline distT="0" distB="0" distL="0" distR="0" wp14:anchorId="1094D4B4" wp14:editId="38B0AAA6">
          <wp:extent cx="2706370" cy="434975"/>
          <wp:effectExtent l="0" t="0" r="0" b="3175"/>
          <wp:docPr id="4" name="Picture 4"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Pr>
        <w:noProof/>
        <w:lang w:eastAsia="en-AU"/>
      </w:rPr>
      <w:pict w14:anchorId="6C8F7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4A80" w14:textId="77777777" w:rsidR="00C56518" w:rsidRPr="009F7B2D" w:rsidRDefault="00C56518" w:rsidP="005D5637">
    <w:pPr>
      <w:pStyle w:val="Header"/>
      <w:tabs>
        <w:tab w:val="clear" w:pos="4604"/>
        <w:tab w:val="clear" w:pos="9214"/>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8BFE" w14:textId="77777777" w:rsidR="00C56518" w:rsidRDefault="00C565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1851" w14:textId="77777777" w:rsidR="00C56518" w:rsidRPr="00665568" w:rsidRDefault="00C56518"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2CE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36A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3A4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A7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F06F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2EB6576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826069E"/>
    <w:lvl w:ilvl="0">
      <w:start w:val="1"/>
      <w:numFmt w:val="decimal"/>
      <w:lvlText w:val="%1."/>
      <w:lvlJc w:val="left"/>
      <w:pPr>
        <w:tabs>
          <w:tab w:val="num" w:pos="360"/>
        </w:tabs>
        <w:ind w:left="360" w:hanging="360"/>
      </w:pPr>
    </w:lvl>
  </w:abstractNum>
  <w:abstractNum w:abstractNumId="7" w15:restartNumberingAfterBreak="0">
    <w:nsid w:val="011F2995"/>
    <w:multiLevelType w:val="hybridMultilevel"/>
    <w:tmpl w:val="120A4D8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E71C63"/>
    <w:multiLevelType w:val="hybridMultilevel"/>
    <w:tmpl w:val="5E2C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F24038"/>
    <w:multiLevelType w:val="hybridMultilevel"/>
    <w:tmpl w:val="D23C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4E96F76"/>
    <w:multiLevelType w:val="hybridMultilevel"/>
    <w:tmpl w:val="BE8CAC7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7E1188"/>
    <w:multiLevelType w:val="hybridMultilevel"/>
    <w:tmpl w:val="CA884954"/>
    <w:lvl w:ilvl="0" w:tplc="39D2B35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11052E"/>
    <w:multiLevelType w:val="hybridMultilevel"/>
    <w:tmpl w:val="BB0A168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545BAB"/>
    <w:multiLevelType w:val="hybridMultilevel"/>
    <w:tmpl w:val="FCFCFF3C"/>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6" w15:restartNumberingAfterBreak="0">
    <w:nsid w:val="2E14036E"/>
    <w:multiLevelType w:val="hybridMultilevel"/>
    <w:tmpl w:val="8A36C9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1EE3D88"/>
    <w:multiLevelType w:val="hybridMultilevel"/>
    <w:tmpl w:val="754EBF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7700CAC"/>
    <w:multiLevelType w:val="hybridMultilevel"/>
    <w:tmpl w:val="9822CA74"/>
    <w:lvl w:ilvl="0" w:tplc="84D20ECE">
      <w:start w:val="1"/>
      <w:numFmt w:val="decimal"/>
      <w:lvlText w:val="Recommendation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C1669D1"/>
    <w:multiLevelType w:val="hybridMultilevel"/>
    <w:tmpl w:val="74323A2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5E351A"/>
    <w:multiLevelType w:val="hybridMultilevel"/>
    <w:tmpl w:val="A456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718EF"/>
    <w:multiLevelType w:val="hybridMultilevel"/>
    <w:tmpl w:val="A26EFC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240543"/>
    <w:multiLevelType w:val="hybridMultilevel"/>
    <w:tmpl w:val="F814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E869AF"/>
    <w:multiLevelType w:val="hybridMultilevel"/>
    <w:tmpl w:val="128868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8146B94"/>
    <w:multiLevelType w:val="hybridMultilevel"/>
    <w:tmpl w:val="50FA20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9" w15:restartNumberingAfterBreak="0">
    <w:nsid w:val="4DFA3D92"/>
    <w:multiLevelType w:val="hybridMultilevel"/>
    <w:tmpl w:val="B490AD1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0" w15:restartNumberingAfterBreak="0">
    <w:nsid w:val="4FC03B9F"/>
    <w:multiLevelType w:val="hybridMultilevel"/>
    <w:tmpl w:val="EAA680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2" w15:restartNumberingAfterBreak="0">
    <w:nsid w:val="58B01946"/>
    <w:multiLevelType w:val="hybridMultilevel"/>
    <w:tmpl w:val="B238A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D75D7C"/>
    <w:multiLevelType w:val="hybridMultilevel"/>
    <w:tmpl w:val="73CE1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02792D"/>
    <w:multiLevelType w:val="hybridMultilevel"/>
    <w:tmpl w:val="14A07CE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6" w15:restartNumberingAfterBreak="0">
    <w:nsid w:val="63DF36F3"/>
    <w:multiLevelType w:val="hybridMultilevel"/>
    <w:tmpl w:val="90663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8" w15:restartNumberingAfterBreak="0">
    <w:nsid w:val="69C5056E"/>
    <w:multiLevelType w:val="multilevel"/>
    <w:tmpl w:val="C400C4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6E3B4A"/>
    <w:multiLevelType w:val="hybridMultilevel"/>
    <w:tmpl w:val="86FE6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F589B"/>
    <w:multiLevelType w:val="hybridMultilevel"/>
    <w:tmpl w:val="0734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2" w15:restartNumberingAfterBreak="0">
    <w:nsid w:val="79E51BE0"/>
    <w:multiLevelType w:val="hybridMultilevel"/>
    <w:tmpl w:val="2F788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1"/>
  </w:num>
  <w:num w:numId="4">
    <w:abstractNumId w:val="28"/>
  </w:num>
  <w:num w:numId="5">
    <w:abstractNumId w:val="33"/>
  </w:num>
  <w:num w:numId="6">
    <w:abstractNumId w:val="29"/>
  </w:num>
  <w:num w:numId="7">
    <w:abstractNumId w:val="32"/>
  </w:num>
  <w:num w:numId="8">
    <w:abstractNumId w:val="21"/>
  </w:num>
  <w:num w:numId="9">
    <w:abstractNumId w:val="27"/>
  </w:num>
  <w:num w:numId="10">
    <w:abstractNumId w:val="39"/>
  </w:num>
  <w:num w:numId="11">
    <w:abstractNumId w:val="38"/>
  </w:num>
  <w:num w:numId="12">
    <w:abstractNumId w:val="19"/>
  </w:num>
  <w:num w:numId="13">
    <w:abstractNumId w:val="34"/>
  </w:num>
  <w:num w:numId="14">
    <w:abstractNumId w:val="24"/>
  </w:num>
  <w:num w:numId="15">
    <w:abstractNumId w:val="12"/>
  </w:num>
  <w:num w:numId="16">
    <w:abstractNumId w:val="5"/>
  </w:num>
  <w:num w:numId="17">
    <w:abstractNumId w:val="4"/>
  </w:num>
  <w:num w:numId="18">
    <w:abstractNumId w:val="6"/>
  </w:num>
  <w:num w:numId="19">
    <w:abstractNumId w:val="3"/>
  </w:num>
  <w:num w:numId="20">
    <w:abstractNumId w:val="2"/>
  </w:num>
  <w:num w:numId="21">
    <w:abstractNumId w:val="1"/>
  </w:num>
  <w:num w:numId="22">
    <w:abstractNumId w:val="0"/>
  </w:num>
  <w:num w:numId="23">
    <w:abstractNumId w:val="12"/>
  </w:num>
  <w:num w:numId="24">
    <w:abstractNumId w:val="42"/>
  </w:num>
  <w:num w:numId="25">
    <w:abstractNumId w:val="8"/>
  </w:num>
  <w:num w:numId="26">
    <w:abstractNumId w:val="40"/>
  </w:num>
  <w:num w:numId="27">
    <w:abstractNumId w:val="22"/>
  </w:num>
  <w:num w:numId="28">
    <w:abstractNumId w:val="11"/>
  </w:num>
  <w:num w:numId="29">
    <w:abstractNumId w:val="14"/>
  </w:num>
  <w:num w:numId="30">
    <w:abstractNumId w:val="9"/>
  </w:num>
  <w:num w:numId="31">
    <w:abstractNumId w:val="7"/>
  </w:num>
  <w:num w:numId="32">
    <w:abstractNumId w:val="32"/>
  </w:num>
  <w:num w:numId="33">
    <w:abstractNumId w:val="18"/>
  </w:num>
  <w:num w:numId="34">
    <w:abstractNumId w:val="23"/>
  </w:num>
  <w:num w:numId="35">
    <w:abstractNumId w:val="16"/>
  </w:num>
  <w:num w:numId="36">
    <w:abstractNumId w:val="13"/>
  </w:num>
  <w:num w:numId="37">
    <w:abstractNumId w:val="36"/>
  </w:num>
  <w:num w:numId="38">
    <w:abstractNumId w:val="30"/>
  </w:num>
  <w:num w:numId="3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0" w:nlCheck="1" w:checkStyle="1"/>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6A"/>
    <w:rsid w:val="00001A97"/>
    <w:rsid w:val="00002956"/>
    <w:rsid w:val="0000389D"/>
    <w:rsid w:val="00007914"/>
    <w:rsid w:val="000106AF"/>
    <w:rsid w:val="00013416"/>
    <w:rsid w:val="000155A6"/>
    <w:rsid w:val="00017191"/>
    <w:rsid w:val="00022C70"/>
    <w:rsid w:val="00022C83"/>
    <w:rsid w:val="00022F0E"/>
    <w:rsid w:val="00022F62"/>
    <w:rsid w:val="000240FD"/>
    <w:rsid w:val="00032858"/>
    <w:rsid w:val="00032AF3"/>
    <w:rsid w:val="00032B9B"/>
    <w:rsid w:val="00033BBE"/>
    <w:rsid w:val="00034178"/>
    <w:rsid w:val="00034429"/>
    <w:rsid w:val="00035266"/>
    <w:rsid w:val="00044DCF"/>
    <w:rsid w:val="0005492F"/>
    <w:rsid w:val="00055B69"/>
    <w:rsid w:val="00056D16"/>
    <w:rsid w:val="000579AC"/>
    <w:rsid w:val="000610FC"/>
    <w:rsid w:val="00061235"/>
    <w:rsid w:val="00062607"/>
    <w:rsid w:val="00062699"/>
    <w:rsid w:val="00064B2A"/>
    <w:rsid w:val="00067DD3"/>
    <w:rsid w:val="00072753"/>
    <w:rsid w:val="0007461B"/>
    <w:rsid w:val="0007514A"/>
    <w:rsid w:val="000773D4"/>
    <w:rsid w:val="00081E8B"/>
    <w:rsid w:val="00083F4D"/>
    <w:rsid w:val="00084C6C"/>
    <w:rsid w:val="00086DF8"/>
    <w:rsid w:val="0009498D"/>
    <w:rsid w:val="00095E7C"/>
    <w:rsid w:val="000974CF"/>
    <w:rsid w:val="000A07AB"/>
    <w:rsid w:val="000A3657"/>
    <w:rsid w:val="000A39E8"/>
    <w:rsid w:val="000A473A"/>
    <w:rsid w:val="000A5205"/>
    <w:rsid w:val="000A5483"/>
    <w:rsid w:val="000A55B1"/>
    <w:rsid w:val="000A711A"/>
    <w:rsid w:val="000B02D8"/>
    <w:rsid w:val="000B0AB6"/>
    <w:rsid w:val="000B278C"/>
    <w:rsid w:val="000B2971"/>
    <w:rsid w:val="000B4571"/>
    <w:rsid w:val="000B6388"/>
    <w:rsid w:val="000B7591"/>
    <w:rsid w:val="000B7836"/>
    <w:rsid w:val="000C0A14"/>
    <w:rsid w:val="000C0B84"/>
    <w:rsid w:val="000C7240"/>
    <w:rsid w:val="000D35D1"/>
    <w:rsid w:val="000D41D7"/>
    <w:rsid w:val="000D4C15"/>
    <w:rsid w:val="000D4F97"/>
    <w:rsid w:val="000D6C7D"/>
    <w:rsid w:val="000E009F"/>
    <w:rsid w:val="000E03D8"/>
    <w:rsid w:val="000E0695"/>
    <w:rsid w:val="000E4B9B"/>
    <w:rsid w:val="000E7142"/>
    <w:rsid w:val="000F5C9E"/>
    <w:rsid w:val="00101CBD"/>
    <w:rsid w:val="00101FB3"/>
    <w:rsid w:val="0010602E"/>
    <w:rsid w:val="0011445A"/>
    <w:rsid w:val="00114928"/>
    <w:rsid w:val="00114C38"/>
    <w:rsid w:val="00114EE2"/>
    <w:rsid w:val="0011572E"/>
    <w:rsid w:val="00123834"/>
    <w:rsid w:val="00124D25"/>
    <w:rsid w:val="00124FF8"/>
    <w:rsid w:val="00130286"/>
    <w:rsid w:val="00135E99"/>
    <w:rsid w:val="001364A6"/>
    <w:rsid w:val="0014270F"/>
    <w:rsid w:val="001429E7"/>
    <w:rsid w:val="00143885"/>
    <w:rsid w:val="00144C0F"/>
    <w:rsid w:val="00147660"/>
    <w:rsid w:val="001479F2"/>
    <w:rsid w:val="00161E5C"/>
    <w:rsid w:val="00161EEF"/>
    <w:rsid w:val="00165D86"/>
    <w:rsid w:val="001666E2"/>
    <w:rsid w:val="0017117B"/>
    <w:rsid w:val="001726E6"/>
    <w:rsid w:val="0017556A"/>
    <w:rsid w:val="00175D56"/>
    <w:rsid w:val="00177F42"/>
    <w:rsid w:val="001808F2"/>
    <w:rsid w:val="00185770"/>
    <w:rsid w:val="00186005"/>
    <w:rsid w:val="00187339"/>
    <w:rsid w:val="00190A54"/>
    <w:rsid w:val="001946EF"/>
    <w:rsid w:val="0019483B"/>
    <w:rsid w:val="001A1005"/>
    <w:rsid w:val="001A17AA"/>
    <w:rsid w:val="001A1B1F"/>
    <w:rsid w:val="001B270D"/>
    <w:rsid w:val="001B44C8"/>
    <w:rsid w:val="001B4D2A"/>
    <w:rsid w:val="001B54EA"/>
    <w:rsid w:val="001B7A47"/>
    <w:rsid w:val="001C0173"/>
    <w:rsid w:val="001C4BC6"/>
    <w:rsid w:val="001C5A0C"/>
    <w:rsid w:val="001D4D0E"/>
    <w:rsid w:val="001D6329"/>
    <w:rsid w:val="001D7A33"/>
    <w:rsid w:val="001E0A52"/>
    <w:rsid w:val="001E5143"/>
    <w:rsid w:val="001E730B"/>
    <w:rsid w:val="001E7C08"/>
    <w:rsid w:val="001F2B98"/>
    <w:rsid w:val="001F4FDB"/>
    <w:rsid w:val="001F5717"/>
    <w:rsid w:val="001F60A3"/>
    <w:rsid w:val="001F6FFA"/>
    <w:rsid w:val="001F7353"/>
    <w:rsid w:val="0021585A"/>
    <w:rsid w:val="0021623D"/>
    <w:rsid w:val="002175CB"/>
    <w:rsid w:val="00220A56"/>
    <w:rsid w:val="0022143F"/>
    <w:rsid w:val="002228E1"/>
    <w:rsid w:val="00231909"/>
    <w:rsid w:val="002337D7"/>
    <w:rsid w:val="00234792"/>
    <w:rsid w:val="00236B0B"/>
    <w:rsid w:val="00237575"/>
    <w:rsid w:val="002402B4"/>
    <w:rsid w:val="00241904"/>
    <w:rsid w:val="002432AD"/>
    <w:rsid w:val="002433F0"/>
    <w:rsid w:val="002435C9"/>
    <w:rsid w:val="002449EE"/>
    <w:rsid w:val="002467D5"/>
    <w:rsid w:val="002509F2"/>
    <w:rsid w:val="00251709"/>
    <w:rsid w:val="00251BE6"/>
    <w:rsid w:val="00253CA7"/>
    <w:rsid w:val="002574E0"/>
    <w:rsid w:val="00262D02"/>
    <w:rsid w:val="00262D67"/>
    <w:rsid w:val="00262DA4"/>
    <w:rsid w:val="0026649B"/>
    <w:rsid w:val="002769FB"/>
    <w:rsid w:val="00281706"/>
    <w:rsid w:val="00281E49"/>
    <w:rsid w:val="00285AD4"/>
    <w:rsid w:val="00292A7A"/>
    <w:rsid w:val="0029348C"/>
    <w:rsid w:val="00294136"/>
    <w:rsid w:val="002959BB"/>
    <w:rsid w:val="00296B02"/>
    <w:rsid w:val="0029727E"/>
    <w:rsid w:val="002A1CA0"/>
    <w:rsid w:val="002A3D1D"/>
    <w:rsid w:val="002A7402"/>
    <w:rsid w:val="002B0C0A"/>
    <w:rsid w:val="002B3943"/>
    <w:rsid w:val="002B4970"/>
    <w:rsid w:val="002C1541"/>
    <w:rsid w:val="002C76B8"/>
    <w:rsid w:val="002D3B0F"/>
    <w:rsid w:val="002D4FA0"/>
    <w:rsid w:val="002E2147"/>
    <w:rsid w:val="002E64B6"/>
    <w:rsid w:val="002F0738"/>
    <w:rsid w:val="002F53CF"/>
    <w:rsid w:val="002F67CF"/>
    <w:rsid w:val="002F6969"/>
    <w:rsid w:val="00300F83"/>
    <w:rsid w:val="0030536F"/>
    <w:rsid w:val="0030591D"/>
    <w:rsid w:val="00305D85"/>
    <w:rsid w:val="003074A8"/>
    <w:rsid w:val="00307C02"/>
    <w:rsid w:val="00310810"/>
    <w:rsid w:val="00310AB6"/>
    <w:rsid w:val="00311334"/>
    <w:rsid w:val="00315923"/>
    <w:rsid w:val="00320144"/>
    <w:rsid w:val="003329E1"/>
    <w:rsid w:val="00332EFF"/>
    <w:rsid w:val="00332FEB"/>
    <w:rsid w:val="00333F35"/>
    <w:rsid w:val="00337802"/>
    <w:rsid w:val="00343AE8"/>
    <w:rsid w:val="00343DAA"/>
    <w:rsid w:val="00344422"/>
    <w:rsid w:val="00347051"/>
    <w:rsid w:val="00350172"/>
    <w:rsid w:val="00352632"/>
    <w:rsid w:val="003571B8"/>
    <w:rsid w:val="0036454C"/>
    <w:rsid w:val="0036511B"/>
    <w:rsid w:val="00371172"/>
    <w:rsid w:val="00371282"/>
    <w:rsid w:val="00372327"/>
    <w:rsid w:val="0037351C"/>
    <w:rsid w:val="00376112"/>
    <w:rsid w:val="003774A1"/>
    <w:rsid w:val="003775EB"/>
    <w:rsid w:val="003816F6"/>
    <w:rsid w:val="00383710"/>
    <w:rsid w:val="00384660"/>
    <w:rsid w:val="00385E31"/>
    <w:rsid w:val="003909A9"/>
    <w:rsid w:val="00392F6A"/>
    <w:rsid w:val="00395DD9"/>
    <w:rsid w:val="0039768B"/>
    <w:rsid w:val="003A13F2"/>
    <w:rsid w:val="003A2302"/>
    <w:rsid w:val="003A5726"/>
    <w:rsid w:val="003A7B75"/>
    <w:rsid w:val="003B3528"/>
    <w:rsid w:val="003B5183"/>
    <w:rsid w:val="003B5869"/>
    <w:rsid w:val="003B6366"/>
    <w:rsid w:val="003B6DD0"/>
    <w:rsid w:val="003C2474"/>
    <w:rsid w:val="003C2F49"/>
    <w:rsid w:val="003C4A7F"/>
    <w:rsid w:val="003C7A7F"/>
    <w:rsid w:val="003D29C2"/>
    <w:rsid w:val="003D4313"/>
    <w:rsid w:val="003D4A8B"/>
    <w:rsid w:val="003E17D1"/>
    <w:rsid w:val="003E409C"/>
    <w:rsid w:val="003E5D82"/>
    <w:rsid w:val="003E5E5A"/>
    <w:rsid w:val="003F1AE9"/>
    <w:rsid w:val="003F1C1E"/>
    <w:rsid w:val="003F48A9"/>
    <w:rsid w:val="003F55A5"/>
    <w:rsid w:val="003F6005"/>
    <w:rsid w:val="00401706"/>
    <w:rsid w:val="00405D71"/>
    <w:rsid w:val="00406307"/>
    <w:rsid w:val="0041181E"/>
    <w:rsid w:val="00416773"/>
    <w:rsid w:val="00421F87"/>
    <w:rsid w:val="0042388E"/>
    <w:rsid w:val="00423CC7"/>
    <w:rsid w:val="00423DE6"/>
    <w:rsid w:val="00425868"/>
    <w:rsid w:val="004365C6"/>
    <w:rsid w:val="00442077"/>
    <w:rsid w:val="00442DBC"/>
    <w:rsid w:val="00444F79"/>
    <w:rsid w:val="00452C53"/>
    <w:rsid w:val="0045435F"/>
    <w:rsid w:val="00461AE2"/>
    <w:rsid w:val="00462BA5"/>
    <w:rsid w:val="00462C13"/>
    <w:rsid w:val="004637BC"/>
    <w:rsid w:val="0046548B"/>
    <w:rsid w:val="004676B4"/>
    <w:rsid w:val="0047147E"/>
    <w:rsid w:val="00473F48"/>
    <w:rsid w:val="004748C4"/>
    <w:rsid w:val="0048037C"/>
    <w:rsid w:val="00481371"/>
    <w:rsid w:val="0048721F"/>
    <w:rsid w:val="00493B23"/>
    <w:rsid w:val="00495490"/>
    <w:rsid w:val="00495ED9"/>
    <w:rsid w:val="00496242"/>
    <w:rsid w:val="004979EB"/>
    <w:rsid w:val="00497C49"/>
    <w:rsid w:val="004A4A3D"/>
    <w:rsid w:val="004B02C2"/>
    <w:rsid w:val="004B12B4"/>
    <w:rsid w:val="004B19BC"/>
    <w:rsid w:val="004B55A8"/>
    <w:rsid w:val="004B6442"/>
    <w:rsid w:val="004C1B95"/>
    <w:rsid w:val="004C410D"/>
    <w:rsid w:val="004C5489"/>
    <w:rsid w:val="004C6351"/>
    <w:rsid w:val="004C7142"/>
    <w:rsid w:val="004D01B2"/>
    <w:rsid w:val="004D3B12"/>
    <w:rsid w:val="004E0688"/>
    <w:rsid w:val="004E2C5B"/>
    <w:rsid w:val="004E511B"/>
    <w:rsid w:val="004E5865"/>
    <w:rsid w:val="004F1880"/>
    <w:rsid w:val="004F2CD9"/>
    <w:rsid w:val="004F4574"/>
    <w:rsid w:val="00505E40"/>
    <w:rsid w:val="00506B14"/>
    <w:rsid w:val="0050711E"/>
    <w:rsid w:val="005075B4"/>
    <w:rsid w:val="0051351B"/>
    <w:rsid w:val="0051395A"/>
    <w:rsid w:val="005168D0"/>
    <w:rsid w:val="00520B9F"/>
    <w:rsid w:val="00520FB3"/>
    <w:rsid w:val="005212F1"/>
    <w:rsid w:val="00521801"/>
    <w:rsid w:val="0052497B"/>
    <w:rsid w:val="00526BF5"/>
    <w:rsid w:val="005272D5"/>
    <w:rsid w:val="005314CA"/>
    <w:rsid w:val="005351C5"/>
    <w:rsid w:val="005375A4"/>
    <w:rsid w:val="00546E1D"/>
    <w:rsid w:val="0054738D"/>
    <w:rsid w:val="00552172"/>
    <w:rsid w:val="0055529B"/>
    <w:rsid w:val="00556183"/>
    <w:rsid w:val="00557369"/>
    <w:rsid w:val="00557D0E"/>
    <w:rsid w:val="0056148F"/>
    <w:rsid w:val="00561A0A"/>
    <w:rsid w:val="00562211"/>
    <w:rsid w:val="005642B9"/>
    <w:rsid w:val="0056464E"/>
    <w:rsid w:val="00565CD8"/>
    <w:rsid w:val="0056742E"/>
    <w:rsid w:val="00567614"/>
    <w:rsid w:val="00571B0A"/>
    <w:rsid w:val="005722DA"/>
    <w:rsid w:val="005731B6"/>
    <w:rsid w:val="00582B4E"/>
    <w:rsid w:val="0058446C"/>
    <w:rsid w:val="0058731D"/>
    <w:rsid w:val="00591154"/>
    <w:rsid w:val="00593F7D"/>
    <w:rsid w:val="00594D8F"/>
    <w:rsid w:val="005A01BE"/>
    <w:rsid w:val="005A14A5"/>
    <w:rsid w:val="005A59D9"/>
    <w:rsid w:val="005A7714"/>
    <w:rsid w:val="005A7F72"/>
    <w:rsid w:val="005B2676"/>
    <w:rsid w:val="005B4BAD"/>
    <w:rsid w:val="005C4337"/>
    <w:rsid w:val="005D103A"/>
    <w:rsid w:val="005D1354"/>
    <w:rsid w:val="005D3AD7"/>
    <w:rsid w:val="005D5637"/>
    <w:rsid w:val="005D5F8A"/>
    <w:rsid w:val="005E1E32"/>
    <w:rsid w:val="005E248A"/>
    <w:rsid w:val="005E3CA0"/>
    <w:rsid w:val="005E4194"/>
    <w:rsid w:val="005E4B8A"/>
    <w:rsid w:val="005E62A4"/>
    <w:rsid w:val="005E6AC8"/>
    <w:rsid w:val="005F193F"/>
    <w:rsid w:val="005F2557"/>
    <w:rsid w:val="005F44D3"/>
    <w:rsid w:val="005F5B1E"/>
    <w:rsid w:val="005F69B7"/>
    <w:rsid w:val="005F7D8E"/>
    <w:rsid w:val="006011E3"/>
    <w:rsid w:val="00602BD6"/>
    <w:rsid w:val="0060449D"/>
    <w:rsid w:val="00604558"/>
    <w:rsid w:val="00605C95"/>
    <w:rsid w:val="006075BF"/>
    <w:rsid w:val="006118C8"/>
    <w:rsid w:val="0061371E"/>
    <w:rsid w:val="006151E7"/>
    <w:rsid w:val="006160D7"/>
    <w:rsid w:val="00616BF8"/>
    <w:rsid w:val="006200E2"/>
    <w:rsid w:val="006223D9"/>
    <w:rsid w:val="00623FD6"/>
    <w:rsid w:val="0062454C"/>
    <w:rsid w:val="006260BB"/>
    <w:rsid w:val="006261F6"/>
    <w:rsid w:val="006300B0"/>
    <w:rsid w:val="006326E7"/>
    <w:rsid w:val="00632BC6"/>
    <w:rsid w:val="00633F3E"/>
    <w:rsid w:val="00640994"/>
    <w:rsid w:val="00646B4F"/>
    <w:rsid w:val="00653753"/>
    <w:rsid w:val="00653D29"/>
    <w:rsid w:val="00653DD4"/>
    <w:rsid w:val="006577D2"/>
    <w:rsid w:val="00657BC3"/>
    <w:rsid w:val="0066077C"/>
    <w:rsid w:val="0066180F"/>
    <w:rsid w:val="00665568"/>
    <w:rsid w:val="00666DDE"/>
    <w:rsid w:val="00667A01"/>
    <w:rsid w:val="0067363E"/>
    <w:rsid w:val="00675BF8"/>
    <w:rsid w:val="006819A3"/>
    <w:rsid w:val="006831FC"/>
    <w:rsid w:val="00683F81"/>
    <w:rsid w:val="00686A3D"/>
    <w:rsid w:val="00687605"/>
    <w:rsid w:val="006906F8"/>
    <w:rsid w:val="00691052"/>
    <w:rsid w:val="00693FBC"/>
    <w:rsid w:val="00696662"/>
    <w:rsid w:val="006968F3"/>
    <w:rsid w:val="00696BAC"/>
    <w:rsid w:val="00696BC4"/>
    <w:rsid w:val="006A5F7D"/>
    <w:rsid w:val="006A6A7D"/>
    <w:rsid w:val="006B1E69"/>
    <w:rsid w:val="006B2384"/>
    <w:rsid w:val="006B7DD2"/>
    <w:rsid w:val="006C3D4C"/>
    <w:rsid w:val="006C4CA7"/>
    <w:rsid w:val="006C5427"/>
    <w:rsid w:val="006C63DE"/>
    <w:rsid w:val="006D1CD8"/>
    <w:rsid w:val="006D30BE"/>
    <w:rsid w:val="006D7518"/>
    <w:rsid w:val="006E2882"/>
    <w:rsid w:val="006E2AD6"/>
    <w:rsid w:val="006E2FA2"/>
    <w:rsid w:val="006E3195"/>
    <w:rsid w:val="006F211A"/>
    <w:rsid w:val="006F355C"/>
    <w:rsid w:val="006F3601"/>
    <w:rsid w:val="00700508"/>
    <w:rsid w:val="007007B2"/>
    <w:rsid w:val="00703709"/>
    <w:rsid w:val="00704826"/>
    <w:rsid w:val="00707B1D"/>
    <w:rsid w:val="0071324F"/>
    <w:rsid w:val="0071383C"/>
    <w:rsid w:val="00713D9C"/>
    <w:rsid w:val="00714771"/>
    <w:rsid w:val="00715EFD"/>
    <w:rsid w:val="00716188"/>
    <w:rsid w:val="007179FB"/>
    <w:rsid w:val="007312A2"/>
    <w:rsid w:val="00731BFA"/>
    <w:rsid w:val="00731DA8"/>
    <w:rsid w:val="00733602"/>
    <w:rsid w:val="00736267"/>
    <w:rsid w:val="007367FE"/>
    <w:rsid w:val="007417AE"/>
    <w:rsid w:val="0074428A"/>
    <w:rsid w:val="007478AC"/>
    <w:rsid w:val="00750FAB"/>
    <w:rsid w:val="0075285A"/>
    <w:rsid w:val="00752BC6"/>
    <w:rsid w:val="007538CC"/>
    <w:rsid w:val="007550FB"/>
    <w:rsid w:val="00756788"/>
    <w:rsid w:val="007600C3"/>
    <w:rsid w:val="007613CA"/>
    <w:rsid w:val="00762336"/>
    <w:rsid w:val="007655FC"/>
    <w:rsid w:val="00766D34"/>
    <w:rsid w:val="0077229B"/>
    <w:rsid w:val="00774A01"/>
    <w:rsid w:val="00774F94"/>
    <w:rsid w:val="007754DB"/>
    <w:rsid w:val="0077567B"/>
    <w:rsid w:val="00775BDE"/>
    <w:rsid w:val="007767BD"/>
    <w:rsid w:val="0078022B"/>
    <w:rsid w:val="007825F3"/>
    <w:rsid w:val="00783185"/>
    <w:rsid w:val="0078756A"/>
    <w:rsid w:val="00792C16"/>
    <w:rsid w:val="007933F4"/>
    <w:rsid w:val="007966A5"/>
    <w:rsid w:val="007A1605"/>
    <w:rsid w:val="007B1513"/>
    <w:rsid w:val="007B1639"/>
    <w:rsid w:val="007B44E0"/>
    <w:rsid w:val="007B6B96"/>
    <w:rsid w:val="007B6D12"/>
    <w:rsid w:val="007C0881"/>
    <w:rsid w:val="007C1640"/>
    <w:rsid w:val="007C47EB"/>
    <w:rsid w:val="007C62F2"/>
    <w:rsid w:val="007C6A28"/>
    <w:rsid w:val="007C6A2A"/>
    <w:rsid w:val="007D08B2"/>
    <w:rsid w:val="007D7535"/>
    <w:rsid w:val="007D7CA5"/>
    <w:rsid w:val="007E3C5D"/>
    <w:rsid w:val="007E4CB8"/>
    <w:rsid w:val="007E54F6"/>
    <w:rsid w:val="007E68D0"/>
    <w:rsid w:val="007E76DB"/>
    <w:rsid w:val="007F1D62"/>
    <w:rsid w:val="007F52A9"/>
    <w:rsid w:val="007F67C5"/>
    <w:rsid w:val="00800294"/>
    <w:rsid w:val="00800301"/>
    <w:rsid w:val="008008E2"/>
    <w:rsid w:val="00807BAD"/>
    <w:rsid w:val="00810FA9"/>
    <w:rsid w:val="008119B6"/>
    <w:rsid w:val="00811FE7"/>
    <w:rsid w:val="0081542D"/>
    <w:rsid w:val="008166E5"/>
    <w:rsid w:val="00820094"/>
    <w:rsid w:val="008206D6"/>
    <w:rsid w:val="00823F8E"/>
    <w:rsid w:val="00827B78"/>
    <w:rsid w:val="00827CD3"/>
    <w:rsid w:val="0083009F"/>
    <w:rsid w:val="00830910"/>
    <w:rsid w:val="0083241B"/>
    <w:rsid w:val="00835928"/>
    <w:rsid w:val="00835DCC"/>
    <w:rsid w:val="008377A1"/>
    <w:rsid w:val="008420F0"/>
    <w:rsid w:val="008425B2"/>
    <w:rsid w:val="008450E7"/>
    <w:rsid w:val="00845DCE"/>
    <w:rsid w:val="008500E9"/>
    <w:rsid w:val="00850270"/>
    <w:rsid w:val="00850401"/>
    <w:rsid w:val="0085290D"/>
    <w:rsid w:val="00852B80"/>
    <w:rsid w:val="00853BDA"/>
    <w:rsid w:val="00855D9B"/>
    <w:rsid w:val="00855FA2"/>
    <w:rsid w:val="0085710F"/>
    <w:rsid w:val="00857570"/>
    <w:rsid w:val="008636CA"/>
    <w:rsid w:val="0086595A"/>
    <w:rsid w:val="0087608E"/>
    <w:rsid w:val="00877382"/>
    <w:rsid w:val="00882990"/>
    <w:rsid w:val="00885060"/>
    <w:rsid w:val="00885238"/>
    <w:rsid w:val="008904AB"/>
    <w:rsid w:val="00893FD7"/>
    <w:rsid w:val="008951B5"/>
    <w:rsid w:val="008A0250"/>
    <w:rsid w:val="008A067C"/>
    <w:rsid w:val="008A28ED"/>
    <w:rsid w:val="008A3EB1"/>
    <w:rsid w:val="008A4B09"/>
    <w:rsid w:val="008A4C7A"/>
    <w:rsid w:val="008A4CFF"/>
    <w:rsid w:val="008B435F"/>
    <w:rsid w:val="008B4AAC"/>
    <w:rsid w:val="008B508B"/>
    <w:rsid w:val="008B6507"/>
    <w:rsid w:val="008B6EEB"/>
    <w:rsid w:val="008B72F4"/>
    <w:rsid w:val="008C072E"/>
    <w:rsid w:val="008C4E01"/>
    <w:rsid w:val="008D39EB"/>
    <w:rsid w:val="008D6991"/>
    <w:rsid w:val="008D6BAF"/>
    <w:rsid w:val="008E0EA8"/>
    <w:rsid w:val="008E1D7F"/>
    <w:rsid w:val="008E293D"/>
    <w:rsid w:val="008E463B"/>
    <w:rsid w:val="008F0579"/>
    <w:rsid w:val="008F057C"/>
    <w:rsid w:val="008F05C6"/>
    <w:rsid w:val="008F0A20"/>
    <w:rsid w:val="008F1F0B"/>
    <w:rsid w:val="008F36EC"/>
    <w:rsid w:val="008F69D2"/>
    <w:rsid w:val="008F726E"/>
    <w:rsid w:val="00902022"/>
    <w:rsid w:val="00902A2A"/>
    <w:rsid w:val="00906133"/>
    <w:rsid w:val="009078FD"/>
    <w:rsid w:val="00911151"/>
    <w:rsid w:val="009112A5"/>
    <w:rsid w:val="00917DE9"/>
    <w:rsid w:val="00925672"/>
    <w:rsid w:val="0093361D"/>
    <w:rsid w:val="00935586"/>
    <w:rsid w:val="00937524"/>
    <w:rsid w:val="009407FB"/>
    <w:rsid w:val="0094252E"/>
    <w:rsid w:val="00942548"/>
    <w:rsid w:val="00945E43"/>
    <w:rsid w:val="00946548"/>
    <w:rsid w:val="00953ADC"/>
    <w:rsid w:val="0095636C"/>
    <w:rsid w:val="00957221"/>
    <w:rsid w:val="009642AF"/>
    <w:rsid w:val="0096733F"/>
    <w:rsid w:val="0096783A"/>
    <w:rsid w:val="00973724"/>
    <w:rsid w:val="00976D12"/>
    <w:rsid w:val="009771FF"/>
    <w:rsid w:val="00980554"/>
    <w:rsid w:val="00981DB7"/>
    <w:rsid w:val="00984DE7"/>
    <w:rsid w:val="00985BF8"/>
    <w:rsid w:val="00986654"/>
    <w:rsid w:val="0098780A"/>
    <w:rsid w:val="009922E5"/>
    <w:rsid w:val="009A227B"/>
    <w:rsid w:val="009A23DB"/>
    <w:rsid w:val="009A2624"/>
    <w:rsid w:val="009A2930"/>
    <w:rsid w:val="009A5028"/>
    <w:rsid w:val="009A76C4"/>
    <w:rsid w:val="009A7DCD"/>
    <w:rsid w:val="009A7F25"/>
    <w:rsid w:val="009B164A"/>
    <w:rsid w:val="009B39D1"/>
    <w:rsid w:val="009B6741"/>
    <w:rsid w:val="009C1230"/>
    <w:rsid w:val="009C12DD"/>
    <w:rsid w:val="009C4BD1"/>
    <w:rsid w:val="009C7131"/>
    <w:rsid w:val="009D0D6D"/>
    <w:rsid w:val="009D0F76"/>
    <w:rsid w:val="009D3968"/>
    <w:rsid w:val="009D6D95"/>
    <w:rsid w:val="009E2DD2"/>
    <w:rsid w:val="009E379E"/>
    <w:rsid w:val="009E3D42"/>
    <w:rsid w:val="009E5709"/>
    <w:rsid w:val="009F0C35"/>
    <w:rsid w:val="009F2795"/>
    <w:rsid w:val="009F2F9E"/>
    <w:rsid w:val="009F3981"/>
    <w:rsid w:val="009F73FF"/>
    <w:rsid w:val="009F7778"/>
    <w:rsid w:val="009F7A4E"/>
    <w:rsid w:val="009F7A60"/>
    <w:rsid w:val="00A030DD"/>
    <w:rsid w:val="00A042E5"/>
    <w:rsid w:val="00A134FD"/>
    <w:rsid w:val="00A16085"/>
    <w:rsid w:val="00A171DA"/>
    <w:rsid w:val="00A22260"/>
    <w:rsid w:val="00A24144"/>
    <w:rsid w:val="00A25235"/>
    <w:rsid w:val="00A2574D"/>
    <w:rsid w:val="00A30C8A"/>
    <w:rsid w:val="00A35750"/>
    <w:rsid w:val="00A36FFA"/>
    <w:rsid w:val="00A3740C"/>
    <w:rsid w:val="00A41065"/>
    <w:rsid w:val="00A448DA"/>
    <w:rsid w:val="00A52F2B"/>
    <w:rsid w:val="00A551BE"/>
    <w:rsid w:val="00A56205"/>
    <w:rsid w:val="00A57919"/>
    <w:rsid w:val="00A63371"/>
    <w:rsid w:val="00A712DE"/>
    <w:rsid w:val="00A73B9F"/>
    <w:rsid w:val="00A741D9"/>
    <w:rsid w:val="00A80A1E"/>
    <w:rsid w:val="00A80FFC"/>
    <w:rsid w:val="00A82893"/>
    <w:rsid w:val="00A932F5"/>
    <w:rsid w:val="00A940C0"/>
    <w:rsid w:val="00A94752"/>
    <w:rsid w:val="00AA2CCE"/>
    <w:rsid w:val="00AA2FB4"/>
    <w:rsid w:val="00AA5335"/>
    <w:rsid w:val="00AA5956"/>
    <w:rsid w:val="00AB6BFF"/>
    <w:rsid w:val="00AC1D04"/>
    <w:rsid w:val="00AC2B72"/>
    <w:rsid w:val="00AC464A"/>
    <w:rsid w:val="00AD18A7"/>
    <w:rsid w:val="00AD21A9"/>
    <w:rsid w:val="00AE146B"/>
    <w:rsid w:val="00AE1D8D"/>
    <w:rsid w:val="00AE6A45"/>
    <w:rsid w:val="00AE75CC"/>
    <w:rsid w:val="00AF12B9"/>
    <w:rsid w:val="00AF56AB"/>
    <w:rsid w:val="00AF5D4C"/>
    <w:rsid w:val="00B0000B"/>
    <w:rsid w:val="00B01519"/>
    <w:rsid w:val="00B050D7"/>
    <w:rsid w:val="00B07747"/>
    <w:rsid w:val="00B10A7F"/>
    <w:rsid w:val="00B129FA"/>
    <w:rsid w:val="00B138AF"/>
    <w:rsid w:val="00B14CFA"/>
    <w:rsid w:val="00B15690"/>
    <w:rsid w:val="00B1619F"/>
    <w:rsid w:val="00B22672"/>
    <w:rsid w:val="00B23F19"/>
    <w:rsid w:val="00B251B9"/>
    <w:rsid w:val="00B30498"/>
    <w:rsid w:val="00B3125C"/>
    <w:rsid w:val="00B35D62"/>
    <w:rsid w:val="00B37955"/>
    <w:rsid w:val="00B41378"/>
    <w:rsid w:val="00B43D8C"/>
    <w:rsid w:val="00B43FF2"/>
    <w:rsid w:val="00B53B5A"/>
    <w:rsid w:val="00B556D7"/>
    <w:rsid w:val="00B56F07"/>
    <w:rsid w:val="00B602B7"/>
    <w:rsid w:val="00B60A4B"/>
    <w:rsid w:val="00B647BB"/>
    <w:rsid w:val="00B64E9F"/>
    <w:rsid w:val="00B70E99"/>
    <w:rsid w:val="00B728AE"/>
    <w:rsid w:val="00B73AAD"/>
    <w:rsid w:val="00B743F6"/>
    <w:rsid w:val="00B8316F"/>
    <w:rsid w:val="00B83291"/>
    <w:rsid w:val="00B85EA4"/>
    <w:rsid w:val="00B921BF"/>
    <w:rsid w:val="00B9248C"/>
    <w:rsid w:val="00B93173"/>
    <w:rsid w:val="00B93DDD"/>
    <w:rsid w:val="00B9475C"/>
    <w:rsid w:val="00B95609"/>
    <w:rsid w:val="00B97EFB"/>
    <w:rsid w:val="00B97EFF"/>
    <w:rsid w:val="00BA0C86"/>
    <w:rsid w:val="00BA12F2"/>
    <w:rsid w:val="00BA222F"/>
    <w:rsid w:val="00BA2798"/>
    <w:rsid w:val="00BA6D49"/>
    <w:rsid w:val="00BB1892"/>
    <w:rsid w:val="00BB1F72"/>
    <w:rsid w:val="00BB2E00"/>
    <w:rsid w:val="00BB352E"/>
    <w:rsid w:val="00BB7200"/>
    <w:rsid w:val="00BC0554"/>
    <w:rsid w:val="00BC4D4B"/>
    <w:rsid w:val="00BC4E0C"/>
    <w:rsid w:val="00BD1123"/>
    <w:rsid w:val="00BD25A4"/>
    <w:rsid w:val="00BE0E09"/>
    <w:rsid w:val="00BE0E40"/>
    <w:rsid w:val="00BE10A6"/>
    <w:rsid w:val="00BE25A1"/>
    <w:rsid w:val="00BE3DA8"/>
    <w:rsid w:val="00BE57DC"/>
    <w:rsid w:val="00BE63A6"/>
    <w:rsid w:val="00BE78DE"/>
    <w:rsid w:val="00BE7D03"/>
    <w:rsid w:val="00BE7FD7"/>
    <w:rsid w:val="00BF073A"/>
    <w:rsid w:val="00BF1BDA"/>
    <w:rsid w:val="00BF364D"/>
    <w:rsid w:val="00BF78C2"/>
    <w:rsid w:val="00C01D35"/>
    <w:rsid w:val="00C04591"/>
    <w:rsid w:val="00C07C6E"/>
    <w:rsid w:val="00C13E4C"/>
    <w:rsid w:val="00C148F9"/>
    <w:rsid w:val="00C16A13"/>
    <w:rsid w:val="00C16A43"/>
    <w:rsid w:val="00C171FB"/>
    <w:rsid w:val="00C20338"/>
    <w:rsid w:val="00C20C36"/>
    <w:rsid w:val="00C22FC4"/>
    <w:rsid w:val="00C245DD"/>
    <w:rsid w:val="00C25927"/>
    <w:rsid w:val="00C27D47"/>
    <w:rsid w:val="00C332AB"/>
    <w:rsid w:val="00C349DD"/>
    <w:rsid w:val="00C414EA"/>
    <w:rsid w:val="00C4614D"/>
    <w:rsid w:val="00C5303B"/>
    <w:rsid w:val="00C53728"/>
    <w:rsid w:val="00C5490E"/>
    <w:rsid w:val="00C564C2"/>
    <w:rsid w:val="00C56518"/>
    <w:rsid w:val="00C568E5"/>
    <w:rsid w:val="00C578A3"/>
    <w:rsid w:val="00C61966"/>
    <w:rsid w:val="00C627F5"/>
    <w:rsid w:val="00C70818"/>
    <w:rsid w:val="00C73266"/>
    <w:rsid w:val="00C74608"/>
    <w:rsid w:val="00C74806"/>
    <w:rsid w:val="00C76860"/>
    <w:rsid w:val="00C76ACB"/>
    <w:rsid w:val="00C80557"/>
    <w:rsid w:val="00C81042"/>
    <w:rsid w:val="00C83848"/>
    <w:rsid w:val="00C85211"/>
    <w:rsid w:val="00C85AA1"/>
    <w:rsid w:val="00C86C2A"/>
    <w:rsid w:val="00C915FE"/>
    <w:rsid w:val="00C96789"/>
    <w:rsid w:val="00CA228A"/>
    <w:rsid w:val="00CA46B7"/>
    <w:rsid w:val="00CA4F9B"/>
    <w:rsid w:val="00CA5BC6"/>
    <w:rsid w:val="00CA7422"/>
    <w:rsid w:val="00CB5042"/>
    <w:rsid w:val="00CB6506"/>
    <w:rsid w:val="00CB6CBA"/>
    <w:rsid w:val="00CC0C03"/>
    <w:rsid w:val="00CC77B0"/>
    <w:rsid w:val="00CD7C41"/>
    <w:rsid w:val="00CE29C1"/>
    <w:rsid w:val="00CE3797"/>
    <w:rsid w:val="00CE411A"/>
    <w:rsid w:val="00CE496D"/>
    <w:rsid w:val="00CE4C2F"/>
    <w:rsid w:val="00CE52ED"/>
    <w:rsid w:val="00CE63E7"/>
    <w:rsid w:val="00CF1809"/>
    <w:rsid w:val="00CF4E7C"/>
    <w:rsid w:val="00CF569F"/>
    <w:rsid w:val="00CF66D5"/>
    <w:rsid w:val="00CF7865"/>
    <w:rsid w:val="00D07457"/>
    <w:rsid w:val="00D07777"/>
    <w:rsid w:val="00D15E6A"/>
    <w:rsid w:val="00D20EB2"/>
    <w:rsid w:val="00D2112B"/>
    <w:rsid w:val="00D22E89"/>
    <w:rsid w:val="00D35233"/>
    <w:rsid w:val="00D362BA"/>
    <w:rsid w:val="00D36C04"/>
    <w:rsid w:val="00D43920"/>
    <w:rsid w:val="00D43DA2"/>
    <w:rsid w:val="00D45188"/>
    <w:rsid w:val="00D47B4C"/>
    <w:rsid w:val="00D50108"/>
    <w:rsid w:val="00D51B10"/>
    <w:rsid w:val="00D51BF8"/>
    <w:rsid w:val="00D540C1"/>
    <w:rsid w:val="00D5440C"/>
    <w:rsid w:val="00D57402"/>
    <w:rsid w:val="00D574AC"/>
    <w:rsid w:val="00D600F1"/>
    <w:rsid w:val="00D60A46"/>
    <w:rsid w:val="00D60F50"/>
    <w:rsid w:val="00D622EF"/>
    <w:rsid w:val="00D64351"/>
    <w:rsid w:val="00D7143E"/>
    <w:rsid w:val="00D716DD"/>
    <w:rsid w:val="00D71F3B"/>
    <w:rsid w:val="00D72892"/>
    <w:rsid w:val="00D77C91"/>
    <w:rsid w:val="00D77FC5"/>
    <w:rsid w:val="00D81AD2"/>
    <w:rsid w:val="00D86BA1"/>
    <w:rsid w:val="00D86C2C"/>
    <w:rsid w:val="00D86D83"/>
    <w:rsid w:val="00D87556"/>
    <w:rsid w:val="00D917C3"/>
    <w:rsid w:val="00D94831"/>
    <w:rsid w:val="00DA0473"/>
    <w:rsid w:val="00DA29C4"/>
    <w:rsid w:val="00DA7AB8"/>
    <w:rsid w:val="00DB26CD"/>
    <w:rsid w:val="00DB29A8"/>
    <w:rsid w:val="00DB3599"/>
    <w:rsid w:val="00DB4F46"/>
    <w:rsid w:val="00DB51EF"/>
    <w:rsid w:val="00DB7701"/>
    <w:rsid w:val="00DC2052"/>
    <w:rsid w:val="00DC32C4"/>
    <w:rsid w:val="00DC3C22"/>
    <w:rsid w:val="00DD3D36"/>
    <w:rsid w:val="00DD6C7D"/>
    <w:rsid w:val="00DD721D"/>
    <w:rsid w:val="00DD7E05"/>
    <w:rsid w:val="00DE0EBF"/>
    <w:rsid w:val="00DE4BA3"/>
    <w:rsid w:val="00DE735F"/>
    <w:rsid w:val="00DF19D4"/>
    <w:rsid w:val="00DF3F68"/>
    <w:rsid w:val="00DF4036"/>
    <w:rsid w:val="00E004C5"/>
    <w:rsid w:val="00E00C87"/>
    <w:rsid w:val="00E00D60"/>
    <w:rsid w:val="00E00F9A"/>
    <w:rsid w:val="00E031BB"/>
    <w:rsid w:val="00E05C0E"/>
    <w:rsid w:val="00E110E2"/>
    <w:rsid w:val="00E1123D"/>
    <w:rsid w:val="00E1488D"/>
    <w:rsid w:val="00E15C73"/>
    <w:rsid w:val="00E15F96"/>
    <w:rsid w:val="00E22896"/>
    <w:rsid w:val="00E22E00"/>
    <w:rsid w:val="00E24A08"/>
    <w:rsid w:val="00E25EE9"/>
    <w:rsid w:val="00E3144C"/>
    <w:rsid w:val="00E317B0"/>
    <w:rsid w:val="00E31EB9"/>
    <w:rsid w:val="00E36631"/>
    <w:rsid w:val="00E36CAF"/>
    <w:rsid w:val="00E37DA5"/>
    <w:rsid w:val="00E41EA6"/>
    <w:rsid w:val="00E420A7"/>
    <w:rsid w:val="00E42BB4"/>
    <w:rsid w:val="00E438A3"/>
    <w:rsid w:val="00E44AC3"/>
    <w:rsid w:val="00E47D00"/>
    <w:rsid w:val="00E52D83"/>
    <w:rsid w:val="00E54BF0"/>
    <w:rsid w:val="00E57AC0"/>
    <w:rsid w:val="00E61A54"/>
    <w:rsid w:val="00E621F3"/>
    <w:rsid w:val="00E65BF0"/>
    <w:rsid w:val="00E66767"/>
    <w:rsid w:val="00E6688C"/>
    <w:rsid w:val="00E66B5B"/>
    <w:rsid w:val="00E6767E"/>
    <w:rsid w:val="00E72E37"/>
    <w:rsid w:val="00E84240"/>
    <w:rsid w:val="00E8483F"/>
    <w:rsid w:val="00E86C28"/>
    <w:rsid w:val="00E86EBD"/>
    <w:rsid w:val="00E87B2E"/>
    <w:rsid w:val="00E9228F"/>
    <w:rsid w:val="00E96F91"/>
    <w:rsid w:val="00E9730E"/>
    <w:rsid w:val="00EA01DA"/>
    <w:rsid w:val="00EA1560"/>
    <w:rsid w:val="00EA1721"/>
    <w:rsid w:val="00EB02DF"/>
    <w:rsid w:val="00EB1B22"/>
    <w:rsid w:val="00EB1ED1"/>
    <w:rsid w:val="00EB2141"/>
    <w:rsid w:val="00EB775B"/>
    <w:rsid w:val="00EC0D8C"/>
    <w:rsid w:val="00EC1FF1"/>
    <w:rsid w:val="00EC3306"/>
    <w:rsid w:val="00EC381B"/>
    <w:rsid w:val="00EC400B"/>
    <w:rsid w:val="00EC6B29"/>
    <w:rsid w:val="00ED39ED"/>
    <w:rsid w:val="00ED3D2B"/>
    <w:rsid w:val="00ED5FF7"/>
    <w:rsid w:val="00EE1259"/>
    <w:rsid w:val="00EE5DC2"/>
    <w:rsid w:val="00EE685D"/>
    <w:rsid w:val="00EE7BA1"/>
    <w:rsid w:val="00EF0847"/>
    <w:rsid w:val="00EF0EE1"/>
    <w:rsid w:val="00EF19F5"/>
    <w:rsid w:val="00EF4CD7"/>
    <w:rsid w:val="00EF7DDD"/>
    <w:rsid w:val="00F03063"/>
    <w:rsid w:val="00F03DC5"/>
    <w:rsid w:val="00F10421"/>
    <w:rsid w:val="00F112BB"/>
    <w:rsid w:val="00F116E5"/>
    <w:rsid w:val="00F1175E"/>
    <w:rsid w:val="00F125E0"/>
    <w:rsid w:val="00F14524"/>
    <w:rsid w:val="00F22AA5"/>
    <w:rsid w:val="00F244BF"/>
    <w:rsid w:val="00F25345"/>
    <w:rsid w:val="00F2554F"/>
    <w:rsid w:val="00F25B9E"/>
    <w:rsid w:val="00F31AE1"/>
    <w:rsid w:val="00F31F4C"/>
    <w:rsid w:val="00F320FD"/>
    <w:rsid w:val="00F3505A"/>
    <w:rsid w:val="00F35713"/>
    <w:rsid w:val="00F40872"/>
    <w:rsid w:val="00F41D18"/>
    <w:rsid w:val="00F424A6"/>
    <w:rsid w:val="00F42ACD"/>
    <w:rsid w:val="00F45F10"/>
    <w:rsid w:val="00F470AF"/>
    <w:rsid w:val="00F479BE"/>
    <w:rsid w:val="00F51FA6"/>
    <w:rsid w:val="00F521A0"/>
    <w:rsid w:val="00F526FE"/>
    <w:rsid w:val="00F5465E"/>
    <w:rsid w:val="00F55B65"/>
    <w:rsid w:val="00F61814"/>
    <w:rsid w:val="00F667C0"/>
    <w:rsid w:val="00F73D5F"/>
    <w:rsid w:val="00F773E8"/>
    <w:rsid w:val="00F77B6C"/>
    <w:rsid w:val="00F82AB6"/>
    <w:rsid w:val="00F82DA9"/>
    <w:rsid w:val="00F8381F"/>
    <w:rsid w:val="00F83EC1"/>
    <w:rsid w:val="00F84688"/>
    <w:rsid w:val="00F92EA5"/>
    <w:rsid w:val="00F963A4"/>
    <w:rsid w:val="00F96C67"/>
    <w:rsid w:val="00FA2941"/>
    <w:rsid w:val="00FB5B23"/>
    <w:rsid w:val="00FB6D14"/>
    <w:rsid w:val="00FB7C15"/>
    <w:rsid w:val="00FC06BD"/>
    <w:rsid w:val="00FC1B22"/>
    <w:rsid w:val="00FC2237"/>
    <w:rsid w:val="00FC6D45"/>
    <w:rsid w:val="00FC7073"/>
    <w:rsid w:val="00FD3A1C"/>
    <w:rsid w:val="00FD5D52"/>
    <w:rsid w:val="00FE24F9"/>
    <w:rsid w:val="00FE4A2C"/>
    <w:rsid w:val="00FE6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0A1F42"/>
  <w15:chartTrackingRefBased/>
  <w15:docId w15:val="{F88EDC49-5726-4D48-80B8-0213F4A7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6EBA"/>
    <w:pPr>
      <w:spacing w:before="120" w:line="300" w:lineRule="atLeast"/>
    </w:pPr>
    <w:rPr>
      <w:rFonts w:ascii="Arial" w:hAnsi="Arial"/>
      <w:sz w:val="22"/>
      <w:szCs w:val="24"/>
      <w:lang w:eastAsia="en-US"/>
    </w:rPr>
  </w:style>
  <w:style w:type="paragraph" w:styleId="Heading1">
    <w:name w:val="heading 1"/>
    <w:next w:val="Normal"/>
    <w:qFormat/>
    <w:rsid w:val="004B55A8"/>
    <w:pPr>
      <w:keepNext/>
      <w:numPr>
        <w:numId w:val="11"/>
      </w:numPr>
      <w:spacing w:before="48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326E7"/>
    <w:pPr>
      <w:keepNext/>
      <w:numPr>
        <w:ilvl w:val="1"/>
        <w:numId w:val="11"/>
      </w:numPr>
      <w:spacing w:before="360" w:after="120" w:line="300" w:lineRule="atLeast"/>
      <w:ind w:left="432"/>
      <w:outlineLvl w:val="1"/>
    </w:pPr>
    <w:rPr>
      <w:rFonts w:ascii="Arial" w:hAnsi="Arial" w:cs="Arial"/>
      <w:b/>
      <w:bCs/>
      <w:iCs/>
      <w:color w:val="971A4B"/>
      <w:sz w:val="26"/>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Footnote text 1 Char Char,Footnote text 1,Footnote Text Char Char,Kneebone1,Text Char Char Char,Text Char,Footnote Text Char Char Char Char Char,Text Char Char Char Char,Footnote text 1 Char,5_G,Char,Cha,C"/>
    <w:basedOn w:val="Normal"/>
    <w:link w:val="FootnoteTextChar"/>
    <w:qFormat/>
    <w:rsid w:val="00820094"/>
    <w:pPr>
      <w:spacing w:before="40" w:line="240" w:lineRule="atLeast"/>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link w:val="TitleChar"/>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820094"/>
    <w:rPr>
      <w:rFonts w:ascii="Arial" w:hAnsi="Arial"/>
      <w:sz w:val="20"/>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51351B"/>
    <w:pPr>
      <w:spacing w:before="60" w:after="0"/>
      <w:ind w:left="454"/>
    </w:pPr>
    <w:rPr>
      <w:sz w:val="21"/>
      <w:lang w:eastAsia="en-AU"/>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BalloonText">
    <w:name w:val="Balloon Text"/>
    <w:basedOn w:val="Normal"/>
    <w:link w:val="BalloonTextChar"/>
    <w:semiHidden/>
    <w:unhideWhenUsed/>
    <w:rsid w:val="001755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556A"/>
    <w:rPr>
      <w:rFonts w:ascii="Segoe UI" w:hAnsi="Segoe UI" w:cs="Segoe UI"/>
      <w:sz w:val="18"/>
      <w:szCs w:val="18"/>
      <w:lang w:eastAsia="en-US"/>
    </w:rPr>
  </w:style>
  <w:style w:type="paragraph" w:styleId="ListParagraph">
    <w:name w:val="List Paragraph"/>
    <w:aliases w:val="Recommendation"/>
    <w:basedOn w:val="Normal"/>
    <w:next w:val="Normal"/>
    <w:uiPriority w:val="34"/>
    <w:qFormat/>
    <w:rsid w:val="008119B6"/>
    <w:pPr>
      <w:spacing w:before="240" w:after="240"/>
      <w:ind w:left="720"/>
    </w:pPr>
  </w:style>
  <w:style w:type="character" w:styleId="UnresolvedMention">
    <w:name w:val="Unresolved Mention"/>
    <w:basedOn w:val="DefaultParagraphFont"/>
    <w:uiPriority w:val="99"/>
    <w:semiHidden/>
    <w:unhideWhenUsed/>
    <w:rsid w:val="00D43DA2"/>
    <w:rPr>
      <w:color w:val="605E5C"/>
      <w:shd w:val="clear" w:color="auto" w:fill="E1DFDD"/>
    </w:rPr>
  </w:style>
  <w:style w:type="character" w:styleId="Emphasis">
    <w:name w:val="Emphasis"/>
    <w:basedOn w:val="DefaultParagraphFont"/>
    <w:qFormat/>
    <w:rsid w:val="00C85AA1"/>
    <w:rPr>
      <w:i/>
      <w:iCs/>
    </w:rPr>
  </w:style>
  <w:style w:type="paragraph" w:styleId="NormalWeb">
    <w:name w:val="Normal (Web)"/>
    <w:basedOn w:val="Normal"/>
    <w:uiPriority w:val="99"/>
    <w:unhideWhenUsed/>
    <w:rsid w:val="00D22E89"/>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D22E89"/>
    <w:pPr>
      <w:autoSpaceDE w:val="0"/>
      <w:autoSpaceDN w:val="0"/>
      <w:adjustRightInd w:val="0"/>
    </w:pPr>
    <w:rPr>
      <w:rFonts w:ascii="Arial" w:eastAsiaTheme="minorHAnsi" w:hAnsi="Arial" w:cs="Arial"/>
      <w:color w:val="000000"/>
      <w:sz w:val="24"/>
      <w:szCs w:val="24"/>
      <w:lang w:eastAsia="en-US"/>
    </w:rPr>
  </w:style>
  <w:style w:type="paragraph" w:styleId="EndnoteText">
    <w:name w:val="endnote text"/>
    <w:basedOn w:val="Normal"/>
    <w:link w:val="EndnoteTextChar"/>
    <w:uiPriority w:val="99"/>
    <w:unhideWhenUsed/>
    <w:rsid w:val="00D22E89"/>
    <w:pPr>
      <w:spacing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22E89"/>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D22E89"/>
    <w:rPr>
      <w:vertAlign w:val="superscript"/>
    </w:rPr>
  </w:style>
  <w:style w:type="character" w:customStyle="1" w:styleId="FootnoteTextChar">
    <w:name w:val="Footnote Text Char"/>
    <w:aliases w:val="Footnote Text Char1 Char,Footnote text 1 Char Char Char,Footnote text 1 Char1,Footnote Text Char Char Char,Kneebone1 Char,Text Char Char Char Char1,Text Char Char,Footnote Text Char Char Char Char Char Char,Footnote text 1 Char Char1"/>
    <w:basedOn w:val="DefaultParagraphFont"/>
    <w:link w:val="FootnoteText"/>
    <w:rsid w:val="00F51FA6"/>
    <w:rPr>
      <w:rFonts w:ascii="Arial" w:hAnsi="Arial"/>
      <w:sz w:val="18"/>
      <w:lang w:eastAsia="en-US"/>
    </w:rPr>
  </w:style>
  <w:style w:type="paragraph" w:customStyle="1" w:styleId="VLALetterText">
    <w:name w:val="VLA Letter Text"/>
    <w:uiPriority w:val="1"/>
    <w:qFormat/>
    <w:rsid w:val="000C0A14"/>
    <w:pPr>
      <w:spacing w:after="120" w:line="300" w:lineRule="atLeast"/>
    </w:pPr>
    <w:rPr>
      <w:rFonts w:ascii="Arial" w:hAnsi="Arial"/>
      <w:sz w:val="22"/>
      <w:szCs w:val="24"/>
      <w:lang w:eastAsia="en-US"/>
    </w:rPr>
  </w:style>
  <w:style w:type="character" w:styleId="FollowedHyperlink">
    <w:name w:val="FollowedHyperlink"/>
    <w:basedOn w:val="DefaultParagraphFont"/>
    <w:rsid w:val="00AE6A45"/>
    <w:rPr>
      <w:color w:val="954F72" w:themeColor="followedHyperlink"/>
      <w:u w:val="single"/>
    </w:rPr>
  </w:style>
  <w:style w:type="paragraph" w:customStyle="1" w:styleId="Footnote">
    <w:name w:val="Footnote"/>
    <w:basedOn w:val="Normal"/>
    <w:qFormat/>
    <w:rsid w:val="00C5303B"/>
    <w:pPr>
      <w:suppressAutoHyphens/>
      <w:autoSpaceDE w:val="0"/>
      <w:autoSpaceDN w:val="0"/>
      <w:adjustRightInd w:val="0"/>
      <w:spacing w:before="0" w:line="360" w:lineRule="auto"/>
      <w:ind w:left="238" w:hanging="238"/>
    </w:pPr>
    <w:rPr>
      <w:rFonts w:cs="Gill Sans Std Light"/>
      <w:color w:val="000000"/>
      <w:sz w:val="16"/>
      <w:szCs w:val="22"/>
      <w:lang w:val="en-US" w:eastAsia="en-AU"/>
    </w:rPr>
  </w:style>
  <w:style w:type="paragraph" w:styleId="Quote">
    <w:name w:val="Quote"/>
    <w:basedOn w:val="Normal"/>
    <w:next w:val="Normal"/>
    <w:link w:val="QuoteChar"/>
    <w:uiPriority w:val="29"/>
    <w:qFormat/>
    <w:rsid w:val="005135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51B"/>
    <w:rPr>
      <w:rFonts w:ascii="Arial" w:hAnsi="Arial"/>
      <w:i/>
      <w:iCs/>
      <w:color w:val="404040" w:themeColor="text1" w:themeTint="BF"/>
      <w:sz w:val="22"/>
      <w:szCs w:val="24"/>
      <w:lang w:eastAsia="en-US"/>
    </w:rPr>
  </w:style>
  <w:style w:type="character" w:styleId="CommentReference">
    <w:name w:val="annotation reference"/>
    <w:basedOn w:val="DefaultParagraphFont"/>
    <w:rsid w:val="00C25927"/>
    <w:rPr>
      <w:sz w:val="16"/>
      <w:szCs w:val="16"/>
    </w:rPr>
  </w:style>
  <w:style w:type="paragraph" w:styleId="CommentText">
    <w:name w:val="annotation text"/>
    <w:basedOn w:val="Normal"/>
    <w:link w:val="CommentTextChar"/>
    <w:rsid w:val="00B050D7"/>
    <w:pPr>
      <w:spacing w:line="240" w:lineRule="auto"/>
    </w:pPr>
    <w:rPr>
      <w:sz w:val="20"/>
      <w:szCs w:val="20"/>
    </w:rPr>
  </w:style>
  <w:style w:type="character" w:customStyle="1" w:styleId="CommentTextChar">
    <w:name w:val="Comment Text Char"/>
    <w:basedOn w:val="DefaultParagraphFont"/>
    <w:link w:val="CommentText"/>
    <w:rsid w:val="00B050D7"/>
    <w:rPr>
      <w:rFonts w:ascii="Arial" w:hAnsi="Arial"/>
      <w:lang w:eastAsia="en-US"/>
    </w:rPr>
  </w:style>
  <w:style w:type="paragraph" w:styleId="CommentSubject">
    <w:name w:val="annotation subject"/>
    <w:basedOn w:val="CommentText"/>
    <w:next w:val="CommentText"/>
    <w:link w:val="CommentSubjectChar"/>
    <w:rsid w:val="00B050D7"/>
    <w:rPr>
      <w:b/>
      <w:bCs/>
    </w:rPr>
  </w:style>
  <w:style w:type="character" w:customStyle="1" w:styleId="CommentSubjectChar">
    <w:name w:val="Comment Subject Char"/>
    <w:basedOn w:val="CommentTextChar"/>
    <w:link w:val="CommentSubject"/>
    <w:rsid w:val="00B050D7"/>
    <w:rPr>
      <w:rFonts w:ascii="Arial" w:hAnsi="Arial"/>
      <w:b/>
      <w:bCs/>
      <w:lang w:eastAsia="en-US"/>
    </w:rPr>
  </w:style>
  <w:style w:type="character" w:customStyle="1" w:styleId="TitleChar">
    <w:name w:val="Title Char"/>
    <w:basedOn w:val="DefaultParagraphFont"/>
    <w:link w:val="Title"/>
    <w:rsid w:val="00F73D5F"/>
    <w:rPr>
      <w:rFonts w:ascii="Arial Bold" w:hAnsi="Arial Bold" w:cs="Arial"/>
      <w:b/>
      <w:bCs/>
      <w:color w:val="971A4B"/>
      <w:kern w:val="28"/>
      <w:sz w:val="36"/>
      <w:szCs w:val="32"/>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0B4571"/>
    <w:pPr>
      <w:spacing w:before="0" w:after="160" w:line="240" w:lineRule="exact"/>
      <w:ind w:firstLine="360"/>
      <w:jc w:val="both"/>
    </w:pPr>
    <w:rPr>
      <w:sz w:val="20"/>
      <w:szCs w:val="20"/>
      <w:vertAlign w:val="superscrip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584">
      <w:bodyDiv w:val="1"/>
      <w:marLeft w:val="0"/>
      <w:marRight w:val="0"/>
      <w:marTop w:val="0"/>
      <w:marBottom w:val="0"/>
      <w:divBdr>
        <w:top w:val="none" w:sz="0" w:space="0" w:color="auto"/>
        <w:left w:val="none" w:sz="0" w:space="0" w:color="auto"/>
        <w:bottom w:val="none" w:sz="0" w:space="0" w:color="auto"/>
        <w:right w:val="none" w:sz="0" w:space="0" w:color="auto"/>
      </w:divBdr>
    </w:div>
    <w:div w:id="109011721">
      <w:bodyDiv w:val="1"/>
      <w:marLeft w:val="0"/>
      <w:marRight w:val="0"/>
      <w:marTop w:val="0"/>
      <w:marBottom w:val="0"/>
      <w:divBdr>
        <w:top w:val="none" w:sz="0" w:space="0" w:color="auto"/>
        <w:left w:val="none" w:sz="0" w:space="0" w:color="auto"/>
        <w:bottom w:val="none" w:sz="0" w:space="0" w:color="auto"/>
        <w:right w:val="none" w:sz="0" w:space="0" w:color="auto"/>
      </w:divBdr>
    </w:div>
    <w:div w:id="213271739">
      <w:bodyDiv w:val="1"/>
      <w:marLeft w:val="0"/>
      <w:marRight w:val="0"/>
      <w:marTop w:val="0"/>
      <w:marBottom w:val="0"/>
      <w:divBdr>
        <w:top w:val="none" w:sz="0" w:space="0" w:color="auto"/>
        <w:left w:val="none" w:sz="0" w:space="0" w:color="auto"/>
        <w:bottom w:val="none" w:sz="0" w:space="0" w:color="auto"/>
        <w:right w:val="none" w:sz="0" w:space="0" w:color="auto"/>
      </w:divBdr>
    </w:div>
    <w:div w:id="252399503">
      <w:bodyDiv w:val="1"/>
      <w:marLeft w:val="0"/>
      <w:marRight w:val="0"/>
      <w:marTop w:val="0"/>
      <w:marBottom w:val="0"/>
      <w:divBdr>
        <w:top w:val="none" w:sz="0" w:space="0" w:color="auto"/>
        <w:left w:val="none" w:sz="0" w:space="0" w:color="auto"/>
        <w:bottom w:val="none" w:sz="0" w:space="0" w:color="auto"/>
        <w:right w:val="none" w:sz="0" w:space="0" w:color="auto"/>
      </w:divBdr>
    </w:div>
    <w:div w:id="280692161">
      <w:bodyDiv w:val="1"/>
      <w:marLeft w:val="0"/>
      <w:marRight w:val="0"/>
      <w:marTop w:val="0"/>
      <w:marBottom w:val="0"/>
      <w:divBdr>
        <w:top w:val="none" w:sz="0" w:space="0" w:color="auto"/>
        <w:left w:val="none" w:sz="0" w:space="0" w:color="auto"/>
        <w:bottom w:val="none" w:sz="0" w:space="0" w:color="auto"/>
        <w:right w:val="none" w:sz="0" w:space="0" w:color="auto"/>
      </w:divBdr>
    </w:div>
    <w:div w:id="342903219">
      <w:bodyDiv w:val="1"/>
      <w:marLeft w:val="0"/>
      <w:marRight w:val="0"/>
      <w:marTop w:val="0"/>
      <w:marBottom w:val="0"/>
      <w:divBdr>
        <w:top w:val="none" w:sz="0" w:space="0" w:color="auto"/>
        <w:left w:val="none" w:sz="0" w:space="0" w:color="auto"/>
        <w:bottom w:val="none" w:sz="0" w:space="0" w:color="auto"/>
        <w:right w:val="none" w:sz="0" w:space="0" w:color="auto"/>
      </w:divBdr>
    </w:div>
    <w:div w:id="458375628">
      <w:bodyDiv w:val="1"/>
      <w:marLeft w:val="0"/>
      <w:marRight w:val="0"/>
      <w:marTop w:val="0"/>
      <w:marBottom w:val="0"/>
      <w:divBdr>
        <w:top w:val="none" w:sz="0" w:space="0" w:color="auto"/>
        <w:left w:val="none" w:sz="0" w:space="0" w:color="auto"/>
        <w:bottom w:val="none" w:sz="0" w:space="0" w:color="auto"/>
        <w:right w:val="none" w:sz="0" w:space="0" w:color="auto"/>
      </w:divBdr>
    </w:div>
    <w:div w:id="472527802">
      <w:bodyDiv w:val="1"/>
      <w:marLeft w:val="0"/>
      <w:marRight w:val="0"/>
      <w:marTop w:val="0"/>
      <w:marBottom w:val="0"/>
      <w:divBdr>
        <w:top w:val="none" w:sz="0" w:space="0" w:color="auto"/>
        <w:left w:val="none" w:sz="0" w:space="0" w:color="auto"/>
        <w:bottom w:val="none" w:sz="0" w:space="0" w:color="auto"/>
        <w:right w:val="none" w:sz="0" w:space="0" w:color="auto"/>
      </w:divBdr>
    </w:div>
    <w:div w:id="559754932">
      <w:bodyDiv w:val="1"/>
      <w:marLeft w:val="0"/>
      <w:marRight w:val="0"/>
      <w:marTop w:val="0"/>
      <w:marBottom w:val="0"/>
      <w:divBdr>
        <w:top w:val="none" w:sz="0" w:space="0" w:color="auto"/>
        <w:left w:val="none" w:sz="0" w:space="0" w:color="auto"/>
        <w:bottom w:val="none" w:sz="0" w:space="0" w:color="auto"/>
        <w:right w:val="none" w:sz="0" w:space="0" w:color="auto"/>
      </w:divBdr>
    </w:div>
    <w:div w:id="667291084">
      <w:bodyDiv w:val="1"/>
      <w:marLeft w:val="0"/>
      <w:marRight w:val="0"/>
      <w:marTop w:val="0"/>
      <w:marBottom w:val="0"/>
      <w:divBdr>
        <w:top w:val="none" w:sz="0" w:space="0" w:color="auto"/>
        <w:left w:val="none" w:sz="0" w:space="0" w:color="auto"/>
        <w:bottom w:val="none" w:sz="0" w:space="0" w:color="auto"/>
        <w:right w:val="none" w:sz="0" w:space="0" w:color="auto"/>
      </w:divBdr>
    </w:div>
    <w:div w:id="1108084614">
      <w:bodyDiv w:val="1"/>
      <w:marLeft w:val="0"/>
      <w:marRight w:val="0"/>
      <w:marTop w:val="0"/>
      <w:marBottom w:val="0"/>
      <w:divBdr>
        <w:top w:val="none" w:sz="0" w:space="0" w:color="auto"/>
        <w:left w:val="none" w:sz="0" w:space="0" w:color="auto"/>
        <w:bottom w:val="none" w:sz="0" w:space="0" w:color="auto"/>
        <w:right w:val="none" w:sz="0" w:space="0" w:color="auto"/>
      </w:divBdr>
    </w:div>
    <w:div w:id="1198084747">
      <w:bodyDiv w:val="1"/>
      <w:marLeft w:val="0"/>
      <w:marRight w:val="0"/>
      <w:marTop w:val="0"/>
      <w:marBottom w:val="0"/>
      <w:divBdr>
        <w:top w:val="none" w:sz="0" w:space="0" w:color="auto"/>
        <w:left w:val="none" w:sz="0" w:space="0" w:color="auto"/>
        <w:bottom w:val="none" w:sz="0" w:space="0" w:color="auto"/>
        <w:right w:val="none" w:sz="0" w:space="0" w:color="auto"/>
      </w:divBdr>
    </w:div>
    <w:div w:id="1477528503">
      <w:bodyDiv w:val="1"/>
      <w:marLeft w:val="0"/>
      <w:marRight w:val="0"/>
      <w:marTop w:val="0"/>
      <w:marBottom w:val="0"/>
      <w:divBdr>
        <w:top w:val="none" w:sz="0" w:space="0" w:color="auto"/>
        <w:left w:val="none" w:sz="0" w:space="0" w:color="auto"/>
        <w:bottom w:val="none" w:sz="0" w:space="0" w:color="auto"/>
        <w:right w:val="none" w:sz="0" w:space="0" w:color="auto"/>
      </w:divBdr>
      <w:divsChild>
        <w:div w:id="1087192029">
          <w:blockQuote w:val="1"/>
          <w:marLeft w:val="0"/>
          <w:marRight w:val="0"/>
          <w:marTop w:val="180"/>
          <w:marBottom w:val="180"/>
          <w:divBdr>
            <w:top w:val="none" w:sz="0" w:space="0" w:color="auto"/>
            <w:left w:val="single" w:sz="12" w:space="15" w:color="005F92"/>
            <w:bottom w:val="none" w:sz="0" w:space="0" w:color="auto"/>
            <w:right w:val="none" w:sz="0" w:space="0" w:color="auto"/>
          </w:divBdr>
        </w:div>
        <w:div w:id="473252077">
          <w:marLeft w:val="0"/>
          <w:marRight w:val="0"/>
          <w:marTop w:val="0"/>
          <w:marBottom w:val="240"/>
          <w:divBdr>
            <w:top w:val="single" w:sz="6" w:space="8" w:color="96B6D3"/>
            <w:left w:val="single" w:sz="6" w:space="8" w:color="96B6D3"/>
            <w:bottom w:val="single" w:sz="6" w:space="8" w:color="96B6D3"/>
            <w:right w:val="single" w:sz="6" w:space="8" w:color="96B6D3"/>
          </w:divBdr>
        </w:div>
      </w:divsChild>
    </w:div>
    <w:div w:id="1669865283">
      <w:bodyDiv w:val="1"/>
      <w:marLeft w:val="0"/>
      <w:marRight w:val="0"/>
      <w:marTop w:val="0"/>
      <w:marBottom w:val="0"/>
      <w:divBdr>
        <w:top w:val="none" w:sz="0" w:space="0" w:color="auto"/>
        <w:left w:val="none" w:sz="0" w:space="0" w:color="auto"/>
        <w:bottom w:val="none" w:sz="0" w:space="0" w:color="auto"/>
        <w:right w:val="none" w:sz="0" w:space="0" w:color="auto"/>
      </w:divBdr>
    </w:div>
    <w:div w:id="1891914378">
      <w:bodyDiv w:val="1"/>
      <w:marLeft w:val="0"/>
      <w:marRight w:val="0"/>
      <w:marTop w:val="0"/>
      <w:marBottom w:val="0"/>
      <w:divBdr>
        <w:top w:val="none" w:sz="0" w:space="0" w:color="auto"/>
        <w:left w:val="none" w:sz="0" w:space="0" w:color="auto"/>
        <w:bottom w:val="none" w:sz="0" w:space="0" w:color="auto"/>
        <w:right w:val="none" w:sz="0" w:space="0" w:color="auto"/>
      </w:divBdr>
    </w:div>
    <w:div w:id="1962761682">
      <w:bodyDiv w:val="1"/>
      <w:marLeft w:val="0"/>
      <w:marRight w:val="0"/>
      <w:marTop w:val="0"/>
      <w:marBottom w:val="0"/>
      <w:divBdr>
        <w:top w:val="none" w:sz="0" w:space="0" w:color="auto"/>
        <w:left w:val="none" w:sz="0" w:space="0" w:color="auto"/>
        <w:bottom w:val="none" w:sz="0" w:space="0" w:color="auto"/>
        <w:right w:val="none" w:sz="0" w:space="0" w:color="auto"/>
      </w:divBdr>
    </w:div>
    <w:div w:id="2029718307">
      <w:bodyDiv w:val="1"/>
      <w:marLeft w:val="0"/>
      <w:marRight w:val="0"/>
      <w:marTop w:val="0"/>
      <w:marBottom w:val="0"/>
      <w:divBdr>
        <w:top w:val="none" w:sz="0" w:space="0" w:color="auto"/>
        <w:left w:val="none" w:sz="0" w:space="0" w:color="auto"/>
        <w:bottom w:val="none" w:sz="0" w:space="0" w:color="auto"/>
        <w:right w:val="none" w:sz="0" w:space="0" w:color="auto"/>
      </w:divBdr>
    </w:div>
    <w:div w:id="2088845037">
      <w:bodyDiv w:val="1"/>
      <w:marLeft w:val="0"/>
      <w:marRight w:val="0"/>
      <w:marTop w:val="0"/>
      <w:marBottom w:val="0"/>
      <w:divBdr>
        <w:top w:val="none" w:sz="0" w:space="0" w:color="auto"/>
        <w:left w:val="none" w:sz="0" w:space="0" w:color="auto"/>
        <w:bottom w:val="none" w:sz="0" w:space="0" w:color="auto"/>
        <w:right w:val="none" w:sz="0" w:space="0" w:color="auto"/>
      </w:divBdr>
    </w:div>
    <w:div w:id="21326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amilymatters.org.au/wp-content/uploads/2019/10/cropped_1099FM-Snapshot-2019HRprint.pdf" TargetMode="External"/><Relationship Id="rId3" Type="http://schemas.openxmlformats.org/officeDocument/2006/relationships/hyperlink" Target="https://www.legalaid.vic.gov.au/sites/www.legalaid.vic.gov.au/files/vla-equal-justice-for-a-strong-equal-and-resilient-latrobe-valley.pdf" TargetMode="External"/><Relationship Id="rId7" Type="http://schemas.openxmlformats.org/officeDocument/2006/relationships/hyperlink" Target="https://ccyp.vic.gov.au/assets/Publications-inquiries/In-the-childs-best-interests-inquiry-report.pdf" TargetMode="External"/><Relationship Id="rId12" Type="http://schemas.openxmlformats.org/officeDocument/2006/relationships/hyperlink" Target="https://www.crimestatistics.vic.gov.au/sites/default/files/embridge_cache/emshare/original/public/2017/09/7f/e1e924c80/20170925_in%20brief9%20FINAL.pdf" TargetMode="External"/><Relationship Id="rId2" Type="http://schemas.openxmlformats.org/officeDocument/2006/relationships/hyperlink" Target="https://ccyp.vic.gov.au/assets/Publications-inquiries/always-was-always-will-be-koori-children-inquiry-report-oct16.pdf" TargetMode="External"/><Relationship Id="rId1" Type="http://schemas.openxmlformats.org/officeDocument/2006/relationships/hyperlink" Target="https://www.legalaid.vic.gov.au/about-us/research-and-analysis/client-profiles/client-profiles-analysis-of-2006-16-data" TargetMode="External"/><Relationship Id="rId6" Type="http://schemas.openxmlformats.org/officeDocument/2006/relationships/hyperlink" Target="https://www.legalaid.vic.gov.au/about-us/what-we-do/independent-family-advocacy-and-support" TargetMode="External"/><Relationship Id="rId11" Type="http://schemas.openxmlformats.org/officeDocument/2006/relationships/hyperlink" Target="https://www.legalaid.vic.gov.au/about-us/what-we-do/research-and-analysis/client-profiles" TargetMode="External"/><Relationship Id="rId5" Type="http://schemas.openxmlformats.org/officeDocument/2006/relationships/hyperlink" Target="https://www.legalaid.vic.gov.au/about-us/strategic-advocacy-and-law-reform/access-to-justice-for-people-with-mental-illness-and-disability/roads-to-recovery-building-better-system-for-people-experiencing-mental-health-issues-in-victoria" TargetMode="External"/><Relationship Id="rId10" Type="http://schemas.openxmlformats.org/officeDocument/2006/relationships/hyperlink" Target="http://www.smartjustice.org.au/cb_pages/more_prisons_are_not_the_answer_to_reducing_crime.php" TargetMode="External"/><Relationship Id="rId4" Type="http://schemas.openxmlformats.org/officeDocument/2006/relationships/hyperlink" Target="https://www.legalaid.vic.gov.au/sites/www.legalaid.vic.gov.au/files/vla-equal-justice-for-a-strong-equal-and-resilient-latrobe-valley.pdf" TargetMode="External"/><Relationship Id="rId9" Type="http://schemas.openxmlformats.org/officeDocument/2006/relationships/hyperlink" Target="http://www.abs.gov.au/ausstats/abs@.nsf/mf/323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B038FB7DF8245BF842FFD85572B66" ma:contentTypeVersion="5" ma:contentTypeDescription="Create a new document." ma:contentTypeScope="" ma:versionID="36419c272a3a0157427847c1ded58888">
  <xsd:schema xmlns:xsd="http://www.w3.org/2001/XMLSchema" xmlns:xs="http://www.w3.org/2001/XMLSchema" xmlns:p="http://schemas.microsoft.com/office/2006/metadata/properties" xmlns:ns3="589bbf27-befc-4343-9f80-679415ea1ecd" xmlns:ns4="9408b5c1-b6f8-46c6-a625-1a9e9815ca1a" targetNamespace="http://schemas.microsoft.com/office/2006/metadata/properties" ma:root="true" ma:fieldsID="1cef2fd0e72cb0384ac6c7e670b6e6ae" ns3:_="" ns4:_="">
    <xsd:import namespace="589bbf27-befc-4343-9f80-679415ea1ecd"/>
    <xsd:import namespace="9408b5c1-b6f8-46c6-a625-1a9e9815c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bbf27-befc-4343-9f80-679415ea1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8b5c1-b6f8-46c6-a625-1a9e9815c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434E-0CBC-455C-AF79-030ABA9EAFA6}">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408b5c1-b6f8-46c6-a625-1a9e9815ca1a"/>
    <ds:schemaRef ds:uri="589bbf27-befc-4343-9f80-679415ea1ec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3542747-D498-48ED-B404-D7978C7FAF37}">
  <ds:schemaRefs>
    <ds:schemaRef ds:uri="http://schemas.microsoft.com/sharepoint/v3/contenttype/forms"/>
  </ds:schemaRefs>
</ds:datastoreItem>
</file>

<file path=customXml/itemProps3.xml><?xml version="1.0" encoding="utf-8"?>
<ds:datastoreItem xmlns:ds="http://schemas.openxmlformats.org/officeDocument/2006/customXml" ds:itemID="{73B14E87-7D56-4C10-9662-24CF5DD3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bbf27-befc-4343-9f80-679415ea1ecd"/>
    <ds:schemaRef ds:uri="9408b5c1-b6f8-46c6-a625-1a9e9815c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F97F0-CE9A-4C85-A138-64D998FD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9028</Words>
  <Characters>50841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59750</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Iresha Siriwardana</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0x010100A6FB038FB7DF8245BF842FFD85572B66</vt:lpwstr>
  </op:property>
  <op:property fmtid="{D5CDD505-2E9C-101B-9397-08002B2CF9AE}" pid="4" name="_MarkAsFinal">
    <vt:bool>true</vt:bool>
  </op:property>
</op:Properties>
</file>