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cbdf67cf2c1475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05C5" w14:textId="47208EC4" w:rsidR="000663FD" w:rsidRDefault="000663FD" w:rsidP="000663FD">
      <w:pPr>
        <w:pStyle w:val="Heading1"/>
      </w:pPr>
      <w:r w:rsidRPr="00414CD5">
        <w:t xml:space="preserve">Senate Community Affairs Legislation Committee’s inquiry into the Social Services and Other Legislation Amendment (Simplifying Income Reporting and Other Measures) Bill 2020 </w:t>
      </w:r>
    </w:p>
    <w:p w14:paraId="4711E05A" w14:textId="336D4FED" w:rsidR="000663FD" w:rsidRPr="000663FD" w:rsidRDefault="000663FD" w:rsidP="000663FD">
      <w:pPr>
        <w:pStyle w:val="Heading2"/>
      </w:pPr>
      <w:r>
        <w:t>14 February 2020</w:t>
      </w:r>
    </w:p>
    <w:p w14:paraId="5A7A2132" w14:textId="77777777" w:rsidR="000663FD" w:rsidRDefault="000663FD" w:rsidP="000663FD">
      <w:pPr>
        <w:autoSpaceDE w:val="0"/>
        <w:autoSpaceDN w:val="0"/>
        <w:adjustRightInd w:val="0"/>
        <w:spacing w:after="200" w:line="300" w:lineRule="exact"/>
        <w:rPr>
          <w:rFonts w:cs="Arial"/>
          <w:szCs w:val="22"/>
          <w:lang w:eastAsia="en-AU"/>
        </w:rPr>
      </w:pPr>
      <w:r>
        <w:t xml:space="preserve">Victoria Legal Aid </w:t>
      </w:r>
      <w:r w:rsidRPr="000663FD">
        <w:rPr>
          <w:b/>
          <w:bCs/>
        </w:rPr>
        <w:t>(VLA)</w:t>
      </w:r>
      <w:r>
        <w:t xml:space="preserve"> </w:t>
      </w:r>
      <w:r>
        <w:rPr>
          <w:rFonts w:cs="Arial"/>
          <w:szCs w:val="22"/>
          <w:lang w:eastAsia="en-AU"/>
        </w:rPr>
        <w:t xml:space="preserve">is a Victorian statutory authority, and a major provider of legal advocacy, advice and assistance to socially and economically disadvantaged Victorians. Our organisation works to improve access to justice and pursues innovative ways of </w:t>
      </w:r>
      <w:proofErr w:type="gramStart"/>
      <w:r>
        <w:rPr>
          <w:rFonts w:cs="Arial"/>
          <w:szCs w:val="22"/>
          <w:lang w:eastAsia="en-AU"/>
        </w:rPr>
        <w:t>providing assistance to</w:t>
      </w:r>
      <w:proofErr w:type="gramEnd"/>
      <w:r>
        <w:rPr>
          <w:rFonts w:cs="Arial"/>
          <w:szCs w:val="22"/>
          <w:lang w:eastAsia="en-AU"/>
        </w:rPr>
        <w:t xml:space="preserve"> reduce the prevalence of legal problems in the community. We assist people with their legal problems at courts and tribunals, deliver early intervention programs, and assist more than 100,000 people each year, our free telephone advice service.</w:t>
      </w:r>
    </w:p>
    <w:p w14:paraId="1A5851B5" w14:textId="77777777" w:rsidR="000663FD" w:rsidRDefault="000663FD" w:rsidP="000663FD">
      <w:pPr>
        <w:autoSpaceDE w:val="0"/>
        <w:autoSpaceDN w:val="0"/>
        <w:adjustRightInd w:val="0"/>
        <w:spacing w:after="200" w:line="300" w:lineRule="exact"/>
      </w:pPr>
      <w:r>
        <w:t xml:space="preserve">Informed by our work, we have prepared a brief submission to contribute to the </w:t>
      </w:r>
      <w:r w:rsidRPr="00414CD5">
        <w:t xml:space="preserve">Senate Community Affairs Legislation Committee’s </w:t>
      </w:r>
      <w:r>
        <w:t>(</w:t>
      </w:r>
      <w:r w:rsidRPr="008771AB">
        <w:rPr>
          <w:b/>
          <w:bCs/>
        </w:rPr>
        <w:t>Committee</w:t>
      </w:r>
      <w:r>
        <w:t xml:space="preserve">) </w:t>
      </w:r>
      <w:r w:rsidRPr="00414CD5">
        <w:t>inquiry into the Social Services and Other Legislation Amendment (Simplifying Income Reporting and Other Measures) Bill 2020</w:t>
      </w:r>
      <w:r>
        <w:t xml:space="preserve"> (</w:t>
      </w:r>
      <w:r>
        <w:rPr>
          <w:b/>
          <w:bCs/>
        </w:rPr>
        <w:t>Bill</w:t>
      </w:r>
      <w:r>
        <w:t>).</w:t>
      </w:r>
    </w:p>
    <w:p w14:paraId="49435EBA" w14:textId="77777777" w:rsidR="000663FD" w:rsidRPr="00E45E9A" w:rsidRDefault="000663FD" w:rsidP="000663FD">
      <w:pPr>
        <w:autoSpaceDE w:val="0"/>
        <w:autoSpaceDN w:val="0"/>
        <w:adjustRightInd w:val="0"/>
        <w:spacing w:after="200" w:line="300" w:lineRule="exact"/>
      </w:pPr>
      <w:r w:rsidRPr="00E45E9A">
        <w:t xml:space="preserve">We make the following </w:t>
      </w:r>
      <w:r>
        <w:t>three</w:t>
      </w:r>
      <w:r w:rsidRPr="00E45E9A">
        <w:t xml:space="preserve"> key points for the Committee:</w:t>
      </w:r>
    </w:p>
    <w:p w14:paraId="3895D478" w14:textId="77777777" w:rsidR="000663FD" w:rsidRDefault="000663FD" w:rsidP="000663FD">
      <w:pPr>
        <w:pStyle w:val="ListParagraph"/>
        <w:numPr>
          <w:ilvl w:val="0"/>
          <w:numId w:val="25"/>
        </w:numPr>
        <w:autoSpaceDE w:val="0"/>
        <w:autoSpaceDN w:val="0"/>
        <w:adjustRightInd w:val="0"/>
        <w:spacing w:before="120" w:after="120" w:line="240" w:lineRule="auto"/>
        <w:ind w:left="714" w:hanging="357"/>
        <w:contextualSpacing w:val="0"/>
        <w:rPr>
          <w:szCs w:val="22"/>
        </w:rPr>
      </w:pPr>
      <w:r>
        <w:rPr>
          <w:b/>
          <w:bCs/>
          <w:szCs w:val="22"/>
        </w:rPr>
        <w:t xml:space="preserve">Clarification of key aspects of new framework: </w:t>
      </w:r>
      <w:r>
        <w:rPr>
          <w:szCs w:val="22"/>
        </w:rPr>
        <w:t xml:space="preserve">There are aspects of the Bill which could be improved by defining key terms and making clear that annualised ATO data cannot be averaged over a </w:t>
      </w:r>
      <w:proofErr w:type="gramStart"/>
      <w:r>
        <w:rPr>
          <w:szCs w:val="22"/>
        </w:rPr>
        <w:t>52 week</w:t>
      </w:r>
      <w:proofErr w:type="gramEnd"/>
      <w:r>
        <w:rPr>
          <w:szCs w:val="22"/>
        </w:rPr>
        <w:t xml:space="preserve"> period to raise a debt.</w:t>
      </w:r>
    </w:p>
    <w:p w14:paraId="6704E3B2" w14:textId="77777777" w:rsidR="000663FD" w:rsidRPr="00E45E9A" w:rsidRDefault="000663FD" w:rsidP="000663FD">
      <w:pPr>
        <w:pStyle w:val="ListParagraph"/>
        <w:numPr>
          <w:ilvl w:val="0"/>
          <w:numId w:val="25"/>
        </w:numPr>
        <w:spacing w:before="120" w:after="120" w:line="240" w:lineRule="auto"/>
        <w:ind w:left="714" w:hanging="357"/>
        <w:contextualSpacing w:val="0"/>
        <w:rPr>
          <w:rFonts w:ascii="Times New Roman" w:hAnsi="Times New Roman"/>
          <w:lang w:eastAsia="en-AU"/>
        </w:rPr>
      </w:pPr>
      <w:r w:rsidRPr="4E261015">
        <w:rPr>
          <w:b/>
        </w:rPr>
        <w:t xml:space="preserve">Further consultation: </w:t>
      </w:r>
      <w:r>
        <w:t>Further consultation on the potential impacts of the Bill is required to ensure it operates as intended and the newly drafted provisions do not lead to unfairness.</w:t>
      </w:r>
    </w:p>
    <w:p w14:paraId="35A9E30C" w14:textId="26C4487F" w:rsidR="000663FD" w:rsidRPr="000663FD" w:rsidRDefault="000663FD" w:rsidP="000663FD">
      <w:pPr>
        <w:pStyle w:val="ListParagraph"/>
        <w:numPr>
          <w:ilvl w:val="0"/>
          <w:numId w:val="25"/>
        </w:numPr>
        <w:spacing w:before="120" w:after="120" w:line="240" w:lineRule="auto"/>
        <w:ind w:left="714" w:hanging="357"/>
        <w:contextualSpacing w:val="0"/>
        <w:rPr>
          <w:szCs w:val="22"/>
        </w:rPr>
      </w:pPr>
      <w:r>
        <w:rPr>
          <w:b/>
          <w:bCs/>
          <w:szCs w:val="22"/>
        </w:rPr>
        <w:t xml:space="preserve">Scheduled review in 1 year: </w:t>
      </w:r>
      <w:r>
        <w:rPr>
          <w:szCs w:val="22"/>
        </w:rPr>
        <w:t>The Bill should be reviewed in 1 year to ensure it is achieving its purpose and to address any unintended consequences which may arise in relation to how the Bill is interpreted or implemented in practice</w:t>
      </w:r>
      <w:r w:rsidRPr="00E45E9A">
        <w:rPr>
          <w:szCs w:val="22"/>
        </w:rPr>
        <w:t>.</w:t>
      </w:r>
    </w:p>
    <w:p w14:paraId="51781E8C" w14:textId="531DF405" w:rsidR="000663FD" w:rsidRDefault="000663FD" w:rsidP="000663FD">
      <w:pPr>
        <w:autoSpaceDE w:val="0"/>
        <w:autoSpaceDN w:val="0"/>
        <w:adjustRightInd w:val="0"/>
        <w:spacing w:after="200" w:line="300" w:lineRule="exact"/>
        <w:rPr>
          <w:rFonts w:cs="Arial"/>
          <w:b/>
          <w:bCs/>
          <w:szCs w:val="22"/>
          <w:lang w:eastAsia="en-AU"/>
        </w:rPr>
      </w:pPr>
      <w:r>
        <w:rPr>
          <w:rFonts w:cs="Arial"/>
          <w:b/>
          <w:bCs/>
          <w:szCs w:val="22"/>
          <w:lang w:eastAsia="en-AU"/>
        </w:rPr>
        <w:t xml:space="preserve">VLA’s clients and </w:t>
      </w:r>
      <w:proofErr w:type="spellStart"/>
      <w:r>
        <w:rPr>
          <w:rFonts w:cs="Arial"/>
          <w:b/>
          <w:bCs/>
          <w:szCs w:val="22"/>
          <w:lang w:eastAsia="en-AU"/>
        </w:rPr>
        <w:t>robo</w:t>
      </w:r>
      <w:proofErr w:type="spellEnd"/>
      <w:r>
        <w:rPr>
          <w:rFonts w:cs="Arial"/>
          <w:b/>
          <w:bCs/>
          <w:szCs w:val="22"/>
          <w:lang w:eastAsia="en-AU"/>
        </w:rPr>
        <w:t>-</w:t>
      </w:r>
      <w:r>
        <w:rPr>
          <w:rFonts w:cs="Arial"/>
          <w:b/>
          <w:bCs/>
          <w:szCs w:val="22"/>
          <w:lang w:eastAsia="en-AU"/>
        </w:rPr>
        <w:t>debt</w:t>
      </w:r>
    </w:p>
    <w:p w14:paraId="0838BCE0" w14:textId="77777777" w:rsidR="000663FD" w:rsidRPr="00770B1A" w:rsidRDefault="000663FD" w:rsidP="000663FD">
      <w:pPr>
        <w:autoSpaceDE w:val="0"/>
        <w:autoSpaceDN w:val="0"/>
        <w:adjustRightInd w:val="0"/>
        <w:spacing w:after="200" w:line="300" w:lineRule="exact"/>
        <w:rPr>
          <w:rFonts w:cs="Arial"/>
          <w:szCs w:val="22"/>
          <w:lang w:eastAsia="en-AU"/>
        </w:rPr>
      </w:pPr>
      <w:r w:rsidRPr="00770B1A">
        <w:rPr>
          <w:rFonts w:cs="Arial"/>
          <w:szCs w:val="22"/>
          <w:lang w:eastAsia="en-AU"/>
        </w:rPr>
        <w:t>VLA is the leading provider of legal advice and advocacy to people seeking assistance with social security matters in Victoria. Since the commencement of the Better Management of the Social Welfare System Initiative (and the subsequent, differently named programs), colloquially known as ‘</w:t>
      </w:r>
      <w:proofErr w:type="spellStart"/>
      <w:r w:rsidRPr="00770B1A">
        <w:rPr>
          <w:rFonts w:cs="Arial"/>
          <w:szCs w:val="22"/>
          <w:lang w:eastAsia="en-AU"/>
        </w:rPr>
        <w:t>robodebt</w:t>
      </w:r>
      <w:proofErr w:type="spellEnd"/>
      <w:r w:rsidRPr="00770B1A">
        <w:rPr>
          <w:rFonts w:cs="Arial"/>
          <w:szCs w:val="22"/>
          <w:lang w:eastAsia="en-AU"/>
        </w:rPr>
        <w:t xml:space="preserve">’, VLA has been involved in responding to the needs of Victorians adversely affected by </w:t>
      </w:r>
      <w:proofErr w:type="spellStart"/>
      <w:r w:rsidRPr="00770B1A">
        <w:rPr>
          <w:rFonts w:cs="Arial"/>
          <w:szCs w:val="22"/>
          <w:lang w:eastAsia="en-AU"/>
        </w:rPr>
        <w:t>robodebt</w:t>
      </w:r>
      <w:proofErr w:type="spellEnd"/>
      <w:r w:rsidRPr="00770B1A">
        <w:rPr>
          <w:rFonts w:cs="Arial"/>
          <w:szCs w:val="22"/>
          <w:lang w:eastAsia="en-AU"/>
        </w:rPr>
        <w:t xml:space="preserve">. In the last financial year, we provided more than 650 separate services in relation to </w:t>
      </w:r>
      <w:proofErr w:type="spellStart"/>
      <w:r w:rsidRPr="00770B1A">
        <w:rPr>
          <w:rFonts w:cs="Arial"/>
          <w:szCs w:val="22"/>
          <w:lang w:eastAsia="en-AU"/>
        </w:rPr>
        <w:t>robodebt</w:t>
      </w:r>
      <w:proofErr w:type="spellEnd"/>
      <w:r w:rsidRPr="00770B1A">
        <w:rPr>
          <w:rFonts w:cs="Arial"/>
          <w:szCs w:val="22"/>
          <w:lang w:eastAsia="en-AU"/>
        </w:rPr>
        <w:t xml:space="preserve"> matters. </w:t>
      </w:r>
    </w:p>
    <w:p w14:paraId="03B292F4" w14:textId="77777777" w:rsidR="000663FD" w:rsidRDefault="000663FD" w:rsidP="000663FD">
      <w:pPr>
        <w:autoSpaceDE w:val="0"/>
        <w:autoSpaceDN w:val="0"/>
        <w:adjustRightInd w:val="0"/>
        <w:spacing w:after="200" w:line="300" w:lineRule="exact"/>
        <w:rPr>
          <w:rFonts w:cs="Arial"/>
          <w:szCs w:val="22"/>
          <w:lang w:eastAsia="en-AU"/>
        </w:rPr>
      </w:pPr>
      <w:r>
        <w:rPr>
          <w:rFonts w:cs="Arial"/>
          <w:szCs w:val="22"/>
          <w:lang w:eastAsia="en-AU"/>
        </w:rPr>
        <w:t xml:space="preserve">On 27 November 2019, the Australian Government conceded that the key </w:t>
      </w:r>
      <w:r w:rsidRPr="00414CD5">
        <w:rPr>
          <w:rFonts w:cs="Arial"/>
          <w:szCs w:val="22"/>
          <w:lang w:eastAsia="en-AU"/>
        </w:rPr>
        <w:t xml:space="preserve">elements of the </w:t>
      </w:r>
      <w:proofErr w:type="spellStart"/>
      <w:r w:rsidRPr="00414CD5">
        <w:rPr>
          <w:rFonts w:cs="Arial"/>
          <w:szCs w:val="22"/>
          <w:lang w:eastAsia="en-AU"/>
        </w:rPr>
        <w:t>robodebt</w:t>
      </w:r>
      <w:proofErr w:type="spellEnd"/>
      <w:r w:rsidRPr="00414CD5">
        <w:rPr>
          <w:rFonts w:cs="Arial"/>
          <w:szCs w:val="22"/>
          <w:lang w:eastAsia="en-AU"/>
        </w:rPr>
        <w:t xml:space="preserve"> process raised in </w:t>
      </w:r>
      <w:r>
        <w:rPr>
          <w:rFonts w:cs="Arial"/>
          <w:i/>
          <w:iCs/>
          <w:szCs w:val="22"/>
          <w:lang w:eastAsia="en-AU"/>
        </w:rPr>
        <w:t xml:space="preserve">Deanna Amato v The Commonwealth of Australia </w:t>
      </w:r>
      <w:r>
        <w:rPr>
          <w:rFonts w:cs="Arial"/>
          <w:szCs w:val="22"/>
          <w:lang w:eastAsia="en-AU"/>
        </w:rPr>
        <w:t>(VID611/2019)</w:t>
      </w:r>
      <w:r w:rsidRPr="00414CD5">
        <w:rPr>
          <w:rFonts w:cs="Arial"/>
          <w:szCs w:val="22"/>
          <w:lang w:eastAsia="en-AU"/>
        </w:rPr>
        <w:t xml:space="preserve"> </w:t>
      </w:r>
      <w:r>
        <w:rPr>
          <w:rFonts w:cs="Arial"/>
          <w:szCs w:val="22"/>
          <w:lang w:eastAsia="en-AU"/>
        </w:rPr>
        <w:t>(</w:t>
      </w:r>
      <w:r w:rsidRPr="00770B1A">
        <w:rPr>
          <w:rFonts w:cs="Arial"/>
          <w:b/>
          <w:bCs/>
          <w:i/>
          <w:iCs/>
          <w:szCs w:val="22"/>
          <w:lang w:eastAsia="en-AU"/>
        </w:rPr>
        <w:t>Amato</w:t>
      </w:r>
      <w:r w:rsidRPr="00770B1A">
        <w:rPr>
          <w:rFonts w:cs="Arial"/>
          <w:szCs w:val="22"/>
          <w:lang w:eastAsia="en-AU"/>
        </w:rPr>
        <w:t>)</w:t>
      </w:r>
      <w:r>
        <w:rPr>
          <w:rFonts w:cs="Arial"/>
          <w:b/>
          <w:bCs/>
          <w:szCs w:val="22"/>
          <w:lang w:eastAsia="en-AU"/>
        </w:rPr>
        <w:t xml:space="preserve"> </w:t>
      </w:r>
      <w:r w:rsidRPr="00414CD5">
        <w:rPr>
          <w:rFonts w:cs="Arial"/>
          <w:szCs w:val="22"/>
          <w:lang w:eastAsia="en-AU"/>
        </w:rPr>
        <w:t>were unlawful.</w:t>
      </w:r>
    </w:p>
    <w:p w14:paraId="74BC493E" w14:textId="77777777" w:rsidR="000663FD" w:rsidRPr="00414CD5" w:rsidRDefault="000663FD" w:rsidP="000663FD">
      <w:pPr>
        <w:autoSpaceDE w:val="0"/>
        <w:autoSpaceDN w:val="0"/>
        <w:adjustRightInd w:val="0"/>
        <w:spacing w:after="200" w:line="300" w:lineRule="exact"/>
        <w:rPr>
          <w:rFonts w:cs="Arial"/>
          <w:szCs w:val="22"/>
          <w:lang w:eastAsia="en-AU"/>
        </w:rPr>
      </w:pPr>
      <w:r w:rsidRPr="00414CD5">
        <w:rPr>
          <w:rFonts w:cs="Arial"/>
          <w:szCs w:val="22"/>
          <w:lang w:eastAsia="en-AU"/>
        </w:rPr>
        <w:t>The Australian Government conceded that in Dean</w:t>
      </w:r>
      <w:r>
        <w:rPr>
          <w:rFonts w:cs="Arial"/>
          <w:szCs w:val="22"/>
          <w:lang w:eastAsia="en-AU"/>
        </w:rPr>
        <w:t>n</w:t>
      </w:r>
      <w:r w:rsidRPr="00414CD5">
        <w:rPr>
          <w:rFonts w:cs="Arial"/>
          <w:szCs w:val="22"/>
          <w:lang w:eastAsia="en-AU"/>
        </w:rPr>
        <w:t>a’s case</w:t>
      </w:r>
      <w:r>
        <w:rPr>
          <w:rFonts w:cs="Arial"/>
          <w:szCs w:val="22"/>
          <w:lang w:eastAsia="en-AU"/>
        </w:rPr>
        <w:t>:</w:t>
      </w:r>
    </w:p>
    <w:p w14:paraId="7652CEF9" w14:textId="77777777" w:rsidR="000663FD" w:rsidRPr="00414CD5" w:rsidRDefault="000663FD" w:rsidP="000663FD">
      <w:pPr>
        <w:pStyle w:val="ListParagraph"/>
        <w:numPr>
          <w:ilvl w:val="0"/>
          <w:numId w:val="26"/>
        </w:numPr>
        <w:autoSpaceDE w:val="0"/>
        <w:autoSpaceDN w:val="0"/>
        <w:adjustRightInd w:val="0"/>
        <w:spacing w:after="200" w:line="300" w:lineRule="exact"/>
        <w:rPr>
          <w:rFonts w:cs="Arial"/>
          <w:szCs w:val="22"/>
          <w:lang w:eastAsia="en-AU"/>
        </w:rPr>
      </w:pPr>
      <w:r>
        <w:rPr>
          <w:rFonts w:cs="Arial"/>
          <w:szCs w:val="22"/>
          <w:lang w:eastAsia="en-AU"/>
        </w:rPr>
        <w:t>r</w:t>
      </w:r>
      <w:r w:rsidRPr="00414CD5">
        <w:rPr>
          <w:rFonts w:cs="Arial"/>
          <w:szCs w:val="22"/>
          <w:lang w:eastAsia="en-AU"/>
        </w:rPr>
        <w:t xml:space="preserve">aising the debt by ‘averaging’ of ATO data was </w:t>
      </w:r>
      <w:proofErr w:type="gramStart"/>
      <w:r w:rsidRPr="00414CD5">
        <w:rPr>
          <w:rFonts w:cs="Arial"/>
          <w:szCs w:val="22"/>
          <w:lang w:eastAsia="en-AU"/>
        </w:rPr>
        <w:t>unlawful;</w:t>
      </w:r>
      <w:proofErr w:type="gramEnd"/>
    </w:p>
    <w:p w14:paraId="61DB259C" w14:textId="77777777" w:rsidR="000663FD" w:rsidRPr="00414CD5" w:rsidRDefault="000663FD" w:rsidP="000663FD">
      <w:pPr>
        <w:pStyle w:val="ListParagraph"/>
        <w:numPr>
          <w:ilvl w:val="0"/>
          <w:numId w:val="26"/>
        </w:numPr>
        <w:autoSpaceDE w:val="0"/>
        <w:autoSpaceDN w:val="0"/>
        <w:adjustRightInd w:val="0"/>
        <w:spacing w:after="200" w:line="300" w:lineRule="exact"/>
        <w:rPr>
          <w:rFonts w:cs="Arial"/>
          <w:szCs w:val="22"/>
          <w:lang w:eastAsia="en-AU"/>
        </w:rPr>
      </w:pPr>
      <w:r>
        <w:rPr>
          <w:rFonts w:cs="Arial"/>
          <w:szCs w:val="22"/>
          <w:lang w:eastAsia="en-AU"/>
        </w:rPr>
        <w:t>a</w:t>
      </w:r>
      <w:r w:rsidRPr="00414CD5">
        <w:rPr>
          <w:rFonts w:cs="Arial"/>
          <w:szCs w:val="22"/>
          <w:lang w:eastAsia="en-AU"/>
        </w:rPr>
        <w:t xml:space="preserve">dding a 10% penalty fee to the debt based on the information they had was </w:t>
      </w:r>
      <w:proofErr w:type="gramStart"/>
      <w:r w:rsidRPr="00414CD5">
        <w:rPr>
          <w:rFonts w:cs="Arial"/>
          <w:szCs w:val="22"/>
          <w:lang w:eastAsia="en-AU"/>
        </w:rPr>
        <w:t>unlawful;</w:t>
      </w:r>
      <w:proofErr w:type="gramEnd"/>
      <w:r w:rsidRPr="00414CD5">
        <w:rPr>
          <w:rFonts w:cs="Arial"/>
          <w:szCs w:val="22"/>
          <w:lang w:eastAsia="en-AU"/>
        </w:rPr>
        <w:t xml:space="preserve"> and</w:t>
      </w:r>
    </w:p>
    <w:p w14:paraId="2F3EB4F4" w14:textId="77777777" w:rsidR="000663FD" w:rsidRPr="00414CD5" w:rsidRDefault="000663FD" w:rsidP="000663FD">
      <w:pPr>
        <w:pStyle w:val="ListParagraph"/>
        <w:numPr>
          <w:ilvl w:val="0"/>
          <w:numId w:val="26"/>
        </w:numPr>
        <w:autoSpaceDE w:val="0"/>
        <w:autoSpaceDN w:val="0"/>
        <w:adjustRightInd w:val="0"/>
        <w:spacing w:after="200" w:line="300" w:lineRule="exact"/>
        <w:rPr>
          <w:rFonts w:cs="Arial"/>
          <w:szCs w:val="22"/>
          <w:lang w:eastAsia="en-AU"/>
        </w:rPr>
      </w:pPr>
      <w:r>
        <w:rPr>
          <w:rFonts w:cs="Arial"/>
          <w:szCs w:val="22"/>
          <w:lang w:eastAsia="en-AU"/>
        </w:rPr>
        <w:t>s</w:t>
      </w:r>
      <w:r w:rsidRPr="00414CD5">
        <w:rPr>
          <w:rFonts w:cs="Arial"/>
          <w:szCs w:val="22"/>
          <w:lang w:eastAsia="en-AU"/>
        </w:rPr>
        <w:t xml:space="preserve">eizing </w:t>
      </w:r>
      <w:r>
        <w:rPr>
          <w:rFonts w:cs="Arial"/>
          <w:szCs w:val="22"/>
          <w:lang w:eastAsia="en-AU"/>
        </w:rPr>
        <w:t>Deanna’s</w:t>
      </w:r>
      <w:r w:rsidRPr="00414CD5">
        <w:rPr>
          <w:rFonts w:cs="Arial"/>
          <w:szCs w:val="22"/>
          <w:lang w:eastAsia="en-AU"/>
        </w:rPr>
        <w:t xml:space="preserve"> tax refund when there was no lawful basis for the </w:t>
      </w:r>
      <w:proofErr w:type="spellStart"/>
      <w:r w:rsidRPr="00414CD5">
        <w:rPr>
          <w:rFonts w:cs="Arial"/>
          <w:szCs w:val="22"/>
          <w:lang w:eastAsia="en-AU"/>
        </w:rPr>
        <w:t>robodebt</w:t>
      </w:r>
      <w:proofErr w:type="spellEnd"/>
      <w:r w:rsidRPr="00414CD5">
        <w:rPr>
          <w:rFonts w:cs="Arial"/>
          <w:szCs w:val="22"/>
          <w:lang w:eastAsia="en-AU"/>
        </w:rPr>
        <w:t xml:space="preserve"> was </w:t>
      </w:r>
      <w:r>
        <w:rPr>
          <w:rFonts w:cs="Arial"/>
          <w:szCs w:val="22"/>
          <w:lang w:eastAsia="en-AU"/>
        </w:rPr>
        <w:t xml:space="preserve">also </w:t>
      </w:r>
      <w:r w:rsidRPr="00414CD5">
        <w:rPr>
          <w:rFonts w:cs="Arial"/>
          <w:szCs w:val="22"/>
          <w:lang w:eastAsia="en-AU"/>
        </w:rPr>
        <w:t>unlawful.</w:t>
      </w:r>
    </w:p>
    <w:p w14:paraId="13B0C1F8" w14:textId="77777777" w:rsidR="000663FD" w:rsidRPr="0048091E" w:rsidRDefault="000663FD" w:rsidP="000663FD">
      <w:pPr>
        <w:spacing w:after="200" w:line="300" w:lineRule="exact"/>
        <w:rPr>
          <w:rFonts w:eastAsiaTheme="minorEastAsia" w:cs="Arial"/>
          <w:lang w:eastAsia="en-AU"/>
        </w:rPr>
      </w:pPr>
      <w:r w:rsidRPr="5092678F">
        <w:rPr>
          <w:rFonts w:eastAsiaTheme="minorEastAsia" w:cs="Arial"/>
          <w:lang w:eastAsia="en-AU"/>
        </w:rPr>
        <w:t xml:space="preserve">The orders in </w:t>
      </w:r>
      <w:r w:rsidRPr="5092678F">
        <w:rPr>
          <w:rFonts w:eastAsiaTheme="minorEastAsia" w:cs="Arial"/>
          <w:i/>
          <w:lang w:eastAsia="en-AU"/>
        </w:rPr>
        <w:t xml:space="preserve">Amato </w:t>
      </w:r>
      <w:r w:rsidRPr="5092678F">
        <w:rPr>
          <w:rFonts w:eastAsiaTheme="minorEastAsia" w:cs="Arial"/>
          <w:lang w:eastAsia="en-AU"/>
        </w:rPr>
        <w:t xml:space="preserve">make clear that Centrelink cannot </w:t>
      </w:r>
      <w:proofErr w:type="gramStart"/>
      <w:r w:rsidRPr="5092678F">
        <w:rPr>
          <w:rFonts w:eastAsiaTheme="minorEastAsia" w:cs="Arial"/>
          <w:lang w:eastAsia="en-AU"/>
        </w:rPr>
        <w:t>make a determination</w:t>
      </w:r>
      <w:proofErr w:type="gramEnd"/>
      <w:r w:rsidRPr="5092678F">
        <w:rPr>
          <w:rFonts w:eastAsiaTheme="minorEastAsia" w:cs="Arial"/>
          <w:lang w:eastAsia="en-AU"/>
        </w:rPr>
        <w:t xml:space="preserve"> that a payment was made on a particular day without probative evidence that this occurred. In our view, this should </w:t>
      </w:r>
      <w:r w:rsidRPr="6B9DC36A">
        <w:rPr>
          <w:rFonts w:eastAsiaTheme="minorEastAsia" w:cs="Arial"/>
          <w:lang w:eastAsia="en-AU"/>
        </w:rPr>
        <w:t>prevent</w:t>
      </w:r>
      <w:r w:rsidRPr="5092678F">
        <w:rPr>
          <w:rFonts w:eastAsiaTheme="minorEastAsia" w:cs="Arial"/>
          <w:lang w:eastAsia="en-AU"/>
        </w:rPr>
        <w:t xml:space="preserve"> </w:t>
      </w:r>
      <w:r w:rsidRPr="5092678F">
        <w:rPr>
          <w:rFonts w:eastAsiaTheme="minorEastAsia" w:cs="Arial"/>
          <w:lang w:eastAsia="en-AU"/>
        </w:rPr>
        <w:lastRenderedPageBreak/>
        <w:t xml:space="preserve">the use of </w:t>
      </w:r>
      <w:r>
        <w:rPr>
          <w:rFonts w:eastAsiaTheme="minorEastAsia" w:cs="Arial"/>
          <w:lang w:eastAsia="en-AU"/>
        </w:rPr>
        <w:t xml:space="preserve">annualised </w:t>
      </w:r>
      <w:r w:rsidRPr="5092678F">
        <w:rPr>
          <w:rFonts w:eastAsiaTheme="minorEastAsia" w:cs="Arial"/>
          <w:lang w:eastAsia="en-AU"/>
        </w:rPr>
        <w:t>ATO PAYG data</w:t>
      </w:r>
      <w:r w:rsidRPr="6B9DC36A">
        <w:rPr>
          <w:rFonts w:eastAsiaTheme="minorEastAsia" w:cs="Arial"/>
          <w:lang w:eastAsia="en-AU"/>
        </w:rPr>
        <w:t xml:space="preserve"> to </w:t>
      </w:r>
      <w:r w:rsidRPr="0E764D11">
        <w:rPr>
          <w:rFonts w:eastAsiaTheme="minorEastAsia" w:cs="Arial"/>
          <w:lang w:eastAsia="en-AU"/>
        </w:rPr>
        <w:t>calculate debts</w:t>
      </w:r>
      <w:r w:rsidRPr="5092678F">
        <w:rPr>
          <w:rFonts w:eastAsiaTheme="minorEastAsia" w:cs="Arial"/>
          <w:lang w:eastAsia="en-AU"/>
        </w:rPr>
        <w:t xml:space="preserve"> and the operation of a ‘reverse onus’ which were key elements of the </w:t>
      </w:r>
      <w:proofErr w:type="spellStart"/>
      <w:r w:rsidRPr="5092678F">
        <w:rPr>
          <w:rFonts w:eastAsiaTheme="minorEastAsia" w:cs="Arial"/>
          <w:lang w:eastAsia="en-AU"/>
        </w:rPr>
        <w:t>robodebt</w:t>
      </w:r>
      <w:proofErr w:type="spellEnd"/>
      <w:r w:rsidRPr="5092678F">
        <w:rPr>
          <w:rFonts w:eastAsiaTheme="minorEastAsia" w:cs="Arial"/>
          <w:lang w:eastAsia="en-AU"/>
        </w:rPr>
        <w:t xml:space="preserve"> system (i.e. where averaging of yearly ATO data led to incorrectly calculated debts and people were required to disprove a debt to Centrelink). Not only is it clear that such approaches are unlawful, there is an overwhelming body of evidence that they cause unfairness in </w:t>
      </w:r>
      <w:r>
        <w:rPr>
          <w:rFonts w:eastAsiaTheme="minorEastAsia" w:cs="Arial"/>
          <w:lang w:eastAsia="en-AU"/>
        </w:rPr>
        <w:t xml:space="preserve">raising </w:t>
      </w:r>
      <w:r w:rsidRPr="5092678F">
        <w:rPr>
          <w:rFonts w:eastAsiaTheme="minorEastAsia" w:cs="Arial"/>
          <w:lang w:eastAsia="en-AU"/>
        </w:rPr>
        <w:t>debt</w:t>
      </w:r>
      <w:r>
        <w:rPr>
          <w:rFonts w:eastAsiaTheme="minorEastAsia" w:cs="Arial"/>
          <w:lang w:eastAsia="en-AU"/>
        </w:rPr>
        <w:t>s</w:t>
      </w:r>
      <w:r w:rsidRPr="5092678F">
        <w:rPr>
          <w:rFonts w:eastAsiaTheme="minorEastAsia" w:cs="Arial"/>
          <w:lang w:eastAsia="en-AU"/>
        </w:rPr>
        <w:t>, and considerable stress and anxiety to recipients of social security payments.</w:t>
      </w:r>
    </w:p>
    <w:p w14:paraId="7F0E0BF3" w14:textId="77777777" w:rsidR="000663FD" w:rsidRPr="00414CD5" w:rsidRDefault="000663FD" w:rsidP="000663FD">
      <w:pPr>
        <w:spacing w:after="200" w:line="300" w:lineRule="exact"/>
        <w:rPr>
          <w:b/>
          <w:bCs/>
        </w:rPr>
      </w:pPr>
      <w:r>
        <w:rPr>
          <w:b/>
          <w:bCs/>
        </w:rPr>
        <w:t>Clarification on potential operation of the Bill</w:t>
      </w:r>
    </w:p>
    <w:p w14:paraId="58ED66B5" w14:textId="77777777" w:rsidR="000663FD" w:rsidRDefault="000663FD" w:rsidP="000663FD">
      <w:pPr>
        <w:spacing w:after="200" w:line="300" w:lineRule="exact"/>
        <w:rPr>
          <w:rFonts w:eastAsiaTheme="minorHAnsi" w:cs="Arial"/>
          <w:szCs w:val="22"/>
          <w:lang w:eastAsia="en-AU"/>
        </w:rPr>
      </w:pPr>
      <w:r w:rsidRPr="000C30D8">
        <w:rPr>
          <w:rFonts w:eastAsiaTheme="minorHAnsi" w:cs="Arial"/>
          <w:szCs w:val="22"/>
          <w:lang w:eastAsia="en-AU"/>
        </w:rPr>
        <w:t xml:space="preserve">The Bill would </w:t>
      </w:r>
      <w:r>
        <w:rPr>
          <w:rFonts w:eastAsiaTheme="minorHAnsi" w:cs="Arial"/>
          <w:szCs w:val="22"/>
          <w:lang w:eastAsia="en-AU"/>
        </w:rPr>
        <w:t>fundamentally</w:t>
      </w:r>
      <w:r w:rsidRPr="000C30D8">
        <w:rPr>
          <w:rFonts w:eastAsiaTheme="minorHAnsi" w:cs="Arial"/>
          <w:szCs w:val="22"/>
          <w:lang w:eastAsia="en-AU"/>
        </w:rPr>
        <w:t xml:space="preserve"> change the way in which employment income is taken into account under the </w:t>
      </w:r>
      <w:r w:rsidRPr="000C30D8">
        <w:rPr>
          <w:rFonts w:eastAsiaTheme="minorHAnsi" w:cs="Arial"/>
          <w:i/>
          <w:iCs/>
          <w:szCs w:val="22"/>
          <w:lang w:eastAsia="en-AU"/>
        </w:rPr>
        <w:t>Social Security Act 1991</w:t>
      </w:r>
      <w:r>
        <w:rPr>
          <w:rFonts w:eastAsiaTheme="minorHAnsi" w:cs="Arial"/>
          <w:szCs w:val="22"/>
          <w:lang w:eastAsia="en-AU"/>
        </w:rPr>
        <w:t xml:space="preserve"> (</w:t>
      </w:r>
      <w:proofErr w:type="spellStart"/>
      <w:r>
        <w:rPr>
          <w:rFonts w:eastAsiaTheme="minorHAnsi" w:cs="Arial"/>
          <w:szCs w:val="22"/>
          <w:lang w:eastAsia="en-AU"/>
        </w:rPr>
        <w:t>Cth</w:t>
      </w:r>
      <w:proofErr w:type="spellEnd"/>
      <w:r>
        <w:rPr>
          <w:rFonts w:eastAsiaTheme="minorHAnsi" w:cs="Arial"/>
          <w:szCs w:val="22"/>
          <w:lang w:eastAsia="en-AU"/>
        </w:rPr>
        <w:t>) (</w:t>
      </w:r>
      <w:r w:rsidRPr="008771AB">
        <w:rPr>
          <w:rFonts w:eastAsiaTheme="minorHAnsi" w:cs="Arial"/>
          <w:b/>
          <w:bCs/>
          <w:szCs w:val="22"/>
          <w:lang w:eastAsia="en-AU"/>
        </w:rPr>
        <w:t>Act</w:t>
      </w:r>
      <w:r>
        <w:rPr>
          <w:rFonts w:eastAsiaTheme="minorHAnsi" w:cs="Arial"/>
          <w:szCs w:val="22"/>
          <w:lang w:eastAsia="en-AU"/>
        </w:rPr>
        <w:t>)</w:t>
      </w:r>
      <w:r w:rsidRPr="000C30D8">
        <w:rPr>
          <w:rFonts w:eastAsiaTheme="minorHAnsi" w:cs="Arial"/>
          <w:szCs w:val="22"/>
          <w:lang w:eastAsia="en-AU"/>
        </w:rPr>
        <w:t>: employment income would be taken into account when paid, instead of when earned, derived or received</w:t>
      </w:r>
      <w:r>
        <w:rPr>
          <w:rFonts w:eastAsiaTheme="minorHAnsi" w:cs="Arial"/>
          <w:szCs w:val="22"/>
          <w:lang w:eastAsia="en-AU"/>
        </w:rPr>
        <w:t xml:space="preserve"> (Division 1AA; Explanatory Memorandum at p 16)</w:t>
      </w:r>
      <w:r w:rsidRPr="000C30D8">
        <w:rPr>
          <w:rFonts w:eastAsiaTheme="minorHAnsi" w:cs="Arial"/>
          <w:szCs w:val="22"/>
          <w:lang w:eastAsia="en-AU"/>
        </w:rPr>
        <w:t>.</w:t>
      </w:r>
      <w:r>
        <w:rPr>
          <w:rFonts w:eastAsiaTheme="minorHAnsi" w:cs="Arial"/>
          <w:szCs w:val="22"/>
          <w:lang w:eastAsia="en-AU"/>
        </w:rPr>
        <w:t xml:space="preserve"> This has significant consequences for Centrelink reporting processes and potential calculation of overpayments.</w:t>
      </w:r>
    </w:p>
    <w:p w14:paraId="268A0A4B" w14:textId="77777777" w:rsidR="000663FD" w:rsidRPr="00770B1A" w:rsidRDefault="000663FD" w:rsidP="000663FD">
      <w:pPr>
        <w:keepNext/>
        <w:spacing w:after="200" w:line="300" w:lineRule="exact"/>
        <w:rPr>
          <w:rFonts w:eastAsiaTheme="minorHAnsi" w:cs="Arial"/>
          <w:i/>
          <w:iCs/>
          <w:szCs w:val="22"/>
          <w:lang w:eastAsia="en-AU"/>
        </w:rPr>
      </w:pPr>
      <w:r>
        <w:rPr>
          <w:rFonts w:eastAsiaTheme="minorHAnsi" w:cs="Arial"/>
          <w:i/>
          <w:iCs/>
          <w:szCs w:val="22"/>
          <w:lang w:eastAsia="en-AU"/>
        </w:rPr>
        <w:t>Determining a ‘particular period’</w:t>
      </w:r>
    </w:p>
    <w:p w14:paraId="18B99F3D"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The key provisions which outline relevant periods for calculating relevant income are clauses 1073A and 1073BA.</w:t>
      </w:r>
    </w:p>
    <w:p w14:paraId="241E9F49"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Under clause 1073A, w</w:t>
      </w:r>
      <w:r w:rsidRPr="00F96F16">
        <w:rPr>
          <w:rFonts w:eastAsiaTheme="minorHAnsi" w:cs="Arial"/>
          <w:szCs w:val="22"/>
          <w:lang w:eastAsia="en-AU"/>
        </w:rPr>
        <w:t xml:space="preserve">hen an amount of employment income is paid </w:t>
      </w:r>
      <w:r>
        <w:rPr>
          <w:rFonts w:eastAsiaTheme="minorHAnsi" w:cs="Arial"/>
          <w:szCs w:val="22"/>
          <w:lang w:eastAsia="en-AU"/>
        </w:rPr>
        <w:t>“</w:t>
      </w:r>
      <w:r w:rsidRPr="00F96F16">
        <w:rPr>
          <w:rFonts w:eastAsiaTheme="minorHAnsi" w:cs="Arial"/>
          <w:szCs w:val="22"/>
          <w:lang w:eastAsia="en-AU"/>
        </w:rPr>
        <w:t>in respect of a particular period” (</w:t>
      </w:r>
      <w:r>
        <w:rPr>
          <w:rFonts w:eastAsiaTheme="minorHAnsi" w:cs="Arial"/>
          <w:szCs w:val="22"/>
          <w:lang w:eastAsia="en-AU"/>
        </w:rPr>
        <w:t xml:space="preserve">an </w:t>
      </w:r>
      <w:r w:rsidRPr="00F96F16">
        <w:rPr>
          <w:rFonts w:eastAsiaTheme="minorHAnsi" w:cs="Arial"/>
          <w:szCs w:val="22"/>
          <w:lang w:eastAsia="en-AU"/>
        </w:rPr>
        <w:t>“employment period”), the amount will be averaged over an “assessment period”. The assessment period will have the same number of days as the employment period, but it will begin on the first day of the (two-week) instalment period during which the amount is paid.</w:t>
      </w:r>
    </w:p>
    <w:p w14:paraId="45D168DE"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 xml:space="preserve">The term </w:t>
      </w:r>
      <w:r w:rsidRPr="00F96F16">
        <w:rPr>
          <w:rFonts w:eastAsiaTheme="minorHAnsi" w:cs="Arial"/>
          <w:szCs w:val="22"/>
          <w:lang w:eastAsia="en-AU"/>
        </w:rPr>
        <w:t>“in respect of a particular period”</w:t>
      </w:r>
      <w:r>
        <w:rPr>
          <w:rFonts w:eastAsiaTheme="minorHAnsi" w:cs="Arial"/>
          <w:szCs w:val="22"/>
          <w:lang w:eastAsia="en-AU"/>
        </w:rPr>
        <w:t xml:space="preserve"> is not defined in the Bill. The Explanatory Memorandum states</w:t>
      </w:r>
      <w:r w:rsidRPr="00F96F16">
        <w:rPr>
          <w:rFonts w:eastAsiaTheme="minorHAnsi" w:cs="Arial"/>
          <w:szCs w:val="22"/>
          <w:lang w:eastAsia="en-AU"/>
        </w:rPr>
        <w:t xml:space="preserve"> that </w:t>
      </w:r>
      <w:r>
        <w:rPr>
          <w:rFonts w:eastAsiaTheme="minorHAnsi" w:cs="Arial"/>
          <w:szCs w:val="22"/>
          <w:lang w:eastAsia="en-AU"/>
        </w:rPr>
        <w:t>clause</w:t>
      </w:r>
      <w:r w:rsidRPr="00F96F16">
        <w:rPr>
          <w:rFonts w:eastAsiaTheme="minorHAnsi" w:cs="Arial"/>
          <w:szCs w:val="22"/>
          <w:lang w:eastAsia="en-AU"/>
        </w:rPr>
        <w:t xml:space="preserve"> 1073A will apply if “it is possible to identify the particular period ... to which the employment income relates”</w:t>
      </w:r>
      <w:r>
        <w:rPr>
          <w:rFonts w:eastAsiaTheme="minorHAnsi" w:cs="Arial"/>
          <w:szCs w:val="22"/>
          <w:lang w:eastAsia="en-AU"/>
        </w:rPr>
        <w:t xml:space="preserve"> (</w:t>
      </w:r>
      <w:r w:rsidRPr="00F96F16">
        <w:rPr>
          <w:rFonts w:eastAsiaTheme="minorHAnsi" w:cs="Arial"/>
          <w:szCs w:val="22"/>
          <w:lang w:eastAsia="en-AU"/>
        </w:rPr>
        <w:t>at pp 10-11</w:t>
      </w:r>
      <w:r>
        <w:rPr>
          <w:rFonts w:eastAsiaTheme="minorHAnsi" w:cs="Arial"/>
          <w:szCs w:val="22"/>
          <w:lang w:eastAsia="en-AU"/>
        </w:rPr>
        <w:t>)</w:t>
      </w:r>
      <w:r w:rsidRPr="00F96F16">
        <w:rPr>
          <w:rFonts w:eastAsiaTheme="minorHAnsi" w:cs="Arial"/>
          <w:szCs w:val="22"/>
          <w:lang w:eastAsia="en-AU"/>
        </w:rPr>
        <w:t>.</w:t>
      </w:r>
      <w:r w:rsidRPr="00085E33">
        <w:rPr>
          <w:rFonts w:eastAsiaTheme="minorHAnsi" w:cs="Arial"/>
          <w:szCs w:val="22"/>
          <w:lang w:eastAsia="en-AU"/>
        </w:rPr>
        <w:t xml:space="preserve"> </w:t>
      </w:r>
    </w:p>
    <w:p w14:paraId="0DB0F314" w14:textId="77777777" w:rsidR="000663FD" w:rsidRPr="00B67F23" w:rsidRDefault="000663FD" w:rsidP="000663FD">
      <w:pPr>
        <w:spacing w:after="200" w:line="300" w:lineRule="exact"/>
        <w:rPr>
          <w:rFonts w:eastAsiaTheme="minorEastAsia" w:cs="Arial"/>
          <w:lang w:eastAsia="en-AU"/>
        </w:rPr>
      </w:pPr>
      <w:r w:rsidRPr="11D54F58">
        <w:rPr>
          <w:rFonts w:eastAsiaTheme="minorEastAsia" w:cs="Arial"/>
          <w:lang w:eastAsia="en-AU"/>
        </w:rPr>
        <w:t xml:space="preserve">However, it is not clear what is meant by the </w:t>
      </w:r>
      <w:r w:rsidRPr="2AEC143E">
        <w:rPr>
          <w:rFonts w:eastAsiaTheme="minorEastAsia" w:cs="Arial"/>
          <w:lang w:eastAsia="en-AU"/>
        </w:rPr>
        <w:t>“</w:t>
      </w:r>
      <w:r w:rsidRPr="11D54F58">
        <w:rPr>
          <w:rFonts w:eastAsiaTheme="minorEastAsia" w:cs="Arial"/>
          <w:lang w:eastAsia="en-AU"/>
        </w:rPr>
        <w:t xml:space="preserve">particular period to which the employment income </w:t>
      </w:r>
      <w:r w:rsidRPr="2AEC143E">
        <w:rPr>
          <w:rFonts w:eastAsiaTheme="minorEastAsia" w:cs="Arial"/>
          <w:lang w:eastAsia="en-AU"/>
        </w:rPr>
        <w:t>relates”.</w:t>
      </w:r>
      <w:r w:rsidRPr="11D54F58">
        <w:rPr>
          <w:rFonts w:eastAsiaTheme="minorEastAsia" w:cs="Arial"/>
          <w:lang w:eastAsia="en-AU"/>
        </w:rPr>
        <w:t xml:space="preserve"> It could be the pay cycle period, the number of days of work or the period during which the</w:t>
      </w:r>
      <w:r>
        <w:rPr>
          <w:rFonts w:eastAsiaTheme="minorEastAsia" w:cs="Arial"/>
          <w:lang w:eastAsia="en-AU"/>
        </w:rPr>
        <w:t xml:space="preserve"> person</w:t>
      </w:r>
      <w:r w:rsidRPr="11D54F58">
        <w:rPr>
          <w:rFonts w:eastAsiaTheme="minorEastAsia" w:cs="Arial"/>
          <w:lang w:eastAsia="en-AU"/>
        </w:rPr>
        <w:t xml:space="preserve"> worked.</w:t>
      </w:r>
    </w:p>
    <w:p w14:paraId="586A055B" w14:textId="77777777" w:rsidR="000663FD" w:rsidRPr="00B67F23" w:rsidRDefault="000663FD" w:rsidP="000663FD">
      <w:pPr>
        <w:spacing w:after="200" w:line="300" w:lineRule="exact"/>
        <w:rPr>
          <w:rFonts w:eastAsiaTheme="minorEastAsia" w:cs="Arial"/>
          <w:lang w:eastAsia="en-AU"/>
        </w:rPr>
      </w:pPr>
      <w:r w:rsidRPr="51E9B399">
        <w:rPr>
          <w:rFonts w:eastAsiaTheme="minorEastAsia" w:cs="Arial"/>
          <w:lang w:eastAsia="en-AU"/>
        </w:rPr>
        <w:t xml:space="preserve">For example, if a person works only on Tuesday and Thursday in the first week of a month and is paid monthly, the person may be required to report the period as a month, two days or three </w:t>
      </w:r>
      <w:r w:rsidRPr="00027A7F">
        <w:rPr>
          <w:rFonts w:eastAsiaTheme="minorEastAsia" w:cs="Arial"/>
          <w:lang w:eastAsia="en-AU"/>
        </w:rPr>
        <w:t xml:space="preserve">days. </w:t>
      </w:r>
      <w:r w:rsidRPr="008771AB">
        <w:rPr>
          <w:rFonts w:eastAsiaTheme="minorEastAsia" w:cs="Arial"/>
          <w:lang w:eastAsia="en-AU"/>
        </w:rPr>
        <w:t>Each different approach will have a different effect</w:t>
      </w:r>
      <w:r w:rsidRPr="00027A7F">
        <w:rPr>
          <w:rFonts w:eastAsiaTheme="minorEastAsia" w:cs="Arial"/>
          <w:lang w:eastAsia="en-AU"/>
        </w:rPr>
        <w:t xml:space="preserve">. In our reading of the Bill and </w:t>
      </w:r>
      <w:r w:rsidRPr="000E30D1">
        <w:rPr>
          <w:rFonts w:eastAsiaTheme="minorEastAsia" w:cs="Arial"/>
          <w:lang w:eastAsia="en-AU"/>
        </w:rPr>
        <w:t xml:space="preserve">the Explanatory Memorandum, </w:t>
      </w:r>
      <w:r w:rsidRPr="008771AB">
        <w:rPr>
          <w:rFonts w:eastAsiaTheme="minorEastAsia" w:cs="Arial"/>
          <w:lang w:eastAsia="en-AU"/>
        </w:rPr>
        <w:t xml:space="preserve">it </w:t>
      </w:r>
      <w:r w:rsidRPr="00027A7F">
        <w:rPr>
          <w:rFonts w:eastAsiaTheme="minorEastAsia" w:cs="Arial"/>
          <w:lang w:eastAsia="en-AU"/>
        </w:rPr>
        <w:t xml:space="preserve">is </w:t>
      </w:r>
      <w:r w:rsidRPr="008771AB">
        <w:rPr>
          <w:rFonts w:eastAsiaTheme="minorEastAsia" w:cs="Arial"/>
          <w:lang w:eastAsia="en-AU"/>
        </w:rPr>
        <w:t>not obvious which approach is correct</w:t>
      </w:r>
      <w:r w:rsidRPr="00027A7F">
        <w:rPr>
          <w:rFonts w:eastAsiaTheme="minorEastAsia" w:cs="Arial"/>
          <w:lang w:eastAsia="en-AU"/>
        </w:rPr>
        <w:t>.</w:t>
      </w:r>
      <w:r w:rsidRPr="000E30D1">
        <w:rPr>
          <w:rFonts w:eastAsiaTheme="minorEastAsia" w:cs="Arial"/>
          <w:lang w:eastAsia="en-AU"/>
        </w:rPr>
        <w:t xml:space="preserve"> </w:t>
      </w:r>
    </w:p>
    <w:p w14:paraId="765C4BA6" w14:textId="77777777" w:rsidR="000663FD" w:rsidRDefault="000663FD" w:rsidP="000663FD">
      <w:pPr>
        <w:spacing w:after="200" w:line="300" w:lineRule="exact"/>
        <w:rPr>
          <w:rFonts w:eastAsiaTheme="minorEastAsia" w:cs="Arial"/>
          <w:lang w:eastAsia="en-AU"/>
        </w:rPr>
      </w:pPr>
      <w:r w:rsidRPr="0AFF3A6E">
        <w:rPr>
          <w:rFonts w:eastAsiaTheme="minorEastAsia" w:cs="Arial"/>
          <w:lang w:eastAsia="en-AU"/>
        </w:rPr>
        <w:t>The Bill and Explanatory Memorandum do not include guidance on how the Secretary should exercise their discretion to determine a period. Clearer guidance should be provided on the criteria used for how a ‘particular period’ should be determined.</w:t>
      </w:r>
    </w:p>
    <w:p w14:paraId="4DCF061B" w14:textId="77777777" w:rsidR="000663FD" w:rsidRDefault="000663FD" w:rsidP="000663FD">
      <w:pPr>
        <w:spacing w:after="200" w:line="300" w:lineRule="exact"/>
        <w:rPr>
          <w:rFonts w:eastAsiaTheme="minorEastAsia" w:cs="Arial"/>
          <w:lang w:eastAsia="en-AU"/>
        </w:rPr>
      </w:pPr>
      <w:r w:rsidRPr="0AFF3A6E">
        <w:rPr>
          <w:rFonts w:eastAsiaTheme="minorEastAsia" w:cs="Arial"/>
          <w:lang w:eastAsia="en-AU"/>
        </w:rPr>
        <w:t>If a payment of employment income is “not in respect of a particular period”, clause 1073BA applies. Under s 1073</w:t>
      </w:r>
      <w:proofErr w:type="gramStart"/>
      <w:r w:rsidRPr="0AFF3A6E">
        <w:rPr>
          <w:rFonts w:eastAsiaTheme="minorEastAsia" w:cs="Arial"/>
          <w:lang w:eastAsia="en-AU"/>
        </w:rPr>
        <w:t>BA(</w:t>
      </w:r>
      <w:proofErr w:type="gramEnd"/>
      <w:r w:rsidRPr="0AFF3A6E">
        <w:rPr>
          <w:rFonts w:eastAsiaTheme="minorEastAsia" w:cs="Arial"/>
          <w:lang w:eastAsia="en-AU"/>
        </w:rPr>
        <w:t xml:space="preserve">2): “The person is taken to have received that employment income over such period, not exceeding 52 weeks, as the Secretary determines”. </w:t>
      </w:r>
    </w:p>
    <w:p w14:paraId="1A2A1BBE"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 xml:space="preserve">In our view, clause </w:t>
      </w:r>
      <w:r w:rsidRPr="0048091E">
        <w:rPr>
          <w:rFonts w:eastAsiaTheme="minorHAnsi" w:cs="Arial"/>
          <w:szCs w:val="22"/>
          <w:lang w:eastAsia="en-AU"/>
        </w:rPr>
        <w:t>1073BA</w:t>
      </w:r>
      <w:r>
        <w:rPr>
          <w:rFonts w:eastAsiaTheme="minorHAnsi" w:cs="Arial"/>
          <w:szCs w:val="22"/>
          <w:lang w:eastAsia="en-AU"/>
        </w:rPr>
        <w:t>(1)</w:t>
      </w:r>
      <w:r w:rsidRPr="0048091E">
        <w:rPr>
          <w:rFonts w:eastAsiaTheme="minorHAnsi" w:cs="Arial"/>
          <w:szCs w:val="22"/>
          <w:lang w:eastAsia="en-AU"/>
        </w:rPr>
        <w:t xml:space="preserve">(d) </w:t>
      </w:r>
      <w:r>
        <w:rPr>
          <w:rFonts w:eastAsiaTheme="minorHAnsi" w:cs="Arial"/>
          <w:szCs w:val="22"/>
          <w:lang w:eastAsia="en-AU"/>
        </w:rPr>
        <w:t xml:space="preserve">– </w:t>
      </w:r>
      <w:r w:rsidRPr="0048091E">
        <w:rPr>
          <w:rFonts w:eastAsiaTheme="minorHAnsi" w:cs="Arial"/>
          <w:szCs w:val="22"/>
          <w:lang w:eastAsia="en-AU"/>
        </w:rPr>
        <w:t xml:space="preserve">“the employment </w:t>
      </w:r>
      <w:r>
        <w:rPr>
          <w:rFonts w:eastAsiaTheme="minorHAnsi" w:cs="Arial"/>
          <w:szCs w:val="22"/>
          <w:lang w:eastAsia="en-AU"/>
        </w:rPr>
        <w:t>income</w:t>
      </w:r>
      <w:r w:rsidRPr="0048091E">
        <w:rPr>
          <w:rFonts w:eastAsiaTheme="minorHAnsi" w:cs="Arial"/>
          <w:szCs w:val="22"/>
          <w:lang w:eastAsia="en-AU"/>
        </w:rPr>
        <w:t xml:space="preserve"> is not in respect of a particular period”</w:t>
      </w:r>
      <w:r>
        <w:rPr>
          <w:rFonts w:eastAsiaTheme="minorHAnsi" w:cs="Arial"/>
          <w:szCs w:val="22"/>
          <w:lang w:eastAsia="en-AU"/>
        </w:rPr>
        <w:t xml:space="preserve"> – should b</w:t>
      </w:r>
      <w:r w:rsidRPr="0048091E">
        <w:rPr>
          <w:rFonts w:eastAsiaTheme="minorHAnsi" w:cs="Arial"/>
          <w:szCs w:val="22"/>
          <w:lang w:eastAsia="en-AU"/>
        </w:rPr>
        <w:t xml:space="preserve">e interpreted </w:t>
      </w:r>
      <w:r>
        <w:rPr>
          <w:rFonts w:eastAsiaTheme="minorHAnsi" w:cs="Arial"/>
          <w:szCs w:val="22"/>
          <w:lang w:eastAsia="en-AU"/>
        </w:rPr>
        <w:t>objectively</w:t>
      </w:r>
      <w:r w:rsidRPr="0048091E">
        <w:rPr>
          <w:rFonts w:eastAsiaTheme="minorHAnsi" w:cs="Arial"/>
          <w:szCs w:val="22"/>
          <w:lang w:eastAsia="en-AU"/>
        </w:rPr>
        <w:t>.</w:t>
      </w:r>
      <w:r>
        <w:rPr>
          <w:rFonts w:eastAsiaTheme="minorHAnsi" w:cs="Arial"/>
          <w:szCs w:val="22"/>
          <w:lang w:eastAsia="en-AU"/>
        </w:rPr>
        <w:t xml:space="preserve"> The </w:t>
      </w:r>
      <w:r w:rsidRPr="00AD5B31">
        <w:rPr>
          <w:rFonts w:eastAsiaTheme="minorHAnsi" w:cs="Arial"/>
          <w:szCs w:val="22"/>
          <w:lang w:eastAsia="en-AU"/>
        </w:rPr>
        <w:t xml:space="preserve">Bill does not appear to include a mechanism </w:t>
      </w:r>
      <w:r>
        <w:rPr>
          <w:rFonts w:eastAsiaTheme="minorHAnsi" w:cs="Arial"/>
          <w:szCs w:val="22"/>
          <w:lang w:eastAsia="en-AU"/>
        </w:rPr>
        <w:t>to determine</w:t>
      </w:r>
      <w:r w:rsidRPr="00AD5B31">
        <w:rPr>
          <w:rFonts w:eastAsiaTheme="minorHAnsi" w:cs="Arial"/>
          <w:szCs w:val="22"/>
          <w:lang w:eastAsia="en-AU"/>
        </w:rPr>
        <w:t xml:space="preserve"> the process </w:t>
      </w:r>
      <w:r>
        <w:rPr>
          <w:rFonts w:eastAsiaTheme="minorHAnsi" w:cs="Arial"/>
          <w:szCs w:val="22"/>
          <w:lang w:eastAsia="en-AU"/>
        </w:rPr>
        <w:t xml:space="preserve">for attributing employment income </w:t>
      </w:r>
      <w:r w:rsidRPr="00AD5B31">
        <w:rPr>
          <w:rFonts w:eastAsiaTheme="minorHAnsi" w:cs="Arial"/>
          <w:szCs w:val="22"/>
          <w:lang w:eastAsia="en-AU"/>
        </w:rPr>
        <w:t xml:space="preserve">where a payment is made to a person, and the amount is considered objectively for a period, but Centrelink is not aware </w:t>
      </w:r>
      <w:r>
        <w:rPr>
          <w:rFonts w:eastAsiaTheme="minorHAnsi" w:cs="Arial"/>
          <w:szCs w:val="22"/>
          <w:lang w:eastAsia="en-AU"/>
        </w:rPr>
        <w:t xml:space="preserve">of </w:t>
      </w:r>
      <w:r w:rsidRPr="00AD5B31">
        <w:rPr>
          <w:rFonts w:eastAsiaTheme="minorHAnsi" w:cs="Arial"/>
          <w:szCs w:val="22"/>
          <w:lang w:eastAsia="en-AU"/>
        </w:rPr>
        <w:t>or is unable to determine the period.</w:t>
      </w:r>
    </w:p>
    <w:p w14:paraId="5C770B02"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Our concern is that Centrelink may seek to put</w:t>
      </w:r>
      <w:r w:rsidRPr="00AD5B31">
        <w:rPr>
          <w:rFonts w:eastAsiaTheme="minorHAnsi" w:cs="Arial"/>
          <w:szCs w:val="22"/>
          <w:lang w:eastAsia="en-AU"/>
        </w:rPr>
        <w:t xml:space="preserve"> the onus on the recipient to </w:t>
      </w:r>
      <w:r>
        <w:rPr>
          <w:rFonts w:eastAsiaTheme="minorHAnsi" w:cs="Arial"/>
          <w:szCs w:val="22"/>
          <w:lang w:eastAsia="en-AU"/>
        </w:rPr>
        <w:t>provide information about a given period, including in situations w</w:t>
      </w:r>
      <w:r w:rsidRPr="00AD5B31">
        <w:rPr>
          <w:rFonts w:eastAsiaTheme="minorHAnsi" w:cs="Arial"/>
          <w:szCs w:val="22"/>
          <w:lang w:eastAsia="en-AU"/>
        </w:rPr>
        <w:t>here the recipient does not or is unable to provide this information</w:t>
      </w:r>
      <w:r>
        <w:rPr>
          <w:rFonts w:eastAsiaTheme="minorHAnsi" w:cs="Arial"/>
          <w:szCs w:val="22"/>
          <w:lang w:eastAsia="en-AU"/>
        </w:rPr>
        <w:t xml:space="preserve">. </w:t>
      </w:r>
      <w:r>
        <w:rPr>
          <w:rFonts w:eastAsiaTheme="minorHAnsi" w:cs="Arial"/>
          <w:szCs w:val="22"/>
          <w:lang w:eastAsia="en-AU"/>
        </w:rPr>
        <w:lastRenderedPageBreak/>
        <w:t xml:space="preserve">If (contrary to our reading), the Secretary is entitled to rely on clause 1073BA where the Secretary is not </w:t>
      </w:r>
      <w:r>
        <w:rPr>
          <w:rFonts w:eastAsiaTheme="minorHAnsi" w:cs="Arial"/>
          <w:i/>
          <w:szCs w:val="22"/>
          <w:lang w:eastAsia="en-AU"/>
        </w:rPr>
        <w:t xml:space="preserve">satisfied </w:t>
      </w:r>
      <w:r>
        <w:rPr>
          <w:rFonts w:eastAsiaTheme="minorHAnsi" w:cs="Arial"/>
          <w:szCs w:val="22"/>
          <w:lang w:eastAsia="en-AU"/>
        </w:rPr>
        <w:t xml:space="preserve">that income is in respect of a particular period, we are concerned that </w:t>
      </w:r>
      <w:r w:rsidRPr="00AD5B31">
        <w:rPr>
          <w:rFonts w:eastAsiaTheme="minorHAnsi" w:cs="Arial"/>
          <w:szCs w:val="22"/>
          <w:lang w:eastAsia="en-AU"/>
        </w:rPr>
        <w:t xml:space="preserve">a person who has received a payment </w:t>
      </w:r>
      <w:r>
        <w:rPr>
          <w:rFonts w:eastAsiaTheme="minorHAnsi" w:cs="Arial"/>
          <w:szCs w:val="22"/>
          <w:lang w:eastAsia="en-AU"/>
        </w:rPr>
        <w:t xml:space="preserve">and </w:t>
      </w:r>
      <w:r w:rsidRPr="00AD5B31">
        <w:rPr>
          <w:rFonts w:eastAsiaTheme="minorHAnsi" w:cs="Arial"/>
          <w:szCs w:val="22"/>
          <w:lang w:eastAsia="en-AU"/>
        </w:rPr>
        <w:t xml:space="preserve">does not make clear to Centrelink what the </w:t>
      </w:r>
      <w:r>
        <w:rPr>
          <w:rFonts w:eastAsiaTheme="minorHAnsi" w:cs="Arial"/>
          <w:szCs w:val="22"/>
          <w:lang w:eastAsia="en-AU"/>
        </w:rPr>
        <w:t xml:space="preserve">‘particular </w:t>
      </w:r>
      <w:r w:rsidRPr="00AD5B31">
        <w:rPr>
          <w:rFonts w:eastAsiaTheme="minorHAnsi" w:cs="Arial"/>
          <w:szCs w:val="22"/>
          <w:lang w:eastAsia="en-AU"/>
        </w:rPr>
        <w:t>period</w:t>
      </w:r>
      <w:r>
        <w:rPr>
          <w:rFonts w:eastAsiaTheme="minorHAnsi" w:cs="Arial"/>
          <w:szCs w:val="22"/>
          <w:lang w:eastAsia="en-AU"/>
        </w:rPr>
        <w:t>’</w:t>
      </w:r>
      <w:r w:rsidRPr="00AD5B31">
        <w:rPr>
          <w:rFonts w:eastAsiaTheme="minorHAnsi" w:cs="Arial"/>
          <w:szCs w:val="22"/>
          <w:lang w:eastAsia="en-AU"/>
        </w:rPr>
        <w:t xml:space="preserve"> is </w:t>
      </w:r>
      <w:r>
        <w:rPr>
          <w:rFonts w:eastAsiaTheme="minorHAnsi" w:cs="Arial"/>
          <w:szCs w:val="22"/>
          <w:lang w:eastAsia="en-AU"/>
        </w:rPr>
        <w:t>might be subject to a provision where the attribution of income may have little or no correlation to the period during which it was earned</w:t>
      </w:r>
      <w:r w:rsidRPr="00AD5B31">
        <w:rPr>
          <w:rFonts w:eastAsiaTheme="minorHAnsi" w:cs="Arial"/>
          <w:szCs w:val="22"/>
          <w:lang w:eastAsia="en-AU"/>
        </w:rPr>
        <w:t>.</w:t>
      </w:r>
      <w:r>
        <w:rPr>
          <w:rFonts w:eastAsiaTheme="minorHAnsi" w:cs="Arial"/>
          <w:szCs w:val="22"/>
          <w:lang w:eastAsia="en-AU"/>
        </w:rPr>
        <w:t xml:space="preserve"> This would also apply</w:t>
      </w:r>
      <w:r w:rsidRPr="00881732">
        <w:rPr>
          <w:rFonts w:eastAsiaTheme="minorHAnsi" w:cs="Arial"/>
          <w:szCs w:val="22"/>
          <w:lang w:eastAsia="en-AU"/>
        </w:rPr>
        <w:t xml:space="preserve"> where there is a conflict between different sources of information</w:t>
      </w:r>
      <w:r>
        <w:rPr>
          <w:rFonts w:eastAsiaTheme="minorHAnsi" w:cs="Arial"/>
          <w:szCs w:val="22"/>
          <w:lang w:eastAsia="en-AU"/>
        </w:rPr>
        <w:t>.</w:t>
      </w:r>
    </w:p>
    <w:p w14:paraId="5DEE3466" w14:textId="77777777" w:rsidR="000663FD" w:rsidRDefault="000663FD" w:rsidP="000663FD">
      <w:pPr>
        <w:pBdr>
          <w:top w:val="single" w:sz="4" w:space="1" w:color="auto"/>
          <w:left w:val="single" w:sz="4" w:space="4" w:color="auto"/>
          <w:bottom w:val="single" w:sz="4" w:space="1" w:color="auto"/>
          <w:right w:val="single" w:sz="4" w:space="4" w:color="auto"/>
        </w:pBdr>
        <w:spacing w:after="200" w:line="300" w:lineRule="exact"/>
        <w:rPr>
          <w:rFonts w:eastAsiaTheme="minorEastAsia" w:cs="Arial"/>
          <w:lang w:eastAsia="en-AU"/>
        </w:rPr>
      </w:pPr>
      <w:r w:rsidRPr="51E9B399">
        <w:rPr>
          <w:rFonts w:eastAsiaTheme="minorEastAsia" w:cs="Arial"/>
          <w:b/>
          <w:bCs/>
          <w:lang w:eastAsia="en-AU"/>
        </w:rPr>
        <w:t xml:space="preserve">Recommendation 1: </w:t>
      </w:r>
      <w:r w:rsidRPr="51E9B399">
        <w:rPr>
          <w:rFonts w:eastAsiaTheme="minorEastAsia" w:cs="Arial"/>
          <w:lang w:eastAsia="en-AU"/>
        </w:rPr>
        <w:t>The Committee should consider whether clauses 1073A and 1073BA could be clarified by inserting provisions to make clear:</w:t>
      </w:r>
    </w:p>
    <w:p w14:paraId="165D23BE" w14:textId="77777777" w:rsidR="000663FD" w:rsidRPr="00B00796" w:rsidRDefault="000663FD" w:rsidP="000663FD">
      <w:pPr>
        <w:pStyle w:val="ListParagraph"/>
        <w:numPr>
          <w:ilvl w:val="0"/>
          <w:numId w:val="27"/>
        </w:numPr>
        <w:pBdr>
          <w:top w:val="single" w:sz="4" w:space="1" w:color="auto"/>
          <w:left w:val="single" w:sz="4" w:space="4" w:color="auto"/>
          <w:bottom w:val="single" w:sz="4" w:space="1" w:color="auto"/>
          <w:right w:val="single" w:sz="4" w:space="4" w:color="auto"/>
        </w:pBdr>
        <w:spacing w:after="200" w:line="300" w:lineRule="exact"/>
        <w:ind w:hanging="720"/>
        <w:rPr>
          <w:rFonts w:eastAsiaTheme="minorEastAsia" w:cs="Arial"/>
          <w:lang w:eastAsia="en-AU"/>
        </w:rPr>
      </w:pPr>
      <w:r w:rsidRPr="00B00796">
        <w:rPr>
          <w:rFonts w:eastAsiaTheme="minorEastAsia" w:cs="Arial"/>
          <w:lang w:eastAsia="en-AU"/>
        </w:rPr>
        <w:t xml:space="preserve">what “in respect of a particular period” </w:t>
      </w:r>
      <w:proofErr w:type="gramStart"/>
      <w:r w:rsidRPr="00B00796">
        <w:rPr>
          <w:rFonts w:eastAsiaTheme="minorEastAsia" w:cs="Arial"/>
          <w:lang w:eastAsia="en-AU"/>
        </w:rPr>
        <w:t>means;</w:t>
      </w:r>
      <w:proofErr w:type="gramEnd"/>
    </w:p>
    <w:p w14:paraId="0E30FF13" w14:textId="77777777" w:rsidR="000663FD" w:rsidRDefault="000663FD" w:rsidP="000663FD">
      <w:pPr>
        <w:pStyle w:val="ListParagraph"/>
        <w:numPr>
          <w:ilvl w:val="0"/>
          <w:numId w:val="27"/>
        </w:numPr>
        <w:pBdr>
          <w:top w:val="single" w:sz="4" w:space="1" w:color="auto"/>
          <w:left w:val="single" w:sz="4" w:space="4" w:color="auto"/>
          <w:bottom w:val="single" w:sz="4" w:space="1" w:color="auto"/>
          <w:right w:val="single" w:sz="4" w:space="4" w:color="auto"/>
        </w:pBdr>
        <w:spacing w:after="200" w:line="300" w:lineRule="exact"/>
        <w:ind w:hanging="720"/>
        <w:rPr>
          <w:rFonts w:eastAsiaTheme="minorEastAsia" w:cs="Arial"/>
          <w:lang w:eastAsia="en-AU"/>
        </w:rPr>
      </w:pPr>
      <w:r w:rsidRPr="00D75673">
        <w:rPr>
          <w:rFonts w:eastAsiaTheme="minorEastAsia" w:cs="Arial"/>
          <w:lang w:eastAsia="en-AU"/>
        </w:rPr>
        <w:t>how such a period is to be identified and by whom; and</w:t>
      </w:r>
    </w:p>
    <w:p w14:paraId="08B64795" w14:textId="77777777" w:rsidR="000663FD" w:rsidRPr="00D75673" w:rsidRDefault="000663FD" w:rsidP="000663FD">
      <w:pPr>
        <w:pStyle w:val="ListParagraph"/>
        <w:numPr>
          <w:ilvl w:val="0"/>
          <w:numId w:val="27"/>
        </w:numPr>
        <w:pBdr>
          <w:top w:val="single" w:sz="4" w:space="1" w:color="auto"/>
          <w:left w:val="single" w:sz="4" w:space="4" w:color="auto"/>
          <w:bottom w:val="single" w:sz="4" w:space="1" w:color="auto"/>
          <w:right w:val="single" w:sz="4" w:space="4" w:color="auto"/>
        </w:pBdr>
        <w:spacing w:after="200" w:line="300" w:lineRule="exact"/>
        <w:ind w:hanging="720"/>
        <w:rPr>
          <w:rFonts w:eastAsiaTheme="minorEastAsia" w:cs="Arial"/>
          <w:lang w:eastAsia="en-AU"/>
        </w:rPr>
      </w:pPr>
      <w:r w:rsidRPr="00B00796">
        <w:rPr>
          <w:rFonts w:eastAsiaTheme="minorEastAsia" w:cs="Arial"/>
          <w:lang w:eastAsia="en-AU"/>
        </w:rPr>
        <w:t xml:space="preserve">the circumstances in which it can be said that </w:t>
      </w:r>
      <w:r w:rsidRPr="00D75673">
        <w:rPr>
          <w:rFonts w:eastAsiaTheme="minorHAnsi" w:cs="Arial"/>
          <w:szCs w:val="22"/>
          <w:lang w:eastAsia="en-AU"/>
        </w:rPr>
        <w:t>“the employment income is not in respect of a particular period”.</w:t>
      </w:r>
    </w:p>
    <w:p w14:paraId="53E4E423" w14:textId="77777777" w:rsidR="000663FD" w:rsidRPr="0048091E" w:rsidRDefault="000663FD" w:rsidP="000663FD">
      <w:pPr>
        <w:spacing w:after="200" w:line="300" w:lineRule="exact"/>
        <w:rPr>
          <w:rFonts w:eastAsiaTheme="minorHAnsi" w:cs="Arial"/>
          <w:szCs w:val="22"/>
          <w:lang w:eastAsia="en-AU"/>
        </w:rPr>
      </w:pPr>
      <w:r>
        <w:rPr>
          <w:rFonts w:eastAsiaTheme="minorHAnsi" w:cs="Arial"/>
          <w:szCs w:val="22"/>
          <w:lang w:eastAsia="en-AU"/>
        </w:rPr>
        <w:t>W</w:t>
      </w:r>
      <w:r w:rsidRPr="0048091E">
        <w:rPr>
          <w:rFonts w:eastAsiaTheme="minorHAnsi" w:cs="Arial"/>
          <w:szCs w:val="22"/>
          <w:lang w:eastAsia="en-AU"/>
        </w:rPr>
        <w:t>here no period is able to be determined, there is</w:t>
      </w:r>
      <w:r>
        <w:rPr>
          <w:rFonts w:eastAsiaTheme="minorHAnsi" w:cs="Arial"/>
          <w:szCs w:val="22"/>
          <w:lang w:eastAsia="en-AU"/>
        </w:rPr>
        <w:t xml:space="preserve"> no express limitation on the Secretary’s discretion to determine </w:t>
      </w:r>
      <w:r w:rsidRPr="0048091E">
        <w:rPr>
          <w:rFonts w:eastAsiaTheme="minorHAnsi" w:cs="Arial"/>
          <w:szCs w:val="22"/>
          <w:lang w:eastAsia="en-AU"/>
        </w:rPr>
        <w:t xml:space="preserve">the period over which the averaging power in </w:t>
      </w:r>
      <w:r>
        <w:rPr>
          <w:rFonts w:eastAsiaTheme="minorHAnsi" w:cs="Arial"/>
          <w:szCs w:val="22"/>
          <w:lang w:eastAsia="en-AU"/>
        </w:rPr>
        <w:t xml:space="preserve">clause </w:t>
      </w:r>
      <w:r w:rsidRPr="0048091E">
        <w:rPr>
          <w:rFonts w:eastAsiaTheme="minorHAnsi" w:cs="Arial"/>
          <w:szCs w:val="22"/>
          <w:lang w:eastAsia="en-AU"/>
        </w:rPr>
        <w:t>1073</w:t>
      </w:r>
      <w:proofErr w:type="gramStart"/>
      <w:r w:rsidRPr="0048091E">
        <w:rPr>
          <w:rFonts w:eastAsiaTheme="minorHAnsi" w:cs="Arial"/>
          <w:szCs w:val="22"/>
          <w:lang w:eastAsia="en-AU"/>
        </w:rPr>
        <w:t>B</w:t>
      </w:r>
      <w:r>
        <w:rPr>
          <w:rFonts w:eastAsiaTheme="minorHAnsi" w:cs="Arial"/>
          <w:szCs w:val="22"/>
          <w:lang w:eastAsia="en-AU"/>
        </w:rPr>
        <w:t>A(</w:t>
      </w:r>
      <w:proofErr w:type="gramEnd"/>
      <w:r>
        <w:rPr>
          <w:rFonts w:eastAsiaTheme="minorHAnsi" w:cs="Arial"/>
          <w:szCs w:val="22"/>
          <w:lang w:eastAsia="en-AU"/>
        </w:rPr>
        <w:t>2)</w:t>
      </w:r>
      <w:r w:rsidRPr="0048091E">
        <w:rPr>
          <w:rFonts w:eastAsiaTheme="minorHAnsi" w:cs="Arial"/>
          <w:szCs w:val="22"/>
          <w:lang w:eastAsia="en-AU"/>
        </w:rPr>
        <w:t xml:space="preserve"> will operate. </w:t>
      </w:r>
      <w:r>
        <w:rPr>
          <w:rFonts w:eastAsiaTheme="minorHAnsi" w:cs="Arial"/>
          <w:szCs w:val="22"/>
          <w:lang w:eastAsia="en-AU"/>
        </w:rPr>
        <w:t>In the current drafting, t</w:t>
      </w:r>
      <w:r w:rsidRPr="0048091E">
        <w:rPr>
          <w:rFonts w:eastAsiaTheme="minorHAnsi" w:cs="Arial"/>
          <w:szCs w:val="22"/>
          <w:lang w:eastAsia="en-AU"/>
        </w:rPr>
        <w:t>here is no reference to the actual employment period worked</w:t>
      </w:r>
      <w:r>
        <w:rPr>
          <w:rFonts w:eastAsiaTheme="minorHAnsi" w:cs="Arial"/>
          <w:szCs w:val="22"/>
          <w:lang w:eastAsia="en-AU"/>
        </w:rPr>
        <w:t>. Further clarification is required.</w:t>
      </w:r>
    </w:p>
    <w:p w14:paraId="0F10F7B9" w14:textId="77777777" w:rsidR="000663FD" w:rsidRPr="0048091E" w:rsidRDefault="000663FD" w:rsidP="000663FD">
      <w:pPr>
        <w:pBdr>
          <w:top w:val="single" w:sz="4" w:space="1" w:color="auto"/>
          <w:left w:val="single" w:sz="4" w:space="4" w:color="auto"/>
          <w:bottom w:val="single" w:sz="4" w:space="1" w:color="auto"/>
          <w:right w:val="single" w:sz="4" w:space="4" w:color="auto"/>
        </w:pBdr>
        <w:spacing w:after="200" w:line="300" w:lineRule="exact"/>
        <w:rPr>
          <w:rFonts w:eastAsiaTheme="minorHAnsi" w:cs="Arial"/>
          <w:szCs w:val="22"/>
          <w:lang w:eastAsia="en-AU"/>
        </w:rPr>
      </w:pPr>
      <w:r>
        <w:rPr>
          <w:rFonts w:eastAsiaTheme="minorHAnsi" w:cs="Arial"/>
          <w:b/>
          <w:bCs/>
          <w:szCs w:val="22"/>
          <w:lang w:eastAsia="en-AU"/>
        </w:rPr>
        <w:t xml:space="preserve">Recommendation: 2: </w:t>
      </w:r>
      <w:r>
        <w:rPr>
          <w:rFonts w:eastAsiaTheme="minorHAnsi" w:cs="Arial"/>
          <w:szCs w:val="22"/>
          <w:lang w:eastAsia="en-AU"/>
        </w:rPr>
        <w:t>The Committee should consider whether clause 1073</w:t>
      </w:r>
      <w:proofErr w:type="gramStart"/>
      <w:r>
        <w:rPr>
          <w:rFonts w:eastAsiaTheme="minorHAnsi" w:cs="Arial"/>
          <w:szCs w:val="22"/>
          <w:lang w:eastAsia="en-AU"/>
        </w:rPr>
        <w:t>BA(</w:t>
      </w:r>
      <w:proofErr w:type="gramEnd"/>
      <w:r>
        <w:rPr>
          <w:rFonts w:eastAsiaTheme="minorHAnsi" w:cs="Arial"/>
          <w:szCs w:val="22"/>
          <w:lang w:eastAsia="en-AU"/>
        </w:rPr>
        <w:t xml:space="preserve">2) should be clarified by including a provision which guides how the Secretary </w:t>
      </w:r>
      <w:r w:rsidRPr="0048091E">
        <w:rPr>
          <w:rFonts w:eastAsiaTheme="minorHAnsi" w:cs="Arial"/>
          <w:szCs w:val="22"/>
          <w:lang w:eastAsia="en-AU"/>
        </w:rPr>
        <w:t xml:space="preserve">is to determine the </w:t>
      </w:r>
      <w:r>
        <w:rPr>
          <w:rFonts w:eastAsiaTheme="minorHAnsi" w:cs="Arial"/>
          <w:szCs w:val="22"/>
          <w:lang w:eastAsia="en-AU"/>
        </w:rPr>
        <w:t>assessment</w:t>
      </w:r>
      <w:r w:rsidRPr="0048091E">
        <w:rPr>
          <w:rFonts w:eastAsiaTheme="minorHAnsi" w:cs="Arial"/>
          <w:szCs w:val="22"/>
          <w:lang w:eastAsia="en-AU"/>
        </w:rPr>
        <w:t xml:space="preserve"> period</w:t>
      </w:r>
      <w:r>
        <w:rPr>
          <w:rFonts w:eastAsiaTheme="minorHAnsi" w:cs="Arial"/>
          <w:szCs w:val="22"/>
          <w:lang w:eastAsia="en-AU"/>
        </w:rPr>
        <w:t>.</w:t>
      </w:r>
    </w:p>
    <w:p w14:paraId="18FC21FE" w14:textId="77777777" w:rsidR="000663FD" w:rsidRPr="008771AB" w:rsidRDefault="000663FD" w:rsidP="000663FD">
      <w:pPr>
        <w:spacing w:after="200" w:line="300" w:lineRule="exact"/>
        <w:rPr>
          <w:rFonts w:eastAsiaTheme="minorHAnsi" w:cs="Arial"/>
          <w:szCs w:val="22"/>
          <w:lang w:eastAsia="en-AU"/>
        </w:rPr>
      </w:pPr>
      <w:r>
        <w:rPr>
          <w:rFonts w:eastAsiaTheme="minorHAnsi" w:cs="Arial"/>
          <w:szCs w:val="22"/>
          <w:lang w:eastAsia="en-AU"/>
        </w:rPr>
        <w:t xml:space="preserve">We note similar drafting in provisions relating to </w:t>
      </w:r>
      <w:r w:rsidRPr="0048091E">
        <w:rPr>
          <w:rFonts w:eastAsiaTheme="minorHAnsi" w:cs="Arial"/>
          <w:szCs w:val="22"/>
          <w:lang w:eastAsia="en-AU"/>
        </w:rPr>
        <w:t xml:space="preserve">setting periods for averaging </w:t>
      </w:r>
      <w:r>
        <w:rPr>
          <w:rFonts w:eastAsiaTheme="minorHAnsi" w:cs="Arial"/>
          <w:szCs w:val="22"/>
          <w:lang w:eastAsia="en-AU"/>
        </w:rPr>
        <w:t>in</w:t>
      </w:r>
      <w:r w:rsidRPr="0048091E">
        <w:rPr>
          <w:rFonts w:eastAsiaTheme="minorHAnsi" w:cs="Arial"/>
          <w:szCs w:val="22"/>
          <w:lang w:eastAsia="en-AU"/>
        </w:rPr>
        <w:t xml:space="preserve"> the anti-avoidance mechanisms</w:t>
      </w:r>
      <w:r>
        <w:rPr>
          <w:rFonts w:eastAsiaTheme="minorHAnsi" w:cs="Arial"/>
          <w:szCs w:val="22"/>
          <w:lang w:eastAsia="en-AU"/>
        </w:rPr>
        <w:t xml:space="preserve"> in clause 1073BB</w:t>
      </w:r>
      <w:r w:rsidRPr="0048091E">
        <w:rPr>
          <w:rFonts w:eastAsiaTheme="minorHAnsi" w:cs="Arial"/>
          <w:szCs w:val="22"/>
          <w:lang w:eastAsia="en-AU"/>
        </w:rPr>
        <w:t xml:space="preserve"> and lump sum payment provisions</w:t>
      </w:r>
      <w:r>
        <w:rPr>
          <w:rFonts w:eastAsiaTheme="minorHAnsi" w:cs="Arial"/>
          <w:szCs w:val="22"/>
          <w:lang w:eastAsia="en-AU"/>
        </w:rPr>
        <w:t xml:space="preserve"> in clause 1072A of the Bill, where similar amendments should be considered.</w:t>
      </w:r>
    </w:p>
    <w:p w14:paraId="1BB0C014" w14:textId="77777777" w:rsidR="000663FD" w:rsidRPr="008D0AA1" w:rsidRDefault="000663FD" w:rsidP="000663FD">
      <w:pPr>
        <w:keepNext/>
        <w:spacing w:after="200" w:line="300" w:lineRule="exact"/>
        <w:rPr>
          <w:rFonts w:eastAsiaTheme="minorHAnsi" w:cs="Arial"/>
          <w:i/>
          <w:iCs/>
          <w:szCs w:val="22"/>
          <w:lang w:eastAsia="en-AU"/>
        </w:rPr>
      </w:pPr>
      <w:r>
        <w:rPr>
          <w:rFonts w:eastAsiaTheme="minorHAnsi" w:cs="Arial"/>
          <w:i/>
          <w:iCs/>
          <w:szCs w:val="22"/>
          <w:lang w:eastAsia="en-AU"/>
        </w:rPr>
        <w:t>Single touch payroll</w:t>
      </w:r>
    </w:p>
    <w:p w14:paraId="66C57895"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A</w:t>
      </w:r>
      <w:r w:rsidRPr="0048091E">
        <w:rPr>
          <w:rFonts w:eastAsiaTheme="minorHAnsi" w:cs="Arial"/>
          <w:szCs w:val="22"/>
          <w:lang w:eastAsia="en-AU"/>
        </w:rPr>
        <w:t xml:space="preserve"> Single Touch Payroll system </w:t>
      </w:r>
      <w:r>
        <w:rPr>
          <w:rFonts w:eastAsiaTheme="minorHAnsi" w:cs="Arial"/>
          <w:szCs w:val="22"/>
          <w:lang w:eastAsia="en-AU"/>
        </w:rPr>
        <w:t>which would facilitate people’s</w:t>
      </w:r>
      <w:r w:rsidRPr="0048091E">
        <w:rPr>
          <w:rFonts w:eastAsiaTheme="minorHAnsi" w:cs="Arial"/>
          <w:szCs w:val="22"/>
          <w:lang w:eastAsia="en-AU"/>
        </w:rPr>
        <w:t xml:space="preserve"> employment information </w:t>
      </w:r>
      <w:r>
        <w:rPr>
          <w:rFonts w:eastAsiaTheme="minorHAnsi" w:cs="Arial"/>
          <w:szCs w:val="22"/>
          <w:lang w:eastAsia="en-AU"/>
        </w:rPr>
        <w:t>to be prefilled in their Centrelink reporting dashboard each fortnight, and which allowed a person to confirm or easily amend the information online, would be a significant improvement on the current system.</w:t>
      </w:r>
    </w:p>
    <w:p w14:paraId="40AFEA9C"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However, we consider that further information about the implementation of the Bill is needed to clarify how it will operate in practice, including:</w:t>
      </w:r>
    </w:p>
    <w:p w14:paraId="37C82D87" w14:textId="77777777" w:rsidR="000663FD" w:rsidRDefault="000663FD" w:rsidP="000663FD">
      <w:pPr>
        <w:pStyle w:val="ListParagraph"/>
        <w:numPr>
          <w:ilvl w:val="0"/>
          <w:numId w:val="26"/>
        </w:numPr>
        <w:spacing w:after="200" w:line="300" w:lineRule="exact"/>
        <w:rPr>
          <w:rFonts w:eastAsiaTheme="minorHAnsi" w:cs="Arial"/>
          <w:szCs w:val="22"/>
          <w:lang w:eastAsia="en-AU"/>
        </w:rPr>
      </w:pPr>
      <w:r w:rsidRPr="00770B1A">
        <w:rPr>
          <w:rFonts w:eastAsiaTheme="minorHAnsi" w:cs="Arial"/>
          <w:szCs w:val="22"/>
          <w:lang w:eastAsia="en-AU"/>
        </w:rPr>
        <w:t xml:space="preserve">whether the prefilled information </w:t>
      </w:r>
      <w:r>
        <w:rPr>
          <w:rFonts w:eastAsiaTheme="minorHAnsi" w:cs="Arial"/>
          <w:szCs w:val="22"/>
          <w:lang w:eastAsia="en-AU"/>
        </w:rPr>
        <w:t xml:space="preserve">will </w:t>
      </w:r>
      <w:r w:rsidRPr="00770B1A">
        <w:rPr>
          <w:rFonts w:eastAsiaTheme="minorHAnsi" w:cs="Arial"/>
          <w:szCs w:val="22"/>
          <w:lang w:eastAsia="en-AU"/>
        </w:rPr>
        <w:t>include information about “the particular period ... to which the employment income relates</w:t>
      </w:r>
      <w:proofErr w:type="gramStart"/>
      <w:r w:rsidRPr="00770B1A">
        <w:rPr>
          <w:rFonts w:eastAsiaTheme="minorHAnsi" w:cs="Arial"/>
          <w:szCs w:val="22"/>
          <w:lang w:eastAsia="en-AU"/>
        </w:rPr>
        <w:t>”</w:t>
      </w:r>
      <w:r>
        <w:rPr>
          <w:rFonts w:eastAsiaTheme="minorHAnsi" w:cs="Arial"/>
          <w:szCs w:val="22"/>
          <w:lang w:eastAsia="en-AU"/>
        </w:rPr>
        <w:t>;</w:t>
      </w:r>
      <w:proofErr w:type="gramEnd"/>
    </w:p>
    <w:p w14:paraId="15875921" w14:textId="77777777" w:rsidR="000663FD" w:rsidRDefault="000663FD" w:rsidP="000663FD">
      <w:pPr>
        <w:pStyle w:val="ListParagraph"/>
        <w:numPr>
          <w:ilvl w:val="0"/>
          <w:numId w:val="26"/>
        </w:numPr>
        <w:spacing w:after="200" w:line="300" w:lineRule="exact"/>
        <w:rPr>
          <w:rFonts w:eastAsiaTheme="minorHAnsi" w:cs="Arial"/>
          <w:szCs w:val="22"/>
          <w:lang w:eastAsia="en-AU"/>
        </w:rPr>
      </w:pPr>
      <w:r>
        <w:rPr>
          <w:rFonts w:eastAsiaTheme="minorHAnsi" w:cs="Arial"/>
          <w:szCs w:val="22"/>
          <w:lang w:eastAsia="en-AU"/>
        </w:rPr>
        <w:t xml:space="preserve">how </w:t>
      </w:r>
      <w:r w:rsidRPr="00770B1A">
        <w:rPr>
          <w:rFonts w:eastAsiaTheme="minorHAnsi" w:cs="Arial"/>
          <w:szCs w:val="22"/>
          <w:lang w:eastAsia="en-AU"/>
        </w:rPr>
        <w:t xml:space="preserve">the recipient </w:t>
      </w:r>
      <w:r>
        <w:rPr>
          <w:rFonts w:eastAsiaTheme="minorHAnsi" w:cs="Arial"/>
          <w:szCs w:val="22"/>
          <w:lang w:eastAsia="en-AU"/>
        </w:rPr>
        <w:t xml:space="preserve">will </w:t>
      </w:r>
      <w:r w:rsidRPr="00770B1A">
        <w:rPr>
          <w:rFonts w:eastAsiaTheme="minorHAnsi" w:cs="Arial"/>
          <w:szCs w:val="22"/>
          <w:lang w:eastAsia="en-AU"/>
        </w:rPr>
        <w:t>be able to amend, or enter, information about that period</w:t>
      </w:r>
      <w:r>
        <w:rPr>
          <w:rFonts w:eastAsiaTheme="minorHAnsi" w:cs="Arial"/>
          <w:szCs w:val="22"/>
          <w:lang w:eastAsia="en-AU"/>
        </w:rPr>
        <w:t>, and h</w:t>
      </w:r>
      <w:r w:rsidRPr="00770B1A">
        <w:rPr>
          <w:rFonts w:eastAsiaTheme="minorHAnsi" w:cs="Arial"/>
          <w:szCs w:val="22"/>
          <w:lang w:eastAsia="en-AU"/>
        </w:rPr>
        <w:t xml:space="preserve">ow </w:t>
      </w:r>
      <w:r>
        <w:rPr>
          <w:rFonts w:eastAsiaTheme="minorHAnsi" w:cs="Arial"/>
          <w:szCs w:val="22"/>
          <w:lang w:eastAsia="en-AU"/>
        </w:rPr>
        <w:t xml:space="preserve">the recipient will </w:t>
      </w:r>
      <w:r w:rsidRPr="00770B1A">
        <w:rPr>
          <w:rFonts w:eastAsiaTheme="minorHAnsi" w:cs="Arial"/>
          <w:szCs w:val="22"/>
          <w:lang w:eastAsia="en-AU"/>
        </w:rPr>
        <w:t>determine the period</w:t>
      </w:r>
      <w:r>
        <w:rPr>
          <w:rFonts w:eastAsiaTheme="minorHAnsi" w:cs="Arial"/>
          <w:szCs w:val="22"/>
          <w:lang w:eastAsia="en-AU"/>
        </w:rPr>
        <w:t xml:space="preserve"> (and ensuring that a recipient can amend the information accurately); and</w:t>
      </w:r>
    </w:p>
    <w:p w14:paraId="04730C9A" w14:textId="77777777" w:rsidR="000663FD" w:rsidRPr="002B0314" w:rsidRDefault="000663FD" w:rsidP="000663FD">
      <w:pPr>
        <w:pStyle w:val="ListParagraph"/>
        <w:numPr>
          <w:ilvl w:val="0"/>
          <w:numId w:val="26"/>
        </w:numPr>
        <w:spacing w:after="200" w:line="300" w:lineRule="exact"/>
        <w:rPr>
          <w:rFonts w:eastAsiaTheme="minorHAnsi" w:cs="Arial"/>
          <w:szCs w:val="22"/>
          <w:lang w:eastAsia="en-AU"/>
        </w:rPr>
      </w:pPr>
      <w:r>
        <w:rPr>
          <w:rFonts w:eastAsiaTheme="minorHAnsi" w:cs="Arial"/>
          <w:szCs w:val="22"/>
          <w:lang w:eastAsia="en-AU"/>
        </w:rPr>
        <w:t>h</w:t>
      </w:r>
      <w:r w:rsidRPr="00770B1A">
        <w:rPr>
          <w:rFonts w:eastAsiaTheme="minorHAnsi" w:cs="Arial"/>
          <w:szCs w:val="22"/>
          <w:lang w:eastAsia="en-AU"/>
        </w:rPr>
        <w:t xml:space="preserve">ow the Department </w:t>
      </w:r>
      <w:r>
        <w:rPr>
          <w:rFonts w:eastAsiaTheme="minorHAnsi" w:cs="Arial"/>
          <w:szCs w:val="22"/>
          <w:lang w:eastAsia="en-AU"/>
        </w:rPr>
        <w:t xml:space="preserve">will </w:t>
      </w:r>
      <w:r w:rsidRPr="00770B1A">
        <w:rPr>
          <w:rFonts w:eastAsiaTheme="minorHAnsi" w:cs="Arial"/>
          <w:szCs w:val="22"/>
          <w:lang w:eastAsia="en-AU"/>
        </w:rPr>
        <w:t>determine whether it is satisfied that a reported period is correct</w:t>
      </w:r>
      <w:r>
        <w:rPr>
          <w:rFonts w:eastAsiaTheme="minorHAnsi" w:cs="Arial"/>
          <w:szCs w:val="22"/>
          <w:lang w:eastAsia="en-AU"/>
        </w:rPr>
        <w:t>.</w:t>
      </w:r>
    </w:p>
    <w:p w14:paraId="4CB7199B" w14:textId="77777777" w:rsidR="000663FD" w:rsidRDefault="000663FD" w:rsidP="000663FD">
      <w:pPr>
        <w:pBdr>
          <w:top w:val="single" w:sz="4" w:space="1" w:color="auto"/>
          <w:left w:val="single" w:sz="4" w:space="4" w:color="auto"/>
          <w:bottom w:val="single" w:sz="4" w:space="1" w:color="auto"/>
          <w:right w:val="single" w:sz="4" w:space="4" w:color="auto"/>
        </w:pBdr>
        <w:spacing w:after="200" w:line="300" w:lineRule="exact"/>
        <w:rPr>
          <w:rFonts w:eastAsiaTheme="minorHAnsi" w:cs="Arial"/>
          <w:szCs w:val="22"/>
          <w:lang w:eastAsia="en-AU"/>
        </w:rPr>
      </w:pPr>
      <w:r>
        <w:rPr>
          <w:rFonts w:eastAsiaTheme="minorHAnsi" w:cs="Arial"/>
          <w:b/>
          <w:bCs/>
          <w:szCs w:val="22"/>
          <w:lang w:eastAsia="en-AU"/>
        </w:rPr>
        <w:t xml:space="preserve">Recommendation 3: </w:t>
      </w:r>
      <w:r>
        <w:rPr>
          <w:rFonts w:eastAsiaTheme="minorHAnsi" w:cs="Arial"/>
          <w:szCs w:val="22"/>
          <w:lang w:eastAsia="en-AU"/>
        </w:rPr>
        <w:t>The Committee should consider whether further information about how the Single Touch Payroll system will be integrated with Centrelink’s reporting system should be made available before the Bill is passed.</w:t>
      </w:r>
    </w:p>
    <w:p w14:paraId="275E28DA" w14:textId="77777777" w:rsidR="000663FD" w:rsidRDefault="000663FD" w:rsidP="000663FD">
      <w:pPr>
        <w:spacing w:after="200" w:line="300" w:lineRule="exact"/>
        <w:rPr>
          <w:rFonts w:eastAsiaTheme="minorEastAsia" w:cs="Arial"/>
          <w:i/>
          <w:lang w:eastAsia="en-AU"/>
        </w:rPr>
      </w:pPr>
      <w:r w:rsidRPr="2E011DF0">
        <w:rPr>
          <w:rFonts w:eastAsiaTheme="minorEastAsia" w:cs="Arial"/>
          <w:i/>
          <w:lang w:eastAsia="en-AU"/>
        </w:rPr>
        <w:t xml:space="preserve">Self-reporting and </w:t>
      </w:r>
      <w:r w:rsidRPr="2E011DF0">
        <w:rPr>
          <w:rFonts w:eastAsiaTheme="minorEastAsia" w:cs="Arial"/>
          <w:i/>
          <w:iCs/>
          <w:lang w:eastAsia="en-AU"/>
        </w:rPr>
        <w:t>people</w:t>
      </w:r>
      <w:r w:rsidRPr="2E011DF0">
        <w:rPr>
          <w:rFonts w:eastAsiaTheme="minorEastAsia" w:cs="Arial"/>
          <w:i/>
          <w:lang w:eastAsia="en-AU"/>
        </w:rPr>
        <w:t xml:space="preserve"> outside the Single Touch Payroll system</w:t>
      </w:r>
    </w:p>
    <w:p w14:paraId="6251E8FE" w14:textId="77777777" w:rsidR="000663FD" w:rsidRDefault="000663FD" w:rsidP="000663FD">
      <w:pPr>
        <w:spacing w:after="200" w:line="300" w:lineRule="exact"/>
        <w:rPr>
          <w:rFonts w:eastAsiaTheme="minorHAnsi" w:cs="Arial"/>
          <w:i/>
          <w:iCs/>
          <w:szCs w:val="22"/>
          <w:lang w:eastAsia="en-AU"/>
        </w:rPr>
      </w:pPr>
      <w:r w:rsidRPr="2E011DF0">
        <w:rPr>
          <w:rFonts w:eastAsiaTheme="minorEastAsia" w:cs="Arial"/>
          <w:lang w:eastAsia="en-AU"/>
        </w:rPr>
        <w:t xml:space="preserve">We consider that there is insufficient information about how the Bill will </w:t>
      </w:r>
      <w:r>
        <w:rPr>
          <w:rFonts w:eastAsiaTheme="minorEastAsia" w:cs="Arial"/>
          <w:lang w:eastAsia="en-AU"/>
        </w:rPr>
        <w:t xml:space="preserve">affect </w:t>
      </w:r>
      <w:r w:rsidRPr="2E011DF0">
        <w:rPr>
          <w:rFonts w:eastAsiaTheme="minorEastAsia" w:cs="Arial"/>
          <w:lang w:eastAsia="en-AU"/>
        </w:rPr>
        <w:t xml:space="preserve">people receiving employment income outside the Single Touch Payroll system, and how it will </w:t>
      </w:r>
      <w:r>
        <w:rPr>
          <w:rFonts w:eastAsiaTheme="minorEastAsia" w:cs="Arial"/>
          <w:lang w:eastAsia="en-AU"/>
        </w:rPr>
        <w:t>change</w:t>
      </w:r>
      <w:r w:rsidRPr="2E011DF0">
        <w:rPr>
          <w:rFonts w:eastAsiaTheme="minorEastAsia" w:cs="Arial"/>
          <w:lang w:eastAsia="en-AU"/>
        </w:rPr>
        <w:t xml:space="preserve"> </w:t>
      </w:r>
      <w:r>
        <w:rPr>
          <w:rFonts w:eastAsiaTheme="minorEastAsia" w:cs="Arial"/>
          <w:lang w:eastAsia="en-AU"/>
        </w:rPr>
        <w:t>how</w:t>
      </w:r>
      <w:r w:rsidRPr="2E011DF0">
        <w:rPr>
          <w:rFonts w:eastAsiaTheme="minorEastAsia" w:cs="Arial"/>
          <w:lang w:eastAsia="en-AU"/>
        </w:rPr>
        <w:t xml:space="preserve"> income is reported and entitlement is assessed for this cohort. </w:t>
      </w:r>
    </w:p>
    <w:p w14:paraId="7B644225" w14:textId="77777777" w:rsidR="000663FD" w:rsidRDefault="000663FD" w:rsidP="000663FD">
      <w:pPr>
        <w:spacing w:after="200" w:line="300" w:lineRule="exact"/>
        <w:rPr>
          <w:rFonts w:eastAsiaTheme="minorEastAsia" w:cs="Arial"/>
          <w:lang w:eastAsia="en-AU"/>
        </w:rPr>
      </w:pPr>
      <w:r w:rsidRPr="38917862">
        <w:rPr>
          <w:rFonts w:eastAsiaTheme="minorEastAsia" w:cs="Arial"/>
          <w:lang w:eastAsia="en-AU"/>
        </w:rPr>
        <w:lastRenderedPageBreak/>
        <w:t xml:space="preserve">Many of VLA’s </w:t>
      </w:r>
      <w:proofErr w:type="spellStart"/>
      <w:r w:rsidRPr="38917862">
        <w:rPr>
          <w:rFonts w:eastAsiaTheme="minorEastAsia" w:cs="Arial"/>
          <w:lang w:eastAsia="en-AU"/>
        </w:rPr>
        <w:t>robodebt</w:t>
      </w:r>
      <w:proofErr w:type="spellEnd"/>
      <w:r w:rsidRPr="38917862">
        <w:rPr>
          <w:rFonts w:eastAsiaTheme="minorEastAsia" w:cs="Arial"/>
          <w:lang w:eastAsia="en-AU"/>
        </w:rPr>
        <w:t xml:space="preserve"> clients were affected because of the challenges around accurately reporting income for unpredictable or irregular hours of work </w:t>
      </w:r>
      <w:r w:rsidRPr="06DFF482">
        <w:rPr>
          <w:rFonts w:eastAsiaTheme="minorEastAsia" w:cs="Arial"/>
          <w:lang w:eastAsia="en-AU"/>
        </w:rPr>
        <w:t>without</w:t>
      </w:r>
      <w:r w:rsidRPr="083E02FC">
        <w:rPr>
          <w:rFonts w:eastAsiaTheme="minorEastAsia" w:cs="Arial"/>
          <w:lang w:eastAsia="en-AU"/>
        </w:rPr>
        <w:t xml:space="preserve"> or prior to receiving</w:t>
      </w:r>
      <w:r w:rsidRPr="38917862">
        <w:rPr>
          <w:rFonts w:eastAsiaTheme="minorEastAsia" w:cs="Arial"/>
          <w:lang w:eastAsia="en-AU"/>
        </w:rPr>
        <w:t xml:space="preserve"> payslips. </w:t>
      </w:r>
      <w:r w:rsidRPr="5BE6AAFF">
        <w:rPr>
          <w:rFonts w:eastAsiaTheme="minorEastAsia" w:cs="Arial"/>
          <w:lang w:eastAsia="en-AU"/>
        </w:rPr>
        <w:t xml:space="preserve">For those </w:t>
      </w:r>
      <w:r w:rsidRPr="7197E0B9">
        <w:rPr>
          <w:rFonts w:eastAsiaTheme="minorEastAsia" w:cs="Arial"/>
          <w:lang w:eastAsia="en-AU"/>
        </w:rPr>
        <w:t>outside</w:t>
      </w:r>
      <w:r w:rsidRPr="5BE6AAFF">
        <w:rPr>
          <w:rFonts w:eastAsiaTheme="minorEastAsia" w:cs="Arial"/>
          <w:lang w:eastAsia="en-AU"/>
        </w:rPr>
        <w:t xml:space="preserve"> the Single Touch Payroll </w:t>
      </w:r>
      <w:r w:rsidRPr="7D5C93B8">
        <w:rPr>
          <w:rFonts w:eastAsiaTheme="minorEastAsia" w:cs="Arial"/>
          <w:lang w:eastAsia="en-AU"/>
        </w:rPr>
        <w:t>system, t</w:t>
      </w:r>
      <w:r w:rsidRPr="5CC70C85">
        <w:rPr>
          <w:rFonts w:eastAsiaTheme="minorEastAsia" w:cs="Arial"/>
          <w:lang w:eastAsia="en-AU"/>
        </w:rPr>
        <w:t>he</w:t>
      </w:r>
      <w:r w:rsidRPr="38917862">
        <w:rPr>
          <w:rFonts w:eastAsiaTheme="minorEastAsia" w:cs="Arial"/>
          <w:lang w:eastAsia="en-AU"/>
        </w:rPr>
        <w:t xml:space="preserve"> Bill </w:t>
      </w:r>
      <w:r w:rsidRPr="7D5C93B8">
        <w:rPr>
          <w:rFonts w:eastAsiaTheme="minorEastAsia" w:cs="Arial"/>
          <w:lang w:eastAsia="en-AU"/>
        </w:rPr>
        <w:t>requires them</w:t>
      </w:r>
      <w:r w:rsidRPr="363C6018">
        <w:rPr>
          <w:rFonts w:eastAsiaTheme="minorEastAsia" w:cs="Arial"/>
          <w:lang w:eastAsia="en-AU"/>
        </w:rPr>
        <w:t xml:space="preserve"> to </w:t>
      </w:r>
      <w:r w:rsidRPr="1111129C">
        <w:rPr>
          <w:rFonts w:eastAsiaTheme="minorEastAsia" w:cs="Arial"/>
          <w:lang w:eastAsia="en-AU"/>
        </w:rPr>
        <w:t>know the day their employer paid them rather than the day they received their income</w:t>
      </w:r>
      <w:r w:rsidRPr="7197E0B9">
        <w:rPr>
          <w:rFonts w:eastAsiaTheme="minorEastAsia" w:cs="Arial"/>
          <w:lang w:eastAsia="en-AU"/>
        </w:rPr>
        <w:t>.</w:t>
      </w:r>
    </w:p>
    <w:p w14:paraId="504A7888" w14:textId="77777777" w:rsidR="000663FD" w:rsidRDefault="000663FD" w:rsidP="000663FD">
      <w:pPr>
        <w:spacing w:after="200" w:line="300" w:lineRule="exact"/>
        <w:rPr>
          <w:rStyle w:val="CommentReference"/>
        </w:rPr>
      </w:pPr>
      <w:r>
        <w:rPr>
          <w:rFonts w:eastAsiaTheme="minorEastAsia" w:cs="Arial"/>
          <w:lang w:eastAsia="en-AU"/>
        </w:rPr>
        <w:t xml:space="preserve">In </w:t>
      </w:r>
      <w:proofErr w:type="gramStart"/>
      <w:r>
        <w:rPr>
          <w:rFonts w:eastAsiaTheme="minorEastAsia" w:cs="Arial"/>
          <w:lang w:eastAsia="en-AU"/>
        </w:rPr>
        <w:t>addition</w:t>
      </w:r>
      <w:proofErr w:type="gramEnd"/>
      <w:r>
        <w:rPr>
          <w:rFonts w:eastAsiaTheme="minorEastAsia" w:cs="Arial"/>
          <w:lang w:eastAsia="en-AU"/>
        </w:rPr>
        <w:t xml:space="preserve"> and a</w:t>
      </w:r>
      <w:r w:rsidRPr="4BB43CC2">
        <w:rPr>
          <w:rFonts w:eastAsiaTheme="minorEastAsia" w:cs="Arial"/>
          <w:lang w:eastAsia="en-AU"/>
        </w:rPr>
        <w:t xml:space="preserve">s noted above, the provisions do </w:t>
      </w:r>
      <w:r>
        <w:rPr>
          <w:rFonts w:eastAsiaTheme="minorEastAsia" w:cs="Arial"/>
          <w:lang w:eastAsia="en-AU"/>
        </w:rPr>
        <w:t xml:space="preserve">not </w:t>
      </w:r>
      <w:r w:rsidRPr="4BB43CC2">
        <w:rPr>
          <w:rFonts w:eastAsiaTheme="minorEastAsia" w:cs="Arial"/>
          <w:lang w:eastAsia="en-AU"/>
        </w:rPr>
        <w:t xml:space="preserve">make clear the particular period for </w:t>
      </w:r>
      <w:r w:rsidRPr="4AF14E80">
        <w:rPr>
          <w:rFonts w:eastAsiaTheme="minorEastAsia" w:cs="Arial"/>
          <w:lang w:eastAsia="en-AU"/>
        </w:rPr>
        <w:t>reporting</w:t>
      </w:r>
      <w:r w:rsidRPr="4BB43CC2">
        <w:rPr>
          <w:rFonts w:eastAsiaTheme="minorEastAsia" w:cs="Arial"/>
          <w:lang w:eastAsia="en-AU"/>
        </w:rPr>
        <w:t xml:space="preserve"> employment income</w:t>
      </w:r>
      <w:r>
        <w:rPr>
          <w:rFonts w:eastAsiaTheme="minorEastAsia" w:cs="Arial"/>
          <w:lang w:eastAsia="en-AU"/>
        </w:rPr>
        <w:t>.</w:t>
      </w:r>
    </w:p>
    <w:p w14:paraId="53FED33F" w14:textId="77777777" w:rsidR="000663FD" w:rsidRDefault="000663FD" w:rsidP="000663FD">
      <w:pPr>
        <w:spacing w:after="200" w:line="300" w:lineRule="exact"/>
        <w:rPr>
          <w:rFonts w:eastAsiaTheme="minorHAnsi" w:cs="Arial"/>
          <w:szCs w:val="22"/>
          <w:lang w:eastAsia="en-AU"/>
        </w:rPr>
      </w:pPr>
      <w:r>
        <w:rPr>
          <w:rFonts w:eastAsiaTheme="minorEastAsia" w:cs="Arial"/>
          <w:lang w:eastAsia="en-AU"/>
        </w:rPr>
        <w:t>We are concerned that our clients seeking to comply with the system may not understand how the new system operates.</w:t>
      </w:r>
    </w:p>
    <w:p w14:paraId="71FAE98E" w14:textId="77777777" w:rsidR="000663FD" w:rsidRPr="00770B1A" w:rsidRDefault="000663FD" w:rsidP="000663FD">
      <w:pPr>
        <w:pBdr>
          <w:top w:val="single" w:sz="4" w:space="1" w:color="auto"/>
          <w:left w:val="single" w:sz="4" w:space="4" w:color="auto"/>
          <w:bottom w:val="single" w:sz="4" w:space="1" w:color="auto"/>
          <w:right w:val="single" w:sz="4" w:space="4" w:color="auto"/>
        </w:pBdr>
        <w:spacing w:after="200" w:line="300" w:lineRule="exact"/>
        <w:rPr>
          <w:rFonts w:eastAsiaTheme="minorEastAsia" w:cs="Arial"/>
          <w:lang w:eastAsia="en-AU"/>
        </w:rPr>
      </w:pPr>
      <w:r w:rsidRPr="372BAA0F">
        <w:rPr>
          <w:rFonts w:eastAsiaTheme="minorEastAsia" w:cs="Arial"/>
          <w:b/>
          <w:lang w:eastAsia="en-AU"/>
        </w:rPr>
        <w:t xml:space="preserve">Recommendation 4: </w:t>
      </w:r>
      <w:r w:rsidRPr="372BAA0F">
        <w:rPr>
          <w:rFonts w:eastAsiaTheme="minorEastAsia" w:cs="Arial"/>
          <w:lang w:eastAsia="en-AU"/>
        </w:rPr>
        <w:t xml:space="preserve">The Bill should be accompanied by clear guidance on how </w:t>
      </w:r>
      <w:r>
        <w:rPr>
          <w:rFonts w:eastAsiaTheme="minorEastAsia" w:cs="Arial"/>
          <w:lang w:eastAsia="en-AU"/>
        </w:rPr>
        <w:t>it</w:t>
      </w:r>
      <w:r w:rsidRPr="372BAA0F">
        <w:rPr>
          <w:rFonts w:eastAsiaTheme="minorEastAsia" w:cs="Arial"/>
          <w:lang w:eastAsia="en-AU"/>
        </w:rPr>
        <w:t xml:space="preserve"> </w:t>
      </w:r>
      <w:proofErr w:type="gramStart"/>
      <w:r>
        <w:rPr>
          <w:rFonts w:eastAsiaTheme="minorEastAsia" w:cs="Arial"/>
          <w:lang w:eastAsia="en-AU"/>
        </w:rPr>
        <w:t>affect</w:t>
      </w:r>
      <w:proofErr w:type="gramEnd"/>
      <w:r>
        <w:rPr>
          <w:rFonts w:eastAsiaTheme="minorEastAsia" w:cs="Arial"/>
          <w:lang w:eastAsia="en-AU"/>
        </w:rPr>
        <w:t xml:space="preserve"> </w:t>
      </w:r>
      <w:r w:rsidRPr="69861177">
        <w:rPr>
          <w:rFonts w:eastAsiaTheme="minorEastAsia" w:cs="Arial"/>
          <w:lang w:eastAsia="en-AU"/>
        </w:rPr>
        <w:t>people</w:t>
      </w:r>
      <w:r w:rsidRPr="372BAA0F">
        <w:rPr>
          <w:rFonts w:eastAsiaTheme="minorEastAsia" w:cs="Arial"/>
          <w:lang w:eastAsia="en-AU"/>
        </w:rPr>
        <w:t xml:space="preserve"> </w:t>
      </w:r>
      <w:r>
        <w:rPr>
          <w:rFonts w:eastAsiaTheme="minorEastAsia" w:cs="Arial"/>
          <w:lang w:eastAsia="en-AU"/>
        </w:rPr>
        <w:t>who remain outside the Single Touch Payroll System, and who continue to report their income</w:t>
      </w:r>
      <w:r w:rsidRPr="372BAA0F">
        <w:rPr>
          <w:rFonts w:eastAsiaTheme="minorEastAsia" w:cs="Arial"/>
          <w:lang w:eastAsia="en-AU"/>
        </w:rPr>
        <w:t xml:space="preserve">, particularly those working unpredictable hours. </w:t>
      </w:r>
    </w:p>
    <w:p w14:paraId="41DEEC57" w14:textId="77777777" w:rsidR="000663FD" w:rsidRDefault="000663FD" w:rsidP="000663FD">
      <w:pPr>
        <w:spacing w:after="200" w:line="300" w:lineRule="exact"/>
        <w:rPr>
          <w:rFonts w:eastAsiaTheme="minorHAnsi" w:cs="Arial"/>
          <w:b/>
          <w:bCs/>
          <w:szCs w:val="22"/>
          <w:lang w:eastAsia="en-AU"/>
        </w:rPr>
      </w:pPr>
      <w:r w:rsidRPr="00414CD5">
        <w:rPr>
          <w:rFonts w:eastAsiaTheme="minorHAnsi" w:cs="Arial"/>
          <w:b/>
          <w:bCs/>
          <w:szCs w:val="22"/>
          <w:lang w:eastAsia="en-AU"/>
        </w:rPr>
        <w:t>Consultation process on the Bill</w:t>
      </w:r>
    </w:p>
    <w:p w14:paraId="201D93E8"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 xml:space="preserve">We support a social security framework that </w:t>
      </w:r>
      <w:r w:rsidRPr="00DC1161">
        <w:rPr>
          <w:rFonts w:eastAsiaTheme="minorHAnsi" w:cs="Arial"/>
          <w:szCs w:val="22"/>
          <w:lang w:eastAsia="en-AU"/>
        </w:rPr>
        <w:t>fairly</w:t>
      </w:r>
      <w:r>
        <w:rPr>
          <w:rFonts w:eastAsiaTheme="minorHAnsi" w:cs="Arial"/>
          <w:szCs w:val="22"/>
          <w:lang w:eastAsia="en-AU"/>
        </w:rPr>
        <w:t xml:space="preserve"> and</w:t>
      </w:r>
      <w:r w:rsidRPr="00DC1161">
        <w:rPr>
          <w:rFonts w:eastAsiaTheme="minorHAnsi" w:cs="Arial"/>
          <w:szCs w:val="22"/>
          <w:lang w:eastAsia="en-AU"/>
        </w:rPr>
        <w:t xml:space="preserve"> accurately identifies and investigates overpayments.</w:t>
      </w:r>
    </w:p>
    <w:p w14:paraId="29BFFE01" w14:textId="77777777" w:rsidR="000663FD" w:rsidRDefault="000663FD" w:rsidP="000663FD">
      <w:pPr>
        <w:spacing w:after="200" w:line="300" w:lineRule="exact"/>
        <w:rPr>
          <w:rFonts w:eastAsiaTheme="minorHAnsi" w:cs="Arial"/>
          <w:szCs w:val="22"/>
          <w:lang w:eastAsia="en-AU"/>
        </w:rPr>
      </w:pPr>
      <w:r>
        <w:rPr>
          <w:rFonts w:eastAsiaTheme="minorHAnsi" w:cs="Arial"/>
          <w:szCs w:val="22"/>
          <w:lang w:eastAsia="en-AU"/>
        </w:rPr>
        <w:t>We note that the consultation period for this inquiry was just over one week. Victoria Legal Aid has not had the opportunity to thoroughly review the Bill in the short timeframes allocated.</w:t>
      </w:r>
    </w:p>
    <w:p w14:paraId="45803438" w14:textId="77777777" w:rsidR="000663FD" w:rsidRPr="00E45E9A" w:rsidRDefault="000663FD" w:rsidP="000663FD">
      <w:pPr>
        <w:spacing w:after="200" w:line="300" w:lineRule="exact"/>
        <w:rPr>
          <w:rFonts w:eastAsiaTheme="minorEastAsia" w:cs="Arial"/>
          <w:lang w:eastAsia="en-AU"/>
        </w:rPr>
      </w:pPr>
      <w:proofErr w:type="gramStart"/>
      <w:r w:rsidRPr="51E9B399">
        <w:rPr>
          <w:rFonts w:eastAsiaTheme="minorEastAsia" w:cs="Arial"/>
          <w:lang w:eastAsia="en-AU"/>
        </w:rPr>
        <w:t>In light of</w:t>
      </w:r>
      <w:proofErr w:type="gramEnd"/>
      <w:r w:rsidRPr="51E9B399">
        <w:rPr>
          <w:rFonts w:eastAsiaTheme="minorEastAsia" w:cs="Arial"/>
          <w:lang w:eastAsia="en-AU"/>
        </w:rPr>
        <w:t xml:space="preserve"> the potential consequences on a large number of Australians who receive social security payments each year, and the importance of ensuring that any enabling legislation achieves its intended purpose, we consider that further engagement with stakeholders should be undertaken.</w:t>
      </w:r>
    </w:p>
    <w:p w14:paraId="62602999" w14:textId="77777777" w:rsidR="000663FD" w:rsidRPr="00E45E9A" w:rsidRDefault="000663FD" w:rsidP="000663FD">
      <w:pPr>
        <w:pBdr>
          <w:top w:val="single" w:sz="4" w:space="1" w:color="auto"/>
          <w:left w:val="single" w:sz="4" w:space="4" w:color="auto"/>
          <w:bottom w:val="single" w:sz="4" w:space="1" w:color="auto"/>
          <w:right w:val="single" w:sz="4" w:space="4" w:color="auto"/>
        </w:pBdr>
        <w:spacing w:after="200" w:line="300" w:lineRule="exact"/>
        <w:rPr>
          <w:rFonts w:eastAsiaTheme="minorEastAsia" w:cs="Arial"/>
          <w:lang w:eastAsia="en-AU"/>
        </w:rPr>
      </w:pPr>
      <w:r w:rsidRPr="51E9B399">
        <w:rPr>
          <w:rFonts w:eastAsiaTheme="minorEastAsia" w:cs="Arial"/>
          <w:b/>
          <w:bCs/>
          <w:lang w:eastAsia="en-AU"/>
        </w:rPr>
        <w:t xml:space="preserve">Recommendation 5: </w:t>
      </w:r>
      <w:r w:rsidRPr="51E9B399">
        <w:rPr>
          <w:rFonts w:eastAsiaTheme="minorEastAsia" w:cs="Arial"/>
          <w:lang w:eastAsia="en-AU"/>
        </w:rPr>
        <w:t>The Committee should consider whether further time</w:t>
      </w:r>
      <w:r>
        <w:rPr>
          <w:rFonts w:eastAsiaTheme="minorEastAsia" w:cs="Arial"/>
          <w:lang w:eastAsia="en-AU"/>
        </w:rPr>
        <w:t xml:space="preserve"> and consultation with stakeholders is required to consider </w:t>
      </w:r>
      <w:r w:rsidRPr="51E9B399">
        <w:rPr>
          <w:rFonts w:eastAsiaTheme="minorEastAsia" w:cs="Arial"/>
          <w:lang w:eastAsia="en-AU"/>
        </w:rPr>
        <w:t xml:space="preserve">the potential implications of the Bill, to ensure </w:t>
      </w:r>
      <w:r>
        <w:rPr>
          <w:rFonts w:eastAsiaTheme="minorEastAsia" w:cs="Arial"/>
          <w:lang w:eastAsia="en-AU"/>
        </w:rPr>
        <w:t>it</w:t>
      </w:r>
      <w:r w:rsidRPr="51E9B399">
        <w:rPr>
          <w:rFonts w:eastAsiaTheme="minorEastAsia" w:cs="Arial"/>
          <w:lang w:eastAsia="en-AU"/>
        </w:rPr>
        <w:t xml:space="preserve"> achieves its intended purpose.</w:t>
      </w:r>
    </w:p>
    <w:p w14:paraId="1E28C9F2" w14:textId="77777777" w:rsidR="000663FD" w:rsidRDefault="000663FD" w:rsidP="000663FD">
      <w:pPr>
        <w:spacing w:after="200" w:line="300" w:lineRule="exact"/>
        <w:rPr>
          <w:rFonts w:eastAsiaTheme="minorHAnsi" w:cs="Arial"/>
          <w:b/>
          <w:bCs/>
          <w:szCs w:val="22"/>
          <w:lang w:eastAsia="en-AU"/>
        </w:rPr>
      </w:pPr>
      <w:r w:rsidRPr="00414CD5">
        <w:rPr>
          <w:rFonts w:eastAsiaTheme="minorHAnsi" w:cs="Arial"/>
          <w:b/>
          <w:bCs/>
          <w:szCs w:val="22"/>
          <w:lang w:eastAsia="en-AU"/>
        </w:rPr>
        <w:t>Scheduled review to assess unintended or harmful consequences</w:t>
      </w:r>
    </w:p>
    <w:p w14:paraId="1DD809F4" w14:textId="77777777" w:rsidR="000663FD" w:rsidRDefault="000663FD" w:rsidP="000663FD">
      <w:pPr>
        <w:spacing w:after="200" w:line="300" w:lineRule="exact"/>
        <w:rPr>
          <w:rFonts w:eastAsiaTheme="minorEastAsia" w:cs="Arial"/>
          <w:lang w:eastAsia="en-AU"/>
        </w:rPr>
      </w:pPr>
      <w:r w:rsidRPr="51E9B399">
        <w:rPr>
          <w:rFonts w:eastAsiaTheme="minorEastAsia" w:cs="Arial"/>
          <w:lang w:eastAsia="en-AU"/>
        </w:rPr>
        <w:t>If the Bill does come into effect on 1 July 2020, there should be an opportunity to review its practical operation and to ensure any unintended consequences can be remedied.</w:t>
      </w:r>
    </w:p>
    <w:p w14:paraId="0402A299" w14:textId="77777777" w:rsidR="000663FD" w:rsidRPr="00790C95" w:rsidRDefault="000663FD" w:rsidP="000663FD">
      <w:pPr>
        <w:pBdr>
          <w:top w:val="single" w:sz="4" w:space="1" w:color="auto"/>
          <w:left w:val="single" w:sz="4" w:space="4" w:color="auto"/>
          <w:bottom w:val="single" w:sz="4" w:space="1" w:color="auto"/>
          <w:right w:val="single" w:sz="4" w:space="4" w:color="auto"/>
        </w:pBdr>
        <w:spacing w:after="200" w:line="300" w:lineRule="exact"/>
        <w:rPr>
          <w:rFonts w:eastAsiaTheme="minorEastAsia" w:cs="Arial"/>
          <w:lang w:eastAsia="en-AU"/>
        </w:rPr>
      </w:pPr>
      <w:r w:rsidRPr="51E9B399">
        <w:rPr>
          <w:rFonts w:eastAsiaTheme="minorEastAsia" w:cs="Arial"/>
          <w:b/>
          <w:bCs/>
          <w:lang w:eastAsia="en-AU"/>
        </w:rPr>
        <w:t xml:space="preserve">Recommendation 6: </w:t>
      </w:r>
      <w:r w:rsidRPr="51E9B399">
        <w:rPr>
          <w:rFonts w:eastAsiaTheme="minorEastAsia" w:cs="Arial"/>
          <w:lang w:eastAsia="en-AU"/>
        </w:rPr>
        <w:t xml:space="preserve">The Bill should include a review date 1 year after commencement to assess its operation. </w:t>
      </w:r>
    </w:p>
    <w:p w14:paraId="74246999" w14:textId="77777777" w:rsidR="000663FD" w:rsidRDefault="000663FD" w:rsidP="000663FD">
      <w:pPr>
        <w:spacing w:after="200" w:line="300" w:lineRule="exact"/>
      </w:pPr>
      <w:r>
        <w:t>We would be happy to talk to the Committee about the information set out in this submission.</w:t>
      </w:r>
    </w:p>
    <w:p w14:paraId="772C95C9" w14:textId="044DBFA2" w:rsidR="000663FD" w:rsidRDefault="000663FD" w:rsidP="000663FD">
      <w:pPr>
        <w:spacing w:after="200" w:line="300" w:lineRule="exact"/>
      </w:pPr>
      <w:r>
        <w:t xml:space="preserve">Please contact us on </w:t>
      </w:r>
      <w:hyperlink r:id="rId7" w:history="1">
        <w:r w:rsidRPr="006B5586">
          <w:rPr>
            <w:rStyle w:val="Hyperlink"/>
          </w:rPr>
          <w:t>joel.townsend@vla.vic.gov.au</w:t>
        </w:r>
      </w:hyperlink>
      <w:r>
        <w:t xml:space="preserve"> or </w:t>
      </w:r>
      <w:r w:rsidRPr="00202778">
        <w:t>(03) 9280 3736</w:t>
      </w:r>
      <w:r>
        <w:t xml:space="preserve"> with any queries. </w:t>
      </w:r>
    </w:p>
    <w:p w14:paraId="4DC6D95D" w14:textId="77777777" w:rsidR="000663FD" w:rsidRDefault="000663FD">
      <w:pPr>
        <w:spacing w:line="240" w:lineRule="auto"/>
      </w:pPr>
      <w:r>
        <w:br w:type="page"/>
      </w:r>
    </w:p>
    <w:p w14:paraId="40580697" w14:textId="2E2147A9" w:rsidR="000663FD" w:rsidRDefault="000663FD" w:rsidP="000663FD">
      <w:pPr>
        <w:spacing w:after="480"/>
      </w:pPr>
      <w:r>
        <w:lastRenderedPageBreak/>
        <w:t xml:space="preserve">Yours faithfully </w:t>
      </w:r>
    </w:p>
    <w:p w14:paraId="50DE7B0E" w14:textId="23A18EF6" w:rsidR="000663FD" w:rsidRDefault="000663FD" w:rsidP="000663FD">
      <w:r>
        <w:rPr>
          <w:noProof/>
          <w:color w:val="2B579A"/>
          <w:shd w:val="clear" w:color="auto" w:fill="E6E6E6"/>
        </w:rPr>
        <w:drawing>
          <wp:inline distT="0" distB="0" distL="0" distR="0" wp14:anchorId="07F63FCC" wp14:editId="0CFA3314">
            <wp:extent cx="2127885" cy="10325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5" cy="1032510"/>
                    </a:xfrm>
                    <a:prstGeom prst="rect">
                      <a:avLst/>
                    </a:prstGeom>
                    <a:noFill/>
                    <a:ln>
                      <a:noFill/>
                    </a:ln>
                  </pic:spPr>
                </pic:pic>
              </a:graphicData>
            </a:graphic>
          </wp:inline>
        </w:drawing>
      </w:r>
    </w:p>
    <w:p w14:paraId="11CEAEC3" w14:textId="5A2A175E" w:rsidR="000663FD" w:rsidRDefault="000663FD" w:rsidP="000663FD">
      <w:pPr>
        <w:keepNext/>
        <w:keepLines/>
        <w:spacing w:line="240" w:lineRule="auto"/>
      </w:pPr>
      <w:r>
        <w:rPr>
          <w:b/>
        </w:rPr>
        <w:t xml:space="preserve">Joel Townsend, </w:t>
      </w:r>
      <w:r>
        <w:t>Program Manager, Economic &amp; Social Rights</w:t>
      </w:r>
      <w:r>
        <w:t xml:space="preserve">, </w:t>
      </w:r>
      <w:r>
        <w:t xml:space="preserve">Civil Justice </w:t>
      </w:r>
    </w:p>
    <w:p w14:paraId="11F6C38C" w14:textId="6055A8A0" w:rsidR="000663FD" w:rsidRDefault="000663FD" w:rsidP="000663FD">
      <w:r>
        <w:rPr>
          <w:noProof/>
          <w:color w:val="2B579A"/>
          <w:shd w:val="clear" w:color="auto" w:fill="E6E6E6"/>
          <w:lang w:eastAsia="en-AU"/>
        </w:rPr>
        <w:drawing>
          <wp:inline distT="0" distB="0" distL="0" distR="0" wp14:anchorId="5132EE65" wp14:editId="29F08497">
            <wp:extent cx="2383070" cy="15333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83070" cy="1533369"/>
                    </a:xfrm>
                    <a:prstGeom prst="rect">
                      <a:avLst/>
                    </a:prstGeom>
                  </pic:spPr>
                </pic:pic>
              </a:graphicData>
            </a:graphic>
          </wp:inline>
        </w:drawing>
      </w:r>
      <w:bookmarkStart w:id="0" w:name="_GoBack"/>
      <w:bookmarkEnd w:id="0"/>
    </w:p>
    <w:p w14:paraId="248C32BA" w14:textId="0B1B5DEA" w:rsidR="00461300" w:rsidRPr="000A2FBE" w:rsidRDefault="000663FD" w:rsidP="000663FD">
      <w:pPr>
        <w:spacing w:line="240" w:lineRule="auto"/>
      </w:pPr>
      <w:r w:rsidRPr="00E45E9A">
        <w:rPr>
          <w:b/>
          <w:bCs/>
        </w:rPr>
        <w:t>Rowan Mc</w:t>
      </w:r>
      <w:r>
        <w:rPr>
          <w:b/>
          <w:bCs/>
        </w:rPr>
        <w:t>R</w:t>
      </w:r>
      <w:r w:rsidRPr="00E45E9A">
        <w:rPr>
          <w:b/>
          <w:bCs/>
        </w:rPr>
        <w:t>ae</w:t>
      </w:r>
      <w:r>
        <w:rPr>
          <w:b/>
          <w:bCs/>
        </w:rPr>
        <w:t xml:space="preserve">, </w:t>
      </w:r>
      <w:r>
        <w:t xml:space="preserve">Executive </w:t>
      </w:r>
      <w:r>
        <w:t xml:space="preserve">Director, </w:t>
      </w:r>
      <w:r>
        <w:t>Civil Justice, Access and Equity</w:t>
      </w:r>
    </w:p>
    <w:sectPr w:rsidR="00461300" w:rsidRPr="000A2F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2CE0" w14:textId="77777777" w:rsidR="00C65528" w:rsidRDefault="00C65528">
      <w:pPr>
        <w:spacing w:line="240" w:lineRule="auto"/>
      </w:pPr>
      <w:r>
        <w:separator/>
      </w:r>
    </w:p>
  </w:endnote>
  <w:endnote w:type="continuationSeparator" w:id="0">
    <w:p w14:paraId="7E366E1F" w14:textId="77777777" w:rsidR="00C65528" w:rsidRDefault="00C65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F94F"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7C484E" w14:textId="77777777" w:rsidR="00BB122F" w:rsidRDefault="00C65528" w:rsidP="008074B3">
    <w:pPr>
      <w:pStyle w:val="Footer"/>
      <w:ind w:right="360" w:firstLine="360"/>
    </w:pPr>
  </w:p>
  <w:p w14:paraId="57EEB4DF" w14:textId="77777777" w:rsidR="00BB122F" w:rsidRDefault="00C655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8F44"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0BC9411" wp14:editId="2D89103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5E09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70A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56E6800" wp14:editId="3798B0E7">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00D9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60AE" w14:textId="77777777" w:rsidR="00C65528" w:rsidRDefault="00C65528">
      <w:pPr>
        <w:spacing w:line="240" w:lineRule="auto"/>
      </w:pPr>
      <w:r>
        <w:separator/>
      </w:r>
    </w:p>
  </w:footnote>
  <w:footnote w:type="continuationSeparator" w:id="0">
    <w:p w14:paraId="2DB7CB4E" w14:textId="77777777" w:rsidR="00C65528" w:rsidRDefault="00C655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E06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E4EC06" w14:textId="77777777" w:rsidR="00BB122F" w:rsidRDefault="00C65528" w:rsidP="00091AFC">
    <w:pPr>
      <w:pStyle w:val="Header"/>
      <w:ind w:right="360"/>
    </w:pPr>
  </w:p>
  <w:p w14:paraId="0B3F476C" w14:textId="77777777" w:rsidR="00BB122F" w:rsidRDefault="00C65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3E8E"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029A15C" w14:textId="0EC07431" w:rsidR="00BB122F" w:rsidRPr="00EF7C5C" w:rsidRDefault="000663FD" w:rsidP="00EF7C5C">
    <w:pPr>
      <w:spacing w:line="240" w:lineRule="auto"/>
      <w:ind w:left="-330"/>
      <w:rPr>
        <w:rFonts w:ascii="Arial Bold" w:hAnsi="Arial Bold" w:cs="Arial"/>
        <w:color w:val="B1005D"/>
      </w:rPr>
    </w:pPr>
    <w:r w:rsidRPr="000663FD">
      <w:rPr>
        <w:rFonts w:ascii="Arial Bold" w:hAnsi="Arial Bold"/>
        <w:b/>
        <w:bCs/>
        <w:color w:val="B1005D"/>
        <w:sz w:val="18"/>
        <w:szCs w:val="18"/>
      </w:rPr>
      <w:t>Senate Community Affairs Legislation Committee’s inquiry into the Social Services and Other Legislation Amendment (Simplifying Income Reporting and Other Measures) Bill 2020</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0EC721DF" wp14:editId="086B202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4A42"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09AA"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E40D99C" wp14:editId="18E933A1">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470A722" w14:textId="77777777" w:rsidR="00BB122F" w:rsidRPr="00D82005" w:rsidRDefault="00C65528"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D9D18EE"/>
    <w:multiLevelType w:val="hybridMultilevel"/>
    <w:tmpl w:val="96D2906C"/>
    <w:lvl w:ilvl="0" w:tplc="E4E266B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EC12A4"/>
    <w:multiLevelType w:val="hybridMultilevel"/>
    <w:tmpl w:val="9518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A82E54"/>
    <w:multiLevelType w:val="hybridMultilevel"/>
    <w:tmpl w:val="280E1066"/>
    <w:lvl w:ilvl="0" w:tplc="CA62BB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8"/>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FD"/>
    <w:rsid w:val="000663FD"/>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65528"/>
    <w:rsid w:val="00C8737B"/>
    <w:rsid w:val="00C96764"/>
    <w:rsid w:val="00D070E6"/>
    <w:rsid w:val="00D414EB"/>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7DB5"/>
  <w14:defaultImageDpi w14:val="32767"/>
  <w15:chartTrackingRefBased/>
  <w15:docId w15:val="{F4F7A74E-F952-4002-BA79-1FF871FB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
    <w:qFormat/>
    <w:rsid w:val="000663FD"/>
    <w:pPr>
      <w:spacing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line="240" w:lineRule="auto"/>
      <w:ind w:left="220" w:hanging="220"/>
    </w:pPr>
  </w:style>
  <w:style w:type="paragraph" w:styleId="Index2">
    <w:name w:val="index 2"/>
    <w:basedOn w:val="Normal"/>
    <w:next w:val="Normal"/>
    <w:autoRedefine/>
    <w:rsid w:val="00C8737B"/>
    <w:pPr>
      <w:spacing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rsid w:val="000663FD"/>
    <w:rPr>
      <w:sz w:val="16"/>
      <w:szCs w:val="16"/>
    </w:rPr>
  </w:style>
  <w:style w:type="character" w:customStyle="1" w:styleId="ListParagraphChar">
    <w:name w:val="List Paragraph Char"/>
    <w:basedOn w:val="DefaultParagraphFont"/>
    <w:link w:val="ListParagraph"/>
    <w:uiPriority w:val="34"/>
    <w:locked/>
    <w:rsid w:val="000663FD"/>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el.townsend@vla.vic.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Senate Community Affairs Legislation Committee’s inquiry into the Social Services and Other Legislation Amendment (Simplifying Income Reporting and Other Measures) Bill 2020 </vt:lpstr>
    </vt:vector>
  </TitlesOfParts>
  <Company>Victoria Legal Aid</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Community Affairs Legislation Committee’s inquiry into the Social Services and Other Legislation Amendment (Simplifying Income Reporting and Other Measures) Bill 2020</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