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0180F" w14:textId="77777777" w:rsidR="00E6688C" w:rsidRDefault="00D83356" w:rsidP="00E6688C">
      <w:pPr>
        <w:pStyle w:val="VLAtitle"/>
      </w:pPr>
      <w:bookmarkStart w:id="0" w:name="_GoBack"/>
      <w:bookmarkEnd w:id="0"/>
      <w:r>
        <w:t>Residential Tenancies Act Review</w:t>
      </w:r>
    </w:p>
    <w:p w14:paraId="36E7F614" w14:textId="77777777" w:rsidR="00E6688C" w:rsidRDefault="00D83356" w:rsidP="00E6688C">
      <w:pPr>
        <w:pStyle w:val="VLAsubtitle"/>
      </w:pPr>
      <w:r>
        <w:t>Laying the Groundwork – Consultation Paper</w:t>
      </w:r>
    </w:p>
    <w:p w14:paraId="7BD83634" w14:textId="77777777" w:rsidR="00853BDA" w:rsidRDefault="00D83356" w:rsidP="005C10CC">
      <w:pPr>
        <w:pStyle w:val="VLAdate"/>
        <w:sectPr w:rsidR="00853BDA" w:rsidSect="00DA29C4">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3969" w:left="1134" w:header="851" w:footer="2835" w:gutter="0"/>
          <w:paperSrc w:first="7" w:other="7"/>
          <w:cols w:space="720"/>
          <w:titlePg/>
          <w:docGrid w:linePitch="299"/>
        </w:sectPr>
      </w:pPr>
      <w:r>
        <w:t>1</w:t>
      </w:r>
      <w:r w:rsidR="00A0742A">
        <w:t>9 August</w:t>
      </w:r>
      <w:r>
        <w:t xml:space="preserve"> 2015</w:t>
      </w:r>
    </w:p>
    <w:p w14:paraId="30A45A09" w14:textId="434DF309" w:rsidR="008F092D" w:rsidRPr="007550FB" w:rsidRDefault="008F092D" w:rsidP="008F092D">
      <w:pPr>
        <w:pStyle w:val="Heading1"/>
      </w:pPr>
      <w:r w:rsidRPr="00161EEF">
        <w:lastRenderedPageBreak/>
        <w:t>About</w:t>
      </w:r>
      <w:r>
        <w:t xml:space="preserve"> Victoria </w:t>
      </w:r>
      <w:r w:rsidR="00067162">
        <w:t>L</w:t>
      </w:r>
      <w:r>
        <w:t>egal Aid</w:t>
      </w:r>
    </w:p>
    <w:p w14:paraId="2C1EC989" w14:textId="77777777" w:rsidR="007A0204" w:rsidRDefault="007A0204" w:rsidP="007A0204">
      <w:r>
        <w:t>Victoria Legal Aid (VLA) is a major provider of legal advocacy, advice and assistance to socially and economically</w:t>
      </w:r>
      <w:r w:rsidR="000E1BB5">
        <w:t xml:space="preserve"> disadvantaged </w:t>
      </w:r>
      <w:r>
        <w:t xml:space="preserve">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almost 100,000 people each year through Legal Help, our free telephone advice service. </w:t>
      </w:r>
    </w:p>
    <w:p w14:paraId="34266470" w14:textId="77777777" w:rsidR="00820F62" w:rsidRDefault="007A0204" w:rsidP="008F092D">
      <w:r>
        <w:t xml:space="preserve">VLA lawyers provide phone advice, in person advice and duty </w:t>
      </w:r>
      <w:r w:rsidR="000E1BB5">
        <w:t>lawyer representation to tenants</w:t>
      </w:r>
      <w:r w:rsidR="00077D72">
        <w:t>.</w:t>
      </w:r>
      <w:r w:rsidR="0007008C">
        <w:t xml:space="preserve"> We prioritise tenants </w:t>
      </w:r>
      <w:r w:rsidR="001F6604">
        <w:t xml:space="preserve">who are </w:t>
      </w:r>
      <w:r w:rsidR="000E1BB5">
        <w:t xml:space="preserve">homeless or </w:t>
      </w:r>
      <w:r w:rsidR="0007008C">
        <w:t>at risk of e</w:t>
      </w:r>
      <w:r w:rsidR="001F6604">
        <w:t>viction, living with disability</w:t>
      </w:r>
      <w:r w:rsidR="00A6793B">
        <w:t xml:space="preserve"> </w:t>
      </w:r>
      <w:r w:rsidR="001F6604">
        <w:t>(</w:t>
      </w:r>
      <w:r w:rsidR="00A6793B">
        <w:t>including</w:t>
      </w:r>
      <w:r w:rsidR="0007008C">
        <w:t xml:space="preserve"> mental illness</w:t>
      </w:r>
      <w:r w:rsidR="001F6604">
        <w:t>)</w:t>
      </w:r>
      <w:r w:rsidR="00A6793B">
        <w:t>,</w:t>
      </w:r>
      <w:r w:rsidR="0007008C">
        <w:t xml:space="preserve"> or who are otherwise socially and economically disadvantaged.</w:t>
      </w:r>
      <w:r w:rsidR="00077D72">
        <w:t xml:space="preserve"> We provide d</w:t>
      </w:r>
      <w:r>
        <w:t xml:space="preserve">uty lawyer services daily in the residential tenancies list at </w:t>
      </w:r>
      <w:r w:rsidR="003D6B33">
        <w:t xml:space="preserve">the </w:t>
      </w:r>
      <w:r>
        <w:t>V</w:t>
      </w:r>
      <w:r w:rsidR="003D6B33">
        <w:t xml:space="preserve">ictorian </w:t>
      </w:r>
      <w:r>
        <w:t>C</w:t>
      </w:r>
      <w:r w:rsidR="003D6B33">
        <w:t xml:space="preserve">ivil and </w:t>
      </w:r>
      <w:r>
        <w:t>A</w:t>
      </w:r>
      <w:r w:rsidR="003D6B33">
        <w:t xml:space="preserve">dministrative </w:t>
      </w:r>
      <w:r>
        <w:t>T</w:t>
      </w:r>
      <w:r w:rsidR="003D6B33">
        <w:t>ribunal (VCAT)</w:t>
      </w:r>
      <w:r>
        <w:t xml:space="preserve"> in Melbourne and </w:t>
      </w:r>
      <w:r w:rsidR="0007008C">
        <w:t xml:space="preserve">if able to do so </w:t>
      </w:r>
      <w:r>
        <w:t>on an as needs basis around the state.</w:t>
      </w:r>
      <w:r w:rsidR="00506BE9">
        <w:t xml:space="preserve"> We also provide limited casework services for </w:t>
      </w:r>
      <w:r w:rsidR="00A0742A">
        <w:t xml:space="preserve">eligible </w:t>
      </w:r>
      <w:r w:rsidR="00506BE9">
        <w:t>tenants with ongoing hearings at VCAT</w:t>
      </w:r>
      <w:r w:rsidR="00A0742A">
        <w:t xml:space="preserve"> and occasionally</w:t>
      </w:r>
      <w:r w:rsidR="00506BE9">
        <w:t xml:space="preserve"> assist people seeking judicial review in the Supreme Court.</w:t>
      </w:r>
      <w:r>
        <w:t xml:space="preserve"> </w:t>
      </w:r>
      <w:r w:rsidR="00820F62">
        <w:t>VLA is represented on the VCAT Residential Tenancies User Group</w:t>
      </w:r>
      <w:r w:rsidR="007205F0">
        <w:t xml:space="preserve"> and</w:t>
      </w:r>
      <w:r w:rsidR="00820F62">
        <w:t xml:space="preserve"> the Federation of Community Legal Centre’s Tenancy Working Group</w:t>
      </w:r>
      <w:r w:rsidR="007205F0">
        <w:t>.</w:t>
      </w:r>
    </w:p>
    <w:p w14:paraId="3FE7E418" w14:textId="77777777" w:rsidR="008F092D" w:rsidRDefault="008F092D" w:rsidP="00820F62">
      <w:r>
        <w:t xml:space="preserve">In </w:t>
      </w:r>
      <w:r w:rsidR="000E1BB5">
        <w:t xml:space="preserve">the </w:t>
      </w:r>
      <w:r>
        <w:t xml:space="preserve">2014/15 </w:t>
      </w:r>
      <w:r w:rsidR="000E1BB5">
        <w:t xml:space="preserve">financial year </w:t>
      </w:r>
      <w:r>
        <w:t>we</w:t>
      </w:r>
      <w:r w:rsidR="00D2271F">
        <w:t xml:space="preserve"> received approximately 3,184</w:t>
      </w:r>
      <w:r>
        <w:t xml:space="preserve"> </w:t>
      </w:r>
      <w:r w:rsidR="00D2271F">
        <w:t xml:space="preserve">enquiries through our Legal Help telephone line in relation to landlord/tenant disputes and other real estate matters. We </w:t>
      </w:r>
      <w:r>
        <w:t xml:space="preserve">provided advice in relation to </w:t>
      </w:r>
      <w:r w:rsidR="001F6604">
        <w:t>landlord/tenant disputes and other real estate matters</w:t>
      </w:r>
      <w:r w:rsidR="00077D72">
        <w:t xml:space="preserve"> on 2,230 occasions. </w:t>
      </w:r>
      <w:r w:rsidR="000E1BB5">
        <w:t>On 827 occasions the person we provided advice to was born outside of Austra</w:t>
      </w:r>
      <w:r w:rsidR="00A0742A">
        <w:t xml:space="preserve">lia and in just under 28% </w:t>
      </w:r>
      <w:r w:rsidR="000E1BB5">
        <w:t xml:space="preserve">of these occasions, the person we assisted had arrived in Australia within the last 5 years. </w:t>
      </w:r>
      <w:r w:rsidR="00077D72">
        <w:t>On 39</w:t>
      </w:r>
      <w:r w:rsidR="000E1BB5">
        <w:t xml:space="preserve">0 occasions we </w:t>
      </w:r>
      <w:r>
        <w:t>provided representation</w:t>
      </w:r>
      <w:r w:rsidR="00077D72">
        <w:t xml:space="preserve"> to tenants</w:t>
      </w:r>
      <w:r w:rsidR="0007008C">
        <w:t>,</w:t>
      </w:r>
      <w:r w:rsidR="00074A4B">
        <w:t xml:space="preserve"> and in</w:t>
      </w:r>
      <w:r w:rsidR="00A0742A">
        <w:t xml:space="preserve"> just over 33% </w:t>
      </w:r>
      <w:r w:rsidR="000E1BB5">
        <w:t>of these occasions the person</w:t>
      </w:r>
      <w:r w:rsidR="00074A4B">
        <w:t xml:space="preserve"> we represented </w:t>
      </w:r>
      <w:r w:rsidR="0007008C">
        <w:t xml:space="preserve">disclosed having a disability. </w:t>
      </w:r>
    </w:p>
    <w:p w14:paraId="5E0606C4" w14:textId="77777777" w:rsidR="006B350F" w:rsidRPr="004C6D0F" w:rsidRDefault="006B350F" w:rsidP="006B350F">
      <w:pPr>
        <w:pStyle w:val="Heading1"/>
        <w:spacing w:after="240"/>
      </w:pPr>
      <w:r w:rsidRPr="004C6D0F">
        <w:t xml:space="preserve">Key contacts </w:t>
      </w:r>
    </w:p>
    <w:p w14:paraId="283E725C" w14:textId="659B100D" w:rsidR="006B350F" w:rsidRPr="004C6D0F" w:rsidRDefault="006B350F" w:rsidP="006B350F">
      <w:pPr>
        <w:rPr>
          <w:rFonts w:eastAsia="MS Minngs"/>
        </w:rPr>
      </w:pPr>
      <w:r w:rsidRPr="004C6D0F">
        <w:rPr>
          <w:rFonts w:eastAsia="MS Minngs"/>
        </w:rPr>
        <w:t>Kris</w:t>
      </w:r>
      <w:r>
        <w:rPr>
          <w:rFonts w:eastAsia="MS Minngs"/>
        </w:rPr>
        <w:t>te</w:t>
      </w:r>
      <w:r w:rsidR="00067162">
        <w:rPr>
          <w:rFonts w:eastAsia="MS Minngs"/>
        </w:rPr>
        <w:t>n Hilton</w:t>
      </w:r>
    </w:p>
    <w:p w14:paraId="7EB5EF23" w14:textId="6C6A540F" w:rsidR="006B350F" w:rsidRPr="004C6D0F" w:rsidRDefault="006B350F" w:rsidP="006B350F">
      <w:pPr>
        <w:rPr>
          <w:rFonts w:eastAsia="MS Minngs"/>
        </w:rPr>
      </w:pPr>
      <w:r w:rsidRPr="004C6D0F">
        <w:rPr>
          <w:rFonts w:eastAsia="MS Minngs"/>
        </w:rPr>
        <w:t>D</w:t>
      </w:r>
      <w:r w:rsidR="00067162">
        <w:rPr>
          <w:rFonts w:eastAsia="MS Minngs"/>
        </w:rPr>
        <w:t>irector</w:t>
      </w:r>
    </w:p>
    <w:p w14:paraId="24A40901" w14:textId="63D40577" w:rsidR="006B350F" w:rsidRPr="004C6D0F" w:rsidRDefault="006B350F" w:rsidP="006B350F">
      <w:pPr>
        <w:rPr>
          <w:rFonts w:eastAsia="MS Minngs"/>
        </w:rPr>
      </w:pPr>
      <w:r w:rsidRPr="004C6D0F">
        <w:rPr>
          <w:rFonts w:eastAsia="MS Minngs"/>
        </w:rPr>
        <w:t>Civil Justice Access and Eq</w:t>
      </w:r>
      <w:r w:rsidR="00067162">
        <w:rPr>
          <w:rFonts w:eastAsia="MS Minngs"/>
        </w:rPr>
        <w:t>uity</w:t>
      </w:r>
    </w:p>
    <w:p w14:paraId="43FA256F" w14:textId="244ED983" w:rsidR="006B350F" w:rsidRPr="004C6D0F" w:rsidRDefault="00067162" w:rsidP="006B350F">
      <w:pPr>
        <w:rPr>
          <w:rFonts w:eastAsia="MS Minngs"/>
        </w:rPr>
      </w:pPr>
      <w:r>
        <w:rPr>
          <w:rFonts w:eastAsia="MS Minngs"/>
        </w:rPr>
        <w:t>(03) 9269 0691</w:t>
      </w:r>
    </w:p>
    <w:p w14:paraId="6E7AE465" w14:textId="1A5B6D75" w:rsidR="006B350F" w:rsidRPr="004C6D0F" w:rsidRDefault="00074A4B" w:rsidP="006B350F">
      <w:pPr>
        <w:rPr>
          <w:rFonts w:eastAsia="MS Minngs"/>
          <w:b/>
          <w:bCs/>
        </w:rPr>
      </w:pPr>
      <w:r>
        <w:rPr>
          <w:rFonts w:eastAsia="MS Minngs"/>
        </w:rPr>
        <w:t>Kristen.H</w:t>
      </w:r>
      <w:r w:rsidR="00067162">
        <w:rPr>
          <w:rFonts w:eastAsia="MS Minngs"/>
        </w:rPr>
        <w:t>ilton@vla.vic.gov.au</w:t>
      </w:r>
      <w:r w:rsidR="006B350F" w:rsidRPr="004C6D0F">
        <w:rPr>
          <w:rFonts w:eastAsia="MS Minngs"/>
          <w:b/>
          <w:bCs/>
        </w:rPr>
        <w:t xml:space="preserve"> </w:t>
      </w:r>
    </w:p>
    <w:p w14:paraId="33985FB8" w14:textId="77777777" w:rsidR="006B350F" w:rsidRPr="006B350F" w:rsidRDefault="006B350F" w:rsidP="006B350F">
      <w:pPr>
        <w:rPr>
          <w:lang w:eastAsia="en-AU"/>
        </w:rPr>
      </w:pPr>
    </w:p>
    <w:p w14:paraId="112A1ECE" w14:textId="77777777" w:rsidR="00067162" w:rsidRPr="004C6D0F" w:rsidRDefault="00067162" w:rsidP="00067162">
      <w:pPr>
        <w:rPr>
          <w:rFonts w:eastAsia="MS Minngs"/>
        </w:rPr>
      </w:pPr>
      <w:r>
        <w:rPr>
          <w:rFonts w:eastAsia="MS Minngs"/>
        </w:rPr>
        <w:t>Joel Townsend</w:t>
      </w:r>
      <w:r w:rsidRPr="004C6D0F">
        <w:rPr>
          <w:rFonts w:eastAsia="MS Minngs"/>
        </w:rPr>
        <w:t xml:space="preserve"> </w:t>
      </w:r>
    </w:p>
    <w:p w14:paraId="5E7721FF" w14:textId="77777777" w:rsidR="00067162" w:rsidRDefault="00067162" w:rsidP="00067162">
      <w:pPr>
        <w:rPr>
          <w:rFonts w:eastAsia="MS Minngs"/>
        </w:rPr>
      </w:pPr>
      <w:r>
        <w:rPr>
          <w:rFonts w:eastAsia="MS Minngs"/>
        </w:rPr>
        <w:t>Program Manager, Social Inclusion</w:t>
      </w:r>
    </w:p>
    <w:p w14:paraId="69D2F341" w14:textId="1B602575" w:rsidR="00067162" w:rsidRPr="004C6D0F" w:rsidRDefault="00067162" w:rsidP="00067162">
      <w:pPr>
        <w:rPr>
          <w:rFonts w:eastAsia="MS Minngs"/>
        </w:rPr>
      </w:pPr>
      <w:r w:rsidRPr="004C6D0F">
        <w:rPr>
          <w:rFonts w:eastAsia="MS Minngs"/>
        </w:rPr>
        <w:t xml:space="preserve">Civil Justice Program </w:t>
      </w:r>
    </w:p>
    <w:p w14:paraId="063C90AE" w14:textId="77777777" w:rsidR="00067162" w:rsidRPr="004C6D0F" w:rsidRDefault="00067162" w:rsidP="00067162">
      <w:pPr>
        <w:rPr>
          <w:rFonts w:eastAsia="MS Minngs"/>
        </w:rPr>
      </w:pPr>
      <w:r w:rsidRPr="004C6D0F">
        <w:rPr>
          <w:rFonts w:eastAsia="MS Minngs"/>
        </w:rPr>
        <w:t>(03) 9269 0</w:t>
      </w:r>
      <w:r>
        <w:rPr>
          <w:rFonts w:eastAsia="MS Minngs"/>
        </w:rPr>
        <w:t>442</w:t>
      </w:r>
    </w:p>
    <w:p w14:paraId="22B682EE" w14:textId="61EDA902" w:rsidR="006B350F" w:rsidRPr="00067162" w:rsidRDefault="00067162" w:rsidP="006B350F">
      <w:pPr>
        <w:rPr>
          <w:rFonts w:eastAsia="MS Minngs"/>
          <w:b/>
          <w:bCs/>
        </w:rPr>
      </w:pPr>
      <w:r>
        <w:rPr>
          <w:rFonts w:eastAsia="MS Minngs"/>
          <w:bCs/>
        </w:rPr>
        <w:t>Joel.Townsend</w:t>
      </w:r>
      <w:r w:rsidRPr="004C6D0F">
        <w:rPr>
          <w:rFonts w:eastAsia="MS Minngs"/>
          <w:bCs/>
        </w:rPr>
        <w:t>@vla.vic.gov.au</w:t>
      </w:r>
      <w:r w:rsidRPr="004C6D0F">
        <w:rPr>
          <w:rFonts w:eastAsia="MS Minngs"/>
          <w:b/>
          <w:bCs/>
        </w:rPr>
        <w:t xml:space="preserve"> </w:t>
      </w:r>
    </w:p>
    <w:p w14:paraId="3C12F998" w14:textId="77777777" w:rsidR="00067162" w:rsidRDefault="00067162">
      <w:pPr>
        <w:spacing w:after="0" w:line="240" w:lineRule="auto"/>
        <w:rPr>
          <w:rFonts w:cs="Arial"/>
          <w:b/>
          <w:bCs/>
          <w:color w:val="971A4B"/>
          <w:kern w:val="32"/>
          <w:sz w:val="32"/>
          <w:szCs w:val="32"/>
          <w:lang w:eastAsia="en-AU"/>
        </w:rPr>
      </w:pPr>
      <w:r>
        <w:br w:type="page"/>
      </w:r>
    </w:p>
    <w:p w14:paraId="2912AA20" w14:textId="35396845" w:rsidR="008F092D" w:rsidRDefault="008F092D" w:rsidP="008F092D">
      <w:pPr>
        <w:pStyle w:val="Heading1"/>
      </w:pPr>
      <w:r>
        <w:lastRenderedPageBreak/>
        <w:t xml:space="preserve">Executive </w:t>
      </w:r>
      <w:r w:rsidR="00067162">
        <w:t>s</w:t>
      </w:r>
      <w:r>
        <w:t>ummary</w:t>
      </w:r>
    </w:p>
    <w:p w14:paraId="4C15588E" w14:textId="77777777" w:rsidR="002C128D" w:rsidRDefault="001F6604" w:rsidP="00A6793B">
      <w:pPr>
        <w:rPr>
          <w:szCs w:val="22"/>
        </w:rPr>
      </w:pPr>
      <w:r w:rsidRPr="005E118C">
        <w:rPr>
          <w:szCs w:val="22"/>
        </w:rPr>
        <w:t>Demand</w:t>
      </w:r>
      <w:r w:rsidR="00A6793B" w:rsidRPr="005E118C">
        <w:rPr>
          <w:szCs w:val="22"/>
        </w:rPr>
        <w:t xml:space="preserve"> for housing in Victoria is increasing and private rental is becoming less affordable, particularly for low-income households.</w:t>
      </w:r>
      <w:r w:rsidR="00A6793B" w:rsidRPr="005E118C">
        <w:rPr>
          <w:rStyle w:val="FootnoteReference"/>
          <w:sz w:val="22"/>
          <w:szCs w:val="22"/>
        </w:rPr>
        <w:footnoteReference w:id="1"/>
      </w:r>
      <w:r w:rsidR="00A6793B" w:rsidRPr="005E118C">
        <w:rPr>
          <w:szCs w:val="22"/>
        </w:rPr>
        <w:t xml:space="preserve"> </w:t>
      </w:r>
      <w:r w:rsidR="004B7B80" w:rsidRPr="005E118C">
        <w:rPr>
          <w:szCs w:val="22"/>
        </w:rPr>
        <w:t>In Victoria t</w:t>
      </w:r>
      <w:r w:rsidR="00A6793B" w:rsidRPr="005E118C">
        <w:rPr>
          <w:szCs w:val="22"/>
        </w:rPr>
        <w:t xml:space="preserve">here are currently </w:t>
      </w:r>
      <w:r w:rsidR="00413983" w:rsidRPr="005E118C">
        <w:rPr>
          <w:szCs w:val="22"/>
        </w:rPr>
        <w:t>34,464</w:t>
      </w:r>
      <w:r w:rsidR="00A6793B" w:rsidRPr="005E118C">
        <w:rPr>
          <w:szCs w:val="22"/>
        </w:rPr>
        <w:t xml:space="preserve"> people on the public housing wait list</w:t>
      </w:r>
      <w:r w:rsidR="004B7B80" w:rsidRPr="005E118C">
        <w:rPr>
          <w:szCs w:val="22"/>
        </w:rPr>
        <w:t>,</w:t>
      </w:r>
      <w:r w:rsidR="00A6793B" w:rsidRPr="005E118C">
        <w:rPr>
          <w:rStyle w:val="FootnoteReference"/>
          <w:sz w:val="22"/>
          <w:szCs w:val="22"/>
        </w:rPr>
        <w:footnoteReference w:id="2"/>
      </w:r>
      <w:r w:rsidR="00A6793B" w:rsidRPr="005E118C">
        <w:rPr>
          <w:szCs w:val="22"/>
        </w:rPr>
        <w:t xml:space="preserve"> and research has shown that legal problems in the area of housing can cause stress-related illness, physical ill health, relationship breakdown and financial strain.</w:t>
      </w:r>
      <w:r w:rsidR="00A6793B" w:rsidRPr="005E118C">
        <w:rPr>
          <w:rStyle w:val="FootnoteReference"/>
          <w:sz w:val="22"/>
          <w:szCs w:val="22"/>
        </w:rPr>
        <w:footnoteReference w:id="3"/>
      </w:r>
      <w:r w:rsidR="00A6793B" w:rsidRPr="005E118C">
        <w:rPr>
          <w:rStyle w:val="FootnoteReference"/>
          <w:sz w:val="22"/>
          <w:szCs w:val="22"/>
        </w:rPr>
        <w:t xml:space="preserve"> </w:t>
      </w:r>
      <w:r w:rsidR="00A6793B" w:rsidRPr="005E118C">
        <w:rPr>
          <w:szCs w:val="22"/>
        </w:rPr>
        <w:t>It is well understood that housing issues can also lead to other legal problems.</w:t>
      </w:r>
      <w:r w:rsidR="00A0742A">
        <w:rPr>
          <w:szCs w:val="22"/>
        </w:rPr>
        <w:t xml:space="preserve"> </w:t>
      </w:r>
    </w:p>
    <w:p w14:paraId="69F30BA3" w14:textId="77777777" w:rsidR="006B350F" w:rsidRPr="002C128D" w:rsidRDefault="00A0742A" w:rsidP="002C128D">
      <w:pPr>
        <w:rPr>
          <w:szCs w:val="22"/>
        </w:rPr>
      </w:pPr>
      <w:r>
        <w:rPr>
          <w:szCs w:val="22"/>
        </w:rPr>
        <w:t>VLA supports reforms to the</w:t>
      </w:r>
      <w:r w:rsidR="006B350F" w:rsidRPr="005E118C">
        <w:rPr>
          <w:szCs w:val="22"/>
        </w:rPr>
        <w:t xml:space="preserve"> </w:t>
      </w:r>
      <w:r w:rsidRPr="005E118C">
        <w:rPr>
          <w:i/>
          <w:szCs w:val="22"/>
        </w:rPr>
        <w:t>Residential Tenancies Act 1997</w:t>
      </w:r>
      <w:r w:rsidRPr="005E118C">
        <w:rPr>
          <w:szCs w:val="22"/>
        </w:rPr>
        <w:t xml:space="preserve"> (RTA) </w:t>
      </w:r>
      <w:r>
        <w:rPr>
          <w:szCs w:val="22"/>
        </w:rPr>
        <w:t xml:space="preserve">to ensure that </w:t>
      </w:r>
      <w:r w:rsidR="00A6793B" w:rsidRPr="005E118C">
        <w:rPr>
          <w:szCs w:val="22"/>
        </w:rPr>
        <w:t>tenancies are managed sustainably and eviction</w:t>
      </w:r>
      <w:r w:rsidR="00026AA1" w:rsidRPr="005E118C">
        <w:rPr>
          <w:szCs w:val="22"/>
        </w:rPr>
        <w:t xml:space="preserve">s </w:t>
      </w:r>
      <w:r w:rsidR="006B350F" w:rsidRPr="005E118C">
        <w:rPr>
          <w:szCs w:val="22"/>
        </w:rPr>
        <w:t xml:space="preserve">occur </w:t>
      </w:r>
      <w:r w:rsidR="00026AA1" w:rsidRPr="005E118C">
        <w:rPr>
          <w:szCs w:val="22"/>
        </w:rPr>
        <w:t xml:space="preserve">only </w:t>
      </w:r>
      <w:r>
        <w:rPr>
          <w:szCs w:val="22"/>
        </w:rPr>
        <w:t>as a last resort.</w:t>
      </w:r>
      <w:r w:rsidR="002C128D">
        <w:rPr>
          <w:szCs w:val="22"/>
        </w:rPr>
        <w:t xml:space="preserve"> </w:t>
      </w:r>
      <w:r w:rsidR="005E118C" w:rsidRPr="005E118C">
        <w:rPr>
          <w:rFonts w:cs="Arial"/>
          <w:szCs w:val="22"/>
        </w:rPr>
        <w:t xml:space="preserve">This submission outlines reforms aimed </w:t>
      </w:r>
      <w:r w:rsidR="006B350F" w:rsidRPr="005E118C">
        <w:rPr>
          <w:rFonts w:cs="Arial"/>
          <w:szCs w:val="22"/>
        </w:rPr>
        <w:t xml:space="preserve">to maintain tenancies, prevent </w:t>
      </w:r>
      <w:r w:rsidR="000A34D0" w:rsidRPr="005E118C">
        <w:rPr>
          <w:rFonts w:cs="Arial"/>
          <w:szCs w:val="22"/>
        </w:rPr>
        <w:t xml:space="preserve">arbitrary and unlawful </w:t>
      </w:r>
      <w:r w:rsidR="006B350F" w:rsidRPr="005E118C">
        <w:rPr>
          <w:rFonts w:cs="Arial"/>
          <w:szCs w:val="22"/>
        </w:rPr>
        <w:t>evictions and improve</w:t>
      </w:r>
      <w:r w:rsidR="005E118C" w:rsidRPr="005E118C">
        <w:rPr>
          <w:rFonts w:cs="Arial"/>
          <w:szCs w:val="22"/>
        </w:rPr>
        <w:t xml:space="preserve"> VCAT decision-making. This submission</w:t>
      </w:r>
      <w:r w:rsidR="006B350F" w:rsidRPr="005E118C">
        <w:rPr>
          <w:rFonts w:cs="Arial"/>
          <w:szCs w:val="22"/>
        </w:rPr>
        <w:t xml:space="preserve"> is informed by our practice experience providing </w:t>
      </w:r>
      <w:r w:rsidR="005E118C" w:rsidRPr="005E118C">
        <w:rPr>
          <w:rFonts w:cs="Arial"/>
          <w:szCs w:val="22"/>
        </w:rPr>
        <w:t xml:space="preserve">legal </w:t>
      </w:r>
      <w:r w:rsidR="006B350F" w:rsidRPr="005E118C">
        <w:rPr>
          <w:rFonts w:cs="Arial"/>
          <w:szCs w:val="22"/>
        </w:rPr>
        <w:t>advice and representation to tenants facing social and economic disadvantage and marginalisation</w:t>
      </w:r>
      <w:r w:rsidR="000A34D0" w:rsidRPr="005E118C">
        <w:rPr>
          <w:rFonts w:cs="Arial"/>
          <w:szCs w:val="22"/>
        </w:rPr>
        <w:t xml:space="preserve"> in Victoria</w:t>
      </w:r>
      <w:r w:rsidR="006B350F" w:rsidRPr="005E118C">
        <w:rPr>
          <w:rFonts w:cs="Arial"/>
          <w:szCs w:val="22"/>
        </w:rPr>
        <w:t xml:space="preserve">. </w:t>
      </w:r>
    </w:p>
    <w:p w14:paraId="2C125411" w14:textId="77777777" w:rsidR="008F092D" w:rsidRDefault="008F092D" w:rsidP="008F092D">
      <w:pPr>
        <w:pStyle w:val="Heading1"/>
      </w:pPr>
      <w:r>
        <w:t>Summary of recommendations</w:t>
      </w:r>
    </w:p>
    <w:p w14:paraId="08C3ABDA" w14:textId="356FFE92" w:rsidR="00067162" w:rsidRPr="00067162" w:rsidRDefault="00067162" w:rsidP="00067162">
      <w:pPr>
        <w:pStyle w:val="Heading2"/>
      </w:pPr>
      <w:r>
        <w:t>Principles and Objectives</w:t>
      </w:r>
    </w:p>
    <w:p w14:paraId="3C1C22FE" w14:textId="38B25D64" w:rsidR="00D15C63" w:rsidRDefault="003B2FE9" w:rsidP="003B2FE9">
      <w:pPr>
        <w:rPr>
          <w:lang w:eastAsia="en-AU"/>
        </w:rPr>
      </w:pPr>
      <w:r>
        <w:rPr>
          <w:b/>
          <w:lang w:eastAsia="en-AU"/>
        </w:rPr>
        <w:t xml:space="preserve">Recommendation 1: </w:t>
      </w:r>
      <w:r>
        <w:rPr>
          <w:lang w:eastAsia="en-AU"/>
        </w:rPr>
        <w:t>Review the principles and objectives underpinning the current RTA to more adequately reflect the importance of home for tenants.</w:t>
      </w:r>
    </w:p>
    <w:p w14:paraId="4D731C18" w14:textId="3AC0C5F6" w:rsidR="003B2FE9" w:rsidRPr="003B2FE9" w:rsidRDefault="003B2FE9" w:rsidP="003B2FE9">
      <w:pPr>
        <w:pStyle w:val="Heading2"/>
      </w:pPr>
      <w:r w:rsidRPr="003B2FE9">
        <w:t>Maintaining Tenancies</w:t>
      </w:r>
    </w:p>
    <w:p w14:paraId="729C370A" w14:textId="77777777" w:rsidR="003B2FE9" w:rsidRDefault="003B2FE9" w:rsidP="003B2FE9">
      <w:pPr>
        <w:rPr>
          <w:lang w:eastAsia="en-AU"/>
        </w:rPr>
      </w:pPr>
      <w:r>
        <w:rPr>
          <w:b/>
          <w:lang w:eastAsia="en-AU"/>
        </w:rPr>
        <w:t xml:space="preserve">Recommendation 2: </w:t>
      </w:r>
    </w:p>
    <w:p w14:paraId="6DF87909" w14:textId="77777777" w:rsidR="003B2FE9" w:rsidRDefault="003B2FE9" w:rsidP="003B2FE9">
      <w:pPr>
        <w:pStyle w:val="ListParagraph"/>
        <w:numPr>
          <w:ilvl w:val="0"/>
          <w:numId w:val="46"/>
        </w:numPr>
        <w:ind w:hanging="720"/>
        <w:rPr>
          <w:lang w:eastAsia="en-AU"/>
        </w:rPr>
      </w:pPr>
      <w:r>
        <w:rPr>
          <w:lang w:eastAsia="en-AU"/>
        </w:rPr>
        <w:t>Introduce minimum standards for all rental properties.</w:t>
      </w:r>
    </w:p>
    <w:p w14:paraId="70484F85" w14:textId="77777777" w:rsidR="003B2FE9" w:rsidRPr="003B2FE9" w:rsidRDefault="003B2FE9" w:rsidP="003B2FE9">
      <w:pPr>
        <w:pStyle w:val="ListParagraph"/>
        <w:numPr>
          <w:ilvl w:val="0"/>
          <w:numId w:val="46"/>
        </w:numPr>
        <w:ind w:hanging="720"/>
        <w:rPr>
          <w:lang w:eastAsia="en-AU"/>
        </w:rPr>
      </w:pPr>
      <w:r>
        <w:rPr>
          <w:lang w:eastAsia="en-AU"/>
        </w:rPr>
        <w:t>Consider amending the RTA to:</w:t>
      </w:r>
    </w:p>
    <w:p w14:paraId="211F87E5" w14:textId="77777777" w:rsidR="003B2FE9" w:rsidRDefault="003B2FE9" w:rsidP="003B2FE9">
      <w:pPr>
        <w:pStyle w:val="ListParagraph"/>
        <w:numPr>
          <w:ilvl w:val="0"/>
          <w:numId w:val="47"/>
        </w:numPr>
        <w:rPr>
          <w:b/>
          <w:lang w:eastAsia="en-AU"/>
        </w:rPr>
      </w:pPr>
      <w:r>
        <w:rPr>
          <w:lang w:eastAsia="en-AU"/>
        </w:rPr>
        <w:t>enable the condition report to be considered a request for repairs;</w:t>
      </w:r>
    </w:p>
    <w:p w14:paraId="51AD294B" w14:textId="77777777" w:rsidR="003B2FE9" w:rsidRDefault="003B2FE9" w:rsidP="003B2FE9">
      <w:pPr>
        <w:pStyle w:val="ListParagraph"/>
        <w:numPr>
          <w:ilvl w:val="0"/>
          <w:numId w:val="47"/>
        </w:numPr>
        <w:rPr>
          <w:b/>
          <w:lang w:eastAsia="en-AU"/>
        </w:rPr>
      </w:pPr>
      <w:r>
        <w:rPr>
          <w:lang w:eastAsia="en-AU"/>
        </w:rPr>
        <w:t>provide that non-urgent repairs must be attended to within two weeks; and</w:t>
      </w:r>
    </w:p>
    <w:p w14:paraId="7B15F88F" w14:textId="77777777" w:rsidR="003B2FE9" w:rsidRDefault="003B2FE9" w:rsidP="003B2FE9">
      <w:pPr>
        <w:pStyle w:val="ListParagraph"/>
        <w:numPr>
          <w:ilvl w:val="0"/>
          <w:numId w:val="47"/>
        </w:numPr>
        <w:rPr>
          <w:b/>
          <w:lang w:eastAsia="en-AU"/>
        </w:rPr>
      </w:pPr>
      <w:r>
        <w:rPr>
          <w:lang w:eastAsia="en-AU"/>
        </w:rPr>
        <w:t>introduce a mechanism for rent to be paid into the special account from the time a request for repairs is made and not released until any pending compensation claim is heard.</w:t>
      </w:r>
    </w:p>
    <w:p w14:paraId="10772F55" w14:textId="14ED8FBF" w:rsidR="003B2FE9" w:rsidRDefault="003B2FE9" w:rsidP="003B2FE9">
      <w:pPr>
        <w:pStyle w:val="ListParagraph"/>
        <w:numPr>
          <w:ilvl w:val="0"/>
          <w:numId w:val="46"/>
        </w:numPr>
        <w:ind w:hanging="720"/>
        <w:rPr>
          <w:lang w:eastAsia="en-AU"/>
        </w:rPr>
      </w:pPr>
      <w:r>
        <w:rPr>
          <w:lang w:eastAsia="en-AU"/>
        </w:rPr>
        <w:t>Amend the RTA to include a legal obligation that a landlord, or their agent, notify any tenant that contacts them about repairs, about how to go about seeking repairs.</w:t>
      </w:r>
    </w:p>
    <w:p w14:paraId="2AF313CE" w14:textId="77777777" w:rsidR="003B2FE9" w:rsidRDefault="003B2FE9" w:rsidP="003B2FE9">
      <w:pPr>
        <w:rPr>
          <w:lang w:eastAsia="en-AU"/>
        </w:rPr>
      </w:pPr>
      <w:r w:rsidRPr="003B2FE9">
        <w:rPr>
          <w:b/>
          <w:lang w:eastAsia="en-AU"/>
        </w:rPr>
        <w:t>Recommendation 3</w:t>
      </w:r>
      <w:r>
        <w:rPr>
          <w:lang w:eastAsia="en-AU"/>
        </w:rPr>
        <w:t xml:space="preserve">: Amend the VCAT Act to remove application fees for tenants in RTA matters and to remove the discretion to order tenants to reimburse landlord fees.    </w:t>
      </w:r>
    </w:p>
    <w:p w14:paraId="4A4B8D3E" w14:textId="0D4F6FDA" w:rsidR="003B2FE9" w:rsidRDefault="003B2FE9" w:rsidP="003B2FE9">
      <w:pPr>
        <w:rPr>
          <w:lang w:eastAsia="en-AU"/>
        </w:rPr>
      </w:pPr>
      <w:r w:rsidRPr="003B2FE9">
        <w:rPr>
          <w:b/>
          <w:lang w:eastAsia="en-AU"/>
        </w:rPr>
        <w:t>Recommendation 4:</w:t>
      </w:r>
      <w:r>
        <w:rPr>
          <w:lang w:eastAsia="en-AU"/>
        </w:rPr>
        <w:t xml:space="preserve"> Provide legislated funding for Social Housing Advocacy and Support Pr</w:t>
      </w:r>
      <w:r>
        <w:rPr>
          <w:lang w:eastAsia="en-AU"/>
        </w:rPr>
        <w:t>ograms.</w:t>
      </w:r>
    </w:p>
    <w:p w14:paraId="4F766155" w14:textId="77777777" w:rsidR="003B2FE9" w:rsidRDefault="003B2FE9" w:rsidP="003B2FE9">
      <w:pPr>
        <w:rPr>
          <w:lang w:eastAsia="en-AU"/>
        </w:rPr>
      </w:pPr>
      <w:r w:rsidRPr="003B2FE9">
        <w:rPr>
          <w:b/>
          <w:lang w:eastAsia="en-AU"/>
        </w:rPr>
        <w:t>Recommendation 5</w:t>
      </w:r>
      <w:r>
        <w:rPr>
          <w:lang w:eastAsia="en-AU"/>
        </w:rPr>
        <w:t>: Amend the RTA to provide that its protections apply where two parties have intended to create a residential tenancy relationship even if the tenant does not have exclusive possession. Preserve the reverse onus contained within the RTA.</w:t>
      </w:r>
    </w:p>
    <w:p w14:paraId="0B80E39B" w14:textId="77777777" w:rsidR="003B2FE9" w:rsidRDefault="003B2FE9" w:rsidP="003B2FE9">
      <w:pPr>
        <w:rPr>
          <w:lang w:eastAsia="en-AU"/>
        </w:rPr>
      </w:pPr>
      <w:r w:rsidRPr="003B2FE9">
        <w:rPr>
          <w:b/>
          <w:lang w:eastAsia="en-AU"/>
        </w:rPr>
        <w:t>Recommendation 6</w:t>
      </w:r>
      <w:r>
        <w:rPr>
          <w:lang w:eastAsia="en-AU"/>
        </w:rPr>
        <w:t>: Amend the RTA to allow for a co-tenant to be removed from the lease whether it is of a fixed term or periodic.</w:t>
      </w:r>
    </w:p>
    <w:p w14:paraId="6AA87019" w14:textId="77777777" w:rsidR="003B2FE9" w:rsidRDefault="003B2FE9" w:rsidP="003B2FE9">
      <w:pPr>
        <w:rPr>
          <w:lang w:eastAsia="en-AU"/>
        </w:rPr>
      </w:pPr>
      <w:r w:rsidRPr="003B2FE9">
        <w:rPr>
          <w:b/>
          <w:lang w:eastAsia="en-AU"/>
        </w:rPr>
        <w:t>Recommendation 7</w:t>
      </w:r>
      <w:r>
        <w:rPr>
          <w:lang w:eastAsia="en-AU"/>
        </w:rPr>
        <w:t>: Amend the RTA to enable apportionment of liability between co-tenants.</w:t>
      </w:r>
    </w:p>
    <w:p w14:paraId="5AE15129" w14:textId="1EB632DE" w:rsidR="003B2FE9" w:rsidRDefault="003B2FE9" w:rsidP="003B2FE9">
      <w:pPr>
        <w:rPr>
          <w:lang w:eastAsia="en-AU"/>
        </w:rPr>
      </w:pPr>
      <w:r w:rsidRPr="003B2FE9">
        <w:rPr>
          <w:b/>
          <w:lang w:eastAsia="en-AU"/>
        </w:rPr>
        <w:lastRenderedPageBreak/>
        <w:t>Recommendation 8</w:t>
      </w:r>
      <w:r>
        <w:rPr>
          <w:lang w:eastAsia="en-AU"/>
        </w:rPr>
        <w:t>: Amend blacklisting provisions such as the definition of “inaccurate” and “out of date” in section 439A so that the words “or tenant becomes aware of the deb</w:t>
      </w:r>
      <w:r>
        <w:rPr>
          <w:lang w:eastAsia="en-AU"/>
        </w:rPr>
        <w:t>t” follow “3 months after due”.</w:t>
      </w:r>
    </w:p>
    <w:p w14:paraId="3F65B438" w14:textId="10F3892F" w:rsidR="003B2FE9" w:rsidRDefault="003B2FE9" w:rsidP="003B2FE9">
      <w:pPr>
        <w:rPr>
          <w:lang w:eastAsia="en-AU"/>
        </w:rPr>
      </w:pPr>
      <w:r w:rsidRPr="003B2FE9">
        <w:rPr>
          <w:b/>
          <w:lang w:eastAsia="en-AU"/>
        </w:rPr>
        <w:t>Recommendation 9</w:t>
      </w:r>
      <w:r>
        <w:rPr>
          <w:lang w:eastAsia="en-AU"/>
        </w:rPr>
        <w:t>: Amend the RTA’s compensation provisions to provide clearer categories for loss, with the inclusion of a category for inconvenience.</w:t>
      </w:r>
    </w:p>
    <w:p w14:paraId="4ECA3083" w14:textId="2B30EA37" w:rsidR="003B2FE9" w:rsidRDefault="003B2FE9" w:rsidP="003B2FE9">
      <w:pPr>
        <w:pStyle w:val="Heading2"/>
      </w:pPr>
      <w:r w:rsidRPr="003B2FE9">
        <w:t>Preventing unreasonable and arbitrary evictions</w:t>
      </w:r>
    </w:p>
    <w:p w14:paraId="57BF14AE" w14:textId="77777777" w:rsidR="003B2FE9" w:rsidRDefault="003B2FE9" w:rsidP="003B2FE9">
      <w:pPr>
        <w:rPr>
          <w:lang w:eastAsia="en-AU"/>
        </w:rPr>
      </w:pPr>
      <w:r w:rsidRPr="003B2FE9">
        <w:rPr>
          <w:b/>
          <w:lang w:eastAsia="en-AU"/>
        </w:rPr>
        <w:t>Recommendation 10</w:t>
      </w:r>
      <w:r>
        <w:rPr>
          <w:lang w:eastAsia="en-AU"/>
        </w:rPr>
        <w:t xml:space="preserve">: Abolish notices to vacate for no specified reason. Alternatively, abolish these notices for social housing providers and amend the notice period to 12 months for private rentals. </w:t>
      </w:r>
    </w:p>
    <w:p w14:paraId="588944D4" w14:textId="7C4573AD" w:rsidR="003B2FE9" w:rsidRDefault="003B2FE9" w:rsidP="003B2FE9">
      <w:pPr>
        <w:rPr>
          <w:lang w:eastAsia="en-AU"/>
        </w:rPr>
      </w:pPr>
      <w:r w:rsidRPr="003B2FE9">
        <w:rPr>
          <w:b/>
          <w:lang w:eastAsia="en-AU"/>
        </w:rPr>
        <w:t>Recommendation 11</w:t>
      </w:r>
      <w:r w:rsidR="00755CA6">
        <w:rPr>
          <w:lang w:eastAsia="en-AU"/>
        </w:rPr>
        <w:t>:</w:t>
      </w:r>
      <w:r>
        <w:rPr>
          <w:lang w:eastAsia="en-AU"/>
        </w:rPr>
        <w:t xml:space="preserve"> Initial compliance orders should be limited to 6 months before lapsing. Only where subsequent orders are needed should there be discretion for them to be extended for a period of up to 12 months. Tribunal members should be given more flexibility when determining whether a tenant should be evicted. Section 332 of the RTA does not provide this flexibility. Section 332 (1) (b) should be amended so that each of the subsections are alternative bases on which a possession order can be refused.</w:t>
      </w:r>
    </w:p>
    <w:p w14:paraId="25226F41" w14:textId="77777777" w:rsidR="003B2FE9" w:rsidRPr="003B2FE9" w:rsidRDefault="003B2FE9" w:rsidP="003B2FE9">
      <w:pPr>
        <w:rPr>
          <w:b/>
          <w:lang w:eastAsia="en-AU"/>
        </w:rPr>
      </w:pPr>
      <w:r w:rsidRPr="003B2FE9">
        <w:rPr>
          <w:b/>
          <w:lang w:eastAsia="en-AU"/>
        </w:rPr>
        <w:t>Recommendation 12</w:t>
      </w:r>
      <w:r w:rsidRPr="00755CA6">
        <w:rPr>
          <w:lang w:eastAsia="en-AU"/>
        </w:rPr>
        <w:t>:</w:t>
      </w:r>
      <w:r w:rsidRPr="003B2FE9">
        <w:rPr>
          <w:b/>
          <w:lang w:eastAsia="en-AU"/>
        </w:rPr>
        <w:t xml:space="preserve"> </w:t>
      </w:r>
    </w:p>
    <w:p w14:paraId="3512DC38" w14:textId="13EA4F14" w:rsidR="003B2FE9" w:rsidRDefault="003B2FE9" w:rsidP="003B2FE9">
      <w:pPr>
        <w:pStyle w:val="ListParagraph"/>
        <w:numPr>
          <w:ilvl w:val="0"/>
          <w:numId w:val="48"/>
        </w:numPr>
        <w:ind w:hanging="720"/>
        <w:rPr>
          <w:lang w:eastAsia="en-AU"/>
        </w:rPr>
      </w:pPr>
      <w:r>
        <w:rPr>
          <w:lang w:eastAsia="en-AU"/>
        </w:rPr>
        <w:t xml:space="preserve">Insert a requirement into the RTA for landlords to attempt to negotiate a repayment plan with tenants prior to making an application for a possession order on the basis of rental arrears. </w:t>
      </w:r>
    </w:p>
    <w:p w14:paraId="2F970E63" w14:textId="4BCE5DBC" w:rsidR="003B2FE9" w:rsidRDefault="003B2FE9" w:rsidP="003B2FE9">
      <w:pPr>
        <w:pStyle w:val="ListParagraph"/>
        <w:numPr>
          <w:ilvl w:val="0"/>
          <w:numId w:val="48"/>
        </w:numPr>
        <w:ind w:hanging="720"/>
        <w:rPr>
          <w:lang w:eastAsia="en-AU"/>
        </w:rPr>
      </w:pPr>
      <w:r>
        <w:rPr>
          <w:lang w:eastAsia="en-AU"/>
        </w:rPr>
        <w:t xml:space="preserve">Insert a provision into the RTA that a notice to vacate is not valid or of no effect if rent is paid within 14 days of it being issued. </w:t>
      </w:r>
    </w:p>
    <w:p w14:paraId="510FAEBA" w14:textId="1456E000" w:rsidR="003B2FE9" w:rsidRDefault="003B2FE9" w:rsidP="003B2FE9">
      <w:pPr>
        <w:pStyle w:val="ListParagraph"/>
        <w:numPr>
          <w:ilvl w:val="0"/>
          <w:numId w:val="48"/>
        </w:numPr>
        <w:ind w:hanging="720"/>
        <w:rPr>
          <w:lang w:eastAsia="en-AU"/>
        </w:rPr>
      </w:pPr>
      <w:r>
        <w:rPr>
          <w:lang w:eastAsia="en-AU"/>
        </w:rPr>
        <w:t>A</w:t>
      </w:r>
      <w:r>
        <w:rPr>
          <w:lang w:eastAsia="en-AU"/>
        </w:rPr>
        <w:t xml:space="preserve">mend the RTA to create a right for tenants to an urgent hearing before VCAT to invalidate an application or warrant for possession if rental arrears are paid in full prior to the application being heard or the warrant being executed.    </w:t>
      </w:r>
    </w:p>
    <w:p w14:paraId="61125591" w14:textId="61AEE957" w:rsidR="003B2FE9" w:rsidRDefault="003B2FE9" w:rsidP="003B2FE9">
      <w:pPr>
        <w:rPr>
          <w:lang w:eastAsia="en-AU"/>
        </w:rPr>
      </w:pPr>
      <w:r w:rsidRPr="003B2FE9">
        <w:rPr>
          <w:b/>
          <w:lang w:eastAsia="en-AU"/>
        </w:rPr>
        <w:t>Recommendation 13</w:t>
      </w:r>
      <w:r>
        <w:rPr>
          <w:lang w:eastAsia="en-AU"/>
        </w:rPr>
        <w:t>: Amend the RTA to reflect that VCAT must not make a possession order unless it is reasonable and proportionate in the circumstances, taking into account hardship to the tenant.</w:t>
      </w:r>
    </w:p>
    <w:p w14:paraId="17F9C4E6" w14:textId="424938D6" w:rsidR="00755CA6" w:rsidRDefault="00755CA6" w:rsidP="00755CA6">
      <w:pPr>
        <w:pStyle w:val="Heading2"/>
      </w:pPr>
      <w:r>
        <w:t>Improving VCAT decision making</w:t>
      </w:r>
    </w:p>
    <w:p w14:paraId="5DDAC901" w14:textId="77777777" w:rsidR="00755CA6" w:rsidRDefault="00755CA6" w:rsidP="00755CA6">
      <w:pPr>
        <w:rPr>
          <w:lang w:eastAsia="en-AU"/>
        </w:rPr>
      </w:pPr>
      <w:r w:rsidRPr="00755CA6">
        <w:rPr>
          <w:b/>
          <w:lang w:eastAsia="en-AU"/>
        </w:rPr>
        <w:t>Recommendation 14</w:t>
      </w:r>
      <w:r w:rsidRPr="00755CA6">
        <w:rPr>
          <w:lang w:eastAsia="en-AU"/>
        </w:rPr>
        <w:t>:</w:t>
      </w:r>
      <w:r>
        <w:rPr>
          <w:lang w:eastAsia="en-AU"/>
        </w:rPr>
        <w:t xml:space="preserve"> Amend Schedule 2 of the Residential Tenancies Regulations 2008 to include landlord non-compliance with Tribunal orders as an infringeable offence. Update the police manual and provide additional training for police on the need to enforce orders made against landlords under the RTA.</w:t>
      </w:r>
    </w:p>
    <w:p w14:paraId="2D5E097A" w14:textId="77777777" w:rsidR="00755CA6" w:rsidRDefault="00755CA6" w:rsidP="00755CA6">
      <w:pPr>
        <w:rPr>
          <w:lang w:eastAsia="en-AU"/>
        </w:rPr>
      </w:pPr>
      <w:r w:rsidRPr="00755CA6">
        <w:rPr>
          <w:b/>
          <w:lang w:eastAsia="en-AU"/>
        </w:rPr>
        <w:t>Recommendation 15</w:t>
      </w:r>
      <w:r>
        <w:rPr>
          <w:lang w:eastAsia="en-AU"/>
        </w:rPr>
        <w:t>: Consider introducing, on a trial basis, without prejudice opt-in ADR for arrears and compliance order matters. Evaluate the trial to determine whether these are operating to sustain tenancies and increase VCAT efficiency.</w:t>
      </w:r>
    </w:p>
    <w:p w14:paraId="0B9E4632" w14:textId="77777777" w:rsidR="00755CA6" w:rsidRDefault="00755CA6" w:rsidP="00755CA6">
      <w:pPr>
        <w:rPr>
          <w:lang w:eastAsia="en-AU"/>
        </w:rPr>
      </w:pPr>
      <w:r w:rsidRPr="00755CA6">
        <w:rPr>
          <w:b/>
          <w:lang w:eastAsia="en-AU"/>
        </w:rPr>
        <w:t>Recommendation 16</w:t>
      </w:r>
      <w:r>
        <w:rPr>
          <w:lang w:eastAsia="en-AU"/>
        </w:rPr>
        <w:t xml:space="preserve">: Amend the regulations so that the form of a notice to vacate includes VLA’s contact details. </w:t>
      </w:r>
    </w:p>
    <w:p w14:paraId="51F79A78" w14:textId="77777777" w:rsidR="00755CA6" w:rsidRDefault="00755CA6" w:rsidP="00755CA6">
      <w:pPr>
        <w:rPr>
          <w:lang w:eastAsia="en-AU"/>
        </w:rPr>
      </w:pPr>
      <w:r w:rsidRPr="00755CA6">
        <w:rPr>
          <w:b/>
          <w:lang w:eastAsia="en-AU"/>
        </w:rPr>
        <w:t>Recommendation 17</w:t>
      </w:r>
      <w:r>
        <w:rPr>
          <w:lang w:eastAsia="en-AU"/>
        </w:rPr>
        <w:t>: Allow for internal appeal from decisions in the Residential Tenancies List to a Senior Member either as a right or with leave where there is materially changed circumstances or a question of law to be considered.</w:t>
      </w:r>
    </w:p>
    <w:p w14:paraId="5134F285" w14:textId="62E0BEB6" w:rsidR="00067162" w:rsidRDefault="00755CA6" w:rsidP="003B2FE9">
      <w:pPr>
        <w:rPr>
          <w:lang w:eastAsia="en-AU"/>
        </w:rPr>
      </w:pPr>
      <w:r w:rsidRPr="00755CA6">
        <w:rPr>
          <w:b/>
          <w:lang w:eastAsia="en-AU"/>
        </w:rPr>
        <w:t>Recommendation 18</w:t>
      </w:r>
      <w:r>
        <w:rPr>
          <w:lang w:eastAsia="en-AU"/>
        </w:rPr>
        <w:t xml:space="preserve">: Amend legislation (whether the Charter, VCAT Act or the RTA) to expressly confer VCAT with the power to consider the lawfulness under the Charter of decisions of public </w:t>
      </w:r>
      <w:r>
        <w:rPr>
          <w:lang w:eastAsia="en-AU"/>
        </w:rPr>
        <w:lastRenderedPageBreak/>
        <w:t>authorities in respect of eviction – including decisions to issue notices to vacate, make applications for possession and make applications for warrants of possession.</w:t>
      </w:r>
    </w:p>
    <w:p w14:paraId="1E772D7D" w14:textId="57181044" w:rsidR="000C6537" w:rsidRDefault="000C6537" w:rsidP="000C6537">
      <w:pPr>
        <w:pStyle w:val="Heading1"/>
      </w:pPr>
      <w:r w:rsidRPr="00BD0DAD">
        <w:t>The changing housing context</w:t>
      </w:r>
    </w:p>
    <w:p w14:paraId="5D18C543" w14:textId="77777777" w:rsidR="003D6B33" w:rsidRDefault="003D6B33" w:rsidP="00026AA1">
      <w:pPr>
        <w:rPr>
          <w:lang w:eastAsia="en-AU"/>
        </w:rPr>
      </w:pPr>
      <w:r>
        <w:rPr>
          <w:lang w:eastAsia="en-AU"/>
        </w:rPr>
        <w:t>I</w:t>
      </w:r>
      <w:r w:rsidR="002C128D">
        <w:rPr>
          <w:lang w:eastAsia="en-AU"/>
        </w:rPr>
        <w:t>n our view the current RTA c</w:t>
      </w:r>
      <w:r w:rsidR="001F6604">
        <w:rPr>
          <w:lang w:eastAsia="en-AU"/>
        </w:rPr>
        <w:t>ould</w:t>
      </w:r>
      <w:r>
        <w:rPr>
          <w:lang w:eastAsia="en-AU"/>
        </w:rPr>
        <w:t xml:space="preserve"> be strengthened to better support a rental market that provides </w:t>
      </w:r>
      <w:r w:rsidR="000A34D0">
        <w:rPr>
          <w:lang w:eastAsia="en-AU"/>
        </w:rPr>
        <w:t xml:space="preserve">more </w:t>
      </w:r>
      <w:r>
        <w:rPr>
          <w:lang w:eastAsia="en-AU"/>
        </w:rPr>
        <w:t>sustainable, secure and safe</w:t>
      </w:r>
      <w:r w:rsidR="000A34D0">
        <w:rPr>
          <w:lang w:eastAsia="en-AU"/>
        </w:rPr>
        <w:t>r</w:t>
      </w:r>
      <w:r>
        <w:rPr>
          <w:lang w:eastAsia="en-AU"/>
        </w:rPr>
        <w:t xml:space="preserve"> housing to Victorians. We submit that the review sh</w:t>
      </w:r>
      <w:r w:rsidR="005E118C">
        <w:rPr>
          <w:lang w:eastAsia="en-AU"/>
        </w:rPr>
        <w:t xml:space="preserve">ould </w:t>
      </w:r>
      <w:r w:rsidR="007A3410">
        <w:rPr>
          <w:lang w:eastAsia="en-AU"/>
        </w:rPr>
        <w:t>examine reforms targeted towards</w:t>
      </w:r>
      <w:r>
        <w:rPr>
          <w:lang w:eastAsia="en-AU"/>
        </w:rPr>
        <w:t>:</w:t>
      </w:r>
    </w:p>
    <w:p w14:paraId="1A5485AA" w14:textId="77777777" w:rsidR="003D6B33" w:rsidRDefault="007A3410" w:rsidP="003D6B33">
      <w:pPr>
        <w:pStyle w:val="ListParagraph"/>
        <w:numPr>
          <w:ilvl w:val="0"/>
          <w:numId w:val="31"/>
        </w:numPr>
        <w:rPr>
          <w:lang w:eastAsia="en-AU"/>
        </w:rPr>
      </w:pPr>
      <w:r w:rsidRPr="007A3410">
        <w:rPr>
          <w:b/>
          <w:lang w:eastAsia="en-AU"/>
        </w:rPr>
        <w:t>M</w:t>
      </w:r>
      <w:r w:rsidR="003D6B33" w:rsidRPr="007A3410">
        <w:rPr>
          <w:b/>
          <w:lang w:eastAsia="en-AU"/>
        </w:rPr>
        <w:t>aintain</w:t>
      </w:r>
      <w:r>
        <w:rPr>
          <w:b/>
          <w:lang w:eastAsia="en-AU"/>
        </w:rPr>
        <w:t>ing</w:t>
      </w:r>
      <w:r w:rsidR="003D6B33" w:rsidRPr="007A3410">
        <w:rPr>
          <w:b/>
          <w:lang w:eastAsia="en-AU"/>
        </w:rPr>
        <w:t xml:space="preserve"> tenancies</w:t>
      </w:r>
      <w:r w:rsidR="003D6B33">
        <w:rPr>
          <w:lang w:eastAsia="en-AU"/>
        </w:rPr>
        <w:t xml:space="preserve"> </w:t>
      </w:r>
      <w:r>
        <w:rPr>
          <w:lang w:eastAsia="en-AU"/>
        </w:rPr>
        <w:t xml:space="preserve">- </w:t>
      </w:r>
      <w:r w:rsidR="00701FAF">
        <w:rPr>
          <w:lang w:eastAsia="en-AU"/>
        </w:rPr>
        <w:t>increasing</w:t>
      </w:r>
      <w:r w:rsidR="003D6B33">
        <w:rPr>
          <w:lang w:eastAsia="en-AU"/>
        </w:rPr>
        <w:t xml:space="preserve"> prot</w:t>
      </w:r>
      <w:r>
        <w:rPr>
          <w:lang w:eastAsia="en-AU"/>
        </w:rPr>
        <w:t>ections and support for tenants.</w:t>
      </w:r>
    </w:p>
    <w:p w14:paraId="747C83EF" w14:textId="77777777" w:rsidR="003D6B33" w:rsidRDefault="007A3410" w:rsidP="003D6B33">
      <w:pPr>
        <w:pStyle w:val="ListParagraph"/>
        <w:numPr>
          <w:ilvl w:val="0"/>
          <w:numId w:val="31"/>
        </w:numPr>
        <w:rPr>
          <w:lang w:eastAsia="en-AU"/>
        </w:rPr>
      </w:pPr>
      <w:r w:rsidRPr="007A3410">
        <w:rPr>
          <w:b/>
          <w:lang w:eastAsia="en-AU"/>
        </w:rPr>
        <w:t>P</w:t>
      </w:r>
      <w:r w:rsidR="003D6B33" w:rsidRPr="007A3410">
        <w:rPr>
          <w:b/>
          <w:lang w:eastAsia="en-AU"/>
        </w:rPr>
        <w:t>revent</w:t>
      </w:r>
      <w:r w:rsidR="000A34D0">
        <w:rPr>
          <w:b/>
          <w:lang w:eastAsia="en-AU"/>
        </w:rPr>
        <w:t>ing</w:t>
      </w:r>
      <w:r w:rsidR="003D6B33" w:rsidRPr="007A3410">
        <w:rPr>
          <w:b/>
          <w:lang w:eastAsia="en-AU"/>
        </w:rPr>
        <w:t xml:space="preserve"> arbitrary and unreasonable evictions</w:t>
      </w:r>
      <w:r>
        <w:rPr>
          <w:lang w:eastAsia="en-AU"/>
        </w:rPr>
        <w:t xml:space="preserve"> -</w:t>
      </w:r>
      <w:r w:rsidR="003D6B33">
        <w:rPr>
          <w:lang w:eastAsia="en-AU"/>
        </w:rPr>
        <w:t xml:space="preserve"> </w:t>
      </w:r>
      <w:r w:rsidR="00701FAF">
        <w:rPr>
          <w:lang w:eastAsia="en-AU"/>
        </w:rPr>
        <w:t>removing</w:t>
      </w:r>
      <w:r>
        <w:rPr>
          <w:lang w:eastAsia="en-AU"/>
        </w:rPr>
        <w:t xml:space="preserve"> the ability to evict without grounds and</w:t>
      </w:r>
      <w:r w:rsidR="000A34D0">
        <w:rPr>
          <w:lang w:eastAsia="en-AU"/>
        </w:rPr>
        <w:t xml:space="preserve"> introducing</w:t>
      </w:r>
      <w:r>
        <w:rPr>
          <w:lang w:eastAsia="en-AU"/>
        </w:rPr>
        <w:t xml:space="preserve"> a ‘reasonableness’ requirement in possession order hearings.</w:t>
      </w:r>
    </w:p>
    <w:p w14:paraId="5966906E" w14:textId="258A1CD0" w:rsidR="000C6537" w:rsidRDefault="000A34D0" w:rsidP="000C6537">
      <w:pPr>
        <w:pStyle w:val="ListParagraph"/>
        <w:numPr>
          <w:ilvl w:val="0"/>
          <w:numId w:val="31"/>
        </w:numPr>
        <w:rPr>
          <w:lang w:eastAsia="en-AU"/>
        </w:rPr>
      </w:pPr>
      <w:r>
        <w:rPr>
          <w:b/>
          <w:lang w:eastAsia="en-AU"/>
        </w:rPr>
        <w:t>Improving</w:t>
      </w:r>
      <w:r w:rsidR="003D6B33" w:rsidRPr="007A3410">
        <w:rPr>
          <w:b/>
          <w:lang w:eastAsia="en-AU"/>
        </w:rPr>
        <w:t xml:space="preserve"> VCAT decision-making</w:t>
      </w:r>
      <w:r w:rsidR="007A3410">
        <w:rPr>
          <w:lang w:eastAsia="en-AU"/>
        </w:rPr>
        <w:t xml:space="preserve"> </w:t>
      </w:r>
      <w:r w:rsidR="005E118C">
        <w:rPr>
          <w:lang w:eastAsia="en-AU"/>
        </w:rPr>
        <w:t>–</w:t>
      </w:r>
      <w:r>
        <w:rPr>
          <w:lang w:eastAsia="en-AU"/>
        </w:rPr>
        <w:t xml:space="preserve"> </w:t>
      </w:r>
      <w:r w:rsidR="002C128D">
        <w:rPr>
          <w:lang w:eastAsia="en-AU"/>
        </w:rPr>
        <w:t>expressly confer</w:t>
      </w:r>
      <w:r w:rsidR="00701FAF">
        <w:rPr>
          <w:lang w:eastAsia="en-AU"/>
        </w:rPr>
        <w:t>ring</w:t>
      </w:r>
      <w:r w:rsidR="002C128D">
        <w:rPr>
          <w:lang w:eastAsia="en-AU"/>
        </w:rPr>
        <w:t xml:space="preserve"> VCAT with jurisdiction </w:t>
      </w:r>
      <w:r w:rsidR="00701FAF">
        <w:rPr>
          <w:lang w:eastAsia="en-AU"/>
        </w:rPr>
        <w:t xml:space="preserve">to consider the lawfulness under the </w:t>
      </w:r>
      <w:r w:rsidR="00701FAF" w:rsidRPr="008C23F7">
        <w:rPr>
          <w:i/>
          <w:lang w:eastAsia="en-AU"/>
        </w:rPr>
        <w:t xml:space="preserve">Charter </w:t>
      </w:r>
      <w:r w:rsidR="008C23F7" w:rsidRPr="008C23F7">
        <w:rPr>
          <w:i/>
          <w:lang w:eastAsia="en-AU"/>
        </w:rPr>
        <w:t>of Human Righ</w:t>
      </w:r>
      <w:r w:rsidR="008C23F7">
        <w:rPr>
          <w:i/>
          <w:lang w:eastAsia="en-AU"/>
        </w:rPr>
        <w:t>ts and Responsibilities Act 2006</w:t>
      </w:r>
      <w:r w:rsidR="008C23F7">
        <w:rPr>
          <w:lang w:eastAsia="en-AU"/>
        </w:rPr>
        <w:t xml:space="preserve"> (Vic) </w:t>
      </w:r>
      <w:r w:rsidR="00701FAF">
        <w:rPr>
          <w:lang w:eastAsia="en-AU"/>
        </w:rPr>
        <w:t>of decisions of public authorities to evict, strengthening</w:t>
      </w:r>
      <w:r w:rsidR="005E118C">
        <w:rPr>
          <w:lang w:eastAsia="en-AU"/>
        </w:rPr>
        <w:t xml:space="preserve"> alternative dispute resolution (ADR) processes and </w:t>
      </w:r>
      <w:r w:rsidR="00701FAF">
        <w:rPr>
          <w:lang w:eastAsia="en-AU"/>
        </w:rPr>
        <w:t>creating</w:t>
      </w:r>
      <w:r w:rsidR="007A3410">
        <w:rPr>
          <w:lang w:eastAsia="en-AU"/>
        </w:rPr>
        <w:t xml:space="preserve"> internal appeal rights</w:t>
      </w:r>
      <w:r w:rsidR="003D6B33">
        <w:rPr>
          <w:lang w:eastAsia="en-AU"/>
        </w:rPr>
        <w:t xml:space="preserve">.  </w:t>
      </w:r>
    </w:p>
    <w:p w14:paraId="4EBFB802" w14:textId="51A74B22" w:rsidR="007A3410" w:rsidRPr="000A34D0" w:rsidRDefault="000A34D0" w:rsidP="000A34D0">
      <w:pPr>
        <w:rPr>
          <w:lang w:eastAsia="en-AU"/>
        </w:rPr>
      </w:pPr>
      <w:r>
        <w:rPr>
          <w:lang w:eastAsia="en-AU"/>
        </w:rPr>
        <w:t>These propose</w:t>
      </w:r>
      <w:r w:rsidR="008C23F7">
        <w:rPr>
          <w:lang w:eastAsia="en-AU"/>
        </w:rPr>
        <w:t xml:space="preserve">d reforms and the evidence </w:t>
      </w:r>
      <w:r>
        <w:rPr>
          <w:lang w:eastAsia="en-AU"/>
        </w:rPr>
        <w:t xml:space="preserve">to support them are discussed in more detail below. </w:t>
      </w:r>
    </w:p>
    <w:p w14:paraId="2C02FBB8" w14:textId="77777777" w:rsidR="000C6537" w:rsidRPr="00515BC0" w:rsidRDefault="000C6537" w:rsidP="000C6537">
      <w:pPr>
        <w:pStyle w:val="Heading1"/>
      </w:pPr>
      <w:r w:rsidRPr="00515BC0">
        <w:t>Regulatory and policy framework</w:t>
      </w:r>
    </w:p>
    <w:p w14:paraId="097F9744" w14:textId="77777777" w:rsidR="00D15C63" w:rsidRPr="006952DD" w:rsidRDefault="006952DD" w:rsidP="00755CA6">
      <w:pPr>
        <w:pStyle w:val="Heading2"/>
      </w:pPr>
      <w:r w:rsidRPr="006952DD">
        <w:t>P</w:t>
      </w:r>
      <w:r w:rsidR="00D15C63" w:rsidRPr="006952DD">
        <w:t xml:space="preserve">rinciples and objectives </w:t>
      </w:r>
    </w:p>
    <w:p w14:paraId="7EDAC1DF" w14:textId="4CF58199" w:rsidR="008710EE" w:rsidRDefault="006952DD" w:rsidP="00D15C63">
      <w:pPr>
        <w:rPr>
          <w:lang w:eastAsia="en-AU"/>
        </w:rPr>
      </w:pPr>
      <w:r>
        <w:rPr>
          <w:lang w:eastAsia="en-AU"/>
        </w:rPr>
        <w:t>The principles and objectives un</w:t>
      </w:r>
      <w:r w:rsidR="00701FAF">
        <w:rPr>
          <w:lang w:eastAsia="en-AU"/>
        </w:rPr>
        <w:t>derpinning the RTA are inadequate in the current housing context</w:t>
      </w:r>
      <w:r w:rsidR="00D15C63">
        <w:rPr>
          <w:lang w:eastAsia="en-AU"/>
        </w:rPr>
        <w:t>.</w:t>
      </w:r>
      <w:r w:rsidR="00701FAF">
        <w:rPr>
          <w:lang w:eastAsia="en-AU"/>
        </w:rPr>
        <w:t xml:space="preserve"> VLA supports review of these principles and objectives with a view to improving these to more adequately reflect th</w:t>
      </w:r>
      <w:r w:rsidR="00D57E83">
        <w:rPr>
          <w:lang w:eastAsia="en-AU"/>
        </w:rPr>
        <w:t>e importance of home as the foundation of financial, social and emotional security for tenants</w:t>
      </w:r>
      <w:r w:rsidR="00755CA6">
        <w:rPr>
          <w:lang w:eastAsia="en-AU"/>
        </w:rPr>
        <w:t>.</w:t>
      </w:r>
    </w:p>
    <w:p w14:paraId="294C94BB" w14:textId="112A2CC7" w:rsidR="00D15C63" w:rsidRPr="008710EE" w:rsidRDefault="00972D04" w:rsidP="0091658B">
      <w:pPr>
        <w:shd w:val="pct10" w:color="auto" w:fill="auto"/>
        <w:rPr>
          <w:b/>
          <w:lang w:eastAsia="en-AU"/>
        </w:rPr>
      </w:pPr>
      <w:r w:rsidRPr="008710EE">
        <w:rPr>
          <w:b/>
          <w:lang w:eastAsia="en-AU"/>
        </w:rPr>
        <w:t xml:space="preserve">Recommendation </w:t>
      </w:r>
      <w:r w:rsidR="008710EE" w:rsidRPr="008710EE">
        <w:rPr>
          <w:b/>
          <w:lang w:eastAsia="en-AU"/>
        </w:rPr>
        <w:t>1:</w:t>
      </w:r>
      <w:r w:rsidRPr="008710EE">
        <w:rPr>
          <w:b/>
          <w:lang w:eastAsia="en-AU"/>
        </w:rPr>
        <w:t xml:space="preserve"> </w:t>
      </w:r>
      <w:r w:rsidR="00701FAF" w:rsidRPr="0091658B">
        <w:rPr>
          <w:lang w:eastAsia="en-AU"/>
        </w:rPr>
        <w:t>Review the principles and objectives underpinning the current RTA</w:t>
      </w:r>
      <w:r w:rsidR="00D57E83">
        <w:rPr>
          <w:lang w:eastAsia="en-AU"/>
        </w:rPr>
        <w:t xml:space="preserve"> to more adequately reflect the importance of home for tenants.</w:t>
      </w:r>
      <w:r w:rsidR="00701FAF" w:rsidRPr="0091658B">
        <w:rPr>
          <w:lang w:eastAsia="en-AU"/>
        </w:rPr>
        <w:t xml:space="preserve"> </w:t>
      </w:r>
    </w:p>
    <w:p w14:paraId="79F28234" w14:textId="77777777" w:rsidR="006952DD" w:rsidRPr="006952DD" w:rsidRDefault="006952DD" w:rsidP="00755CA6">
      <w:pPr>
        <w:pStyle w:val="Heading2"/>
      </w:pPr>
      <w:r>
        <w:t>Maintaining tenancies</w:t>
      </w:r>
    </w:p>
    <w:p w14:paraId="6779EE8A" w14:textId="77777777" w:rsidR="006107E1" w:rsidRPr="00755CA6" w:rsidRDefault="002F0648" w:rsidP="00755CA6">
      <w:pPr>
        <w:pStyle w:val="Heading3"/>
        <w:rPr>
          <w:i/>
        </w:rPr>
      </w:pPr>
      <w:r>
        <w:rPr>
          <w:i/>
        </w:rPr>
        <w:t>Obligation to provide</w:t>
      </w:r>
      <w:r w:rsidR="00BC40C0">
        <w:rPr>
          <w:i/>
        </w:rPr>
        <w:t xml:space="preserve"> and m</w:t>
      </w:r>
      <w:r>
        <w:rPr>
          <w:i/>
        </w:rPr>
        <w:t>aintain</w:t>
      </w:r>
      <w:r w:rsidR="006952DD">
        <w:rPr>
          <w:i/>
        </w:rPr>
        <w:t xml:space="preserve"> premises in good repair </w:t>
      </w:r>
    </w:p>
    <w:p w14:paraId="0DA0AA05" w14:textId="77777777" w:rsidR="00D57E83" w:rsidRDefault="00BC40C0" w:rsidP="002F0648">
      <w:pPr>
        <w:rPr>
          <w:szCs w:val="22"/>
          <w:lang w:eastAsia="en-AU"/>
        </w:rPr>
      </w:pPr>
      <w:r w:rsidRPr="002F0648">
        <w:rPr>
          <w:szCs w:val="22"/>
          <w:lang w:eastAsia="en-AU"/>
        </w:rPr>
        <w:t>As identified by the National Association of Tenant Organisations (NATO), the condition of rental properties can pose real hea</w:t>
      </w:r>
      <w:r w:rsidR="00095DED">
        <w:rPr>
          <w:szCs w:val="22"/>
          <w:lang w:eastAsia="en-AU"/>
        </w:rPr>
        <w:t>lth and safety risks to tenants.</w:t>
      </w:r>
      <w:r w:rsidR="0091658B">
        <w:rPr>
          <w:rStyle w:val="FootnoteReference"/>
          <w:szCs w:val="22"/>
          <w:lang w:eastAsia="en-AU"/>
        </w:rPr>
        <w:footnoteReference w:id="4"/>
      </w:r>
      <w:r w:rsidR="00095DED">
        <w:rPr>
          <w:szCs w:val="22"/>
          <w:lang w:eastAsia="en-AU"/>
        </w:rPr>
        <w:t xml:space="preserve"> This is particularly concerning for tenants</w:t>
      </w:r>
      <w:r w:rsidRPr="002F0648">
        <w:rPr>
          <w:szCs w:val="22"/>
          <w:lang w:eastAsia="en-AU"/>
        </w:rPr>
        <w:t xml:space="preserve"> on low incomes who are forced to </w:t>
      </w:r>
      <w:r w:rsidR="000E7744">
        <w:rPr>
          <w:szCs w:val="22"/>
          <w:lang w:eastAsia="en-AU"/>
        </w:rPr>
        <w:t>accept</w:t>
      </w:r>
      <w:r w:rsidR="000E7744" w:rsidRPr="002F0648">
        <w:rPr>
          <w:szCs w:val="22"/>
          <w:lang w:eastAsia="en-AU"/>
        </w:rPr>
        <w:t xml:space="preserve"> </w:t>
      </w:r>
      <w:r w:rsidRPr="002F0648">
        <w:rPr>
          <w:szCs w:val="22"/>
          <w:lang w:eastAsia="en-AU"/>
        </w:rPr>
        <w:t xml:space="preserve">affordable accommodation in </w:t>
      </w:r>
      <w:r w:rsidR="00095DED" w:rsidRPr="002F0648">
        <w:rPr>
          <w:szCs w:val="22"/>
          <w:lang w:eastAsia="en-AU"/>
        </w:rPr>
        <w:t xml:space="preserve">properties </w:t>
      </w:r>
      <w:r w:rsidR="00095DED">
        <w:rPr>
          <w:szCs w:val="22"/>
          <w:lang w:eastAsia="en-AU"/>
        </w:rPr>
        <w:t>that are dilapidated</w:t>
      </w:r>
      <w:r w:rsidRPr="002F0648">
        <w:rPr>
          <w:szCs w:val="22"/>
          <w:lang w:eastAsia="en-AU"/>
        </w:rPr>
        <w:t xml:space="preserve"> and sometimes dangerous.</w:t>
      </w:r>
      <w:r w:rsidRPr="002F0648">
        <w:rPr>
          <w:rStyle w:val="FootnoteReference"/>
          <w:sz w:val="22"/>
          <w:szCs w:val="22"/>
          <w:lang w:eastAsia="en-AU"/>
        </w:rPr>
        <w:footnoteReference w:id="5"/>
      </w:r>
      <w:r w:rsidR="002F0648">
        <w:rPr>
          <w:szCs w:val="22"/>
          <w:lang w:eastAsia="en-AU"/>
        </w:rPr>
        <w:t xml:space="preserve"> </w:t>
      </w:r>
    </w:p>
    <w:p w14:paraId="4BC10278" w14:textId="67A74C71" w:rsidR="00C5742E" w:rsidRPr="002F0648" w:rsidRDefault="00C5742E" w:rsidP="002F0648">
      <w:pPr>
        <w:rPr>
          <w:szCs w:val="22"/>
          <w:lang w:eastAsia="en-AU"/>
        </w:rPr>
      </w:pPr>
      <w:r w:rsidRPr="00972D04">
        <w:rPr>
          <w:lang w:eastAsia="en-AU"/>
        </w:rPr>
        <w:t>Surveys of tenant experiences reveal that at the time that tenancies begin</w:t>
      </w:r>
      <w:r w:rsidR="000E7744">
        <w:rPr>
          <w:lang w:eastAsia="en-AU"/>
        </w:rPr>
        <w:t>,</w:t>
      </w:r>
      <w:r w:rsidRPr="00972D04">
        <w:rPr>
          <w:lang w:eastAsia="en-AU"/>
        </w:rPr>
        <w:t xml:space="preserve"> properties </w:t>
      </w:r>
      <w:r w:rsidR="009A3694">
        <w:rPr>
          <w:lang w:eastAsia="en-AU"/>
        </w:rPr>
        <w:t>often</w:t>
      </w:r>
      <w:r>
        <w:rPr>
          <w:lang w:eastAsia="en-AU"/>
        </w:rPr>
        <w:t xml:space="preserve"> </w:t>
      </w:r>
      <w:r w:rsidRPr="00972D04">
        <w:rPr>
          <w:lang w:eastAsia="en-AU"/>
        </w:rPr>
        <w:t xml:space="preserve">have </w:t>
      </w:r>
      <w:r w:rsidR="000E7744">
        <w:rPr>
          <w:lang w:eastAsia="en-AU"/>
        </w:rPr>
        <w:t>basic</w:t>
      </w:r>
      <w:r w:rsidR="000E7744" w:rsidRPr="00972D04">
        <w:rPr>
          <w:lang w:eastAsia="en-AU"/>
        </w:rPr>
        <w:t xml:space="preserve"> </w:t>
      </w:r>
      <w:r w:rsidRPr="00972D04">
        <w:rPr>
          <w:lang w:eastAsia="en-AU"/>
        </w:rPr>
        <w:t xml:space="preserve">faults that </w:t>
      </w:r>
      <w:r w:rsidR="00095DED">
        <w:rPr>
          <w:lang w:eastAsia="en-AU"/>
        </w:rPr>
        <w:t xml:space="preserve">can </w:t>
      </w:r>
      <w:r w:rsidRPr="00972D04">
        <w:rPr>
          <w:lang w:eastAsia="en-AU"/>
        </w:rPr>
        <w:t>create health and safety risks, significantly reduce the amenity of the property, increase social isol</w:t>
      </w:r>
      <w:r w:rsidR="00095DED">
        <w:rPr>
          <w:lang w:eastAsia="en-AU"/>
        </w:rPr>
        <w:t>ation and increase utility bills</w:t>
      </w:r>
      <w:r w:rsidRPr="00972D04">
        <w:rPr>
          <w:lang w:eastAsia="en-AU"/>
        </w:rPr>
        <w:t>.</w:t>
      </w:r>
      <w:r w:rsidR="002F0648">
        <w:rPr>
          <w:rStyle w:val="FootnoteReference"/>
          <w:lang w:eastAsia="en-AU"/>
        </w:rPr>
        <w:footnoteReference w:id="6"/>
      </w:r>
      <w:r w:rsidRPr="00972D04">
        <w:rPr>
          <w:lang w:eastAsia="en-AU"/>
        </w:rPr>
        <w:t xml:space="preserve"> </w:t>
      </w:r>
      <w:r w:rsidR="0091658B">
        <w:rPr>
          <w:lang w:eastAsia="en-AU"/>
        </w:rPr>
        <w:t>In our experience assisting tenants t</w:t>
      </w:r>
      <w:r>
        <w:rPr>
          <w:lang w:eastAsia="en-AU"/>
        </w:rPr>
        <w:t>hese faults</w:t>
      </w:r>
      <w:r w:rsidR="00897348">
        <w:rPr>
          <w:lang w:eastAsia="en-AU"/>
        </w:rPr>
        <w:t xml:space="preserve"> can</w:t>
      </w:r>
      <w:r>
        <w:rPr>
          <w:lang w:eastAsia="en-AU"/>
        </w:rPr>
        <w:t xml:space="preserve"> include major leaks, faulty wiring, installed utilities that do no</w:t>
      </w:r>
      <w:r w:rsidRPr="00972D04">
        <w:rPr>
          <w:lang w:eastAsia="en-AU"/>
        </w:rPr>
        <w:t>t work</w:t>
      </w:r>
      <w:r>
        <w:rPr>
          <w:lang w:eastAsia="en-AU"/>
        </w:rPr>
        <w:t xml:space="preserve"> or work poorly, c</w:t>
      </w:r>
      <w:r w:rsidRPr="00972D04">
        <w:rPr>
          <w:lang w:eastAsia="en-AU"/>
        </w:rPr>
        <w:t>racking, gaps and rotting in wal</w:t>
      </w:r>
      <w:r>
        <w:rPr>
          <w:lang w:eastAsia="en-AU"/>
        </w:rPr>
        <w:t>ls, floors, ceiling and carpets, f</w:t>
      </w:r>
      <w:r w:rsidRPr="00972D04">
        <w:rPr>
          <w:lang w:eastAsia="en-AU"/>
        </w:rPr>
        <w:t>aulty w</w:t>
      </w:r>
      <w:r>
        <w:rPr>
          <w:lang w:eastAsia="en-AU"/>
        </w:rPr>
        <w:t>indows and rotten window frames, mould and f</w:t>
      </w:r>
      <w:r w:rsidRPr="00972D04">
        <w:rPr>
          <w:lang w:eastAsia="en-AU"/>
        </w:rPr>
        <w:t>au</w:t>
      </w:r>
      <w:r w:rsidR="009A3694">
        <w:rPr>
          <w:lang w:eastAsia="en-AU"/>
        </w:rPr>
        <w:t>lty doors and locks leading to u</w:t>
      </w:r>
      <w:r w:rsidRPr="00972D04">
        <w:rPr>
          <w:lang w:eastAsia="en-AU"/>
        </w:rPr>
        <w:t>nsecure premises</w:t>
      </w:r>
      <w:r>
        <w:rPr>
          <w:lang w:eastAsia="en-AU"/>
        </w:rPr>
        <w:t>.</w:t>
      </w:r>
    </w:p>
    <w:p w14:paraId="182C87F6" w14:textId="77777777" w:rsidR="00D57E83" w:rsidRDefault="00972D04" w:rsidP="00C5742E">
      <w:pPr>
        <w:rPr>
          <w:lang w:eastAsia="en-AU"/>
        </w:rPr>
      </w:pPr>
      <w:r>
        <w:rPr>
          <w:lang w:eastAsia="en-AU"/>
        </w:rPr>
        <w:lastRenderedPageBreak/>
        <w:t xml:space="preserve">Section 68 of the RTA requires landlords to ensure that rented premises are maintained in good repair. Despite this obligation, </w:t>
      </w:r>
      <w:r w:rsidR="00BC40C0">
        <w:rPr>
          <w:lang w:eastAsia="en-AU"/>
        </w:rPr>
        <w:t>in</w:t>
      </w:r>
      <w:r>
        <w:rPr>
          <w:lang w:eastAsia="en-AU"/>
        </w:rPr>
        <w:t xml:space="preserve"> our experience there are many instances where l</w:t>
      </w:r>
      <w:r w:rsidRPr="00972D04">
        <w:rPr>
          <w:lang w:eastAsia="en-AU"/>
        </w:rPr>
        <w:t xml:space="preserve">andlords </w:t>
      </w:r>
      <w:r w:rsidR="00C5742E">
        <w:rPr>
          <w:lang w:eastAsia="en-AU"/>
        </w:rPr>
        <w:t xml:space="preserve">and agents do not address major </w:t>
      </w:r>
      <w:r w:rsidRPr="00972D04">
        <w:rPr>
          <w:lang w:eastAsia="en-AU"/>
        </w:rPr>
        <w:t>repairs issues unless tenants pursue th</w:t>
      </w:r>
      <w:r>
        <w:rPr>
          <w:lang w:eastAsia="en-AU"/>
        </w:rPr>
        <w:t>e formal processes under the RTA</w:t>
      </w:r>
      <w:r w:rsidRPr="00972D04">
        <w:rPr>
          <w:lang w:eastAsia="en-AU"/>
        </w:rPr>
        <w:t xml:space="preserve">. </w:t>
      </w:r>
      <w:r>
        <w:rPr>
          <w:lang w:eastAsia="en-AU"/>
        </w:rPr>
        <w:t>We find that t</w:t>
      </w:r>
      <w:r w:rsidRPr="00972D04">
        <w:rPr>
          <w:lang w:eastAsia="en-AU"/>
        </w:rPr>
        <w:t xml:space="preserve">enant’s regularly </w:t>
      </w:r>
      <w:r>
        <w:rPr>
          <w:lang w:eastAsia="en-AU"/>
        </w:rPr>
        <w:t xml:space="preserve">report </w:t>
      </w:r>
      <w:r w:rsidRPr="00972D04">
        <w:rPr>
          <w:lang w:eastAsia="en-AU"/>
        </w:rPr>
        <w:t>seek</w:t>
      </w:r>
      <w:r>
        <w:rPr>
          <w:lang w:eastAsia="en-AU"/>
        </w:rPr>
        <w:t>ing</w:t>
      </w:r>
      <w:r w:rsidRPr="00972D04">
        <w:rPr>
          <w:lang w:eastAsia="en-AU"/>
        </w:rPr>
        <w:t xml:space="preserve"> repairs thro</w:t>
      </w:r>
      <w:r w:rsidR="00C5742E">
        <w:rPr>
          <w:lang w:eastAsia="en-AU"/>
        </w:rPr>
        <w:t>ugh phone and email contact, however</w:t>
      </w:r>
      <w:r w:rsidRPr="00972D04">
        <w:rPr>
          <w:lang w:eastAsia="en-AU"/>
        </w:rPr>
        <w:t xml:space="preserve"> are either unaware of the formal repairs process, or reluctant to pursue it due to fear of eviction or conflict. </w:t>
      </w:r>
      <w:r w:rsidR="00C5742E">
        <w:rPr>
          <w:lang w:eastAsia="en-AU"/>
        </w:rPr>
        <w:t xml:space="preserve">Even where tenants do elect to pursue claims we find that practically they often experience difficulty enforcing landlord compliance with VCAT orders to carry out non-urgent repairs. </w:t>
      </w:r>
    </w:p>
    <w:p w14:paraId="4688835F" w14:textId="7F6893F9" w:rsidR="006952DD" w:rsidRDefault="00C5742E" w:rsidP="00C5742E">
      <w:pPr>
        <w:rPr>
          <w:lang w:eastAsia="en-AU"/>
        </w:rPr>
      </w:pPr>
      <w:r>
        <w:rPr>
          <w:lang w:eastAsia="en-AU"/>
        </w:rPr>
        <w:t>Although tenants can make an application for compensation</w:t>
      </w:r>
      <w:r w:rsidR="009A3694">
        <w:rPr>
          <w:lang w:eastAsia="en-AU"/>
        </w:rPr>
        <w:t xml:space="preserve"> in these circumstances, in practice this can be an </w:t>
      </w:r>
      <w:r w:rsidR="000E7744">
        <w:rPr>
          <w:lang w:eastAsia="en-AU"/>
        </w:rPr>
        <w:t xml:space="preserve">ineffective </w:t>
      </w:r>
      <w:r>
        <w:rPr>
          <w:lang w:eastAsia="en-AU"/>
        </w:rPr>
        <w:t xml:space="preserve">enforcement mechanism. </w:t>
      </w:r>
      <w:r w:rsidR="00972D04" w:rsidRPr="00972D04">
        <w:rPr>
          <w:lang w:eastAsia="en-AU"/>
        </w:rPr>
        <w:t>Where compensation is sought it is often nominal</w:t>
      </w:r>
      <w:r w:rsidR="000E7744">
        <w:rPr>
          <w:lang w:eastAsia="en-AU"/>
        </w:rPr>
        <w:t>,</w:t>
      </w:r>
      <w:r w:rsidR="00972D04" w:rsidRPr="00972D04">
        <w:rPr>
          <w:lang w:eastAsia="en-AU"/>
        </w:rPr>
        <w:t xml:space="preserve"> </w:t>
      </w:r>
      <w:r w:rsidR="000E7744">
        <w:rPr>
          <w:lang w:eastAsia="en-AU"/>
        </w:rPr>
        <w:t xml:space="preserve">because </w:t>
      </w:r>
      <w:r w:rsidR="00972D04" w:rsidRPr="00972D04">
        <w:rPr>
          <w:lang w:eastAsia="en-AU"/>
        </w:rPr>
        <w:t>tenants</w:t>
      </w:r>
      <w:r w:rsidR="006107E1">
        <w:rPr>
          <w:lang w:eastAsia="en-AU"/>
        </w:rPr>
        <w:t xml:space="preserve"> may</w:t>
      </w:r>
      <w:r w:rsidR="00972D04" w:rsidRPr="00972D04">
        <w:rPr>
          <w:lang w:eastAsia="en-AU"/>
        </w:rPr>
        <w:t xml:space="preserve"> not </w:t>
      </w:r>
      <w:r w:rsidR="006107E1">
        <w:rPr>
          <w:lang w:eastAsia="en-AU"/>
        </w:rPr>
        <w:t xml:space="preserve">be </w:t>
      </w:r>
      <w:r w:rsidR="00972D04" w:rsidRPr="00972D04">
        <w:rPr>
          <w:lang w:eastAsia="en-AU"/>
        </w:rPr>
        <w:t>able to show that they h</w:t>
      </w:r>
      <w:r w:rsidR="006107E1">
        <w:rPr>
          <w:lang w:eastAsia="en-AU"/>
        </w:rPr>
        <w:t>ave suffered a financial loss. Additionally,</w:t>
      </w:r>
      <w:r w:rsidR="009A3694">
        <w:rPr>
          <w:lang w:eastAsia="en-AU"/>
        </w:rPr>
        <w:t xml:space="preserve"> claims are </w:t>
      </w:r>
      <w:r w:rsidR="000E7744">
        <w:rPr>
          <w:lang w:eastAsia="en-AU"/>
        </w:rPr>
        <w:t>often</w:t>
      </w:r>
      <w:r w:rsidR="000E7744" w:rsidRPr="00972D04">
        <w:rPr>
          <w:lang w:eastAsia="en-AU"/>
        </w:rPr>
        <w:t xml:space="preserve"> </w:t>
      </w:r>
      <w:r w:rsidR="00972D04" w:rsidRPr="00972D04">
        <w:rPr>
          <w:lang w:eastAsia="en-AU"/>
        </w:rPr>
        <w:t>limit</w:t>
      </w:r>
      <w:r w:rsidR="009A3694">
        <w:rPr>
          <w:lang w:eastAsia="en-AU"/>
        </w:rPr>
        <w:t xml:space="preserve">ed </w:t>
      </w:r>
      <w:r w:rsidR="00972D04" w:rsidRPr="00972D04">
        <w:rPr>
          <w:lang w:eastAsia="en-AU"/>
        </w:rPr>
        <w:t xml:space="preserve">to </w:t>
      </w:r>
      <w:r w:rsidR="000E7744">
        <w:rPr>
          <w:lang w:eastAsia="en-AU"/>
        </w:rPr>
        <w:t>circumstances where a need for repairs arises during the tenancy</w:t>
      </w:r>
      <w:r w:rsidR="009A3694">
        <w:rPr>
          <w:lang w:eastAsia="en-AU"/>
        </w:rPr>
        <w:t xml:space="preserve">, despite the </w:t>
      </w:r>
      <w:r w:rsidR="00972D04" w:rsidRPr="00972D04">
        <w:rPr>
          <w:lang w:eastAsia="en-AU"/>
        </w:rPr>
        <w:t>issue</w:t>
      </w:r>
      <w:r>
        <w:rPr>
          <w:lang w:eastAsia="en-AU"/>
        </w:rPr>
        <w:t>s</w:t>
      </w:r>
      <w:r w:rsidR="00972D04" w:rsidRPr="00972D04">
        <w:rPr>
          <w:lang w:eastAsia="en-AU"/>
        </w:rPr>
        <w:t xml:space="preserve"> being evident from the start of the tenancy. </w:t>
      </w:r>
      <w:r w:rsidR="006107E1">
        <w:rPr>
          <w:lang w:eastAsia="en-AU"/>
        </w:rPr>
        <w:t xml:space="preserve">In our experience, </w:t>
      </w:r>
      <w:r w:rsidR="009A3694">
        <w:rPr>
          <w:lang w:eastAsia="en-AU"/>
        </w:rPr>
        <w:t xml:space="preserve">tenants struggle to enforce repair requests in relation to </w:t>
      </w:r>
      <w:r w:rsidR="000E7744">
        <w:rPr>
          <w:lang w:eastAsia="en-AU"/>
        </w:rPr>
        <w:t>faults</w:t>
      </w:r>
      <w:r w:rsidR="009A3694">
        <w:rPr>
          <w:lang w:eastAsia="en-AU"/>
        </w:rPr>
        <w:t xml:space="preserve"> that were present at the time of moving into the property. </w:t>
      </w:r>
    </w:p>
    <w:p w14:paraId="210DEA00" w14:textId="77777777" w:rsidR="00AD170A" w:rsidRDefault="00506BE9" w:rsidP="00D15C63">
      <w:pPr>
        <w:rPr>
          <w:lang w:eastAsia="en-AU"/>
        </w:rPr>
      </w:pPr>
      <w:r>
        <w:rPr>
          <w:lang w:eastAsia="en-AU"/>
        </w:rPr>
        <w:t>There is no legal obligation on landlords</w:t>
      </w:r>
      <w:r w:rsidR="000E7744">
        <w:rPr>
          <w:lang w:eastAsia="en-AU"/>
        </w:rPr>
        <w:t xml:space="preserve"> </w:t>
      </w:r>
      <w:r>
        <w:rPr>
          <w:lang w:eastAsia="en-AU"/>
        </w:rPr>
        <w:t>to inform a tenant as to the process</w:t>
      </w:r>
      <w:r w:rsidR="000E7744">
        <w:rPr>
          <w:lang w:eastAsia="en-AU"/>
        </w:rPr>
        <w:t xml:space="preserve"> for seeking repairs</w:t>
      </w:r>
      <w:r>
        <w:rPr>
          <w:lang w:eastAsia="en-AU"/>
        </w:rPr>
        <w:t>.</w:t>
      </w:r>
      <w:r w:rsidR="000E7744">
        <w:rPr>
          <w:lang w:eastAsia="en-AU"/>
        </w:rPr>
        <w:t xml:space="preserve"> This contrasts with industries such as insurance, where a service provider has a positive obligation to facilitate the making of an effective complaint, even where it is not initially made in the proper form.</w:t>
      </w:r>
    </w:p>
    <w:p w14:paraId="5D7A85A1" w14:textId="255DE88F" w:rsidR="00FF0D72" w:rsidRDefault="00D815D4" w:rsidP="00D15C63">
      <w:pPr>
        <w:rPr>
          <w:lang w:eastAsia="en-AU"/>
        </w:rPr>
      </w:pPr>
      <w:r>
        <w:rPr>
          <w:lang w:eastAsia="en-AU"/>
        </w:rPr>
        <w:t xml:space="preserve">We support reforms to the RTA to ensure that </w:t>
      </w:r>
      <w:r w:rsidR="006107E1">
        <w:rPr>
          <w:lang w:eastAsia="en-AU"/>
        </w:rPr>
        <w:t xml:space="preserve">houses </w:t>
      </w:r>
      <w:r>
        <w:rPr>
          <w:lang w:eastAsia="en-AU"/>
        </w:rPr>
        <w:t xml:space="preserve">are </w:t>
      </w:r>
      <w:r w:rsidR="006107E1">
        <w:rPr>
          <w:lang w:eastAsia="en-AU"/>
        </w:rPr>
        <w:t xml:space="preserve">healthier </w:t>
      </w:r>
      <w:r>
        <w:rPr>
          <w:lang w:eastAsia="en-AU"/>
        </w:rPr>
        <w:t xml:space="preserve">for tenants </w:t>
      </w:r>
      <w:r w:rsidR="006107E1">
        <w:rPr>
          <w:lang w:eastAsia="en-AU"/>
        </w:rPr>
        <w:t xml:space="preserve">in order to </w:t>
      </w:r>
      <w:r>
        <w:rPr>
          <w:lang w:eastAsia="en-AU"/>
        </w:rPr>
        <w:t xml:space="preserve">facilitate long-term tenancies. </w:t>
      </w:r>
      <w:r w:rsidR="006107E1">
        <w:rPr>
          <w:lang w:eastAsia="en-AU"/>
        </w:rPr>
        <w:t xml:space="preserve">It is insufficient to impose </w:t>
      </w:r>
      <w:r w:rsidR="000E7744">
        <w:rPr>
          <w:lang w:eastAsia="en-AU"/>
        </w:rPr>
        <w:t>a burden</w:t>
      </w:r>
      <w:r w:rsidR="006107E1">
        <w:rPr>
          <w:lang w:eastAsia="en-AU"/>
        </w:rPr>
        <w:t xml:space="preserve"> on tenants to follow repairs processes</w:t>
      </w:r>
      <w:r w:rsidR="000E7744">
        <w:rPr>
          <w:lang w:eastAsia="en-AU"/>
        </w:rPr>
        <w:t>,</w:t>
      </w:r>
      <w:r w:rsidR="006107E1">
        <w:rPr>
          <w:lang w:eastAsia="en-AU"/>
        </w:rPr>
        <w:t xml:space="preserve"> when they are vulnerable to eviction</w:t>
      </w:r>
      <w:r w:rsidR="000E7744">
        <w:rPr>
          <w:lang w:eastAsia="en-AU"/>
        </w:rPr>
        <w:t>,</w:t>
      </w:r>
      <w:r w:rsidR="006107E1">
        <w:rPr>
          <w:lang w:eastAsia="en-AU"/>
        </w:rPr>
        <w:t xml:space="preserve"> and may not know or understand their rights.</w:t>
      </w:r>
    </w:p>
    <w:p w14:paraId="18BD8631" w14:textId="77777777" w:rsidR="00D57E83" w:rsidRDefault="00BC40C0" w:rsidP="00D815D4">
      <w:pPr>
        <w:shd w:val="pct10" w:color="auto" w:fill="auto"/>
        <w:rPr>
          <w:b/>
          <w:lang w:eastAsia="en-AU"/>
        </w:rPr>
      </w:pPr>
      <w:r w:rsidRPr="00BC40C0">
        <w:rPr>
          <w:b/>
          <w:lang w:eastAsia="en-AU"/>
        </w:rPr>
        <w:t>Recommendation</w:t>
      </w:r>
      <w:r w:rsidR="009A3694">
        <w:rPr>
          <w:b/>
          <w:lang w:eastAsia="en-AU"/>
        </w:rPr>
        <w:t xml:space="preserve"> 2</w:t>
      </w:r>
      <w:r w:rsidRPr="00BC40C0">
        <w:rPr>
          <w:b/>
          <w:lang w:eastAsia="en-AU"/>
        </w:rPr>
        <w:t xml:space="preserve">: </w:t>
      </w:r>
    </w:p>
    <w:p w14:paraId="09CA1C1D" w14:textId="77777777" w:rsidR="00D57E83" w:rsidRPr="00D57E83" w:rsidRDefault="00095DED" w:rsidP="00C11511">
      <w:pPr>
        <w:pStyle w:val="ListParagraph"/>
        <w:numPr>
          <w:ilvl w:val="0"/>
          <w:numId w:val="41"/>
        </w:numPr>
        <w:shd w:val="pct10" w:color="auto" w:fill="auto"/>
        <w:rPr>
          <w:b/>
          <w:lang w:eastAsia="en-AU"/>
        </w:rPr>
      </w:pPr>
      <w:r w:rsidRPr="00D815D4">
        <w:rPr>
          <w:lang w:eastAsia="en-AU"/>
        </w:rPr>
        <w:t>Introduce minimum standards for all rental properties.</w:t>
      </w:r>
    </w:p>
    <w:p w14:paraId="09BF9EEA" w14:textId="29A538E9" w:rsidR="000E7744" w:rsidRPr="00D57E83" w:rsidRDefault="00B6132E" w:rsidP="00C11511">
      <w:pPr>
        <w:pStyle w:val="ListParagraph"/>
        <w:numPr>
          <w:ilvl w:val="0"/>
          <w:numId w:val="41"/>
        </w:numPr>
        <w:shd w:val="pct10" w:color="auto" w:fill="auto"/>
        <w:rPr>
          <w:b/>
          <w:lang w:eastAsia="en-AU"/>
        </w:rPr>
      </w:pPr>
      <w:r>
        <w:rPr>
          <w:lang w:eastAsia="en-AU"/>
        </w:rPr>
        <w:t>Consider a</w:t>
      </w:r>
      <w:r w:rsidR="00095DED" w:rsidRPr="00D815D4">
        <w:rPr>
          <w:lang w:eastAsia="en-AU"/>
        </w:rPr>
        <w:t>mend</w:t>
      </w:r>
      <w:r>
        <w:rPr>
          <w:lang w:eastAsia="en-AU"/>
        </w:rPr>
        <w:t>ing</w:t>
      </w:r>
      <w:r w:rsidR="00095DED" w:rsidRPr="00D815D4">
        <w:rPr>
          <w:lang w:eastAsia="en-AU"/>
        </w:rPr>
        <w:t xml:space="preserve"> the RTA to</w:t>
      </w:r>
      <w:r w:rsidR="000E7744">
        <w:rPr>
          <w:lang w:eastAsia="en-AU"/>
        </w:rPr>
        <w:t>:</w:t>
      </w:r>
    </w:p>
    <w:p w14:paraId="17402ED5" w14:textId="1B3C9D67" w:rsidR="000E7744" w:rsidRPr="00E81687" w:rsidRDefault="00B242C3" w:rsidP="00E81687">
      <w:pPr>
        <w:pStyle w:val="ListParagraph"/>
        <w:numPr>
          <w:ilvl w:val="0"/>
          <w:numId w:val="39"/>
        </w:numPr>
        <w:shd w:val="pct10" w:color="auto" w:fill="auto"/>
        <w:rPr>
          <w:b/>
          <w:lang w:eastAsia="en-AU"/>
        </w:rPr>
      </w:pPr>
      <w:r w:rsidRPr="00D815D4">
        <w:rPr>
          <w:lang w:eastAsia="en-AU"/>
        </w:rPr>
        <w:t>enable the condition report to</w:t>
      </w:r>
      <w:r w:rsidR="00C5742E" w:rsidRPr="00D815D4">
        <w:rPr>
          <w:lang w:eastAsia="en-AU"/>
        </w:rPr>
        <w:t xml:space="preserve"> be c</w:t>
      </w:r>
      <w:r w:rsidR="00910DBE" w:rsidRPr="00D815D4">
        <w:rPr>
          <w:lang w:eastAsia="en-AU"/>
        </w:rPr>
        <w:t>onsidered a request for repai</w:t>
      </w:r>
      <w:r w:rsidR="00095DED" w:rsidRPr="00D815D4">
        <w:rPr>
          <w:lang w:eastAsia="en-AU"/>
        </w:rPr>
        <w:t>rs</w:t>
      </w:r>
      <w:r w:rsidR="000E7744">
        <w:rPr>
          <w:lang w:eastAsia="en-AU"/>
        </w:rPr>
        <w:t>;</w:t>
      </w:r>
    </w:p>
    <w:p w14:paraId="442F3C92" w14:textId="77777777" w:rsidR="00AD170A" w:rsidRPr="00E81687" w:rsidRDefault="00B242C3" w:rsidP="00E81687">
      <w:pPr>
        <w:pStyle w:val="ListParagraph"/>
        <w:numPr>
          <w:ilvl w:val="0"/>
          <w:numId w:val="39"/>
        </w:numPr>
        <w:shd w:val="pct10" w:color="auto" w:fill="auto"/>
        <w:rPr>
          <w:b/>
          <w:lang w:eastAsia="en-AU"/>
        </w:rPr>
      </w:pPr>
      <w:r w:rsidRPr="00D815D4">
        <w:rPr>
          <w:lang w:eastAsia="en-AU"/>
        </w:rPr>
        <w:t>provide that non-urgent repairs must</w:t>
      </w:r>
      <w:r w:rsidR="00910DBE" w:rsidRPr="00D815D4">
        <w:rPr>
          <w:lang w:eastAsia="en-AU"/>
        </w:rPr>
        <w:t xml:space="preserve"> be attended to within two weeks</w:t>
      </w:r>
      <w:r w:rsidR="000E7744">
        <w:rPr>
          <w:lang w:eastAsia="en-AU"/>
        </w:rPr>
        <w:t>; and</w:t>
      </w:r>
    </w:p>
    <w:p w14:paraId="42851B36" w14:textId="2A1F3BEB" w:rsidR="00D57E83" w:rsidRPr="00C11511" w:rsidRDefault="00AD170A" w:rsidP="00C11511">
      <w:pPr>
        <w:pStyle w:val="ListParagraph"/>
        <w:numPr>
          <w:ilvl w:val="0"/>
          <w:numId w:val="39"/>
        </w:numPr>
        <w:shd w:val="pct10" w:color="auto" w:fill="auto"/>
        <w:rPr>
          <w:b/>
          <w:lang w:eastAsia="en-AU"/>
        </w:rPr>
      </w:pPr>
      <w:r>
        <w:rPr>
          <w:lang w:eastAsia="en-AU"/>
        </w:rPr>
        <w:t>i</w:t>
      </w:r>
      <w:r w:rsidRPr="00D815D4">
        <w:rPr>
          <w:lang w:eastAsia="en-AU"/>
        </w:rPr>
        <w:t>ntroduce</w:t>
      </w:r>
      <w:r w:rsidR="00910DBE" w:rsidRPr="00D815D4">
        <w:rPr>
          <w:lang w:eastAsia="en-AU"/>
        </w:rPr>
        <w:t xml:space="preserve"> a mechanism for rent to be paid into the special account from the time a request for repairs is made and </w:t>
      </w:r>
      <w:r w:rsidR="004755A4" w:rsidRPr="00D815D4">
        <w:rPr>
          <w:lang w:eastAsia="en-AU"/>
        </w:rPr>
        <w:t xml:space="preserve">not </w:t>
      </w:r>
      <w:r w:rsidR="00910DBE" w:rsidRPr="00D815D4">
        <w:rPr>
          <w:lang w:eastAsia="en-AU"/>
        </w:rPr>
        <w:t>released until any pending compensation claim is heard.</w:t>
      </w:r>
    </w:p>
    <w:p w14:paraId="1ABFAD56" w14:textId="30366E18" w:rsidR="00D442FD" w:rsidRPr="000E7744" w:rsidRDefault="00506BE9" w:rsidP="00C11511">
      <w:pPr>
        <w:pStyle w:val="ListParagraph"/>
        <w:numPr>
          <w:ilvl w:val="0"/>
          <w:numId w:val="41"/>
        </w:numPr>
        <w:shd w:val="pct10" w:color="auto" w:fill="auto"/>
        <w:rPr>
          <w:b/>
          <w:lang w:eastAsia="en-AU"/>
        </w:rPr>
      </w:pPr>
      <w:r w:rsidRPr="00D815D4">
        <w:rPr>
          <w:lang w:eastAsia="en-AU"/>
        </w:rPr>
        <w:t xml:space="preserve">Amend the RTA to include a legal obligation that a landlord, or their agent, notify any tenant that contacts them </w:t>
      </w:r>
      <w:r w:rsidR="000E7744">
        <w:rPr>
          <w:lang w:eastAsia="en-AU"/>
        </w:rPr>
        <w:t xml:space="preserve">about </w:t>
      </w:r>
      <w:r w:rsidRPr="00D815D4">
        <w:rPr>
          <w:lang w:eastAsia="en-AU"/>
        </w:rPr>
        <w:t>repairs</w:t>
      </w:r>
      <w:r w:rsidR="000E7744">
        <w:rPr>
          <w:lang w:eastAsia="en-AU"/>
        </w:rPr>
        <w:t>, about how to go about seeking repairs.</w:t>
      </w:r>
    </w:p>
    <w:p w14:paraId="46698273" w14:textId="77777777" w:rsidR="006952DD" w:rsidRPr="00755CA6" w:rsidRDefault="00B242C3" w:rsidP="00755CA6">
      <w:pPr>
        <w:pStyle w:val="Heading3"/>
        <w:rPr>
          <w:i/>
        </w:rPr>
      </w:pPr>
      <w:r>
        <w:rPr>
          <w:i/>
        </w:rPr>
        <w:t>Remove</w:t>
      </w:r>
      <w:r w:rsidR="00D442FD">
        <w:rPr>
          <w:i/>
        </w:rPr>
        <w:t xml:space="preserve"> f</w:t>
      </w:r>
      <w:r w:rsidR="00D442FD" w:rsidRPr="00D442FD">
        <w:rPr>
          <w:i/>
        </w:rPr>
        <w:t>ees for residential tenancy matters</w:t>
      </w:r>
      <w:r w:rsidR="00C5742E" w:rsidRPr="00755CA6">
        <w:rPr>
          <w:i/>
        </w:rPr>
        <w:t xml:space="preserve"> </w:t>
      </w:r>
      <w:r w:rsidR="00BC40C0" w:rsidRPr="00755CA6">
        <w:rPr>
          <w:i/>
        </w:rPr>
        <w:t xml:space="preserve"> </w:t>
      </w:r>
      <w:r w:rsidR="006107E1" w:rsidRPr="00755CA6">
        <w:rPr>
          <w:i/>
        </w:rPr>
        <w:t xml:space="preserve"> </w:t>
      </w:r>
    </w:p>
    <w:p w14:paraId="58BE572F" w14:textId="7E614D14" w:rsidR="009D2890" w:rsidRDefault="00D442FD" w:rsidP="00353889">
      <w:pPr>
        <w:rPr>
          <w:lang w:eastAsia="en-AU"/>
        </w:rPr>
      </w:pPr>
      <w:r>
        <w:rPr>
          <w:lang w:eastAsia="en-AU"/>
        </w:rPr>
        <w:t>Tenants seeking to assert their rights under the RTA are currently required to pay an application fee when lodging claims with VCAT.</w:t>
      </w:r>
      <w:r w:rsidR="004C3F49">
        <w:rPr>
          <w:lang w:eastAsia="en-AU"/>
        </w:rPr>
        <w:t xml:space="preserve"> This can be a barrier for l</w:t>
      </w:r>
      <w:r w:rsidR="00506BE9">
        <w:rPr>
          <w:lang w:eastAsia="en-AU"/>
        </w:rPr>
        <w:t xml:space="preserve">ow income </w:t>
      </w:r>
      <w:r w:rsidR="001A5374">
        <w:rPr>
          <w:lang w:eastAsia="en-AU"/>
        </w:rPr>
        <w:t>tenants seeking to enforce their rights. Provisions under Division 8</w:t>
      </w:r>
      <w:r w:rsidR="006C6C21">
        <w:rPr>
          <w:lang w:eastAsia="en-AU"/>
        </w:rPr>
        <w:t>A</w:t>
      </w:r>
      <w:r w:rsidR="001A5374">
        <w:rPr>
          <w:lang w:eastAsia="en-AU"/>
        </w:rPr>
        <w:t xml:space="preserve"> of the </w:t>
      </w:r>
      <w:r w:rsidR="001A5374" w:rsidRPr="009D2890">
        <w:rPr>
          <w:i/>
          <w:lang w:eastAsia="en-AU"/>
        </w:rPr>
        <w:t>V</w:t>
      </w:r>
      <w:r w:rsidR="009D2890" w:rsidRPr="009D2890">
        <w:rPr>
          <w:i/>
          <w:lang w:eastAsia="en-AU"/>
        </w:rPr>
        <w:t xml:space="preserve">ictorian </w:t>
      </w:r>
      <w:r w:rsidR="001A5374" w:rsidRPr="009D2890">
        <w:rPr>
          <w:i/>
          <w:lang w:eastAsia="en-AU"/>
        </w:rPr>
        <w:t>C</w:t>
      </w:r>
      <w:r w:rsidR="009D2890" w:rsidRPr="009D2890">
        <w:rPr>
          <w:i/>
          <w:lang w:eastAsia="en-AU"/>
        </w:rPr>
        <w:t xml:space="preserve">ivil and </w:t>
      </w:r>
      <w:r w:rsidR="001A5374" w:rsidRPr="009D2890">
        <w:rPr>
          <w:i/>
          <w:lang w:eastAsia="en-AU"/>
        </w:rPr>
        <w:t>A</w:t>
      </w:r>
      <w:r w:rsidR="009D2890" w:rsidRPr="009D2890">
        <w:rPr>
          <w:i/>
          <w:lang w:eastAsia="en-AU"/>
        </w:rPr>
        <w:t xml:space="preserve">dministrative </w:t>
      </w:r>
      <w:r w:rsidR="001A5374" w:rsidRPr="009D2890">
        <w:rPr>
          <w:i/>
          <w:lang w:eastAsia="en-AU"/>
        </w:rPr>
        <w:t>T</w:t>
      </w:r>
      <w:r w:rsidR="009D2890" w:rsidRPr="009D2890">
        <w:rPr>
          <w:i/>
          <w:lang w:eastAsia="en-AU"/>
        </w:rPr>
        <w:t>ribunal</w:t>
      </w:r>
      <w:r w:rsidR="001A5374" w:rsidRPr="009D2890">
        <w:rPr>
          <w:i/>
          <w:lang w:eastAsia="en-AU"/>
        </w:rPr>
        <w:t xml:space="preserve"> Act</w:t>
      </w:r>
      <w:r w:rsidR="001A5374">
        <w:rPr>
          <w:lang w:eastAsia="en-AU"/>
        </w:rPr>
        <w:t xml:space="preserve"> </w:t>
      </w:r>
      <w:r w:rsidR="009D2890">
        <w:rPr>
          <w:lang w:eastAsia="en-AU"/>
        </w:rPr>
        <w:t xml:space="preserve">1998 (VCAT Act) </w:t>
      </w:r>
      <w:r w:rsidR="001A5374">
        <w:rPr>
          <w:lang w:eastAsia="en-AU"/>
        </w:rPr>
        <w:t xml:space="preserve">also </w:t>
      </w:r>
      <w:r w:rsidR="006C6C21">
        <w:rPr>
          <w:lang w:eastAsia="en-AU"/>
        </w:rPr>
        <w:t>create a presumption for the reimbursement of fees to successful parties in certain proceedings, including proceedings under the RTA.</w:t>
      </w:r>
      <w:r w:rsidR="001A5374">
        <w:rPr>
          <w:lang w:eastAsia="en-AU"/>
        </w:rPr>
        <w:t xml:space="preserve"> These provisions disproportionately affect tenants in the </w:t>
      </w:r>
      <w:r w:rsidR="000E7744">
        <w:rPr>
          <w:lang w:eastAsia="en-AU"/>
        </w:rPr>
        <w:t>R</w:t>
      </w:r>
      <w:r w:rsidR="001A5374">
        <w:rPr>
          <w:lang w:eastAsia="en-AU"/>
        </w:rPr>
        <w:t>es</w:t>
      </w:r>
      <w:r w:rsidR="009D2890">
        <w:rPr>
          <w:lang w:eastAsia="en-AU"/>
        </w:rPr>
        <w:t xml:space="preserve">idential </w:t>
      </w:r>
      <w:r w:rsidR="000E7744">
        <w:rPr>
          <w:lang w:eastAsia="en-AU"/>
        </w:rPr>
        <w:t>T</w:t>
      </w:r>
      <w:r w:rsidR="009D2890">
        <w:rPr>
          <w:lang w:eastAsia="en-AU"/>
        </w:rPr>
        <w:t xml:space="preserve">enancies </w:t>
      </w:r>
      <w:r w:rsidR="000E7744">
        <w:rPr>
          <w:lang w:eastAsia="en-AU"/>
        </w:rPr>
        <w:t>L</w:t>
      </w:r>
      <w:r w:rsidR="009D2890">
        <w:rPr>
          <w:lang w:eastAsia="en-AU"/>
        </w:rPr>
        <w:t>ist where 92</w:t>
      </w:r>
      <w:r w:rsidR="001A5374">
        <w:rPr>
          <w:lang w:eastAsia="en-AU"/>
        </w:rPr>
        <w:t>% of applications are b</w:t>
      </w:r>
      <w:r w:rsidR="004C3F49">
        <w:rPr>
          <w:lang w:eastAsia="en-AU"/>
        </w:rPr>
        <w:t>r</w:t>
      </w:r>
      <w:r w:rsidR="001A5374">
        <w:rPr>
          <w:lang w:eastAsia="en-AU"/>
        </w:rPr>
        <w:t>ought by landlords.</w:t>
      </w:r>
      <w:r w:rsidR="009D2890">
        <w:rPr>
          <w:rStyle w:val="FootnoteReference"/>
          <w:lang w:eastAsia="en-AU"/>
        </w:rPr>
        <w:footnoteReference w:id="7"/>
      </w:r>
      <w:r w:rsidR="001A5374">
        <w:rPr>
          <w:lang w:eastAsia="en-AU"/>
        </w:rPr>
        <w:t xml:space="preserve"> </w:t>
      </w:r>
      <w:r w:rsidR="001A5374" w:rsidRPr="001A5374">
        <w:rPr>
          <w:lang w:eastAsia="en-AU"/>
        </w:rPr>
        <w:t>Given that tenants only attend approximately 20% of hearings, orders directing a tenant to pay the fee of t</w:t>
      </w:r>
      <w:r w:rsidR="001A5374">
        <w:rPr>
          <w:lang w:eastAsia="en-AU"/>
        </w:rPr>
        <w:t xml:space="preserve">he landlord </w:t>
      </w:r>
      <w:r w:rsidR="000E7744">
        <w:rPr>
          <w:lang w:eastAsia="en-AU"/>
        </w:rPr>
        <w:t>create a substantial burden on a la</w:t>
      </w:r>
      <w:r w:rsidR="00E81687">
        <w:rPr>
          <w:lang w:eastAsia="en-AU"/>
        </w:rPr>
        <w:t>rge number of vulnerable people</w:t>
      </w:r>
      <w:r w:rsidR="001A5374" w:rsidRPr="001A5374">
        <w:rPr>
          <w:lang w:eastAsia="en-AU"/>
        </w:rPr>
        <w:t xml:space="preserve">. </w:t>
      </w:r>
    </w:p>
    <w:p w14:paraId="19238503" w14:textId="551AAD57" w:rsidR="00353889" w:rsidRDefault="001A5374" w:rsidP="00353889">
      <w:pPr>
        <w:rPr>
          <w:lang w:eastAsia="en-AU"/>
        </w:rPr>
      </w:pPr>
      <w:r>
        <w:rPr>
          <w:lang w:eastAsia="en-AU"/>
        </w:rPr>
        <w:lastRenderedPageBreak/>
        <w:t>Tenants have</w:t>
      </w:r>
      <w:r w:rsidRPr="001A5374">
        <w:rPr>
          <w:lang w:eastAsia="en-AU"/>
        </w:rPr>
        <w:t xml:space="preserve"> a right to put </w:t>
      </w:r>
      <w:r w:rsidR="000E7744">
        <w:rPr>
          <w:lang w:eastAsia="en-AU"/>
        </w:rPr>
        <w:t>a</w:t>
      </w:r>
      <w:r w:rsidR="000E7744" w:rsidRPr="001A5374">
        <w:rPr>
          <w:lang w:eastAsia="en-AU"/>
        </w:rPr>
        <w:t xml:space="preserve"> </w:t>
      </w:r>
      <w:r w:rsidRPr="001A5374">
        <w:rPr>
          <w:lang w:eastAsia="en-AU"/>
        </w:rPr>
        <w:t>landlord to proof</w:t>
      </w:r>
      <w:r>
        <w:rPr>
          <w:lang w:eastAsia="en-AU"/>
        </w:rPr>
        <w:t xml:space="preserve">, particularly in possession order </w:t>
      </w:r>
      <w:r w:rsidRPr="001A5374">
        <w:rPr>
          <w:lang w:eastAsia="en-AU"/>
        </w:rPr>
        <w:t>application hearings in which the order is sought based on a tenant’s breach of the RTA</w:t>
      </w:r>
      <w:r>
        <w:rPr>
          <w:lang w:eastAsia="en-AU"/>
        </w:rPr>
        <w:t xml:space="preserve">. In these cases, the imposition of fee </w:t>
      </w:r>
      <w:r w:rsidRPr="001A5374">
        <w:rPr>
          <w:lang w:eastAsia="en-AU"/>
        </w:rPr>
        <w:t>reimbursement effectively operates</w:t>
      </w:r>
      <w:r>
        <w:rPr>
          <w:lang w:eastAsia="en-AU"/>
        </w:rPr>
        <w:t xml:space="preserve"> as a cost for testing evidence.</w:t>
      </w:r>
      <w:r w:rsidRPr="001A5374">
        <w:rPr>
          <w:lang w:eastAsia="en-AU"/>
        </w:rPr>
        <w:t xml:space="preserve"> A tenant is not in breach of the RTA or their tenancy agreement by requiring the landlord to prove the grounds claimed to entitle them to possession, yet a tenant may well be found to be the “substantially unsuccessful” party and </w:t>
      </w:r>
      <w:r w:rsidR="00353889">
        <w:rPr>
          <w:lang w:eastAsia="en-AU"/>
        </w:rPr>
        <w:t xml:space="preserve">consequently be </w:t>
      </w:r>
      <w:r w:rsidRPr="001A5374">
        <w:rPr>
          <w:lang w:eastAsia="en-AU"/>
        </w:rPr>
        <w:t>required to pay the landlord’s fee.</w:t>
      </w:r>
    </w:p>
    <w:p w14:paraId="02B27CE4" w14:textId="77777777" w:rsidR="001A5374" w:rsidRDefault="004C3F49" w:rsidP="00D15C63">
      <w:pPr>
        <w:rPr>
          <w:lang w:eastAsia="en-AU"/>
        </w:rPr>
      </w:pPr>
      <w:r>
        <w:rPr>
          <w:lang w:eastAsia="en-AU"/>
        </w:rPr>
        <w:t>A</w:t>
      </w:r>
      <w:r w:rsidR="00353889">
        <w:rPr>
          <w:lang w:eastAsia="en-AU"/>
        </w:rPr>
        <w:t xml:space="preserve">s </w:t>
      </w:r>
      <w:r w:rsidR="00353889" w:rsidRPr="00353889">
        <w:rPr>
          <w:lang w:eastAsia="en-AU"/>
        </w:rPr>
        <w:t xml:space="preserve">VCAT </w:t>
      </w:r>
      <w:r>
        <w:rPr>
          <w:lang w:eastAsia="en-AU"/>
        </w:rPr>
        <w:t>receives funding</w:t>
      </w:r>
      <w:r w:rsidR="00353889" w:rsidRPr="00353889">
        <w:rPr>
          <w:lang w:eastAsia="en-AU"/>
        </w:rPr>
        <w:t xml:space="preserve"> through interest on tenants’ bonds held by the R</w:t>
      </w:r>
      <w:r w:rsidR="00353889">
        <w:rPr>
          <w:lang w:eastAsia="en-AU"/>
        </w:rPr>
        <w:t xml:space="preserve">esidential </w:t>
      </w:r>
      <w:r w:rsidR="00353889" w:rsidRPr="00353889">
        <w:rPr>
          <w:lang w:eastAsia="en-AU"/>
        </w:rPr>
        <w:t>T</w:t>
      </w:r>
      <w:r w:rsidR="00353889">
        <w:rPr>
          <w:lang w:eastAsia="en-AU"/>
        </w:rPr>
        <w:t xml:space="preserve">enancies </w:t>
      </w:r>
      <w:r w:rsidR="00353889" w:rsidRPr="00353889">
        <w:rPr>
          <w:lang w:eastAsia="en-AU"/>
        </w:rPr>
        <w:t>B</w:t>
      </w:r>
      <w:r w:rsidR="00353889">
        <w:rPr>
          <w:lang w:eastAsia="en-AU"/>
        </w:rPr>
        <w:t xml:space="preserve">ond </w:t>
      </w:r>
      <w:r w:rsidR="00353889" w:rsidRPr="00353889">
        <w:rPr>
          <w:lang w:eastAsia="en-AU"/>
        </w:rPr>
        <w:t>A</w:t>
      </w:r>
      <w:r w:rsidR="00353889">
        <w:rPr>
          <w:lang w:eastAsia="en-AU"/>
        </w:rPr>
        <w:t xml:space="preserve">uthority, </w:t>
      </w:r>
      <w:r>
        <w:rPr>
          <w:lang w:eastAsia="en-AU"/>
        </w:rPr>
        <w:t xml:space="preserve">and </w:t>
      </w:r>
      <w:r w:rsidR="000E7744">
        <w:rPr>
          <w:lang w:eastAsia="en-AU"/>
        </w:rPr>
        <w:t xml:space="preserve">in order </w:t>
      </w:r>
      <w:r>
        <w:rPr>
          <w:lang w:eastAsia="en-AU"/>
        </w:rPr>
        <w:t xml:space="preserve">to safeguard accessibility, </w:t>
      </w:r>
      <w:r w:rsidR="00353889">
        <w:rPr>
          <w:lang w:eastAsia="en-AU"/>
        </w:rPr>
        <w:t>tenants</w:t>
      </w:r>
      <w:r>
        <w:rPr>
          <w:lang w:eastAsia="en-AU"/>
        </w:rPr>
        <w:t xml:space="preserve"> should not</w:t>
      </w:r>
      <w:r w:rsidR="00353889" w:rsidRPr="00353889">
        <w:rPr>
          <w:lang w:eastAsia="en-AU"/>
        </w:rPr>
        <w:t xml:space="preserve"> be require</w:t>
      </w:r>
      <w:r w:rsidR="00353889">
        <w:rPr>
          <w:lang w:eastAsia="en-AU"/>
        </w:rPr>
        <w:t>d to pay fees to access</w:t>
      </w:r>
      <w:r w:rsidR="00353889" w:rsidRPr="00353889">
        <w:rPr>
          <w:lang w:eastAsia="en-AU"/>
        </w:rPr>
        <w:t xml:space="preserve"> VCAT</w:t>
      </w:r>
      <w:r w:rsidR="00353889">
        <w:rPr>
          <w:lang w:eastAsia="en-AU"/>
        </w:rPr>
        <w:t xml:space="preserve"> or </w:t>
      </w:r>
      <w:r w:rsidR="006247D3">
        <w:rPr>
          <w:lang w:eastAsia="en-AU"/>
        </w:rPr>
        <w:t xml:space="preserve">be </w:t>
      </w:r>
      <w:r w:rsidR="006C6C21">
        <w:rPr>
          <w:lang w:eastAsia="en-AU"/>
        </w:rPr>
        <w:t xml:space="preserve">required </w:t>
      </w:r>
      <w:r w:rsidR="00353889">
        <w:rPr>
          <w:lang w:eastAsia="en-AU"/>
        </w:rPr>
        <w:t>to reimburse landlord</w:t>
      </w:r>
      <w:r w:rsidR="006C6C21">
        <w:rPr>
          <w:lang w:eastAsia="en-AU"/>
        </w:rPr>
        <w:t xml:space="preserve"> fees. </w:t>
      </w:r>
    </w:p>
    <w:p w14:paraId="146DDE2B" w14:textId="77777777" w:rsidR="00D442FD" w:rsidRPr="00D442FD" w:rsidRDefault="00D442FD" w:rsidP="00D6140D">
      <w:pPr>
        <w:shd w:val="pct10" w:color="auto" w:fill="auto"/>
        <w:rPr>
          <w:lang w:eastAsia="en-AU"/>
        </w:rPr>
      </w:pPr>
      <w:r>
        <w:rPr>
          <w:b/>
          <w:lang w:eastAsia="en-AU"/>
        </w:rPr>
        <w:t>Recommendation</w:t>
      </w:r>
      <w:r w:rsidR="006247D3">
        <w:rPr>
          <w:b/>
          <w:lang w:eastAsia="en-AU"/>
        </w:rPr>
        <w:t xml:space="preserve"> 3</w:t>
      </w:r>
      <w:r>
        <w:rPr>
          <w:b/>
          <w:lang w:eastAsia="en-AU"/>
        </w:rPr>
        <w:t xml:space="preserve">: </w:t>
      </w:r>
      <w:r w:rsidR="006247D3" w:rsidRPr="00D6140D">
        <w:rPr>
          <w:lang w:eastAsia="en-AU"/>
        </w:rPr>
        <w:t>Amend the VCAT Act to remove</w:t>
      </w:r>
      <w:r w:rsidRPr="00D6140D">
        <w:rPr>
          <w:lang w:eastAsia="en-AU"/>
        </w:rPr>
        <w:t xml:space="preserve"> application </w:t>
      </w:r>
      <w:r w:rsidR="00353889" w:rsidRPr="00D6140D">
        <w:rPr>
          <w:lang w:eastAsia="en-AU"/>
        </w:rPr>
        <w:t xml:space="preserve">fees for tenants in RTA matters and </w:t>
      </w:r>
      <w:r w:rsidR="00D6140D">
        <w:rPr>
          <w:lang w:eastAsia="en-AU"/>
        </w:rPr>
        <w:t xml:space="preserve">to remove </w:t>
      </w:r>
      <w:r w:rsidR="006247D3" w:rsidRPr="00D6140D">
        <w:rPr>
          <w:lang w:eastAsia="en-AU"/>
        </w:rPr>
        <w:t>the discretion to order tenants</w:t>
      </w:r>
      <w:r w:rsidR="00353889" w:rsidRPr="00D6140D">
        <w:rPr>
          <w:lang w:eastAsia="en-AU"/>
        </w:rPr>
        <w:t xml:space="preserve"> </w:t>
      </w:r>
      <w:r w:rsidR="006247D3" w:rsidRPr="00D6140D">
        <w:rPr>
          <w:lang w:eastAsia="en-AU"/>
        </w:rPr>
        <w:t>to reimburse</w:t>
      </w:r>
      <w:r w:rsidR="00353889" w:rsidRPr="00D6140D">
        <w:rPr>
          <w:lang w:eastAsia="en-AU"/>
        </w:rPr>
        <w:t xml:space="preserve"> </w:t>
      </w:r>
      <w:r w:rsidR="006247D3" w:rsidRPr="00D6140D">
        <w:rPr>
          <w:lang w:eastAsia="en-AU"/>
        </w:rPr>
        <w:t>landlord fees</w:t>
      </w:r>
      <w:r w:rsidR="00353889" w:rsidRPr="00D6140D">
        <w:rPr>
          <w:lang w:eastAsia="en-AU"/>
        </w:rPr>
        <w:t>.</w:t>
      </w:r>
      <w:r w:rsidR="00353889">
        <w:rPr>
          <w:b/>
          <w:lang w:eastAsia="en-AU"/>
        </w:rPr>
        <w:t xml:space="preserve"> </w:t>
      </w:r>
      <w:r>
        <w:rPr>
          <w:b/>
          <w:lang w:eastAsia="en-AU"/>
        </w:rPr>
        <w:t xml:space="preserve"> </w:t>
      </w:r>
      <w:r>
        <w:rPr>
          <w:lang w:eastAsia="en-AU"/>
        </w:rPr>
        <w:t xml:space="preserve">  </w:t>
      </w:r>
    </w:p>
    <w:p w14:paraId="55F0D8F6" w14:textId="77777777" w:rsidR="006E2C26" w:rsidRPr="00755CA6" w:rsidRDefault="009C0B68" w:rsidP="00755CA6">
      <w:pPr>
        <w:pStyle w:val="Heading3"/>
        <w:rPr>
          <w:i/>
        </w:rPr>
      </w:pPr>
      <w:r>
        <w:rPr>
          <w:i/>
        </w:rPr>
        <w:t xml:space="preserve">Increase support for tenants in social housing </w:t>
      </w:r>
    </w:p>
    <w:p w14:paraId="13C02ED6" w14:textId="6CA79037" w:rsidR="006E2C26" w:rsidRPr="00FE760B" w:rsidRDefault="006E2C26" w:rsidP="00FE760B">
      <w:pPr>
        <w:rPr>
          <w:lang w:eastAsia="en-AU"/>
        </w:rPr>
      </w:pPr>
      <w:r w:rsidRPr="006E2C26">
        <w:rPr>
          <w:lang w:eastAsia="en-AU"/>
        </w:rPr>
        <w:t xml:space="preserve">Tenants in social housing </w:t>
      </w:r>
      <w:r>
        <w:rPr>
          <w:lang w:eastAsia="en-AU"/>
        </w:rPr>
        <w:t xml:space="preserve">often </w:t>
      </w:r>
      <w:r w:rsidR="002D18AF">
        <w:rPr>
          <w:lang w:eastAsia="en-AU"/>
        </w:rPr>
        <w:t>face multiple disadvantages, which</w:t>
      </w:r>
      <w:r>
        <w:rPr>
          <w:lang w:eastAsia="en-AU"/>
        </w:rPr>
        <w:t xml:space="preserve"> can mean that they require</w:t>
      </w:r>
      <w:r w:rsidRPr="006E2C26">
        <w:rPr>
          <w:lang w:eastAsia="en-AU"/>
        </w:rPr>
        <w:t xml:space="preserve"> supp</w:t>
      </w:r>
      <w:r>
        <w:rPr>
          <w:lang w:eastAsia="en-AU"/>
        </w:rPr>
        <w:t xml:space="preserve">ort to maintain their housing. </w:t>
      </w:r>
      <w:r w:rsidRPr="006E2C26">
        <w:rPr>
          <w:lang w:eastAsia="en-AU"/>
        </w:rPr>
        <w:t>Limited h</w:t>
      </w:r>
      <w:r>
        <w:rPr>
          <w:lang w:eastAsia="en-AU"/>
        </w:rPr>
        <w:t xml:space="preserve">ousing availability and </w:t>
      </w:r>
      <w:r w:rsidR="000E7744">
        <w:rPr>
          <w:lang w:eastAsia="en-AU"/>
        </w:rPr>
        <w:t xml:space="preserve">scarce </w:t>
      </w:r>
      <w:r w:rsidR="000A5E74">
        <w:rPr>
          <w:lang w:eastAsia="en-AU"/>
        </w:rPr>
        <w:t xml:space="preserve">affordable rental </w:t>
      </w:r>
      <w:r>
        <w:rPr>
          <w:lang w:eastAsia="en-AU"/>
        </w:rPr>
        <w:t>options mean that v</w:t>
      </w:r>
      <w:r w:rsidRPr="006E2C26">
        <w:rPr>
          <w:lang w:eastAsia="en-AU"/>
        </w:rPr>
        <w:t xml:space="preserve">ulnerable people </w:t>
      </w:r>
      <w:r>
        <w:rPr>
          <w:lang w:eastAsia="en-AU"/>
        </w:rPr>
        <w:t xml:space="preserve">can find themselves </w:t>
      </w:r>
      <w:r w:rsidRPr="006E2C26">
        <w:rPr>
          <w:lang w:eastAsia="en-AU"/>
        </w:rPr>
        <w:t>in and out of transitional housin</w:t>
      </w:r>
      <w:r w:rsidR="00CC437D">
        <w:rPr>
          <w:lang w:eastAsia="en-AU"/>
        </w:rPr>
        <w:t>g arrangements</w:t>
      </w:r>
      <w:r>
        <w:rPr>
          <w:lang w:eastAsia="en-AU"/>
        </w:rPr>
        <w:t xml:space="preserve">. </w:t>
      </w:r>
      <w:r w:rsidR="00D6512B">
        <w:rPr>
          <w:lang w:eastAsia="en-AU"/>
        </w:rPr>
        <w:t>E</w:t>
      </w:r>
      <w:r w:rsidRPr="006E2C26">
        <w:rPr>
          <w:lang w:eastAsia="en-AU"/>
        </w:rPr>
        <w:t>viction from the</w:t>
      </w:r>
      <w:r w:rsidR="00E81687">
        <w:rPr>
          <w:lang w:eastAsia="en-AU"/>
        </w:rPr>
        <w:t>ir</w:t>
      </w:r>
      <w:r w:rsidRPr="006E2C26">
        <w:rPr>
          <w:lang w:eastAsia="en-AU"/>
        </w:rPr>
        <w:t xml:space="preserve"> home only exacerbates the issues face</w:t>
      </w:r>
      <w:r w:rsidR="00E81687">
        <w:rPr>
          <w:lang w:eastAsia="en-AU"/>
        </w:rPr>
        <w:t>d by tenants dealing with</w:t>
      </w:r>
      <w:r w:rsidR="00D6512B">
        <w:rPr>
          <w:lang w:eastAsia="en-AU"/>
        </w:rPr>
        <w:t xml:space="preserve"> multiple disadvantage</w:t>
      </w:r>
      <w:r w:rsidRPr="006E2C26">
        <w:rPr>
          <w:lang w:eastAsia="en-AU"/>
        </w:rPr>
        <w:t>.</w:t>
      </w:r>
      <w:r w:rsidRPr="00FE760B">
        <w:rPr>
          <w:lang w:eastAsia="en-AU"/>
        </w:rPr>
        <w:t xml:space="preserve"> </w:t>
      </w:r>
    </w:p>
    <w:p w14:paraId="69F94689" w14:textId="0B280452" w:rsidR="00D80165" w:rsidRPr="006E2C26" w:rsidRDefault="006E2C26" w:rsidP="00C42578">
      <w:pPr>
        <w:shd w:val="pct10" w:color="auto" w:fill="auto"/>
        <w:rPr>
          <w:lang w:eastAsia="en-AU"/>
        </w:rPr>
      </w:pPr>
      <w:r>
        <w:rPr>
          <w:b/>
          <w:lang w:eastAsia="en-AU"/>
        </w:rPr>
        <w:t>Recommendation</w:t>
      </w:r>
      <w:r w:rsidR="004703FF">
        <w:rPr>
          <w:b/>
          <w:lang w:eastAsia="en-AU"/>
        </w:rPr>
        <w:t xml:space="preserve"> 4</w:t>
      </w:r>
      <w:r>
        <w:rPr>
          <w:b/>
          <w:lang w:eastAsia="en-AU"/>
        </w:rPr>
        <w:t xml:space="preserve">: </w:t>
      </w:r>
      <w:r w:rsidR="00C11511">
        <w:rPr>
          <w:lang w:eastAsia="en-AU"/>
        </w:rPr>
        <w:t>Provide legislated</w:t>
      </w:r>
      <w:r w:rsidRPr="00C42578">
        <w:rPr>
          <w:lang w:eastAsia="en-AU"/>
        </w:rPr>
        <w:t xml:space="preserve"> funding for Social Housing Advocacy and Support Programs</w:t>
      </w:r>
      <w:r w:rsidR="005F43F8" w:rsidRPr="00C42578">
        <w:rPr>
          <w:lang w:eastAsia="en-AU"/>
        </w:rPr>
        <w:t>.</w:t>
      </w:r>
      <w:r w:rsidRPr="00C42578">
        <w:rPr>
          <w:lang w:eastAsia="en-AU"/>
        </w:rPr>
        <w:t xml:space="preserve">     </w:t>
      </w:r>
    </w:p>
    <w:p w14:paraId="1B13F3BA" w14:textId="77777777" w:rsidR="00D15C63" w:rsidRPr="00755CA6" w:rsidRDefault="006E2C26" w:rsidP="00755CA6">
      <w:pPr>
        <w:pStyle w:val="Heading3"/>
        <w:rPr>
          <w:i/>
        </w:rPr>
      </w:pPr>
      <w:r>
        <w:rPr>
          <w:i/>
        </w:rPr>
        <w:t>Extending the application of the RTA</w:t>
      </w:r>
    </w:p>
    <w:p w14:paraId="6779E702" w14:textId="2B7D9191" w:rsidR="006E2C26" w:rsidRPr="006E2C26" w:rsidRDefault="006E2C26" w:rsidP="007A2F94">
      <w:pPr>
        <w:rPr>
          <w:lang w:eastAsia="en-AU"/>
        </w:rPr>
      </w:pPr>
      <w:r w:rsidRPr="006E2C26">
        <w:rPr>
          <w:lang w:eastAsia="en-AU"/>
        </w:rPr>
        <w:t xml:space="preserve">Licensees are </w:t>
      </w:r>
      <w:r>
        <w:rPr>
          <w:lang w:eastAsia="en-AU"/>
        </w:rPr>
        <w:t xml:space="preserve">currently </w:t>
      </w:r>
      <w:r w:rsidR="009A2B56">
        <w:rPr>
          <w:lang w:eastAsia="en-AU"/>
        </w:rPr>
        <w:t>excluded from the protections provided by</w:t>
      </w:r>
      <w:r w:rsidRPr="006E2C26">
        <w:rPr>
          <w:lang w:eastAsia="en-AU"/>
        </w:rPr>
        <w:t xml:space="preserve"> the RTA, even </w:t>
      </w:r>
      <w:r w:rsidR="009A2B56">
        <w:rPr>
          <w:lang w:eastAsia="en-AU"/>
        </w:rPr>
        <w:t>in circumstances where the</w:t>
      </w:r>
      <w:r w:rsidRPr="006E2C26">
        <w:rPr>
          <w:lang w:eastAsia="en-AU"/>
        </w:rPr>
        <w:t xml:space="preserve"> landlord has purported to create a tenancy agreement.</w:t>
      </w:r>
      <w:r w:rsidR="007A2F94">
        <w:rPr>
          <w:lang w:eastAsia="en-AU"/>
        </w:rPr>
        <w:t xml:space="preserve"> </w:t>
      </w:r>
      <w:r>
        <w:rPr>
          <w:lang w:eastAsia="en-AU"/>
        </w:rPr>
        <w:t xml:space="preserve">In our experience it is common for </w:t>
      </w:r>
      <w:r w:rsidRPr="006E2C26">
        <w:rPr>
          <w:lang w:eastAsia="en-AU"/>
        </w:rPr>
        <w:t>landlord</w:t>
      </w:r>
      <w:r>
        <w:rPr>
          <w:lang w:eastAsia="en-AU"/>
        </w:rPr>
        <w:t>s</w:t>
      </w:r>
      <w:r w:rsidRPr="006E2C26">
        <w:rPr>
          <w:lang w:eastAsia="en-AU"/>
        </w:rPr>
        <w:t xml:space="preserve"> to give a written agreement to a </w:t>
      </w:r>
      <w:r w:rsidR="00D6512B">
        <w:rPr>
          <w:lang w:eastAsia="en-AU"/>
        </w:rPr>
        <w:t>person paying for occupancy of</w:t>
      </w:r>
      <w:r w:rsidRPr="006E2C26">
        <w:rPr>
          <w:lang w:eastAsia="en-AU"/>
        </w:rPr>
        <w:t xml:space="preserve"> a room in the</w:t>
      </w:r>
      <w:r w:rsidR="00D6512B">
        <w:rPr>
          <w:lang w:eastAsia="en-AU"/>
        </w:rPr>
        <w:t xml:space="preserve"> landlord’s </w:t>
      </w:r>
      <w:r w:rsidRPr="006E2C26">
        <w:rPr>
          <w:lang w:eastAsia="en-AU"/>
        </w:rPr>
        <w:t>own home. In these circumstances it is clear that the parties intended to create an enfor</w:t>
      </w:r>
      <w:r>
        <w:rPr>
          <w:lang w:eastAsia="en-AU"/>
        </w:rPr>
        <w:t>ceable tenancy relationship, however</w:t>
      </w:r>
      <w:r w:rsidRPr="006E2C26">
        <w:rPr>
          <w:lang w:eastAsia="en-AU"/>
        </w:rPr>
        <w:t xml:space="preserve"> because the tenant </w:t>
      </w:r>
      <w:r w:rsidR="00D6512B">
        <w:rPr>
          <w:lang w:eastAsia="en-AU"/>
        </w:rPr>
        <w:t xml:space="preserve">arguably </w:t>
      </w:r>
      <w:r w:rsidRPr="006E2C26">
        <w:rPr>
          <w:lang w:eastAsia="en-AU"/>
        </w:rPr>
        <w:t xml:space="preserve">does not have exclusive possession </w:t>
      </w:r>
      <w:r w:rsidR="00D6512B">
        <w:rPr>
          <w:lang w:eastAsia="en-AU"/>
        </w:rPr>
        <w:t>of</w:t>
      </w:r>
      <w:r w:rsidR="00E81687">
        <w:rPr>
          <w:lang w:eastAsia="en-AU"/>
        </w:rPr>
        <w:t xml:space="preserve"> the</w:t>
      </w:r>
      <w:r w:rsidR="00D6512B">
        <w:rPr>
          <w:lang w:eastAsia="en-AU"/>
        </w:rPr>
        <w:t xml:space="preserve"> premises, </w:t>
      </w:r>
      <w:r w:rsidRPr="006E2C26">
        <w:rPr>
          <w:lang w:eastAsia="en-AU"/>
        </w:rPr>
        <w:t>there</w:t>
      </w:r>
      <w:r w:rsidR="009A2B56">
        <w:rPr>
          <w:lang w:eastAsia="en-AU"/>
        </w:rPr>
        <w:t xml:space="preserve"> is a significant risk that </w:t>
      </w:r>
      <w:r w:rsidRPr="006E2C26">
        <w:rPr>
          <w:lang w:eastAsia="en-AU"/>
        </w:rPr>
        <w:t>VCAT will find that the tenant is a licensee and the R</w:t>
      </w:r>
      <w:r>
        <w:rPr>
          <w:lang w:eastAsia="en-AU"/>
        </w:rPr>
        <w:t>TA does not</w:t>
      </w:r>
      <w:r w:rsidRPr="006E2C26">
        <w:rPr>
          <w:lang w:eastAsia="en-AU"/>
        </w:rPr>
        <w:t xml:space="preserve"> apply. </w:t>
      </w:r>
    </w:p>
    <w:p w14:paraId="42C9AB52" w14:textId="5BCA00B4" w:rsidR="004F6449" w:rsidRDefault="006E2C26" w:rsidP="006E2C26">
      <w:pPr>
        <w:rPr>
          <w:lang w:eastAsia="en-AU"/>
        </w:rPr>
      </w:pPr>
      <w:r w:rsidRPr="006E2C26">
        <w:rPr>
          <w:lang w:eastAsia="en-AU"/>
        </w:rPr>
        <w:t xml:space="preserve">This is a </w:t>
      </w:r>
      <w:r w:rsidR="005B4B28" w:rsidRPr="006E2C26">
        <w:rPr>
          <w:lang w:eastAsia="en-AU"/>
        </w:rPr>
        <w:t>problem that</w:t>
      </w:r>
      <w:r w:rsidRPr="006E2C26">
        <w:rPr>
          <w:lang w:eastAsia="en-AU"/>
        </w:rPr>
        <w:t xml:space="preserve"> affects many of </w:t>
      </w:r>
      <w:r w:rsidR="00D6512B">
        <w:rPr>
          <w:lang w:eastAsia="en-AU"/>
        </w:rPr>
        <w:t>VLA’s</w:t>
      </w:r>
      <w:r w:rsidR="00D6512B" w:rsidRPr="006E2C26">
        <w:rPr>
          <w:lang w:eastAsia="en-AU"/>
        </w:rPr>
        <w:t xml:space="preserve"> </w:t>
      </w:r>
      <w:r w:rsidRPr="006E2C26">
        <w:rPr>
          <w:lang w:eastAsia="en-AU"/>
        </w:rPr>
        <w:t xml:space="preserve">clients, particularly international students. </w:t>
      </w:r>
    </w:p>
    <w:p w14:paraId="7B052B61" w14:textId="77777777" w:rsidR="009A2B56" w:rsidRDefault="009A2B56" w:rsidP="009A2B56">
      <w:pPr>
        <w:pBdr>
          <w:top w:val="single" w:sz="4" w:space="1" w:color="auto"/>
          <w:left w:val="single" w:sz="4" w:space="4" w:color="auto"/>
          <w:bottom w:val="single" w:sz="4" w:space="1" w:color="auto"/>
          <w:right w:val="single" w:sz="4" w:space="4" w:color="auto"/>
        </w:pBdr>
        <w:rPr>
          <w:lang w:eastAsia="en-AU"/>
        </w:rPr>
      </w:pPr>
      <w:r>
        <w:rPr>
          <w:lang w:eastAsia="en-AU"/>
        </w:rPr>
        <w:t>Sujin’s experience</w:t>
      </w:r>
    </w:p>
    <w:p w14:paraId="105E10EB" w14:textId="30EFFD0A" w:rsidR="006E2C26" w:rsidRDefault="009A2B56" w:rsidP="009A2B56">
      <w:pPr>
        <w:pBdr>
          <w:top w:val="single" w:sz="4" w:space="1" w:color="auto"/>
          <w:left w:val="single" w:sz="4" w:space="4" w:color="auto"/>
          <w:bottom w:val="single" w:sz="4" w:space="1" w:color="auto"/>
          <w:right w:val="single" w:sz="4" w:space="4" w:color="auto"/>
        </w:pBdr>
        <w:rPr>
          <w:lang w:eastAsia="en-AU"/>
        </w:rPr>
      </w:pPr>
      <w:r>
        <w:rPr>
          <w:lang w:eastAsia="en-AU"/>
        </w:rPr>
        <w:t>Sujin signed a rental agreement before arriving in Australia to study. She</w:t>
      </w:r>
      <w:r w:rsidR="006E2C26" w:rsidRPr="006E2C26">
        <w:rPr>
          <w:lang w:eastAsia="en-AU"/>
        </w:rPr>
        <w:t xml:space="preserve"> paid a bond</w:t>
      </w:r>
      <w:r>
        <w:rPr>
          <w:lang w:eastAsia="en-AU"/>
        </w:rPr>
        <w:t xml:space="preserve"> and rent in advance before she arrived. When she arrived she</w:t>
      </w:r>
      <w:r w:rsidR="006E2C26" w:rsidRPr="006E2C26">
        <w:rPr>
          <w:lang w:eastAsia="en-AU"/>
        </w:rPr>
        <w:t xml:space="preserve"> found that the bedroom was not furnished and there was no access to the i</w:t>
      </w:r>
      <w:r>
        <w:rPr>
          <w:lang w:eastAsia="en-AU"/>
        </w:rPr>
        <w:t>nternet as expected. After she had moved in she raised her</w:t>
      </w:r>
      <w:r w:rsidR="006E2C26" w:rsidRPr="006E2C26">
        <w:rPr>
          <w:lang w:eastAsia="en-AU"/>
        </w:rPr>
        <w:t xml:space="preserve"> concerns</w:t>
      </w:r>
      <w:r>
        <w:rPr>
          <w:lang w:eastAsia="en-AU"/>
        </w:rPr>
        <w:t xml:space="preserve"> with the landlord who told her that she was a troublemaker and insisted that she</w:t>
      </w:r>
      <w:r w:rsidR="006E2C26" w:rsidRPr="006E2C26">
        <w:rPr>
          <w:lang w:eastAsia="en-AU"/>
        </w:rPr>
        <w:t xml:space="preserve"> leave </w:t>
      </w:r>
      <w:r>
        <w:rPr>
          <w:lang w:eastAsia="en-AU"/>
        </w:rPr>
        <w:t>the property immediately. She</w:t>
      </w:r>
      <w:r w:rsidR="006E2C26" w:rsidRPr="006E2C26">
        <w:rPr>
          <w:lang w:eastAsia="en-AU"/>
        </w:rPr>
        <w:t xml:space="preserve"> </w:t>
      </w:r>
      <w:r>
        <w:rPr>
          <w:lang w:eastAsia="en-AU"/>
        </w:rPr>
        <w:t xml:space="preserve">was </w:t>
      </w:r>
      <w:r w:rsidR="006E2C26" w:rsidRPr="006E2C26">
        <w:rPr>
          <w:lang w:eastAsia="en-AU"/>
        </w:rPr>
        <w:t xml:space="preserve">then refused access to </w:t>
      </w:r>
      <w:r w:rsidR="007A2F94">
        <w:rPr>
          <w:lang w:eastAsia="en-AU"/>
        </w:rPr>
        <w:t xml:space="preserve">the </w:t>
      </w:r>
      <w:r>
        <w:rPr>
          <w:lang w:eastAsia="en-AU"/>
        </w:rPr>
        <w:t>property and the belongings she</w:t>
      </w:r>
      <w:r w:rsidR="006E2C26" w:rsidRPr="006E2C26">
        <w:rPr>
          <w:lang w:eastAsia="en-AU"/>
        </w:rPr>
        <w:t xml:space="preserve"> had left behind. </w:t>
      </w:r>
      <w:r>
        <w:rPr>
          <w:lang w:eastAsia="en-AU"/>
        </w:rPr>
        <w:t>Sujin sought to enforce her</w:t>
      </w:r>
      <w:r w:rsidR="006E2C26" w:rsidRPr="006E2C26">
        <w:rPr>
          <w:lang w:eastAsia="en-AU"/>
        </w:rPr>
        <w:t xml:space="preserve"> right </w:t>
      </w:r>
      <w:r>
        <w:rPr>
          <w:lang w:eastAsia="en-AU"/>
        </w:rPr>
        <w:t>to occupy the property and her</w:t>
      </w:r>
      <w:r w:rsidR="006E2C26" w:rsidRPr="006E2C26">
        <w:rPr>
          <w:lang w:eastAsia="en-AU"/>
        </w:rPr>
        <w:t xml:space="preserve"> room under the RTA</w:t>
      </w:r>
      <w:r>
        <w:rPr>
          <w:lang w:eastAsia="en-AU"/>
        </w:rPr>
        <w:t>, however VCAT found that the RTA did not apply as she did not have exclusive p</w:t>
      </w:r>
      <w:r w:rsidR="005B4B28">
        <w:rPr>
          <w:lang w:eastAsia="en-AU"/>
        </w:rPr>
        <w:t>ossession</w:t>
      </w:r>
      <w:r>
        <w:rPr>
          <w:lang w:eastAsia="en-AU"/>
        </w:rPr>
        <w:t xml:space="preserve">. </w:t>
      </w:r>
      <w:r w:rsidR="00851E13">
        <w:rPr>
          <w:lang w:eastAsia="en-AU"/>
        </w:rPr>
        <w:t xml:space="preserve">This meant that Sujin did not have access to the consumer protection provisions available to tenants under the RTA. </w:t>
      </w:r>
      <w:r>
        <w:rPr>
          <w:lang w:eastAsia="en-AU"/>
        </w:rPr>
        <w:t>Sujin’s</w:t>
      </w:r>
      <w:r w:rsidR="006E2C26" w:rsidRPr="006E2C26">
        <w:rPr>
          <w:lang w:eastAsia="en-AU"/>
        </w:rPr>
        <w:t xml:space="preserve"> only remaining option is to make an application in the </w:t>
      </w:r>
      <w:r w:rsidR="00D6512B">
        <w:rPr>
          <w:lang w:eastAsia="en-AU"/>
        </w:rPr>
        <w:t>C</w:t>
      </w:r>
      <w:r w:rsidR="006E2C26" w:rsidRPr="006E2C26">
        <w:rPr>
          <w:lang w:eastAsia="en-AU"/>
        </w:rPr>
        <w:t xml:space="preserve">ivil </w:t>
      </w:r>
      <w:r w:rsidR="00D6512B">
        <w:rPr>
          <w:lang w:eastAsia="en-AU"/>
        </w:rPr>
        <w:t>C</w:t>
      </w:r>
      <w:r w:rsidR="006E2C26" w:rsidRPr="006E2C26">
        <w:rPr>
          <w:lang w:eastAsia="en-AU"/>
        </w:rPr>
        <w:t xml:space="preserve">laims </w:t>
      </w:r>
      <w:r w:rsidR="00D6512B">
        <w:rPr>
          <w:lang w:eastAsia="en-AU"/>
        </w:rPr>
        <w:t>L</w:t>
      </w:r>
      <w:r w:rsidR="006E2C26" w:rsidRPr="006E2C26">
        <w:rPr>
          <w:lang w:eastAsia="en-AU"/>
        </w:rPr>
        <w:t>ist</w:t>
      </w:r>
      <w:r w:rsidR="00B82931">
        <w:rPr>
          <w:lang w:eastAsia="en-AU"/>
        </w:rPr>
        <w:t xml:space="preserve"> at VCAT or the Magistrates’ Court</w:t>
      </w:r>
      <w:r>
        <w:rPr>
          <w:lang w:eastAsia="en-AU"/>
        </w:rPr>
        <w:t>,</w:t>
      </w:r>
      <w:r w:rsidR="006E2C26" w:rsidRPr="006E2C26">
        <w:rPr>
          <w:lang w:eastAsia="en-AU"/>
        </w:rPr>
        <w:t xml:space="preserve"> which </w:t>
      </w:r>
      <w:r w:rsidR="009627B9">
        <w:rPr>
          <w:lang w:eastAsia="en-AU"/>
        </w:rPr>
        <w:t>are</w:t>
      </w:r>
      <w:r w:rsidR="009627B9" w:rsidRPr="006E2C26">
        <w:rPr>
          <w:lang w:eastAsia="en-AU"/>
        </w:rPr>
        <w:t xml:space="preserve"> </w:t>
      </w:r>
      <w:r w:rsidR="006E2C26" w:rsidRPr="006E2C26">
        <w:rPr>
          <w:lang w:eastAsia="en-AU"/>
        </w:rPr>
        <w:t>a slower, more complex, and more expensive jurisdiction</w:t>
      </w:r>
      <w:r w:rsidR="009627B9">
        <w:rPr>
          <w:lang w:eastAsia="en-AU"/>
        </w:rPr>
        <w:t>s</w:t>
      </w:r>
      <w:r w:rsidR="006E2C26" w:rsidRPr="006E2C26">
        <w:rPr>
          <w:lang w:eastAsia="en-AU"/>
        </w:rPr>
        <w:t xml:space="preserve">.  </w:t>
      </w:r>
    </w:p>
    <w:p w14:paraId="03BBB169" w14:textId="77777777" w:rsidR="00FF0D72" w:rsidRDefault="00FF0D72" w:rsidP="009A2B56">
      <w:pPr>
        <w:rPr>
          <w:lang w:eastAsia="en-AU"/>
        </w:rPr>
      </w:pPr>
    </w:p>
    <w:p w14:paraId="5291B8CC" w14:textId="77777777" w:rsidR="007A2F94" w:rsidRPr="00F958F4" w:rsidRDefault="007A2F94" w:rsidP="00123DAB">
      <w:pPr>
        <w:pStyle w:val="TableText"/>
        <w:shd w:val="pct10" w:color="auto" w:fill="auto"/>
        <w:spacing w:before="120" w:after="120"/>
        <w:rPr>
          <w:b/>
          <w:lang w:eastAsia="en-AU"/>
        </w:rPr>
      </w:pPr>
      <w:r>
        <w:rPr>
          <w:b/>
          <w:lang w:eastAsia="en-AU"/>
        </w:rPr>
        <w:lastRenderedPageBreak/>
        <w:t>Recommendation</w:t>
      </w:r>
      <w:r w:rsidR="004703FF">
        <w:rPr>
          <w:b/>
          <w:lang w:eastAsia="en-AU"/>
        </w:rPr>
        <w:t xml:space="preserve"> 5</w:t>
      </w:r>
      <w:r w:rsidRPr="005F43F8">
        <w:rPr>
          <w:b/>
          <w:lang w:eastAsia="en-AU"/>
        </w:rPr>
        <w:t>:</w:t>
      </w:r>
      <w:r w:rsidRPr="00F958F4">
        <w:rPr>
          <w:b/>
          <w:lang w:eastAsia="en-AU"/>
        </w:rPr>
        <w:t xml:space="preserve"> </w:t>
      </w:r>
      <w:r w:rsidR="005B4B28" w:rsidRPr="00F958F4">
        <w:rPr>
          <w:lang w:eastAsia="en-AU"/>
        </w:rPr>
        <w:t xml:space="preserve">Amend the RTA to provide that its protections apply where two parties have intended to create a residential tenancy relationship even if the tenant does not have exclusive possession. </w:t>
      </w:r>
      <w:r w:rsidRPr="00F958F4">
        <w:rPr>
          <w:lang w:eastAsia="en-AU"/>
        </w:rPr>
        <w:t>Preserve the reverse onus contained within the RTA</w:t>
      </w:r>
      <w:r w:rsidR="005B4B28" w:rsidRPr="00F958F4">
        <w:rPr>
          <w:lang w:eastAsia="en-AU"/>
        </w:rPr>
        <w:t>.</w:t>
      </w:r>
    </w:p>
    <w:p w14:paraId="3B6B5808" w14:textId="77777777" w:rsidR="00DA520A" w:rsidRPr="00755CA6" w:rsidRDefault="005940DB" w:rsidP="00755CA6">
      <w:pPr>
        <w:pStyle w:val="Heading3"/>
        <w:rPr>
          <w:i/>
        </w:rPr>
      </w:pPr>
      <w:r>
        <w:rPr>
          <w:i/>
        </w:rPr>
        <w:t>Allowing for the termination of co-tenancies</w:t>
      </w:r>
    </w:p>
    <w:p w14:paraId="201CF04B" w14:textId="77777777" w:rsidR="00406E80" w:rsidRPr="00DA520A" w:rsidRDefault="00DA520A" w:rsidP="00DA520A">
      <w:pPr>
        <w:rPr>
          <w:lang w:eastAsia="en-AU"/>
        </w:rPr>
      </w:pPr>
      <w:r>
        <w:rPr>
          <w:lang w:eastAsia="en-AU"/>
        </w:rPr>
        <w:t>As identified by the</w:t>
      </w:r>
      <w:r w:rsidR="00406E80" w:rsidRPr="00DA520A">
        <w:rPr>
          <w:lang w:eastAsia="en-AU"/>
        </w:rPr>
        <w:t xml:space="preserve"> consultation paper</w:t>
      </w:r>
      <w:r>
        <w:rPr>
          <w:lang w:eastAsia="en-AU"/>
        </w:rPr>
        <w:t>, in 2011 there we</w:t>
      </w:r>
      <w:r w:rsidR="00465AF7">
        <w:rPr>
          <w:lang w:eastAsia="en-AU"/>
        </w:rPr>
        <w:t>re more than 50,000 “group households” in Victoria, accounting for 11.8</w:t>
      </w:r>
      <w:r>
        <w:rPr>
          <w:lang w:eastAsia="en-AU"/>
        </w:rPr>
        <w:t>% of the rental sector.</w:t>
      </w:r>
      <w:r>
        <w:rPr>
          <w:rStyle w:val="FootnoteReference"/>
          <w:lang w:eastAsia="en-AU"/>
        </w:rPr>
        <w:footnoteReference w:id="8"/>
      </w:r>
      <w:r w:rsidR="00B82931">
        <w:rPr>
          <w:lang w:eastAsia="en-AU"/>
        </w:rPr>
        <w:t xml:space="preserve"> It is reasonable to consider that this will increase as housing continues to be less affordable.</w:t>
      </w:r>
      <w:r>
        <w:rPr>
          <w:lang w:eastAsia="en-AU"/>
        </w:rPr>
        <w:t xml:space="preserve"> </w:t>
      </w:r>
      <w:r w:rsidRPr="00DA520A">
        <w:rPr>
          <w:lang w:eastAsia="en-AU"/>
        </w:rPr>
        <w:t>The current RTA fails to pro</w:t>
      </w:r>
      <w:r w:rsidR="00465AF7">
        <w:rPr>
          <w:lang w:eastAsia="en-AU"/>
        </w:rPr>
        <w:t xml:space="preserve">vide a sufficient mechanism to enable </w:t>
      </w:r>
      <w:r w:rsidRPr="00DA520A">
        <w:rPr>
          <w:lang w:eastAsia="en-AU"/>
        </w:rPr>
        <w:t>tenant</w:t>
      </w:r>
      <w:r w:rsidR="00465AF7">
        <w:rPr>
          <w:lang w:eastAsia="en-AU"/>
        </w:rPr>
        <w:t>s</w:t>
      </w:r>
      <w:r w:rsidRPr="00DA520A">
        <w:rPr>
          <w:lang w:eastAsia="en-AU"/>
        </w:rPr>
        <w:t xml:space="preserve"> to leave a co-tenancy. </w:t>
      </w:r>
      <w:r w:rsidR="00406E80" w:rsidRPr="00DA520A">
        <w:rPr>
          <w:lang w:eastAsia="en-AU"/>
        </w:rPr>
        <w:t>Issues can arise where one co-tenant wishes to leave the tenancy and other co-tenants do not. Currently</w:t>
      </w:r>
      <w:r w:rsidR="00465AF7">
        <w:rPr>
          <w:lang w:eastAsia="en-AU"/>
        </w:rPr>
        <w:t>,</w:t>
      </w:r>
      <w:r w:rsidR="00406E80" w:rsidRPr="00DA520A">
        <w:rPr>
          <w:lang w:eastAsia="en-AU"/>
        </w:rPr>
        <w:t xml:space="preserve"> if the tenancy is of a fixed term a co-tenant must either assign their portion of the lease to a new tenant, which is not always possible, or reduce the fixed term of the tenancy under section 234</w:t>
      </w:r>
      <w:r>
        <w:rPr>
          <w:lang w:eastAsia="en-AU"/>
        </w:rPr>
        <w:t xml:space="preserve"> of the RTA</w:t>
      </w:r>
      <w:r w:rsidR="00406E80" w:rsidRPr="00DA520A">
        <w:rPr>
          <w:lang w:eastAsia="en-AU"/>
        </w:rPr>
        <w:t>. If the tenancy is periodic it is unclear under the RTA what a co-tenant can do if the</w:t>
      </w:r>
      <w:r w:rsidR="005C3889">
        <w:rPr>
          <w:lang w:eastAsia="en-AU"/>
        </w:rPr>
        <w:t>y want to leave and</w:t>
      </w:r>
      <w:r w:rsidR="00406E80" w:rsidRPr="00DA520A">
        <w:rPr>
          <w:lang w:eastAsia="en-AU"/>
        </w:rPr>
        <w:t xml:space="preserve"> other tenants wish to remain in the</w:t>
      </w:r>
      <w:r w:rsidR="005C3889">
        <w:rPr>
          <w:lang w:eastAsia="en-AU"/>
        </w:rPr>
        <w:t xml:space="preserve"> property</w:t>
      </w:r>
      <w:r w:rsidR="00406E80" w:rsidRPr="00DA520A">
        <w:rPr>
          <w:lang w:eastAsia="en-AU"/>
        </w:rPr>
        <w:t>.</w:t>
      </w:r>
      <w:r w:rsidR="00406E80" w:rsidRPr="00406E80">
        <w:rPr>
          <w:lang w:eastAsia="en-AU"/>
        </w:rPr>
        <w:t xml:space="preserve"> </w:t>
      </w:r>
    </w:p>
    <w:p w14:paraId="113B285E" w14:textId="77777777" w:rsidR="005C3889" w:rsidRDefault="005C3889" w:rsidP="005C3889">
      <w:pPr>
        <w:pBdr>
          <w:top w:val="single" w:sz="4" w:space="1" w:color="auto"/>
          <w:left w:val="single" w:sz="4" w:space="4" w:color="auto"/>
          <w:bottom w:val="single" w:sz="4" w:space="1" w:color="auto"/>
          <w:right w:val="single" w:sz="4" w:space="4" w:color="auto"/>
        </w:pBdr>
        <w:rPr>
          <w:lang w:eastAsia="en-AU"/>
        </w:rPr>
      </w:pPr>
      <w:r>
        <w:rPr>
          <w:lang w:eastAsia="en-AU"/>
        </w:rPr>
        <w:t>Cameron’s experience</w:t>
      </w:r>
    </w:p>
    <w:p w14:paraId="25885DB1" w14:textId="1CFA89FC" w:rsidR="005C3889" w:rsidRDefault="005C3889" w:rsidP="005C3889">
      <w:pPr>
        <w:pBdr>
          <w:top w:val="single" w:sz="4" w:space="1" w:color="auto"/>
          <w:left w:val="single" w:sz="4" w:space="4" w:color="auto"/>
          <w:bottom w:val="single" w:sz="4" w:space="1" w:color="auto"/>
          <w:right w:val="single" w:sz="4" w:space="4" w:color="auto"/>
        </w:pBdr>
        <w:rPr>
          <w:lang w:eastAsia="en-AU"/>
        </w:rPr>
      </w:pPr>
      <w:r>
        <w:rPr>
          <w:lang w:eastAsia="en-AU"/>
        </w:rPr>
        <w:t>Cameron</w:t>
      </w:r>
      <w:r w:rsidR="00406E80" w:rsidRPr="00406E80">
        <w:rPr>
          <w:lang w:eastAsia="en-AU"/>
        </w:rPr>
        <w:t xml:space="preserve"> recently attended our duty lawyer service seeking to</w:t>
      </w:r>
      <w:r>
        <w:rPr>
          <w:lang w:eastAsia="en-AU"/>
        </w:rPr>
        <w:t xml:space="preserve"> end a fixed term tenancy. His</w:t>
      </w:r>
      <w:r w:rsidR="00406E80" w:rsidRPr="00406E80">
        <w:rPr>
          <w:lang w:eastAsia="en-AU"/>
        </w:rPr>
        <w:t xml:space="preserve"> co-tenant</w:t>
      </w:r>
      <w:r>
        <w:rPr>
          <w:lang w:eastAsia="en-AU"/>
        </w:rPr>
        <w:t>, who was a stranger before he</w:t>
      </w:r>
      <w:r w:rsidR="00406E80" w:rsidRPr="00406E80">
        <w:rPr>
          <w:lang w:eastAsia="en-AU"/>
        </w:rPr>
        <w:t xml:space="preserve"> moved in, had become unstab</w:t>
      </w:r>
      <w:r>
        <w:rPr>
          <w:lang w:eastAsia="en-AU"/>
        </w:rPr>
        <w:t>le and aggressive and Cameron</w:t>
      </w:r>
      <w:r w:rsidR="00406E80" w:rsidRPr="00406E80">
        <w:rPr>
          <w:lang w:eastAsia="en-AU"/>
        </w:rPr>
        <w:t xml:space="preserve"> no longer felt </w:t>
      </w:r>
      <w:r>
        <w:rPr>
          <w:lang w:eastAsia="en-AU"/>
        </w:rPr>
        <w:t>safe in the property. Cameron</w:t>
      </w:r>
      <w:r w:rsidR="00406E80" w:rsidRPr="00406E80">
        <w:rPr>
          <w:lang w:eastAsia="en-AU"/>
        </w:rPr>
        <w:t xml:space="preserve"> gave notice and moved out. There were no grounds for an intervention order as the interaction with the old co-tenant was not ongoing. Despite genuine attempts to find</w:t>
      </w:r>
      <w:r>
        <w:rPr>
          <w:lang w:eastAsia="en-AU"/>
        </w:rPr>
        <w:t xml:space="preserve"> a new tenant to take over his</w:t>
      </w:r>
      <w:r w:rsidR="00406E80" w:rsidRPr="00406E80">
        <w:rPr>
          <w:lang w:eastAsia="en-AU"/>
        </w:rPr>
        <w:t xml:space="preserve"> portion of the lease it was not possible to find someone given there was only 3</w:t>
      </w:r>
      <w:r>
        <w:rPr>
          <w:lang w:eastAsia="en-AU"/>
        </w:rPr>
        <w:t xml:space="preserve"> months left on the lease. </w:t>
      </w:r>
    </w:p>
    <w:p w14:paraId="7B7F03F9" w14:textId="77777777" w:rsidR="00DA520A" w:rsidRPr="005C3889" w:rsidRDefault="00DA520A" w:rsidP="00123DAB">
      <w:pPr>
        <w:pStyle w:val="TableText"/>
        <w:shd w:val="pct10" w:color="auto" w:fill="auto"/>
        <w:spacing w:before="120" w:after="120"/>
        <w:rPr>
          <w:b/>
          <w:lang w:eastAsia="en-AU"/>
        </w:rPr>
      </w:pPr>
      <w:r w:rsidRPr="005C3889">
        <w:rPr>
          <w:b/>
          <w:lang w:eastAsia="en-AU"/>
        </w:rPr>
        <w:t>Recommendation</w:t>
      </w:r>
      <w:r w:rsidR="004703FF">
        <w:rPr>
          <w:b/>
          <w:lang w:eastAsia="en-AU"/>
        </w:rPr>
        <w:t xml:space="preserve"> 6</w:t>
      </w:r>
      <w:r w:rsidRPr="005C3889">
        <w:rPr>
          <w:b/>
          <w:lang w:eastAsia="en-AU"/>
        </w:rPr>
        <w:t xml:space="preserve">: </w:t>
      </w:r>
      <w:r w:rsidRPr="00123DAB">
        <w:rPr>
          <w:lang w:eastAsia="en-AU"/>
        </w:rPr>
        <w:t xml:space="preserve">Amend the RTA to allow for a co-tenant to be removed from the lease whether it is </w:t>
      </w:r>
      <w:r w:rsidR="00123DAB" w:rsidRPr="00123DAB">
        <w:rPr>
          <w:lang w:eastAsia="en-AU"/>
        </w:rPr>
        <w:t xml:space="preserve">of a </w:t>
      </w:r>
      <w:r w:rsidRPr="00123DAB">
        <w:rPr>
          <w:lang w:eastAsia="en-AU"/>
        </w:rPr>
        <w:t>fixed term or periodic.</w:t>
      </w:r>
    </w:p>
    <w:p w14:paraId="52C85BE5" w14:textId="77777777" w:rsidR="00DA520A" w:rsidRPr="00755CA6" w:rsidRDefault="00DA520A" w:rsidP="00755CA6">
      <w:pPr>
        <w:pStyle w:val="Heading3"/>
        <w:rPr>
          <w:i/>
        </w:rPr>
      </w:pPr>
      <w:r>
        <w:rPr>
          <w:i/>
        </w:rPr>
        <w:t>Apportionment of liability in co-tenancies</w:t>
      </w:r>
    </w:p>
    <w:p w14:paraId="6B7A4485" w14:textId="77777777" w:rsidR="00DA520A" w:rsidRPr="006D7C65" w:rsidRDefault="00DA520A" w:rsidP="004703FF">
      <w:pPr>
        <w:rPr>
          <w:lang w:eastAsia="en-AU"/>
        </w:rPr>
      </w:pPr>
      <w:r w:rsidRPr="006D7C65">
        <w:rPr>
          <w:lang w:eastAsia="en-AU"/>
        </w:rPr>
        <w:t xml:space="preserve">The current RTA fails to provide a mechanism for apportionment of liability </w:t>
      </w:r>
      <w:r w:rsidR="00A64264" w:rsidRPr="006D7C65">
        <w:rPr>
          <w:lang w:eastAsia="en-AU"/>
        </w:rPr>
        <w:t xml:space="preserve">for loss </w:t>
      </w:r>
      <w:r w:rsidRPr="006D7C65">
        <w:rPr>
          <w:lang w:eastAsia="en-AU"/>
        </w:rPr>
        <w:t>between co-tenants.</w:t>
      </w:r>
      <w:r>
        <w:rPr>
          <w:lang w:eastAsia="en-AU"/>
        </w:rPr>
        <w:t xml:space="preserve"> </w:t>
      </w:r>
      <w:r w:rsidRPr="006D7C65">
        <w:rPr>
          <w:lang w:eastAsia="en-AU"/>
        </w:rPr>
        <w:t xml:space="preserve">At common law co-tenants are jointly and severally liable for rent and all other responsibilities under the tenancy agreement. Under the </w:t>
      </w:r>
      <w:r w:rsidRPr="004703FF">
        <w:rPr>
          <w:i/>
          <w:lang w:eastAsia="en-AU"/>
        </w:rPr>
        <w:t>Wrongs Act 1958</w:t>
      </w:r>
      <w:r w:rsidRPr="006D7C65">
        <w:rPr>
          <w:lang w:eastAsia="en-AU"/>
        </w:rPr>
        <w:t xml:space="preserve"> (Vic) </w:t>
      </w:r>
      <w:r w:rsidR="004703FF">
        <w:rPr>
          <w:lang w:eastAsia="en-AU"/>
        </w:rPr>
        <w:t xml:space="preserve">(Wrongs Act) </w:t>
      </w:r>
      <w:r w:rsidRPr="006D7C65">
        <w:rPr>
          <w:lang w:eastAsia="en-AU"/>
        </w:rPr>
        <w:t>a landlord’s claim against joint tenants for compensation</w:t>
      </w:r>
      <w:r w:rsidR="006D7C65">
        <w:rPr>
          <w:lang w:eastAsia="en-AU"/>
        </w:rPr>
        <w:t>,</w:t>
      </w:r>
      <w:r w:rsidRPr="006D7C65">
        <w:rPr>
          <w:lang w:eastAsia="en-AU"/>
        </w:rPr>
        <w:t xml:space="preserve"> caused by a failure to take reasonable care</w:t>
      </w:r>
      <w:r w:rsidR="006D7C65">
        <w:rPr>
          <w:lang w:eastAsia="en-AU"/>
        </w:rPr>
        <w:t>,</w:t>
      </w:r>
      <w:r w:rsidRPr="006D7C65">
        <w:rPr>
          <w:lang w:eastAsia="en-AU"/>
        </w:rPr>
        <w:t xml:space="preserve"> is an apportionable claim, but only where there are “concurrent wrongdoers”. In practice it is very rare for this provision to enable loss to be apportioned. </w:t>
      </w:r>
    </w:p>
    <w:p w14:paraId="4CA38479" w14:textId="77777777" w:rsidR="006D7C65" w:rsidRDefault="006D7C65" w:rsidP="004703FF">
      <w:pPr>
        <w:pBdr>
          <w:top w:val="single" w:sz="4" w:space="1" w:color="auto"/>
          <w:left w:val="single" w:sz="4" w:space="4" w:color="auto"/>
          <w:bottom w:val="single" w:sz="4" w:space="1" w:color="auto"/>
          <w:right w:val="single" w:sz="4" w:space="4" w:color="auto"/>
        </w:pBdr>
        <w:rPr>
          <w:lang w:eastAsia="en-AU"/>
        </w:rPr>
      </w:pPr>
      <w:r>
        <w:rPr>
          <w:lang w:eastAsia="en-AU"/>
        </w:rPr>
        <w:t>Billy’s experience</w:t>
      </w:r>
    </w:p>
    <w:p w14:paraId="381DEE00" w14:textId="77777777" w:rsidR="00DA520A" w:rsidRDefault="006D7C65" w:rsidP="004703FF">
      <w:pPr>
        <w:pBdr>
          <w:top w:val="single" w:sz="4" w:space="1" w:color="auto"/>
          <w:left w:val="single" w:sz="4" w:space="4" w:color="auto"/>
          <w:bottom w:val="single" w:sz="4" w:space="1" w:color="auto"/>
          <w:right w:val="single" w:sz="4" w:space="4" w:color="auto"/>
        </w:pBdr>
        <w:rPr>
          <w:lang w:eastAsia="en-AU"/>
        </w:rPr>
      </w:pPr>
      <w:r>
        <w:rPr>
          <w:lang w:eastAsia="en-AU"/>
        </w:rPr>
        <w:t>Billy</w:t>
      </w:r>
      <w:r w:rsidR="00DA520A" w:rsidRPr="006D7C65">
        <w:rPr>
          <w:lang w:eastAsia="en-AU"/>
        </w:rPr>
        <w:t xml:space="preserve"> recently attended our duty lawyer service </w:t>
      </w:r>
      <w:r>
        <w:rPr>
          <w:lang w:eastAsia="en-AU"/>
        </w:rPr>
        <w:t xml:space="preserve">seeking assistance defending </w:t>
      </w:r>
      <w:r w:rsidR="00DA520A" w:rsidRPr="006D7C65">
        <w:rPr>
          <w:lang w:eastAsia="en-AU"/>
        </w:rPr>
        <w:t>a compensation claim</w:t>
      </w:r>
      <w:r>
        <w:rPr>
          <w:lang w:eastAsia="en-AU"/>
        </w:rPr>
        <w:t>. Billy’s</w:t>
      </w:r>
      <w:r w:rsidR="00DA520A" w:rsidRPr="006D7C65">
        <w:rPr>
          <w:lang w:eastAsia="en-AU"/>
        </w:rPr>
        <w:t xml:space="preserve"> co-tenant had accidentally set fire to part of the property during a party</w:t>
      </w:r>
      <w:r>
        <w:rPr>
          <w:lang w:eastAsia="en-AU"/>
        </w:rPr>
        <w:t xml:space="preserve">. Billy </w:t>
      </w:r>
      <w:r w:rsidR="00DA520A" w:rsidRPr="006D7C65">
        <w:rPr>
          <w:lang w:eastAsia="en-AU"/>
        </w:rPr>
        <w:t>was away for the weekend</w:t>
      </w:r>
      <w:r>
        <w:rPr>
          <w:lang w:eastAsia="en-AU"/>
        </w:rPr>
        <w:t xml:space="preserve"> and did not know or agree to the party; he</w:t>
      </w:r>
      <w:r w:rsidR="00DA520A" w:rsidRPr="006D7C65">
        <w:rPr>
          <w:lang w:eastAsia="en-AU"/>
        </w:rPr>
        <w:t xml:space="preserve"> was not a concurrent wrongdoer. In t</w:t>
      </w:r>
      <w:r>
        <w:rPr>
          <w:lang w:eastAsia="en-AU"/>
        </w:rPr>
        <w:t>hese circumstances Billy</w:t>
      </w:r>
      <w:r w:rsidR="00DA520A" w:rsidRPr="006D7C65">
        <w:rPr>
          <w:lang w:eastAsia="en-AU"/>
        </w:rPr>
        <w:t xml:space="preserve"> could be held fully responsible for the damage caused. In order for the Tribunal to order that the landlord only pursue the co-tenant responsi</w:t>
      </w:r>
      <w:r>
        <w:rPr>
          <w:lang w:eastAsia="en-AU"/>
        </w:rPr>
        <w:t>ble for the damage</w:t>
      </w:r>
      <w:r w:rsidR="004703FF">
        <w:rPr>
          <w:lang w:eastAsia="en-AU"/>
        </w:rPr>
        <w:t>,</w:t>
      </w:r>
      <w:r>
        <w:rPr>
          <w:lang w:eastAsia="en-AU"/>
        </w:rPr>
        <w:t xml:space="preserve"> Billy</w:t>
      </w:r>
      <w:r w:rsidR="00DA520A" w:rsidRPr="006D7C65">
        <w:rPr>
          <w:lang w:eastAsia="en-AU"/>
        </w:rPr>
        <w:t xml:space="preserve"> would have to establish that </w:t>
      </w:r>
      <w:r w:rsidR="001A419A">
        <w:rPr>
          <w:lang w:eastAsia="en-AU"/>
        </w:rPr>
        <w:t>he was</w:t>
      </w:r>
      <w:r w:rsidR="00DA520A" w:rsidRPr="006D7C65">
        <w:rPr>
          <w:lang w:eastAsia="en-AU"/>
        </w:rPr>
        <w:t xml:space="preserve"> a </w:t>
      </w:r>
      <w:r w:rsidR="001A419A">
        <w:rPr>
          <w:lang w:eastAsia="en-AU"/>
        </w:rPr>
        <w:t>“</w:t>
      </w:r>
      <w:r w:rsidR="00DA520A" w:rsidRPr="006D7C65">
        <w:rPr>
          <w:lang w:eastAsia="en-AU"/>
        </w:rPr>
        <w:t>concurrent wrongdoer</w:t>
      </w:r>
      <w:r w:rsidR="001A419A">
        <w:rPr>
          <w:lang w:eastAsia="en-AU"/>
        </w:rPr>
        <w:t>”</w:t>
      </w:r>
      <w:r w:rsidR="00DA520A" w:rsidRPr="006D7C65">
        <w:rPr>
          <w:lang w:eastAsia="en-AU"/>
        </w:rPr>
        <w:t xml:space="preserve"> and convince the Tribunal to apply the </w:t>
      </w:r>
      <w:r>
        <w:rPr>
          <w:lang w:eastAsia="en-AU"/>
        </w:rPr>
        <w:t>Wrongs Act</w:t>
      </w:r>
      <w:r w:rsidR="00DA520A" w:rsidRPr="006D7C65">
        <w:rPr>
          <w:lang w:eastAsia="en-AU"/>
        </w:rPr>
        <w:t>.</w:t>
      </w:r>
      <w:r w:rsidR="00A64264" w:rsidRPr="006D7C65">
        <w:rPr>
          <w:lang w:eastAsia="en-AU"/>
        </w:rPr>
        <w:t xml:space="preserve"> </w:t>
      </w:r>
    </w:p>
    <w:p w14:paraId="6F4039E2" w14:textId="77777777" w:rsidR="00DA520A" w:rsidRPr="006D7C65" w:rsidRDefault="00A64264" w:rsidP="004703FF">
      <w:pPr>
        <w:rPr>
          <w:lang w:eastAsia="en-AU"/>
        </w:rPr>
      </w:pPr>
      <w:r w:rsidRPr="006D7C65">
        <w:rPr>
          <w:lang w:eastAsia="en-AU"/>
        </w:rPr>
        <w:t xml:space="preserve">It is already accepted that loss can be apportioned where there are “concurrent wrongdoers” however this should be expressly outlined in the RTA to make this clearer to </w:t>
      </w:r>
      <w:r w:rsidR="0053511D">
        <w:rPr>
          <w:lang w:eastAsia="en-AU"/>
        </w:rPr>
        <w:t xml:space="preserve">both </w:t>
      </w:r>
      <w:r w:rsidRPr="006D7C65">
        <w:rPr>
          <w:lang w:eastAsia="en-AU"/>
        </w:rPr>
        <w:t xml:space="preserve">tenants and </w:t>
      </w:r>
      <w:r w:rsidRPr="006D7C65">
        <w:rPr>
          <w:lang w:eastAsia="en-AU"/>
        </w:rPr>
        <w:lastRenderedPageBreak/>
        <w:t xml:space="preserve">landlords. The benefit of this should </w:t>
      </w:r>
      <w:r w:rsidR="0053511D">
        <w:rPr>
          <w:lang w:eastAsia="en-AU"/>
        </w:rPr>
        <w:t xml:space="preserve">also </w:t>
      </w:r>
      <w:r w:rsidRPr="006D7C65">
        <w:rPr>
          <w:lang w:eastAsia="en-AU"/>
        </w:rPr>
        <w:t>be extended to circumstances where one or more of the co-tenants are not wrongdoers.</w:t>
      </w:r>
    </w:p>
    <w:p w14:paraId="0DF982AC" w14:textId="77777777" w:rsidR="00A64264" w:rsidRPr="006D7C65" w:rsidRDefault="00A64264" w:rsidP="004703FF">
      <w:pPr>
        <w:pStyle w:val="TableText"/>
        <w:shd w:val="pct10" w:color="auto" w:fill="auto"/>
        <w:spacing w:before="120" w:after="120"/>
        <w:rPr>
          <w:b/>
          <w:lang w:eastAsia="en-AU"/>
        </w:rPr>
      </w:pPr>
      <w:r w:rsidRPr="006D7C65">
        <w:rPr>
          <w:b/>
          <w:lang w:eastAsia="en-AU"/>
        </w:rPr>
        <w:t>Recommendation</w:t>
      </w:r>
      <w:r w:rsidR="004703FF">
        <w:rPr>
          <w:b/>
          <w:lang w:eastAsia="en-AU"/>
        </w:rPr>
        <w:t xml:space="preserve"> 7</w:t>
      </w:r>
      <w:r w:rsidRPr="006D7C65">
        <w:rPr>
          <w:b/>
          <w:lang w:eastAsia="en-AU"/>
        </w:rPr>
        <w:t xml:space="preserve">: </w:t>
      </w:r>
      <w:r w:rsidRPr="004703FF">
        <w:rPr>
          <w:lang w:eastAsia="en-AU"/>
        </w:rPr>
        <w:t>Amend the RTA to enable apportionment of liability between co-tenants.</w:t>
      </w:r>
    </w:p>
    <w:p w14:paraId="3816C5CB" w14:textId="77777777" w:rsidR="00A64264" w:rsidRPr="00755CA6" w:rsidRDefault="00A64264" w:rsidP="00755CA6">
      <w:pPr>
        <w:pStyle w:val="Heading3"/>
        <w:rPr>
          <w:i/>
        </w:rPr>
      </w:pPr>
      <w:r w:rsidRPr="0074198C">
        <w:rPr>
          <w:i/>
        </w:rPr>
        <w:t>Blacklisting</w:t>
      </w:r>
    </w:p>
    <w:p w14:paraId="08608729" w14:textId="77777777" w:rsidR="00C11511" w:rsidRDefault="00A64264" w:rsidP="004703FF">
      <w:pPr>
        <w:rPr>
          <w:lang w:eastAsia="en-AU"/>
        </w:rPr>
      </w:pPr>
      <w:r w:rsidRPr="004703FF">
        <w:rPr>
          <w:lang w:eastAsia="en-AU"/>
        </w:rPr>
        <w:t>Tenants who take all reasonable steps to pay arrears once they become aware of them can still be blacklisted</w:t>
      </w:r>
      <w:r w:rsidR="008D3B5D" w:rsidRPr="004703FF">
        <w:rPr>
          <w:lang w:eastAsia="en-AU"/>
        </w:rPr>
        <w:t>, making it difficult for them to secure rental properties in the future</w:t>
      </w:r>
      <w:r w:rsidRPr="004703FF">
        <w:rPr>
          <w:lang w:eastAsia="en-AU"/>
        </w:rPr>
        <w:t xml:space="preserve">. </w:t>
      </w:r>
      <w:r w:rsidR="009627B9" w:rsidRPr="004703FF">
        <w:rPr>
          <w:lang w:eastAsia="en-AU"/>
        </w:rPr>
        <w:t xml:space="preserve">This is of particular concern in situations where it has been extremely difficult for a tenant to have </w:t>
      </w:r>
      <w:r w:rsidR="00E27394" w:rsidRPr="004703FF">
        <w:rPr>
          <w:lang w:eastAsia="en-AU"/>
        </w:rPr>
        <w:t xml:space="preserve">their name removed from a tenancy agreement. </w:t>
      </w:r>
      <w:r w:rsidR="008D3B5D" w:rsidRPr="004703FF">
        <w:rPr>
          <w:lang w:eastAsia="en-AU"/>
        </w:rPr>
        <w:t xml:space="preserve">Situations can </w:t>
      </w:r>
      <w:r w:rsidR="00E27394" w:rsidRPr="004703FF">
        <w:rPr>
          <w:lang w:eastAsia="en-AU"/>
        </w:rPr>
        <w:t xml:space="preserve">then </w:t>
      </w:r>
      <w:r w:rsidR="008D3B5D" w:rsidRPr="004703FF">
        <w:rPr>
          <w:lang w:eastAsia="en-AU"/>
        </w:rPr>
        <w:t xml:space="preserve">arise </w:t>
      </w:r>
      <w:r w:rsidRPr="004703FF">
        <w:rPr>
          <w:lang w:eastAsia="en-AU"/>
        </w:rPr>
        <w:t xml:space="preserve">where </w:t>
      </w:r>
      <w:r w:rsidR="00E27394" w:rsidRPr="004703FF">
        <w:rPr>
          <w:lang w:eastAsia="en-AU"/>
        </w:rPr>
        <w:t xml:space="preserve">tenants who remain listed on the tenancy agreement, but no longer reside at the property, are unaware that the </w:t>
      </w:r>
      <w:r w:rsidRPr="004703FF">
        <w:rPr>
          <w:lang w:eastAsia="en-AU"/>
        </w:rPr>
        <w:t>tenant who remains at the propert</w:t>
      </w:r>
      <w:r w:rsidR="008D3B5D" w:rsidRPr="004703FF">
        <w:rPr>
          <w:lang w:eastAsia="en-AU"/>
        </w:rPr>
        <w:t xml:space="preserve">y </w:t>
      </w:r>
      <w:r w:rsidR="004703FF" w:rsidRPr="004703FF">
        <w:rPr>
          <w:lang w:eastAsia="en-AU"/>
        </w:rPr>
        <w:t>has allowed</w:t>
      </w:r>
      <w:r w:rsidR="008D3B5D" w:rsidRPr="004703FF">
        <w:rPr>
          <w:lang w:eastAsia="en-AU"/>
        </w:rPr>
        <w:t xml:space="preserve"> arrears to accrue. Where rental arrears remain unpaid for more than three months, personal information about the late payment cannot be removed from the database. </w:t>
      </w:r>
    </w:p>
    <w:p w14:paraId="5CAED742" w14:textId="7A2DD5CE" w:rsidR="00A64264" w:rsidRPr="004703FF" w:rsidRDefault="00A64264" w:rsidP="004703FF">
      <w:pPr>
        <w:rPr>
          <w:lang w:eastAsia="en-AU"/>
        </w:rPr>
      </w:pPr>
      <w:r w:rsidRPr="004703FF">
        <w:rPr>
          <w:lang w:eastAsia="en-AU"/>
        </w:rPr>
        <w:t xml:space="preserve">Real estate agents are required to advise a person when they plan to list them on a database, however in many cases this does not occur because there is no contact address following the termination of the tenancy. As the person has left the property, they may not </w:t>
      </w:r>
      <w:r w:rsidR="008D3B5D" w:rsidRPr="004703FF">
        <w:rPr>
          <w:lang w:eastAsia="en-AU"/>
        </w:rPr>
        <w:t xml:space="preserve">even </w:t>
      </w:r>
      <w:r w:rsidRPr="004703FF">
        <w:rPr>
          <w:lang w:eastAsia="en-AU"/>
        </w:rPr>
        <w:t xml:space="preserve">be aware of the rental arrears. Even if a tenant takes immediate steps to rectify the issue as soon as they become aware of it, the law does not allow them to remove this information from the database. </w:t>
      </w:r>
    </w:p>
    <w:p w14:paraId="1EE89E49" w14:textId="77777777" w:rsidR="00F8112C" w:rsidRPr="0074198C" w:rsidRDefault="00F8112C" w:rsidP="004703FF">
      <w:pPr>
        <w:pStyle w:val="TableText"/>
        <w:shd w:val="pct10" w:color="auto" w:fill="auto"/>
        <w:spacing w:before="120" w:after="120"/>
        <w:rPr>
          <w:lang w:eastAsia="en-AU"/>
        </w:rPr>
      </w:pPr>
      <w:r w:rsidRPr="008D3B5D">
        <w:rPr>
          <w:b/>
          <w:lang w:eastAsia="en-AU"/>
        </w:rPr>
        <w:t>Recommendation</w:t>
      </w:r>
      <w:r w:rsidR="004703FF">
        <w:rPr>
          <w:b/>
          <w:lang w:eastAsia="en-AU"/>
        </w:rPr>
        <w:t xml:space="preserve"> 8</w:t>
      </w:r>
      <w:r w:rsidR="00E845D0">
        <w:rPr>
          <w:b/>
          <w:lang w:eastAsia="en-AU"/>
        </w:rPr>
        <w:t xml:space="preserve">: </w:t>
      </w:r>
      <w:r w:rsidR="00E845D0" w:rsidRPr="004703FF">
        <w:rPr>
          <w:lang w:eastAsia="en-AU"/>
        </w:rPr>
        <w:t xml:space="preserve">Amend </w:t>
      </w:r>
      <w:r w:rsidR="0074198C">
        <w:rPr>
          <w:lang w:eastAsia="en-AU"/>
        </w:rPr>
        <w:t xml:space="preserve">blacklisting provisions such as </w:t>
      </w:r>
      <w:r w:rsidR="00E845D0" w:rsidRPr="004703FF">
        <w:rPr>
          <w:lang w:eastAsia="en-AU"/>
        </w:rPr>
        <w:t>the definition of “inaccurate” and “out of date” in section 439A so that the words “or tenant becomes aware of the debt” follow “3 months after due”.</w:t>
      </w:r>
      <w:r w:rsidR="00E845D0" w:rsidRPr="0074198C">
        <w:rPr>
          <w:lang w:eastAsia="en-AU"/>
        </w:rPr>
        <w:t xml:space="preserve"> </w:t>
      </w:r>
    </w:p>
    <w:p w14:paraId="5D0D2604" w14:textId="77777777" w:rsidR="001E1987" w:rsidRPr="006107E1" w:rsidRDefault="001E1987" w:rsidP="00755CA6">
      <w:pPr>
        <w:pStyle w:val="Heading3"/>
        <w:rPr>
          <w:b w:val="0"/>
          <w:i/>
        </w:rPr>
      </w:pPr>
      <w:r>
        <w:rPr>
          <w:i/>
        </w:rPr>
        <w:t>Compensation claims</w:t>
      </w:r>
    </w:p>
    <w:p w14:paraId="5C785CF0" w14:textId="02A7DAC9" w:rsidR="001E1987" w:rsidRDefault="005F6411" w:rsidP="00C546D6">
      <w:pPr>
        <w:pStyle w:val="Heading1"/>
        <w:rPr>
          <w:rFonts w:cs="Times New Roman"/>
          <w:b w:val="0"/>
          <w:bCs w:val="0"/>
          <w:color w:val="auto"/>
          <w:kern w:val="0"/>
          <w:sz w:val="22"/>
          <w:szCs w:val="24"/>
        </w:rPr>
      </w:pPr>
      <w:r>
        <w:rPr>
          <w:rFonts w:cs="Times New Roman"/>
          <w:b w:val="0"/>
          <w:bCs w:val="0"/>
          <w:color w:val="auto"/>
          <w:kern w:val="0"/>
          <w:sz w:val="22"/>
          <w:szCs w:val="24"/>
        </w:rPr>
        <w:t>In our experience t</w:t>
      </w:r>
      <w:r w:rsidR="001E1987">
        <w:rPr>
          <w:rFonts w:cs="Times New Roman"/>
          <w:b w:val="0"/>
          <w:bCs w:val="0"/>
          <w:color w:val="auto"/>
          <w:kern w:val="0"/>
          <w:sz w:val="22"/>
          <w:szCs w:val="24"/>
        </w:rPr>
        <w:t xml:space="preserve">enants </w:t>
      </w:r>
      <w:r>
        <w:rPr>
          <w:rFonts w:cs="Times New Roman"/>
          <w:b w:val="0"/>
          <w:bCs w:val="0"/>
          <w:color w:val="auto"/>
          <w:kern w:val="0"/>
          <w:sz w:val="22"/>
          <w:szCs w:val="24"/>
        </w:rPr>
        <w:t>can have difficulties</w:t>
      </w:r>
      <w:r w:rsidR="001E1987">
        <w:rPr>
          <w:rFonts w:cs="Times New Roman"/>
          <w:b w:val="0"/>
          <w:bCs w:val="0"/>
          <w:color w:val="auto"/>
          <w:kern w:val="0"/>
          <w:sz w:val="22"/>
          <w:szCs w:val="24"/>
        </w:rPr>
        <w:t xml:space="preserve"> </w:t>
      </w:r>
      <w:r w:rsidR="001E1987" w:rsidRPr="001E1987">
        <w:rPr>
          <w:rFonts w:cs="Times New Roman"/>
          <w:b w:val="0"/>
          <w:bCs w:val="0"/>
          <w:color w:val="auto"/>
          <w:kern w:val="0"/>
          <w:sz w:val="22"/>
          <w:szCs w:val="24"/>
        </w:rPr>
        <w:t xml:space="preserve">meeting the burden of proof </w:t>
      </w:r>
      <w:r>
        <w:rPr>
          <w:rFonts w:cs="Times New Roman"/>
          <w:b w:val="0"/>
          <w:bCs w:val="0"/>
          <w:color w:val="auto"/>
          <w:kern w:val="0"/>
          <w:sz w:val="22"/>
          <w:szCs w:val="24"/>
        </w:rPr>
        <w:t xml:space="preserve">in VCAT proceedings </w:t>
      </w:r>
      <w:r w:rsidR="001E1987" w:rsidRPr="001E1987">
        <w:rPr>
          <w:rFonts w:cs="Times New Roman"/>
          <w:b w:val="0"/>
          <w:bCs w:val="0"/>
          <w:color w:val="auto"/>
          <w:kern w:val="0"/>
          <w:sz w:val="22"/>
          <w:szCs w:val="24"/>
        </w:rPr>
        <w:t>when bringing compensation claims against</w:t>
      </w:r>
      <w:r w:rsidR="001E1987" w:rsidRPr="00167BB3">
        <w:rPr>
          <w:sz w:val="20"/>
          <w:szCs w:val="20"/>
        </w:rPr>
        <w:t xml:space="preserve"> </w:t>
      </w:r>
      <w:r>
        <w:rPr>
          <w:rFonts w:cs="Times New Roman"/>
          <w:b w:val="0"/>
          <w:bCs w:val="0"/>
          <w:color w:val="auto"/>
          <w:kern w:val="0"/>
          <w:sz w:val="22"/>
          <w:szCs w:val="24"/>
        </w:rPr>
        <w:t>landlords. Consequently</w:t>
      </w:r>
      <w:r w:rsidR="001E1987" w:rsidRPr="001E1987">
        <w:rPr>
          <w:rFonts w:cs="Times New Roman"/>
          <w:b w:val="0"/>
          <w:bCs w:val="0"/>
          <w:color w:val="auto"/>
          <w:kern w:val="0"/>
          <w:sz w:val="22"/>
          <w:szCs w:val="24"/>
        </w:rPr>
        <w:t xml:space="preserve">, they are unable to recover losses suffered as a result of </w:t>
      </w:r>
      <w:r>
        <w:rPr>
          <w:rFonts w:cs="Times New Roman"/>
          <w:b w:val="0"/>
          <w:bCs w:val="0"/>
          <w:color w:val="auto"/>
          <w:kern w:val="0"/>
          <w:sz w:val="22"/>
          <w:szCs w:val="24"/>
        </w:rPr>
        <w:t xml:space="preserve">a </w:t>
      </w:r>
      <w:r w:rsidR="001E1987" w:rsidRPr="001E1987">
        <w:rPr>
          <w:rFonts w:cs="Times New Roman"/>
          <w:b w:val="0"/>
          <w:bCs w:val="0"/>
          <w:color w:val="auto"/>
          <w:kern w:val="0"/>
          <w:sz w:val="22"/>
          <w:szCs w:val="24"/>
        </w:rPr>
        <w:t>landlord’s failure to comply with their duties.</w:t>
      </w:r>
    </w:p>
    <w:p w14:paraId="10925C33" w14:textId="77777777" w:rsidR="00FF47AC" w:rsidRPr="005F6411" w:rsidRDefault="005F6411" w:rsidP="00FF47AC">
      <w:pPr>
        <w:pBdr>
          <w:top w:val="single" w:sz="4" w:space="1" w:color="auto"/>
          <w:left w:val="single" w:sz="4" w:space="4" w:color="auto"/>
          <w:bottom w:val="single" w:sz="4" w:space="1" w:color="auto"/>
          <w:right w:val="single" w:sz="4" w:space="4" w:color="auto"/>
        </w:pBdr>
        <w:rPr>
          <w:szCs w:val="22"/>
          <w:lang w:eastAsia="en-AU"/>
        </w:rPr>
      </w:pPr>
      <w:r>
        <w:rPr>
          <w:szCs w:val="22"/>
          <w:lang w:eastAsia="en-AU"/>
        </w:rPr>
        <w:t>Jayne’s experience</w:t>
      </w:r>
      <w:r w:rsidR="00FF47AC" w:rsidRPr="005F6411">
        <w:rPr>
          <w:szCs w:val="22"/>
          <w:lang w:eastAsia="en-AU"/>
        </w:rPr>
        <w:t xml:space="preserve"> </w:t>
      </w:r>
    </w:p>
    <w:p w14:paraId="4B703C97" w14:textId="77777777" w:rsidR="00C11511" w:rsidRDefault="00FF47AC" w:rsidP="00FF47AC">
      <w:pPr>
        <w:pBdr>
          <w:top w:val="single" w:sz="4" w:space="1" w:color="auto"/>
          <w:left w:val="single" w:sz="4" w:space="4" w:color="auto"/>
          <w:bottom w:val="single" w:sz="4" w:space="1" w:color="auto"/>
          <w:right w:val="single" w:sz="4" w:space="4" w:color="auto"/>
        </w:pBdr>
        <w:rPr>
          <w:szCs w:val="22"/>
          <w:lang w:eastAsia="en-AU"/>
        </w:rPr>
      </w:pPr>
      <w:r w:rsidRPr="005F6411">
        <w:rPr>
          <w:szCs w:val="22"/>
          <w:lang w:eastAsia="en-AU"/>
        </w:rPr>
        <w:t xml:space="preserve">Jayne is a single mother of </w:t>
      </w:r>
      <w:r w:rsidR="003A4402">
        <w:rPr>
          <w:szCs w:val="22"/>
          <w:lang w:eastAsia="en-AU"/>
        </w:rPr>
        <w:t>a young</w:t>
      </w:r>
      <w:r w:rsidRPr="005F6411">
        <w:rPr>
          <w:szCs w:val="22"/>
          <w:lang w:eastAsia="en-AU"/>
        </w:rPr>
        <w:t xml:space="preserve"> child. Jayne</w:t>
      </w:r>
      <w:r w:rsidR="00CC42A3">
        <w:rPr>
          <w:szCs w:val="22"/>
          <w:lang w:eastAsia="en-AU"/>
        </w:rPr>
        <w:t xml:space="preserve"> was living</w:t>
      </w:r>
      <w:r w:rsidR="001E1987" w:rsidRPr="005F6411">
        <w:rPr>
          <w:szCs w:val="22"/>
          <w:lang w:eastAsia="en-AU"/>
        </w:rPr>
        <w:t xml:space="preserve"> in a </w:t>
      </w:r>
      <w:r w:rsidR="00CC42A3">
        <w:rPr>
          <w:szCs w:val="22"/>
          <w:lang w:eastAsia="en-AU"/>
        </w:rPr>
        <w:t xml:space="preserve">relatively new flat </w:t>
      </w:r>
      <w:r w:rsidR="001E1987" w:rsidRPr="005F6411">
        <w:rPr>
          <w:szCs w:val="22"/>
          <w:lang w:eastAsia="en-AU"/>
        </w:rPr>
        <w:t xml:space="preserve">owned by the </w:t>
      </w:r>
      <w:r w:rsidR="00CD3D1F">
        <w:rPr>
          <w:szCs w:val="22"/>
          <w:lang w:eastAsia="en-AU"/>
        </w:rPr>
        <w:t>Department of Health and Human Services</w:t>
      </w:r>
      <w:r w:rsidRPr="005F6411">
        <w:rPr>
          <w:szCs w:val="22"/>
          <w:lang w:eastAsia="en-AU"/>
        </w:rPr>
        <w:t xml:space="preserve"> and</w:t>
      </w:r>
      <w:r w:rsidR="001E1987" w:rsidRPr="005F6411">
        <w:rPr>
          <w:szCs w:val="22"/>
          <w:lang w:eastAsia="en-AU"/>
        </w:rPr>
        <w:t xml:space="preserve"> managed</w:t>
      </w:r>
      <w:r w:rsidR="00CC42A3">
        <w:rPr>
          <w:szCs w:val="22"/>
          <w:lang w:eastAsia="en-AU"/>
        </w:rPr>
        <w:t xml:space="preserve"> by a housing cooperative. After moving in to the property </w:t>
      </w:r>
      <w:r w:rsidRPr="005F6411">
        <w:rPr>
          <w:szCs w:val="22"/>
          <w:lang w:eastAsia="en-AU"/>
        </w:rPr>
        <w:t>Jayne made complaints</w:t>
      </w:r>
      <w:r w:rsidR="001E1987" w:rsidRPr="005F6411">
        <w:rPr>
          <w:szCs w:val="22"/>
          <w:lang w:eastAsia="en-AU"/>
        </w:rPr>
        <w:t xml:space="preserve"> abou</w:t>
      </w:r>
      <w:r w:rsidR="00CC42A3">
        <w:rPr>
          <w:szCs w:val="22"/>
          <w:lang w:eastAsia="en-AU"/>
        </w:rPr>
        <w:t>t damp and ventilation issues</w:t>
      </w:r>
      <w:r w:rsidR="001E1987" w:rsidRPr="005F6411">
        <w:rPr>
          <w:szCs w:val="22"/>
          <w:lang w:eastAsia="en-AU"/>
        </w:rPr>
        <w:t xml:space="preserve">. Mould </w:t>
      </w:r>
      <w:r w:rsidR="00CC42A3">
        <w:rPr>
          <w:szCs w:val="22"/>
          <w:lang w:eastAsia="en-AU"/>
        </w:rPr>
        <w:t xml:space="preserve">had </w:t>
      </w:r>
      <w:r w:rsidR="001E1987" w:rsidRPr="005F6411">
        <w:rPr>
          <w:szCs w:val="22"/>
          <w:lang w:eastAsia="en-AU"/>
        </w:rPr>
        <w:t>developed and destroyed her furniture, clothes and other goods like her daughter’s toys. The landlord disputed that there was an issue and stated that th</w:t>
      </w:r>
      <w:r w:rsidRPr="005F6411">
        <w:rPr>
          <w:szCs w:val="22"/>
          <w:lang w:eastAsia="en-AU"/>
        </w:rPr>
        <w:t>e mould was caused by Jayne</w:t>
      </w:r>
      <w:r w:rsidR="001E1987" w:rsidRPr="005F6411">
        <w:rPr>
          <w:szCs w:val="22"/>
          <w:lang w:eastAsia="en-AU"/>
        </w:rPr>
        <w:t xml:space="preserve">’s failure </w:t>
      </w:r>
      <w:r w:rsidR="003A4402">
        <w:rPr>
          <w:szCs w:val="22"/>
          <w:lang w:eastAsia="en-AU"/>
        </w:rPr>
        <w:t xml:space="preserve">to ventilate properly. </w:t>
      </w:r>
    </w:p>
    <w:p w14:paraId="19100FA1" w14:textId="77777777" w:rsidR="00C11511" w:rsidRDefault="00FF47AC" w:rsidP="00FF47AC">
      <w:pPr>
        <w:pBdr>
          <w:top w:val="single" w:sz="4" w:space="1" w:color="auto"/>
          <w:left w:val="single" w:sz="4" w:space="4" w:color="auto"/>
          <w:bottom w:val="single" w:sz="4" w:space="1" w:color="auto"/>
          <w:right w:val="single" w:sz="4" w:space="4" w:color="auto"/>
        </w:pBdr>
        <w:rPr>
          <w:szCs w:val="22"/>
          <w:lang w:eastAsia="en-AU"/>
        </w:rPr>
      </w:pPr>
      <w:r w:rsidRPr="005F6411">
        <w:rPr>
          <w:szCs w:val="22"/>
          <w:lang w:eastAsia="en-AU"/>
        </w:rPr>
        <w:t>Jayne</w:t>
      </w:r>
      <w:r w:rsidR="001E1987" w:rsidRPr="005F6411">
        <w:rPr>
          <w:szCs w:val="22"/>
          <w:lang w:eastAsia="en-AU"/>
        </w:rPr>
        <w:t xml:space="preserve"> served a breach of duty notice and applied to the Tribunal for an order for re</w:t>
      </w:r>
      <w:r w:rsidRPr="005F6411">
        <w:rPr>
          <w:szCs w:val="22"/>
          <w:lang w:eastAsia="en-AU"/>
        </w:rPr>
        <w:t>pairs to be carried out. Jayne</w:t>
      </w:r>
      <w:r w:rsidR="001E1987" w:rsidRPr="005F6411">
        <w:rPr>
          <w:szCs w:val="22"/>
          <w:lang w:eastAsia="en-AU"/>
        </w:rPr>
        <w:t xml:space="preserve"> had extensive photographs to show the damage the mould was causing her. </w:t>
      </w:r>
      <w:r w:rsidRPr="005F6411">
        <w:rPr>
          <w:szCs w:val="22"/>
          <w:lang w:eastAsia="en-AU"/>
        </w:rPr>
        <w:t xml:space="preserve">The </w:t>
      </w:r>
      <w:r w:rsidR="001E1987" w:rsidRPr="005F6411">
        <w:rPr>
          <w:szCs w:val="22"/>
          <w:lang w:eastAsia="en-AU"/>
        </w:rPr>
        <w:t xml:space="preserve">Tribunal ordered a mould expert to inspect. The report found that the property was defective and suggested a number of alterations and installation of “de-humidifiers”. The mould expert also told </w:t>
      </w:r>
      <w:r w:rsidRPr="005F6411">
        <w:rPr>
          <w:szCs w:val="22"/>
          <w:lang w:eastAsia="en-AU"/>
        </w:rPr>
        <w:t>Jayne</w:t>
      </w:r>
      <w:r w:rsidR="001E1987" w:rsidRPr="005F6411">
        <w:rPr>
          <w:szCs w:val="22"/>
          <w:lang w:eastAsia="en-AU"/>
        </w:rPr>
        <w:t xml:space="preserve"> that it was not safe for her to remain in the property. Even so, the landlord argued that the building was energy efficient and complied with the current building regulations. The Tribunal reserved its decision at the final hearing. </w:t>
      </w:r>
    </w:p>
    <w:p w14:paraId="59E7D16A" w14:textId="18344C5D" w:rsidR="001E1987" w:rsidRPr="005F6411" w:rsidRDefault="001E1987" w:rsidP="00FF47AC">
      <w:pPr>
        <w:pBdr>
          <w:top w:val="single" w:sz="4" w:space="1" w:color="auto"/>
          <w:left w:val="single" w:sz="4" w:space="4" w:color="auto"/>
          <w:bottom w:val="single" w:sz="4" w:space="1" w:color="auto"/>
          <w:right w:val="single" w:sz="4" w:space="4" w:color="auto"/>
        </w:pBdr>
        <w:rPr>
          <w:szCs w:val="22"/>
          <w:lang w:eastAsia="en-AU"/>
        </w:rPr>
      </w:pPr>
      <w:r w:rsidRPr="005F6411">
        <w:rPr>
          <w:szCs w:val="22"/>
          <w:lang w:eastAsia="en-AU"/>
        </w:rPr>
        <w:t xml:space="preserve">At the return hearing, the Tribunal encouraged </w:t>
      </w:r>
      <w:r w:rsidR="00FF47AC" w:rsidRPr="005F6411">
        <w:rPr>
          <w:szCs w:val="22"/>
          <w:lang w:eastAsia="en-AU"/>
        </w:rPr>
        <w:t xml:space="preserve">the </w:t>
      </w:r>
      <w:r w:rsidRPr="005F6411">
        <w:rPr>
          <w:szCs w:val="22"/>
          <w:lang w:eastAsia="en-AU"/>
        </w:rPr>
        <w:t xml:space="preserve">parties to reach an agreement and raised concerns about how </w:t>
      </w:r>
      <w:r w:rsidR="00FF47AC" w:rsidRPr="005F6411">
        <w:rPr>
          <w:szCs w:val="22"/>
          <w:lang w:eastAsia="en-AU"/>
        </w:rPr>
        <w:t xml:space="preserve">Jayne </w:t>
      </w:r>
      <w:r w:rsidRPr="005F6411">
        <w:rPr>
          <w:szCs w:val="22"/>
          <w:lang w:eastAsia="en-AU"/>
        </w:rPr>
        <w:t>would obtain evidence to substantiate her claim for compensation. In the end, the parties reached a confidential settlem</w:t>
      </w:r>
      <w:r w:rsidR="003A4402">
        <w:rPr>
          <w:szCs w:val="22"/>
          <w:lang w:eastAsia="en-AU"/>
        </w:rPr>
        <w:t>ent however</w:t>
      </w:r>
      <w:r w:rsidR="00FF47AC" w:rsidRPr="005F6411">
        <w:rPr>
          <w:szCs w:val="22"/>
          <w:lang w:eastAsia="en-AU"/>
        </w:rPr>
        <w:t xml:space="preserve"> failing this, Jayne</w:t>
      </w:r>
      <w:r w:rsidR="003A4402">
        <w:rPr>
          <w:szCs w:val="22"/>
          <w:lang w:eastAsia="en-AU"/>
        </w:rPr>
        <w:t xml:space="preserve"> may</w:t>
      </w:r>
      <w:r w:rsidRPr="005F6411">
        <w:rPr>
          <w:szCs w:val="22"/>
          <w:lang w:eastAsia="en-AU"/>
        </w:rPr>
        <w:t xml:space="preserve"> have had real issues in proving her actual loss despite the expert evidence in relation to the mould.</w:t>
      </w:r>
    </w:p>
    <w:p w14:paraId="2D59B4E3" w14:textId="6DE8D47E" w:rsidR="00E27394" w:rsidRPr="00E27394" w:rsidRDefault="00FF47AC" w:rsidP="003A4402">
      <w:pPr>
        <w:pStyle w:val="Heading1"/>
        <w:rPr>
          <w:rFonts w:cs="Times New Roman"/>
          <w:b w:val="0"/>
          <w:bCs w:val="0"/>
          <w:color w:val="auto"/>
          <w:kern w:val="0"/>
          <w:sz w:val="22"/>
          <w:szCs w:val="24"/>
        </w:rPr>
      </w:pPr>
      <w:r w:rsidRPr="00FF47AC">
        <w:rPr>
          <w:rFonts w:cs="Times New Roman"/>
          <w:b w:val="0"/>
          <w:bCs w:val="0"/>
          <w:color w:val="auto"/>
          <w:kern w:val="0"/>
          <w:sz w:val="22"/>
          <w:szCs w:val="24"/>
        </w:rPr>
        <w:lastRenderedPageBreak/>
        <w:t xml:space="preserve">Most tenants do not have resources to commission expert reports. Even when they do, tenants </w:t>
      </w:r>
      <w:r w:rsidR="005F6411">
        <w:rPr>
          <w:rFonts w:cs="Times New Roman"/>
          <w:b w:val="0"/>
          <w:bCs w:val="0"/>
          <w:color w:val="auto"/>
          <w:kern w:val="0"/>
          <w:sz w:val="22"/>
          <w:szCs w:val="24"/>
        </w:rPr>
        <w:t xml:space="preserve">can </w:t>
      </w:r>
      <w:r w:rsidRPr="00FF47AC">
        <w:rPr>
          <w:rFonts w:cs="Times New Roman"/>
          <w:b w:val="0"/>
          <w:bCs w:val="0"/>
          <w:color w:val="auto"/>
          <w:kern w:val="0"/>
          <w:sz w:val="22"/>
          <w:szCs w:val="24"/>
        </w:rPr>
        <w:t xml:space="preserve">struggle </w:t>
      </w:r>
      <w:r w:rsidR="005F6411">
        <w:rPr>
          <w:rFonts w:cs="Times New Roman"/>
          <w:b w:val="0"/>
          <w:bCs w:val="0"/>
          <w:color w:val="auto"/>
          <w:kern w:val="0"/>
          <w:sz w:val="22"/>
          <w:szCs w:val="24"/>
        </w:rPr>
        <w:t xml:space="preserve">to prove actual loss </w:t>
      </w:r>
      <w:r w:rsidRPr="00FF47AC">
        <w:rPr>
          <w:rFonts w:cs="Times New Roman"/>
          <w:b w:val="0"/>
          <w:bCs w:val="0"/>
          <w:color w:val="auto"/>
          <w:kern w:val="0"/>
          <w:sz w:val="22"/>
          <w:szCs w:val="24"/>
        </w:rPr>
        <w:t>suffered as a result of the landlord’s failure to carry out the repairs.</w:t>
      </w:r>
      <w:r w:rsidR="003A4402">
        <w:rPr>
          <w:rFonts w:cs="Times New Roman"/>
          <w:b w:val="0"/>
          <w:bCs w:val="0"/>
          <w:color w:val="auto"/>
          <w:kern w:val="0"/>
          <w:sz w:val="22"/>
          <w:szCs w:val="24"/>
        </w:rPr>
        <w:t xml:space="preserve"> </w:t>
      </w:r>
      <w:r w:rsidR="00E27394" w:rsidRPr="003A4402">
        <w:rPr>
          <w:rFonts w:cs="Times New Roman"/>
          <w:b w:val="0"/>
          <w:bCs w:val="0"/>
          <w:color w:val="auto"/>
          <w:kern w:val="0"/>
          <w:sz w:val="22"/>
          <w:szCs w:val="24"/>
        </w:rPr>
        <w:t>For tenants to pursue these claims it can take considerable time and personal cost. As VCAT largely operates as a costs-free jurisdiction, an additional category for loss relating to inconvenience to the tenant would serve to mitigate this loss.</w:t>
      </w:r>
      <w:r w:rsidR="00E27394">
        <w:t xml:space="preserve"> </w:t>
      </w:r>
    </w:p>
    <w:p w14:paraId="657D3916" w14:textId="77777777" w:rsidR="00FF47AC" w:rsidRPr="00FF47AC" w:rsidRDefault="00FF47AC" w:rsidP="003A4402">
      <w:pPr>
        <w:shd w:val="pct10" w:color="auto" w:fill="auto"/>
        <w:rPr>
          <w:b/>
        </w:rPr>
      </w:pPr>
      <w:r w:rsidRPr="00FF47AC">
        <w:rPr>
          <w:b/>
        </w:rPr>
        <w:t>Recommendation</w:t>
      </w:r>
      <w:r w:rsidR="004703FF">
        <w:rPr>
          <w:b/>
        </w:rPr>
        <w:t xml:space="preserve"> 9</w:t>
      </w:r>
      <w:r w:rsidRPr="00FF47AC">
        <w:rPr>
          <w:b/>
        </w:rPr>
        <w:t xml:space="preserve">: </w:t>
      </w:r>
      <w:r w:rsidR="005F6411" w:rsidRPr="003A4402">
        <w:t>Amend the RTA’s compensation provisions to provide clearer categories for loss</w:t>
      </w:r>
      <w:r w:rsidR="00E27394" w:rsidRPr="003A4402">
        <w:t>, with the inclusion of a category for inconvenience</w:t>
      </w:r>
      <w:r w:rsidR="005F6411" w:rsidRPr="003A4402">
        <w:t>.</w:t>
      </w:r>
      <w:r w:rsidR="005F6411">
        <w:rPr>
          <w:b/>
        </w:rPr>
        <w:t xml:space="preserve"> </w:t>
      </w:r>
    </w:p>
    <w:p w14:paraId="1003EBEB" w14:textId="77777777" w:rsidR="00C546D6" w:rsidRDefault="00C546D6" w:rsidP="00755CA6">
      <w:pPr>
        <w:pStyle w:val="Heading2"/>
      </w:pPr>
      <w:r>
        <w:t>Preventing arbitrary and unreasonable evictions</w:t>
      </w:r>
    </w:p>
    <w:p w14:paraId="017E5192" w14:textId="77777777" w:rsidR="00C546D6" w:rsidRPr="00755CA6" w:rsidRDefault="00C546D6" w:rsidP="00755CA6">
      <w:pPr>
        <w:pStyle w:val="Heading3"/>
        <w:rPr>
          <w:i/>
        </w:rPr>
      </w:pPr>
      <w:r>
        <w:rPr>
          <w:i/>
        </w:rPr>
        <w:t xml:space="preserve">Preventing evictions without grounds </w:t>
      </w:r>
    </w:p>
    <w:p w14:paraId="660BEE2E" w14:textId="77777777" w:rsidR="00C4104C" w:rsidRPr="005F6411" w:rsidRDefault="00C4104C" w:rsidP="005F6411">
      <w:pPr>
        <w:pStyle w:val="Heading1"/>
        <w:rPr>
          <w:rFonts w:cs="Times New Roman"/>
          <w:b w:val="0"/>
          <w:bCs w:val="0"/>
          <w:color w:val="auto"/>
          <w:kern w:val="0"/>
          <w:sz w:val="22"/>
          <w:szCs w:val="24"/>
        </w:rPr>
      </w:pPr>
      <w:r w:rsidRPr="005F6411">
        <w:rPr>
          <w:rFonts w:cs="Times New Roman"/>
          <w:b w:val="0"/>
          <w:bCs w:val="0"/>
          <w:color w:val="auto"/>
          <w:kern w:val="0"/>
          <w:sz w:val="22"/>
          <w:szCs w:val="24"/>
        </w:rPr>
        <w:t xml:space="preserve">Section 263 of the RTA allows landlords to issue 120 day Notices to Vacate for no specified reason. In our experience these notices are often used inappropriately </w:t>
      </w:r>
      <w:r w:rsidR="00D7351D" w:rsidRPr="005F6411">
        <w:rPr>
          <w:rFonts w:cs="Times New Roman"/>
          <w:b w:val="0"/>
          <w:bCs w:val="0"/>
          <w:color w:val="auto"/>
          <w:kern w:val="0"/>
          <w:sz w:val="22"/>
          <w:szCs w:val="24"/>
        </w:rPr>
        <w:t xml:space="preserve">and punitively </w:t>
      </w:r>
      <w:r w:rsidRPr="005F6411">
        <w:rPr>
          <w:rFonts w:cs="Times New Roman"/>
          <w:b w:val="0"/>
          <w:bCs w:val="0"/>
          <w:color w:val="auto"/>
          <w:kern w:val="0"/>
          <w:sz w:val="22"/>
          <w:szCs w:val="24"/>
        </w:rPr>
        <w:t>by landlords.</w:t>
      </w:r>
      <w:r w:rsidR="00D7351D" w:rsidRPr="005F6411">
        <w:rPr>
          <w:rFonts w:cs="Times New Roman"/>
          <w:b w:val="0"/>
          <w:bCs w:val="0"/>
          <w:color w:val="auto"/>
          <w:kern w:val="0"/>
          <w:sz w:val="22"/>
          <w:szCs w:val="24"/>
        </w:rPr>
        <w:t xml:space="preserve"> Whilst the RTA provides some protection against retaliatory uses of 120 day notices, this protection is often inadequate in practice.  </w:t>
      </w:r>
      <w:r w:rsidRPr="005F6411">
        <w:rPr>
          <w:rFonts w:cs="Times New Roman"/>
          <w:b w:val="0"/>
          <w:bCs w:val="0"/>
          <w:color w:val="auto"/>
          <w:kern w:val="0"/>
          <w:sz w:val="22"/>
          <w:szCs w:val="24"/>
        </w:rPr>
        <w:t xml:space="preserve"> </w:t>
      </w:r>
    </w:p>
    <w:p w14:paraId="72BD57FD" w14:textId="77777777" w:rsidR="00D7351D" w:rsidRPr="005F6411" w:rsidRDefault="0060388D" w:rsidP="005F6411">
      <w:pPr>
        <w:pStyle w:val="Heading1"/>
        <w:rPr>
          <w:rFonts w:cs="Times New Roman"/>
          <w:b w:val="0"/>
          <w:bCs w:val="0"/>
          <w:color w:val="auto"/>
          <w:kern w:val="0"/>
          <w:sz w:val="22"/>
          <w:szCs w:val="24"/>
        </w:rPr>
      </w:pPr>
      <w:r>
        <w:rPr>
          <w:rFonts w:cs="Times New Roman"/>
          <w:b w:val="0"/>
          <w:bCs w:val="0"/>
          <w:color w:val="auto"/>
          <w:kern w:val="0"/>
          <w:sz w:val="22"/>
          <w:szCs w:val="24"/>
        </w:rPr>
        <w:t xml:space="preserve">In our experience, </w:t>
      </w:r>
      <w:r w:rsidR="00D7351D" w:rsidRPr="005F6411">
        <w:rPr>
          <w:rFonts w:cs="Times New Roman"/>
          <w:b w:val="0"/>
          <w:bCs w:val="0"/>
          <w:color w:val="auto"/>
          <w:kern w:val="0"/>
          <w:sz w:val="22"/>
          <w:szCs w:val="24"/>
        </w:rPr>
        <w:t>prov</w:t>
      </w:r>
      <w:r w:rsidR="005F6411">
        <w:rPr>
          <w:rFonts w:cs="Times New Roman"/>
          <w:b w:val="0"/>
          <w:bCs w:val="0"/>
          <w:color w:val="auto"/>
          <w:kern w:val="0"/>
          <w:sz w:val="22"/>
          <w:szCs w:val="24"/>
        </w:rPr>
        <w:t>id</w:t>
      </w:r>
      <w:r w:rsidR="00D7351D" w:rsidRPr="005F6411">
        <w:rPr>
          <w:rFonts w:cs="Times New Roman"/>
          <w:b w:val="0"/>
          <w:bCs w:val="0"/>
          <w:color w:val="auto"/>
          <w:kern w:val="0"/>
          <w:sz w:val="22"/>
          <w:szCs w:val="24"/>
        </w:rPr>
        <w:t xml:space="preserve">ing the landlord with a </w:t>
      </w:r>
      <w:r w:rsidR="00621997">
        <w:rPr>
          <w:rFonts w:cs="Times New Roman"/>
          <w:b w:val="0"/>
          <w:bCs w:val="0"/>
          <w:color w:val="auto"/>
          <w:kern w:val="0"/>
          <w:sz w:val="22"/>
          <w:szCs w:val="24"/>
        </w:rPr>
        <w:t xml:space="preserve">right to evict for any reason </w:t>
      </w:r>
      <w:r>
        <w:rPr>
          <w:rFonts w:cs="Times New Roman"/>
          <w:b w:val="0"/>
          <w:bCs w:val="0"/>
          <w:color w:val="auto"/>
          <w:kern w:val="0"/>
          <w:sz w:val="22"/>
          <w:szCs w:val="24"/>
        </w:rPr>
        <w:t>can provide</w:t>
      </w:r>
      <w:r w:rsidR="00621997">
        <w:rPr>
          <w:rFonts w:cs="Times New Roman"/>
          <w:b w:val="0"/>
          <w:bCs w:val="0"/>
          <w:color w:val="auto"/>
          <w:kern w:val="0"/>
          <w:sz w:val="22"/>
          <w:szCs w:val="24"/>
        </w:rPr>
        <w:t xml:space="preserve"> a cover for evictions to occur for discriminatory reasons or simply because a landlord may not like the tenant. This seriously undermines the consumer protections that the RTA purports to provide. </w:t>
      </w:r>
      <w:r>
        <w:rPr>
          <w:rFonts w:cs="Times New Roman"/>
          <w:b w:val="0"/>
          <w:bCs w:val="0"/>
          <w:color w:val="auto"/>
          <w:kern w:val="0"/>
          <w:sz w:val="22"/>
          <w:szCs w:val="24"/>
        </w:rPr>
        <w:t>If</w:t>
      </w:r>
      <w:r w:rsidR="00D7351D" w:rsidRPr="005F6411">
        <w:rPr>
          <w:rFonts w:cs="Times New Roman"/>
          <w:b w:val="0"/>
          <w:bCs w:val="0"/>
          <w:color w:val="auto"/>
          <w:kern w:val="0"/>
          <w:sz w:val="22"/>
          <w:szCs w:val="24"/>
        </w:rPr>
        <w:t xml:space="preserve"> a landlord is unhappy with a tenant’s conduct, ‘no re</w:t>
      </w:r>
      <w:r>
        <w:rPr>
          <w:rFonts w:cs="Times New Roman"/>
          <w:b w:val="0"/>
          <w:bCs w:val="0"/>
          <w:color w:val="auto"/>
          <w:kern w:val="0"/>
          <w:sz w:val="22"/>
          <w:szCs w:val="24"/>
        </w:rPr>
        <w:t>ason’ notices to vacate provide an option for</w:t>
      </w:r>
      <w:r w:rsidR="00D7351D" w:rsidRPr="005F6411">
        <w:rPr>
          <w:rFonts w:cs="Times New Roman"/>
          <w:b w:val="0"/>
          <w:bCs w:val="0"/>
          <w:color w:val="auto"/>
          <w:kern w:val="0"/>
          <w:sz w:val="22"/>
          <w:szCs w:val="24"/>
        </w:rPr>
        <w:t xml:space="preserve"> circumvent</w:t>
      </w:r>
      <w:r>
        <w:rPr>
          <w:rFonts w:cs="Times New Roman"/>
          <w:b w:val="0"/>
          <w:bCs w:val="0"/>
          <w:color w:val="auto"/>
          <w:kern w:val="0"/>
          <w:sz w:val="22"/>
          <w:szCs w:val="24"/>
        </w:rPr>
        <w:t>ing</w:t>
      </w:r>
      <w:r w:rsidR="00D7351D" w:rsidRPr="005F6411">
        <w:rPr>
          <w:rFonts w:cs="Times New Roman"/>
          <w:b w:val="0"/>
          <w:bCs w:val="0"/>
          <w:color w:val="auto"/>
          <w:kern w:val="0"/>
          <w:sz w:val="22"/>
          <w:szCs w:val="24"/>
        </w:rPr>
        <w:t xml:space="preserve"> the no</w:t>
      </w:r>
      <w:r>
        <w:rPr>
          <w:rFonts w:cs="Times New Roman"/>
          <w:b w:val="0"/>
          <w:bCs w:val="0"/>
          <w:color w:val="auto"/>
          <w:kern w:val="0"/>
          <w:sz w:val="22"/>
          <w:szCs w:val="24"/>
        </w:rPr>
        <w:t>rmal process of needing to provide grounds for</w:t>
      </w:r>
      <w:r w:rsidR="00D7351D" w:rsidRPr="005F6411">
        <w:rPr>
          <w:rFonts w:cs="Times New Roman"/>
          <w:b w:val="0"/>
          <w:bCs w:val="0"/>
          <w:color w:val="auto"/>
          <w:kern w:val="0"/>
          <w:sz w:val="22"/>
          <w:szCs w:val="24"/>
        </w:rPr>
        <w:t xml:space="preserve"> possession.  Providing a tenant with </w:t>
      </w:r>
      <w:r>
        <w:rPr>
          <w:rFonts w:cs="Times New Roman"/>
          <w:b w:val="0"/>
          <w:bCs w:val="0"/>
          <w:color w:val="auto"/>
          <w:kern w:val="0"/>
          <w:sz w:val="22"/>
          <w:szCs w:val="24"/>
        </w:rPr>
        <w:t>120 days</w:t>
      </w:r>
      <w:r w:rsidR="00D7351D" w:rsidRPr="005F6411">
        <w:rPr>
          <w:rFonts w:cs="Times New Roman"/>
          <w:b w:val="0"/>
          <w:bCs w:val="0"/>
          <w:color w:val="auto"/>
          <w:kern w:val="0"/>
          <w:sz w:val="22"/>
          <w:szCs w:val="24"/>
        </w:rPr>
        <w:t xml:space="preserve"> to vacate does not compensate them for being forcibly removed on this basis. </w:t>
      </w:r>
    </w:p>
    <w:p w14:paraId="64E5852F" w14:textId="77777777" w:rsidR="00B83604" w:rsidRPr="00621997" w:rsidRDefault="00621997" w:rsidP="00B83604">
      <w:pPr>
        <w:pStyle w:val="TableText"/>
        <w:pBdr>
          <w:top w:val="single" w:sz="4" w:space="1" w:color="auto"/>
          <w:left w:val="single" w:sz="4" w:space="4" w:color="auto"/>
          <w:bottom w:val="single" w:sz="4" w:space="1" w:color="auto"/>
          <w:right w:val="single" w:sz="4" w:space="4" w:color="auto"/>
        </w:pBdr>
        <w:spacing w:before="120" w:after="120"/>
        <w:rPr>
          <w:lang w:eastAsia="en-AU"/>
        </w:rPr>
      </w:pPr>
      <w:r>
        <w:rPr>
          <w:lang w:eastAsia="en-AU"/>
        </w:rPr>
        <w:t>Suzie</w:t>
      </w:r>
      <w:r w:rsidR="00B83604" w:rsidRPr="00621997">
        <w:rPr>
          <w:lang w:eastAsia="en-AU"/>
        </w:rPr>
        <w:t xml:space="preserve">’s experience </w:t>
      </w:r>
    </w:p>
    <w:p w14:paraId="54335B14" w14:textId="77777777" w:rsidR="00B83604" w:rsidRPr="00621997" w:rsidRDefault="00621997" w:rsidP="00B83604">
      <w:pPr>
        <w:pBdr>
          <w:top w:val="single" w:sz="4" w:space="1" w:color="auto"/>
          <w:left w:val="single" w:sz="4" w:space="4" w:color="auto"/>
          <w:bottom w:val="single" w:sz="4" w:space="1" w:color="auto"/>
          <w:right w:val="single" w:sz="4" w:space="4" w:color="auto"/>
        </w:pBdr>
        <w:rPr>
          <w:lang w:eastAsia="en-AU"/>
        </w:rPr>
      </w:pPr>
      <w:r>
        <w:rPr>
          <w:lang w:eastAsia="en-AU"/>
        </w:rPr>
        <w:t>Suzie</w:t>
      </w:r>
      <w:r w:rsidR="0060388D">
        <w:rPr>
          <w:lang w:eastAsia="en-AU"/>
        </w:rPr>
        <w:t xml:space="preserve"> </w:t>
      </w:r>
      <w:r>
        <w:rPr>
          <w:lang w:eastAsia="en-AU"/>
        </w:rPr>
        <w:t>i</w:t>
      </w:r>
      <w:r w:rsidR="00B83604" w:rsidRPr="00621997">
        <w:rPr>
          <w:lang w:eastAsia="en-AU"/>
        </w:rPr>
        <w:t xml:space="preserve">s a young mother of </w:t>
      </w:r>
      <w:r>
        <w:rPr>
          <w:lang w:eastAsia="en-AU"/>
        </w:rPr>
        <w:t>a three year old daughter. Suzie</w:t>
      </w:r>
      <w:r w:rsidR="00B83604" w:rsidRPr="00621997">
        <w:rPr>
          <w:lang w:eastAsia="en-AU"/>
        </w:rPr>
        <w:t xml:space="preserve"> formerly lived in public housing but had to flee due to family violence.  She experienced periods of homelessness with her child and could not re-access public housing as her former partner had damaged the premises, leaving her</w:t>
      </w:r>
      <w:r>
        <w:rPr>
          <w:lang w:eastAsia="en-AU"/>
        </w:rPr>
        <w:t xml:space="preserve"> with a large unpaid debt. Suzie</w:t>
      </w:r>
      <w:r w:rsidR="00B83604" w:rsidRPr="00621997">
        <w:rPr>
          <w:lang w:eastAsia="en-AU"/>
        </w:rPr>
        <w:t xml:space="preserve"> lived in different rooming houses, but left as she felt unsafe and was concerned she would lose custody of her child.</w:t>
      </w:r>
    </w:p>
    <w:p w14:paraId="5139E389" w14:textId="77777777" w:rsidR="00B83604" w:rsidRPr="00621997" w:rsidRDefault="00621997" w:rsidP="00B83604">
      <w:pPr>
        <w:pBdr>
          <w:top w:val="single" w:sz="4" w:space="1" w:color="auto"/>
          <w:left w:val="single" w:sz="4" w:space="4" w:color="auto"/>
          <w:bottom w:val="single" w:sz="4" w:space="1" w:color="auto"/>
          <w:right w:val="single" w:sz="4" w:space="4" w:color="auto"/>
        </w:pBdr>
        <w:rPr>
          <w:lang w:eastAsia="en-AU"/>
        </w:rPr>
      </w:pPr>
      <w:r>
        <w:rPr>
          <w:lang w:eastAsia="en-AU"/>
        </w:rPr>
        <w:t>Suzie</w:t>
      </w:r>
      <w:r w:rsidR="00B83604" w:rsidRPr="00621997">
        <w:rPr>
          <w:lang w:eastAsia="en-AU"/>
        </w:rPr>
        <w:t xml:space="preserve"> was </w:t>
      </w:r>
      <w:r w:rsidR="0060388D">
        <w:rPr>
          <w:lang w:eastAsia="en-AU"/>
        </w:rPr>
        <w:t>eventually successful in</w:t>
      </w:r>
      <w:r>
        <w:rPr>
          <w:lang w:eastAsia="en-AU"/>
        </w:rPr>
        <w:t xml:space="preserve"> securing long-</w:t>
      </w:r>
      <w:r w:rsidR="00B83604" w:rsidRPr="00621997">
        <w:rPr>
          <w:lang w:eastAsia="en-AU"/>
        </w:rPr>
        <w:t>term housing with a registered housing association.  After less t</w:t>
      </w:r>
      <w:r>
        <w:rPr>
          <w:lang w:eastAsia="en-AU"/>
        </w:rPr>
        <w:t>han a year at the premises, Suzie</w:t>
      </w:r>
      <w:r w:rsidR="00B83604" w:rsidRPr="00621997">
        <w:rPr>
          <w:lang w:eastAsia="en-AU"/>
        </w:rPr>
        <w:t xml:space="preserve"> was served with a 'no</w:t>
      </w:r>
      <w:r>
        <w:rPr>
          <w:lang w:eastAsia="en-AU"/>
        </w:rPr>
        <w:t xml:space="preserve"> reason' notice to vacate. Suzie</w:t>
      </w:r>
      <w:r w:rsidR="00B83604" w:rsidRPr="00621997">
        <w:rPr>
          <w:lang w:eastAsia="en-AU"/>
        </w:rPr>
        <w:t xml:space="preserve"> was assisted by a C</w:t>
      </w:r>
      <w:r w:rsidR="0060388D">
        <w:rPr>
          <w:lang w:eastAsia="en-AU"/>
        </w:rPr>
        <w:t xml:space="preserve">ommunity </w:t>
      </w:r>
      <w:r w:rsidR="00B83604" w:rsidRPr="00621997">
        <w:rPr>
          <w:lang w:eastAsia="en-AU"/>
        </w:rPr>
        <w:t>L</w:t>
      </w:r>
      <w:r w:rsidR="0060388D">
        <w:rPr>
          <w:lang w:eastAsia="en-AU"/>
        </w:rPr>
        <w:t xml:space="preserve">egal </w:t>
      </w:r>
      <w:r w:rsidR="00B83604" w:rsidRPr="00621997">
        <w:rPr>
          <w:lang w:eastAsia="en-AU"/>
        </w:rPr>
        <w:t>C</w:t>
      </w:r>
      <w:r w:rsidR="0060388D">
        <w:rPr>
          <w:lang w:eastAsia="en-AU"/>
        </w:rPr>
        <w:t>entre</w:t>
      </w:r>
      <w:r w:rsidR="00B83604" w:rsidRPr="00621997">
        <w:rPr>
          <w:lang w:eastAsia="en-AU"/>
        </w:rPr>
        <w:t xml:space="preserve"> who challenged the validity of the notice at VCAT on the only basis available, arguing that it was issued</w:t>
      </w:r>
      <w:r>
        <w:rPr>
          <w:lang w:eastAsia="en-AU"/>
        </w:rPr>
        <w:t xml:space="preserve"> in retaliation for her</w:t>
      </w:r>
      <w:r w:rsidR="00B83604" w:rsidRPr="00621997">
        <w:rPr>
          <w:lang w:eastAsia="en-AU"/>
        </w:rPr>
        <w:t xml:space="preserve"> asserting her rights as a tenant.  At the challenge hearing, the Tribunal found that the landlo</w:t>
      </w:r>
      <w:r>
        <w:rPr>
          <w:lang w:eastAsia="en-AU"/>
        </w:rPr>
        <w:t>rd had issued the notice as Suzie</w:t>
      </w:r>
      <w:r w:rsidR="00B83604" w:rsidRPr="00621997">
        <w:rPr>
          <w:lang w:eastAsia="en-AU"/>
        </w:rPr>
        <w:t xml:space="preserve"> had too many guests at times, and that those guests would 'buzz' her ap</w:t>
      </w:r>
      <w:r>
        <w:rPr>
          <w:lang w:eastAsia="en-AU"/>
        </w:rPr>
        <w:t>artment excessively when she</w:t>
      </w:r>
      <w:r w:rsidR="00B83604" w:rsidRPr="00621997">
        <w:rPr>
          <w:lang w:eastAsia="en-AU"/>
        </w:rPr>
        <w:t xml:space="preserve"> was not home.  The Tribunal found t</w:t>
      </w:r>
      <w:r>
        <w:rPr>
          <w:lang w:eastAsia="en-AU"/>
        </w:rPr>
        <w:t>hat it was the inability of Suzie</w:t>
      </w:r>
      <w:r w:rsidR="00B83604" w:rsidRPr="00621997">
        <w:rPr>
          <w:lang w:eastAsia="en-AU"/>
        </w:rPr>
        <w:t xml:space="preserve"> to control her visitors, even those who were attempting to attend when she was not home, that caused the community housing landlord to issue the ‘no reason’ notice to vacate.  </w:t>
      </w:r>
    </w:p>
    <w:p w14:paraId="34DACD5F" w14:textId="4D50F125" w:rsidR="00D7351D" w:rsidRPr="00621997" w:rsidRDefault="00B83604" w:rsidP="00B83604">
      <w:pPr>
        <w:pBdr>
          <w:top w:val="single" w:sz="4" w:space="1" w:color="auto"/>
          <w:left w:val="single" w:sz="4" w:space="4" w:color="auto"/>
          <w:bottom w:val="single" w:sz="4" w:space="1" w:color="auto"/>
          <w:right w:val="single" w:sz="4" w:space="4" w:color="auto"/>
        </w:pBdr>
        <w:rPr>
          <w:lang w:eastAsia="en-AU"/>
        </w:rPr>
      </w:pPr>
      <w:r w:rsidRPr="00621997">
        <w:rPr>
          <w:lang w:eastAsia="en-AU"/>
        </w:rPr>
        <w:t xml:space="preserve">The Tribunal stated that failing to control </w:t>
      </w:r>
      <w:r w:rsidR="00D6512B">
        <w:rPr>
          <w:lang w:eastAsia="en-AU"/>
        </w:rPr>
        <w:t xml:space="preserve">the conduct of </w:t>
      </w:r>
      <w:r w:rsidRPr="00621997">
        <w:rPr>
          <w:lang w:eastAsia="en-AU"/>
        </w:rPr>
        <w:t>visitor</w:t>
      </w:r>
      <w:r w:rsidR="00CC42A3">
        <w:rPr>
          <w:lang w:eastAsia="en-AU"/>
        </w:rPr>
        <w:t xml:space="preserve">s, </w:t>
      </w:r>
      <w:r w:rsidRPr="00621997">
        <w:rPr>
          <w:lang w:eastAsia="en-AU"/>
        </w:rPr>
        <w:t>lead</w:t>
      </w:r>
      <w:r w:rsidR="00D6512B">
        <w:rPr>
          <w:lang w:eastAsia="en-AU"/>
        </w:rPr>
        <w:t>ing</w:t>
      </w:r>
      <w:r w:rsidRPr="00621997">
        <w:rPr>
          <w:lang w:eastAsia="en-AU"/>
        </w:rPr>
        <w:t xml:space="preserve"> to interference with neighbours’ quiet enjoyment, constituted a breach of duty</w:t>
      </w:r>
      <w:r w:rsidR="00D6512B">
        <w:rPr>
          <w:lang w:eastAsia="en-AU"/>
        </w:rPr>
        <w:t xml:space="preserve">. It </w:t>
      </w:r>
      <w:r w:rsidRPr="00621997">
        <w:rPr>
          <w:lang w:eastAsia="en-AU"/>
        </w:rPr>
        <w:t>stated that the landlord could have issued a breach of duty notice, and sought a compliance order, which may have resolved the behaviour.  However</w:t>
      </w:r>
      <w:r w:rsidR="0060388D">
        <w:rPr>
          <w:lang w:eastAsia="en-AU"/>
        </w:rPr>
        <w:t>,</w:t>
      </w:r>
      <w:r w:rsidRPr="00621997">
        <w:rPr>
          <w:lang w:eastAsia="en-AU"/>
        </w:rPr>
        <w:t xml:space="preserve"> as the landlord opted to use a ‘no reason’ notice, and the Tribunal had found it was not issued in response to</w:t>
      </w:r>
      <w:r w:rsidR="00621997">
        <w:rPr>
          <w:lang w:eastAsia="en-AU"/>
        </w:rPr>
        <w:t xml:space="preserve"> any exercise of a right by Suzie</w:t>
      </w:r>
      <w:r w:rsidRPr="00621997">
        <w:rPr>
          <w:lang w:eastAsia="en-AU"/>
        </w:rPr>
        <w:t xml:space="preserve">, it had no discretion but to order that </w:t>
      </w:r>
      <w:r w:rsidR="00621997">
        <w:rPr>
          <w:lang w:eastAsia="en-AU"/>
        </w:rPr>
        <w:t>she and her daughter</w:t>
      </w:r>
      <w:r w:rsidRPr="00621997">
        <w:rPr>
          <w:lang w:eastAsia="en-AU"/>
        </w:rPr>
        <w:t xml:space="preserve"> be evicted from </w:t>
      </w:r>
      <w:r w:rsidR="00D6512B">
        <w:rPr>
          <w:lang w:eastAsia="en-AU"/>
        </w:rPr>
        <w:t>their</w:t>
      </w:r>
      <w:r w:rsidRPr="00621997">
        <w:rPr>
          <w:lang w:eastAsia="en-AU"/>
        </w:rPr>
        <w:t xml:space="preserve"> secure community housing property. </w:t>
      </w:r>
    </w:p>
    <w:p w14:paraId="49057DBE" w14:textId="353FF5E1" w:rsidR="00B83604" w:rsidRPr="006E46B1" w:rsidRDefault="00F25594" w:rsidP="006E46B1">
      <w:pPr>
        <w:pStyle w:val="Heading1"/>
        <w:rPr>
          <w:rFonts w:cs="Times New Roman"/>
          <w:b w:val="0"/>
          <w:bCs w:val="0"/>
          <w:color w:val="auto"/>
          <w:kern w:val="0"/>
          <w:sz w:val="22"/>
          <w:szCs w:val="24"/>
        </w:rPr>
      </w:pPr>
      <w:r w:rsidRPr="006E46B1">
        <w:rPr>
          <w:rFonts w:cs="Times New Roman"/>
          <w:b w:val="0"/>
          <w:bCs w:val="0"/>
          <w:color w:val="auto"/>
          <w:kern w:val="0"/>
          <w:sz w:val="22"/>
          <w:szCs w:val="24"/>
        </w:rPr>
        <w:lastRenderedPageBreak/>
        <w:t>Allowing for evict</w:t>
      </w:r>
      <w:r w:rsidR="006E46B1">
        <w:rPr>
          <w:rFonts w:cs="Times New Roman"/>
          <w:b w:val="0"/>
          <w:bCs w:val="0"/>
          <w:color w:val="auto"/>
          <w:kern w:val="0"/>
          <w:sz w:val="22"/>
          <w:szCs w:val="24"/>
        </w:rPr>
        <w:t>ions to proceed for ‘no reason’</w:t>
      </w:r>
      <w:r w:rsidRPr="006E46B1">
        <w:rPr>
          <w:rFonts w:cs="Times New Roman"/>
          <w:b w:val="0"/>
          <w:bCs w:val="0"/>
          <w:color w:val="auto"/>
          <w:kern w:val="0"/>
          <w:sz w:val="22"/>
          <w:szCs w:val="24"/>
        </w:rPr>
        <w:t xml:space="preserve"> effectively enables evictions to tak</w:t>
      </w:r>
      <w:r w:rsidR="0060388D">
        <w:rPr>
          <w:rFonts w:cs="Times New Roman"/>
          <w:b w:val="0"/>
          <w:bCs w:val="0"/>
          <w:color w:val="auto"/>
          <w:kern w:val="0"/>
          <w:sz w:val="22"/>
          <w:szCs w:val="24"/>
        </w:rPr>
        <w:t xml:space="preserve">e place for reasons that can be </w:t>
      </w:r>
      <w:r w:rsidR="00E27394">
        <w:rPr>
          <w:rFonts w:cs="Times New Roman"/>
          <w:b w:val="0"/>
          <w:bCs w:val="0"/>
          <w:color w:val="auto"/>
          <w:kern w:val="0"/>
          <w:sz w:val="22"/>
          <w:szCs w:val="24"/>
        </w:rPr>
        <w:t xml:space="preserve">petty </w:t>
      </w:r>
      <w:r w:rsidRPr="006E46B1">
        <w:rPr>
          <w:rFonts w:cs="Times New Roman"/>
          <w:b w:val="0"/>
          <w:bCs w:val="0"/>
          <w:color w:val="auto"/>
          <w:kern w:val="0"/>
          <w:sz w:val="22"/>
          <w:szCs w:val="24"/>
        </w:rPr>
        <w:t>and retaliatory. As noted by NATO, evictions without just cause contribute to a power differential between tenants and landlords and can result in tenants trading off their rights against the fear of eviction.</w:t>
      </w:r>
      <w:r w:rsidR="006E46B1">
        <w:rPr>
          <w:rStyle w:val="FootnoteReference"/>
          <w:rFonts w:cs="Times New Roman"/>
          <w:b w:val="0"/>
          <w:bCs w:val="0"/>
          <w:color w:val="auto"/>
          <w:kern w:val="0"/>
          <w:szCs w:val="24"/>
        </w:rPr>
        <w:footnoteReference w:id="9"/>
      </w:r>
      <w:r w:rsidRPr="006E46B1">
        <w:rPr>
          <w:rFonts w:cs="Times New Roman"/>
          <w:b w:val="0"/>
          <w:bCs w:val="0"/>
          <w:color w:val="auto"/>
          <w:kern w:val="0"/>
          <w:sz w:val="22"/>
          <w:szCs w:val="24"/>
        </w:rPr>
        <w:t xml:space="preserve"> To sustain tenancies</w:t>
      </w:r>
      <w:r w:rsidR="00F169C5">
        <w:rPr>
          <w:rFonts w:cs="Times New Roman"/>
          <w:b w:val="0"/>
          <w:bCs w:val="0"/>
          <w:color w:val="auto"/>
          <w:kern w:val="0"/>
          <w:sz w:val="22"/>
          <w:szCs w:val="24"/>
        </w:rPr>
        <w:t>, remove impediments to vulnerable tenants exercising their rights,</w:t>
      </w:r>
      <w:r w:rsidRPr="006E46B1">
        <w:rPr>
          <w:rFonts w:cs="Times New Roman"/>
          <w:b w:val="0"/>
          <w:bCs w:val="0"/>
          <w:color w:val="auto"/>
          <w:kern w:val="0"/>
          <w:sz w:val="22"/>
          <w:szCs w:val="24"/>
        </w:rPr>
        <w:t xml:space="preserve"> and provide stronger protection against retaliatory eviction, tenants should only have their tenancies terminated </w:t>
      </w:r>
      <w:r w:rsidR="00D6512B">
        <w:rPr>
          <w:rFonts w:cs="Times New Roman"/>
          <w:b w:val="0"/>
          <w:bCs w:val="0"/>
          <w:color w:val="auto"/>
          <w:kern w:val="0"/>
          <w:sz w:val="22"/>
          <w:szCs w:val="24"/>
        </w:rPr>
        <w:t>on</w:t>
      </w:r>
      <w:r w:rsidRPr="006E46B1">
        <w:rPr>
          <w:rFonts w:cs="Times New Roman"/>
          <w:b w:val="0"/>
          <w:bCs w:val="0"/>
          <w:color w:val="auto"/>
          <w:kern w:val="0"/>
          <w:sz w:val="22"/>
          <w:szCs w:val="24"/>
        </w:rPr>
        <w:t xml:space="preserve"> grounds as prescribed by the RTA. </w:t>
      </w:r>
    </w:p>
    <w:p w14:paraId="72B5BFC2" w14:textId="77777777" w:rsidR="00F25594" w:rsidRPr="00CE23D8" w:rsidRDefault="00F25594" w:rsidP="0060388D">
      <w:pPr>
        <w:pStyle w:val="TableText"/>
        <w:shd w:val="pct10" w:color="auto" w:fill="auto"/>
        <w:spacing w:before="120" w:after="120"/>
      </w:pPr>
      <w:r>
        <w:rPr>
          <w:b/>
          <w:lang w:eastAsia="en-AU"/>
        </w:rPr>
        <w:t>Recommendation</w:t>
      </w:r>
      <w:r w:rsidR="004703FF">
        <w:rPr>
          <w:b/>
          <w:lang w:eastAsia="en-AU"/>
        </w:rPr>
        <w:t xml:space="preserve"> 10</w:t>
      </w:r>
      <w:r w:rsidRPr="005F43F8">
        <w:rPr>
          <w:b/>
          <w:lang w:eastAsia="en-AU"/>
        </w:rPr>
        <w:t xml:space="preserve">: </w:t>
      </w:r>
      <w:r w:rsidRPr="0060388D">
        <w:t>Abolish notices to vacate for no specified reason. Alternatively, abolish these notices for socia</w:t>
      </w:r>
      <w:r w:rsidR="00DC1866" w:rsidRPr="0060388D">
        <w:t>l housing providers and amend the notice period to</w:t>
      </w:r>
      <w:r w:rsidRPr="0060388D">
        <w:t xml:space="preserve"> 12 months for private rentals. </w:t>
      </w:r>
    </w:p>
    <w:p w14:paraId="418A583B" w14:textId="77777777" w:rsidR="006E46B1" w:rsidRPr="00755CA6" w:rsidRDefault="003012DC" w:rsidP="00755CA6">
      <w:pPr>
        <w:pStyle w:val="Heading3"/>
        <w:rPr>
          <w:i/>
        </w:rPr>
      </w:pPr>
      <w:r>
        <w:rPr>
          <w:i/>
        </w:rPr>
        <w:t>Limiting use of compliance orders</w:t>
      </w:r>
    </w:p>
    <w:p w14:paraId="7367B8DB" w14:textId="77777777" w:rsidR="003012DC" w:rsidRDefault="003C2CB9" w:rsidP="003012DC">
      <w:pPr>
        <w:rPr>
          <w:lang w:eastAsia="en-AU"/>
        </w:rPr>
      </w:pPr>
      <w:r>
        <w:rPr>
          <w:lang w:eastAsia="en-AU"/>
        </w:rPr>
        <w:t>The</w:t>
      </w:r>
      <w:r w:rsidR="001F6604" w:rsidRPr="006E46B1">
        <w:rPr>
          <w:lang w:eastAsia="en-AU"/>
        </w:rPr>
        <w:t xml:space="preserve"> RTA provides VCAT with power to issue compliance orders for breach of duty. In our experience </w:t>
      </w:r>
      <w:r>
        <w:rPr>
          <w:lang w:eastAsia="en-AU"/>
        </w:rPr>
        <w:t>t</w:t>
      </w:r>
      <w:r w:rsidRPr="006E46B1">
        <w:rPr>
          <w:lang w:eastAsia="en-AU"/>
        </w:rPr>
        <w:t>he future conduct pro</w:t>
      </w:r>
      <w:r w:rsidR="0060388D">
        <w:rPr>
          <w:lang w:eastAsia="en-AU"/>
        </w:rPr>
        <w:t>hibited by the order can be</w:t>
      </w:r>
      <w:r w:rsidRPr="006E46B1">
        <w:rPr>
          <w:lang w:eastAsia="en-AU"/>
        </w:rPr>
        <w:t xml:space="preserve"> very broad and </w:t>
      </w:r>
      <w:r w:rsidR="0060388D">
        <w:rPr>
          <w:lang w:eastAsia="en-AU"/>
        </w:rPr>
        <w:t xml:space="preserve">is </w:t>
      </w:r>
      <w:r w:rsidRPr="006E46B1">
        <w:rPr>
          <w:lang w:eastAsia="en-AU"/>
        </w:rPr>
        <w:t xml:space="preserve">not </w:t>
      </w:r>
      <w:r w:rsidR="0060388D">
        <w:rPr>
          <w:lang w:eastAsia="en-AU"/>
        </w:rPr>
        <w:t xml:space="preserve">always </w:t>
      </w:r>
      <w:r w:rsidRPr="006E46B1">
        <w:rPr>
          <w:lang w:eastAsia="en-AU"/>
        </w:rPr>
        <w:t>limited to the specific conduct that caused the breach.</w:t>
      </w:r>
      <w:r w:rsidR="003012DC">
        <w:rPr>
          <w:lang w:eastAsia="en-AU"/>
        </w:rPr>
        <w:t xml:space="preserve"> </w:t>
      </w:r>
      <w:r w:rsidRPr="006E46B1">
        <w:rPr>
          <w:lang w:eastAsia="en-AU"/>
        </w:rPr>
        <w:t xml:space="preserve">In many instances the conduct prohibited may be difficult to measure or control, such as not making loud noise between certain hours. </w:t>
      </w:r>
      <w:r w:rsidR="00866EAF" w:rsidRPr="00DF2723">
        <w:rPr>
          <w:lang w:eastAsia="en-AU"/>
        </w:rPr>
        <w:t>In addition</w:t>
      </w:r>
      <w:r w:rsidR="00F169C5">
        <w:rPr>
          <w:lang w:eastAsia="en-AU"/>
        </w:rPr>
        <w:t xml:space="preserve">, compliance orders </w:t>
      </w:r>
      <w:r w:rsidR="00337468">
        <w:rPr>
          <w:lang w:eastAsia="en-AU"/>
        </w:rPr>
        <w:t>can be</w:t>
      </w:r>
      <w:r w:rsidR="00F169C5">
        <w:rPr>
          <w:lang w:eastAsia="en-AU"/>
        </w:rPr>
        <w:t xml:space="preserve"> made for the duration of the tenancy.</w:t>
      </w:r>
      <w:r w:rsidR="00866EAF" w:rsidRPr="00DF2723">
        <w:rPr>
          <w:lang w:eastAsia="en-AU"/>
        </w:rPr>
        <w:t xml:space="preserve"> Given the length of social housing tenan</w:t>
      </w:r>
      <w:r w:rsidR="00337468">
        <w:rPr>
          <w:lang w:eastAsia="en-AU"/>
        </w:rPr>
        <w:t>cies, such orders</w:t>
      </w:r>
      <w:r w:rsidR="00866EAF" w:rsidRPr="00DF2723">
        <w:rPr>
          <w:lang w:eastAsia="en-AU"/>
        </w:rPr>
        <w:t xml:space="preserve"> can remain a trigger for eviction for years. </w:t>
      </w:r>
    </w:p>
    <w:p w14:paraId="6D2B9933" w14:textId="71C87F9E" w:rsidR="003012DC" w:rsidRDefault="00866EAF" w:rsidP="003012DC">
      <w:pPr>
        <w:rPr>
          <w:lang w:eastAsia="en-AU"/>
        </w:rPr>
      </w:pPr>
      <w:r w:rsidRPr="003012DC">
        <w:rPr>
          <w:lang w:eastAsia="en-AU"/>
        </w:rPr>
        <w:t xml:space="preserve">Compliance with the order can depend on a tenant’s capacity to control the conduct of their visitors, other residents (including adult children) and the visitors to these other residents. Given the length and breadth of these orders, this can impose a huge burden on a tenant, particularly where there may be family violence </w:t>
      </w:r>
      <w:r w:rsidR="00D6512B">
        <w:rPr>
          <w:lang w:eastAsia="en-AU"/>
        </w:rPr>
        <w:t>at issue</w:t>
      </w:r>
      <w:r w:rsidRPr="003012DC">
        <w:rPr>
          <w:lang w:eastAsia="en-AU"/>
        </w:rPr>
        <w:t xml:space="preserve">. </w:t>
      </w:r>
    </w:p>
    <w:p w14:paraId="3CA12C3E" w14:textId="109196FC" w:rsidR="00827932" w:rsidRDefault="003012DC" w:rsidP="003012DC">
      <w:pPr>
        <w:rPr>
          <w:lang w:eastAsia="en-AU"/>
        </w:rPr>
      </w:pPr>
      <w:r>
        <w:rPr>
          <w:lang w:eastAsia="en-AU"/>
        </w:rPr>
        <w:t>The law provides</w:t>
      </w:r>
      <w:r w:rsidR="00866EAF" w:rsidRPr="00DF2723">
        <w:rPr>
          <w:lang w:eastAsia="en-AU"/>
        </w:rPr>
        <w:t xml:space="preserve"> protections for disputes between neighbours, including intervention orders and criminal charges. </w:t>
      </w:r>
      <w:r w:rsidR="00337468">
        <w:rPr>
          <w:lang w:eastAsia="en-AU"/>
        </w:rPr>
        <w:t>T</w:t>
      </w:r>
      <w:r w:rsidR="00866EAF" w:rsidRPr="00DF2723">
        <w:rPr>
          <w:lang w:eastAsia="en-AU"/>
        </w:rPr>
        <w:t xml:space="preserve">hese are sufficient to manage disputes between private owners of property and </w:t>
      </w:r>
      <w:r w:rsidR="00337468">
        <w:rPr>
          <w:lang w:eastAsia="en-AU"/>
        </w:rPr>
        <w:t xml:space="preserve">in our view </w:t>
      </w:r>
      <w:r w:rsidR="00866EAF" w:rsidRPr="00DF2723">
        <w:rPr>
          <w:lang w:eastAsia="en-AU"/>
        </w:rPr>
        <w:t xml:space="preserve">should </w:t>
      </w:r>
      <w:r w:rsidR="00337468">
        <w:rPr>
          <w:lang w:eastAsia="en-AU"/>
        </w:rPr>
        <w:t xml:space="preserve">also </w:t>
      </w:r>
      <w:r w:rsidR="00866EAF" w:rsidRPr="00DF2723">
        <w:rPr>
          <w:lang w:eastAsia="en-AU"/>
        </w:rPr>
        <w:t xml:space="preserve">be sufficient to manage disputes between tenants. Any additional control of the conduct of tenants should be limited to what is reasonably necessary </w:t>
      </w:r>
      <w:r w:rsidR="00337468">
        <w:rPr>
          <w:lang w:eastAsia="en-AU"/>
        </w:rPr>
        <w:t>in the circumstances.</w:t>
      </w:r>
    </w:p>
    <w:p w14:paraId="0E2B23F6" w14:textId="61BDBCFD" w:rsidR="00827932" w:rsidRPr="00DF2723" w:rsidRDefault="00337468" w:rsidP="003012DC">
      <w:pPr>
        <w:rPr>
          <w:lang w:eastAsia="en-AU"/>
        </w:rPr>
      </w:pPr>
      <w:r>
        <w:rPr>
          <w:lang w:eastAsia="en-AU"/>
        </w:rPr>
        <w:t>In our experience c</w:t>
      </w:r>
      <w:r w:rsidR="00827932">
        <w:rPr>
          <w:lang w:eastAsia="en-AU"/>
        </w:rPr>
        <w:t>ompliance orders are also sought in cases where tenants are engaging in hoarding behaviour. In these circumstances, tenants may comply with the compliance order and remove th</w:t>
      </w:r>
      <w:r w:rsidR="001B6EFC">
        <w:rPr>
          <w:lang w:eastAsia="en-AU"/>
        </w:rPr>
        <w:t xml:space="preserve">e goods which are the subject of the </w:t>
      </w:r>
      <w:r w:rsidR="00827932">
        <w:rPr>
          <w:lang w:eastAsia="en-AU"/>
        </w:rPr>
        <w:t xml:space="preserve">order. However, given the recurring nature of hoarding behaviour, at some much later date the order can be </w:t>
      </w:r>
      <w:r w:rsidR="00D6512B">
        <w:rPr>
          <w:lang w:eastAsia="en-AU"/>
        </w:rPr>
        <w:t>relied on</w:t>
      </w:r>
      <w:r w:rsidR="00827932">
        <w:rPr>
          <w:lang w:eastAsia="en-AU"/>
        </w:rPr>
        <w:t xml:space="preserve"> to evict the tenant, despite </w:t>
      </w:r>
      <w:r w:rsidR="001B6EFC">
        <w:rPr>
          <w:lang w:eastAsia="en-AU"/>
        </w:rPr>
        <w:t xml:space="preserve">their earlier </w:t>
      </w:r>
      <w:r w:rsidR="00827932">
        <w:rPr>
          <w:lang w:eastAsia="en-AU"/>
        </w:rPr>
        <w:t>compl</w:t>
      </w:r>
      <w:r w:rsidR="00CE23D8">
        <w:rPr>
          <w:lang w:eastAsia="en-AU"/>
        </w:rPr>
        <w:t>iance</w:t>
      </w:r>
      <w:r w:rsidR="00827932">
        <w:rPr>
          <w:lang w:eastAsia="en-AU"/>
        </w:rPr>
        <w:t>.</w:t>
      </w:r>
    </w:p>
    <w:p w14:paraId="280F5B40" w14:textId="77777777" w:rsidR="00866EAF" w:rsidRPr="00DF2723" w:rsidRDefault="00866EAF" w:rsidP="0060388D">
      <w:pPr>
        <w:rPr>
          <w:lang w:eastAsia="en-AU"/>
        </w:rPr>
      </w:pPr>
      <w:r w:rsidRPr="00DF2723">
        <w:rPr>
          <w:lang w:eastAsia="en-AU"/>
        </w:rPr>
        <w:t>Compliance orders should be worded as narrowly as possible, and should be of limited duration. If a tenant fails to comply with a compliance order, but the circumstances do not warrant eviction, the Tribunal should have discretion not to evict.</w:t>
      </w:r>
    </w:p>
    <w:p w14:paraId="702C79A4" w14:textId="77777777" w:rsidR="001B6EFC" w:rsidRPr="00621997" w:rsidRDefault="001B6EFC" w:rsidP="001B6EFC">
      <w:pPr>
        <w:pStyle w:val="TableText"/>
        <w:pBdr>
          <w:top w:val="single" w:sz="4" w:space="1" w:color="auto"/>
          <w:left w:val="single" w:sz="4" w:space="4" w:color="auto"/>
          <w:bottom w:val="single" w:sz="4" w:space="1" w:color="auto"/>
          <w:right w:val="single" w:sz="4" w:space="4" w:color="auto"/>
        </w:pBdr>
        <w:spacing w:before="120" w:after="120"/>
        <w:rPr>
          <w:lang w:eastAsia="en-AU"/>
        </w:rPr>
      </w:pPr>
      <w:r>
        <w:rPr>
          <w:lang w:eastAsia="en-AU"/>
        </w:rPr>
        <w:t>Margaret’s experience</w:t>
      </w:r>
      <w:r w:rsidRPr="00621997">
        <w:rPr>
          <w:lang w:eastAsia="en-AU"/>
        </w:rPr>
        <w:t xml:space="preserve"> </w:t>
      </w:r>
    </w:p>
    <w:p w14:paraId="1DC3AE3B" w14:textId="5936D10A" w:rsidR="00CC42A3" w:rsidRDefault="001B6EFC" w:rsidP="001B6EFC">
      <w:pPr>
        <w:pBdr>
          <w:top w:val="single" w:sz="4" w:space="1" w:color="auto"/>
          <w:left w:val="single" w:sz="4" w:space="4" w:color="auto"/>
          <w:bottom w:val="single" w:sz="4" w:space="1" w:color="auto"/>
          <w:right w:val="single" w:sz="4" w:space="4" w:color="auto"/>
        </w:pBdr>
        <w:rPr>
          <w:lang w:eastAsia="en-AU"/>
        </w:rPr>
      </w:pPr>
      <w:r>
        <w:rPr>
          <w:lang w:eastAsia="en-AU"/>
        </w:rPr>
        <w:t>Margaret</w:t>
      </w:r>
      <w:r w:rsidRPr="001B6EFC">
        <w:rPr>
          <w:lang w:eastAsia="en-AU"/>
        </w:rPr>
        <w:t xml:space="preserve"> has a range of </w:t>
      </w:r>
      <w:r>
        <w:rPr>
          <w:lang w:eastAsia="en-AU"/>
        </w:rPr>
        <w:t>mental health conditions, including severe OCD and symptoms of anxiety and agoraphobia. She</w:t>
      </w:r>
      <w:r w:rsidRPr="001B6EFC">
        <w:rPr>
          <w:lang w:eastAsia="en-AU"/>
        </w:rPr>
        <w:t xml:space="preserve"> has lived in public</w:t>
      </w:r>
      <w:r w:rsidR="00CE23D8">
        <w:rPr>
          <w:lang w:eastAsia="en-AU"/>
        </w:rPr>
        <w:t xml:space="preserve"> housing for many years. </w:t>
      </w:r>
      <w:r>
        <w:rPr>
          <w:lang w:eastAsia="en-AU"/>
        </w:rPr>
        <w:t>As a result of her</w:t>
      </w:r>
      <w:r w:rsidRPr="001B6EFC">
        <w:rPr>
          <w:lang w:eastAsia="en-AU"/>
        </w:rPr>
        <w:t xml:space="preserve"> mental health issues </w:t>
      </w:r>
      <w:r>
        <w:rPr>
          <w:lang w:eastAsia="en-AU"/>
        </w:rPr>
        <w:t>s</w:t>
      </w:r>
      <w:r w:rsidRPr="001B6EFC">
        <w:rPr>
          <w:lang w:eastAsia="en-AU"/>
        </w:rPr>
        <w:t>he has poor nutrition, limited li</w:t>
      </w:r>
      <w:r>
        <w:rPr>
          <w:lang w:eastAsia="en-AU"/>
        </w:rPr>
        <w:t>ving skills and has not left her</w:t>
      </w:r>
      <w:r w:rsidRPr="001B6EFC">
        <w:rPr>
          <w:lang w:eastAsia="en-AU"/>
        </w:rPr>
        <w:t xml:space="preserve"> house in nearly two years, including to put out the rubbish.  Because of these issues </w:t>
      </w:r>
      <w:r>
        <w:rPr>
          <w:lang w:eastAsia="en-AU"/>
        </w:rPr>
        <w:t>s</w:t>
      </w:r>
      <w:r w:rsidRPr="001B6EFC">
        <w:rPr>
          <w:lang w:eastAsia="en-AU"/>
        </w:rPr>
        <w:t>he is reliant on suppor</w:t>
      </w:r>
      <w:r>
        <w:rPr>
          <w:lang w:eastAsia="en-AU"/>
        </w:rPr>
        <w:t>t services for a range of assistance</w:t>
      </w:r>
      <w:r w:rsidRPr="001B6EFC">
        <w:rPr>
          <w:lang w:eastAsia="en-AU"/>
        </w:rPr>
        <w:t>, including to organise clea</w:t>
      </w:r>
      <w:r>
        <w:rPr>
          <w:lang w:eastAsia="en-AU"/>
        </w:rPr>
        <w:t>ning.  As a direct result of her</w:t>
      </w:r>
      <w:r w:rsidRPr="001B6EFC">
        <w:rPr>
          <w:lang w:eastAsia="en-AU"/>
        </w:rPr>
        <w:t xml:space="preserve"> mental health issue</w:t>
      </w:r>
      <w:r>
        <w:rPr>
          <w:lang w:eastAsia="en-AU"/>
        </w:rPr>
        <w:t xml:space="preserve">s and associated </w:t>
      </w:r>
      <w:r w:rsidRPr="001B6EFC">
        <w:rPr>
          <w:lang w:eastAsia="en-AU"/>
        </w:rPr>
        <w:t xml:space="preserve">behaviours </w:t>
      </w:r>
      <w:r>
        <w:rPr>
          <w:lang w:eastAsia="en-AU"/>
        </w:rPr>
        <w:t>s</w:t>
      </w:r>
      <w:r w:rsidRPr="001B6EFC">
        <w:rPr>
          <w:lang w:eastAsia="en-AU"/>
        </w:rPr>
        <w:t>he is in extreme financial stress, having accumulated substantial de</w:t>
      </w:r>
      <w:r>
        <w:rPr>
          <w:lang w:eastAsia="en-AU"/>
        </w:rPr>
        <w:t>bts to utilities companies. </w:t>
      </w:r>
    </w:p>
    <w:p w14:paraId="3BD78756" w14:textId="4802630C" w:rsidR="001B6EFC" w:rsidRPr="001B6EFC" w:rsidRDefault="001B6EFC" w:rsidP="001B6EFC">
      <w:pPr>
        <w:pBdr>
          <w:top w:val="single" w:sz="4" w:space="1" w:color="auto"/>
          <w:left w:val="single" w:sz="4" w:space="4" w:color="auto"/>
          <w:bottom w:val="single" w:sz="4" w:space="1" w:color="auto"/>
          <w:right w:val="single" w:sz="4" w:space="4" w:color="auto"/>
        </w:pBdr>
        <w:rPr>
          <w:lang w:eastAsia="en-AU"/>
        </w:rPr>
      </w:pPr>
      <w:r>
        <w:rPr>
          <w:lang w:eastAsia="en-AU"/>
        </w:rPr>
        <w:lastRenderedPageBreak/>
        <w:t>Margaret’s</w:t>
      </w:r>
      <w:r w:rsidRPr="001B6EFC">
        <w:rPr>
          <w:lang w:eastAsia="en-AU"/>
        </w:rPr>
        <w:t xml:space="preserve"> </w:t>
      </w:r>
      <w:r w:rsidR="00CC42A3">
        <w:rPr>
          <w:lang w:eastAsia="en-AU"/>
        </w:rPr>
        <w:t xml:space="preserve">financial </w:t>
      </w:r>
      <w:r w:rsidRPr="001B6EFC">
        <w:rPr>
          <w:lang w:eastAsia="en-AU"/>
        </w:rPr>
        <w:t xml:space="preserve">administrator </w:t>
      </w:r>
      <w:r>
        <w:rPr>
          <w:lang w:eastAsia="en-AU"/>
        </w:rPr>
        <w:t>advised her</w:t>
      </w:r>
      <w:r w:rsidR="00CC42A3">
        <w:rPr>
          <w:lang w:eastAsia="en-AU"/>
        </w:rPr>
        <w:t xml:space="preserve"> that there were</w:t>
      </w:r>
      <w:r w:rsidRPr="001B6EFC">
        <w:rPr>
          <w:lang w:eastAsia="en-AU"/>
        </w:rPr>
        <w:t xml:space="preserve"> insuffici</w:t>
      </w:r>
      <w:r w:rsidR="00CC42A3">
        <w:rPr>
          <w:lang w:eastAsia="en-AU"/>
        </w:rPr>
        <w:t>ent funds to pay</w:t>
      </w:r>
      <w:r w:rsidR="00CE23D8">
        <w:rPr>
          <w:lang w:eastAsia="en-AU"/>
        </w:rPr>
        <w:t xml:space="preserve"> </w:t>
      </w:r>
      <w:r w:rsidR="00CC42A3">
        <w:rPr>
          <w:lang w:eastAsia="en-AU"/>
        </w:rPr>
        <w:t xml:space="preserve">for </w:t>
      </w:r>
      <w:r w:rsidR="00CE23D8">
        <w:rPr>
          <w:lang w:eastAsia="en-AU"/>
        </w:rPr>
        <w:t>cleaning</w:t>
      </w:r>
      <w:r w:rsidR="00CC42A3">
        <w:rPr>
          <w:lang w:eastAsia="en-AU"/>
        </w:rPr>
        <w:t xml:space="preserve"> of her property</w:t>
      </w:r>
      <w:r w:rsidR="00CE23D8">
        <w:rPr>
          <w:lang w:eastAsia="en-AU"/>
        </w:rPr>
        <w:t>.</w:t>
      </w:r>
      <w:r w:rsidRPr="001B6EFC">
        <w:rPr>
          <w:lang w:eastAsia="en-AU"/>
        </w:rPr>
        <w:t xml:space="preserve"> Despite the suppo</w:t>
      </w:r>
      <w:r>
        <w:rPr>
          <w:lang w:eastAsia="en-AU"/>
        </w:rPr>
        <w:t>rt of agencies advocating on her</w:t>
      </w:r>
      <w:r w:rsidRPr="001B6EFC">
        <w:rPr>
          <w:lang w:eastAsia="en-AU"/>
        </w:rPr>
        <w:t xml:space="preserve"> behalf, the Director of Housing applied to VCAT for a co</w:t>
      </w:r>
      <w:r>
        <w:rPr>
          <w:lang w:eastAsia="en-AU"/>
        </w:rPr>
        <w:t xml:space="preserve">mpliance order </w:t>
      </w:r>
      <w:r w:rsidR="00CE23D8">
        <w:rPr>
          <w:lang w:eastAsia="en-AU"/>
        </w:rPr>
        <w:t xml:space="preserve">against Margaret </w:t>
      </w:r>
      <w:r>
        <w:rPr>
          <w:lang w:eastAsia="en-AU"/>
        </w:rPr>
        <w:t>for breac</w:t>
      </w:r>
      <w:r w:rsidR="00CC42A3">
        <w:rPr>
          <w:lang w:eastAsia="en-AU"/>
        </w:rPr>
        <w:t>h of her obligations to keep the</w:t>
      </w:r>
      <w:r w:rsidRPr="001B6EFC">
        <w:rPr>
          <w:lang w:eastAsia="en-AU"/>
        </w:rPr>
        <w:t xml:space="preserve"> property reasonably clean (s 63).</w:t>
      </w:r>
    </w:p>
    <w:p w14:paraId="566FC2AF" w14:textId="65006269" w:rsidR="001B6EFC" w:rsidRPr="001B6EFC" w:rsidRDefault="001B6EFC" w:rsidP="001B6EFC">
      <w:pPr>
        <w:pBdr>
          <w:top w:val="single" w:sz="4" w:space="1" w:color="auto"/>
          <w:left w:val="single" w:sz="4" w:space="4" w:color="auto"/>
          <w:bottom w:val="single" w:sz="4" w:space="1" w:color="auto"/>
          <w:right w:val="single" w:sz="4" w:space="4" w:color="auto"/>
        </w:pBdr>
        <w:rPr>
          <w:lang w:eastAsia="en-AU"/>
        </w:rPr>
      </w:pPr>
      <w:r w:rsidRPr="001B6EFC">
        <w:rPr>
          <w:lang w:eastAsia="en-AU"/>
        </w:rPr>
        <w:t>For a number of reasons, some of w</w:t>
      </w:r>
      <w:r>
        <w:rPr>
          <w:lang w:eastAsia="en-AU"/>
        </w:rPr>
        <w:t>hich are directly related to her</w:t>
      </w:r>
      <w:r w:rsidRPr="001B6EFC">
        <w:rPr>
          <w:lang w:eastAsia="en-AU"/>
        </w:rPr>
        <w:t xml:space="preserve"> various mental health issues, </w:t>
      </w:r>
      <w:r>
        <w:rPr>
          <w:lang w:eastAsia="en-AU"/>
        </w:rPr>
        <w:t>s</w:t>
      </w:r>
      <w:r w:rsidRPr="001B6EFC">
        <w:rPr>
          <w:lang w:eastAsia="en-AU"/>
        </w:rPr>
        <w:t>he was unable to attend the VCAT hearing and was not able to be legally represented.  At the hearing VCAT found the Director of Housing w</w:t>
      </w:r>
      <w:r>
        <w:rPr>
          <w:lang w:eastAsia="en-AU"/>
        </w:rPr>
        <w:t>as entitled to give Margaret</w:t>
      </w:r>
      <w:r w:rsidRPr="001B6EFC">
        <w:rPr>
          <w:lang w:eastAsia="en-AU"/>
        </w:rPr>
        <w:t xml:space="preserve"> the breach of duty notice (for </w:t>
      </w:r>
      <w:r>
        <w:rPr>
          <w:lang w:eastAsia="en-AU"/>
        </w:rPr>
        <w:t>breach of s 63) and that Margaret</w:t>
      </w:r>
      <w:r w:rsidR="00CE23D8">
        <w:rPr>
          <w:lang w:eastAsia="en-AU"/>
        </w:rPr>
        <w:t xml:space="preserve"> had failed to comply. </w:t>
      </w:r>
      <w:r w:rsidRPr="001B6EFC">
        <w:rPr>
          <w:lang w:eastAsia="en-AU"/>
        </w:rPr>
        <w:t>I</w:t>
      </w:r>
      <w:r w:rsidR="009A6087">
        <w:rPr>
          <w:lang w:eastAsia="en-AU"/>
        </w:rPr>
        <w:t>n making its compliance order, T</w:t>
      </w:r>
      <w:r w:rsidRPr="001B6EFC">
        <w:rPr>
          <w:lang w:eastAsia="en-AU"/>
        </w:rPr>
        <w:t xml:space="preserve">he tribunal made </w:t>
      </w:r>
      <w:r>
        <w:rPr>
          <w:lang w:eastAsia="en-AU"/>
        </w:rPr>
        <w:t>an explicit order for Margaret</w:t>
      </w:r>
      <w:r w:rsidRPr="001B6EFC">
        <w:rPr>
          <w:lang w:eastAsia="en-AU"/>
        </w:rPr>
        <w:t xml:space="preserve"> “to refrain from committing a similar breach </w:t>
      </w:r>
      <w:r w:rsidRPr="001B6EFC">
        <w:rPr>
          <w:u w:val="single"/>
          <w:lang w:eastAsia="en-AU"/>
        </w:rPr>
        <w:t>for the duration of the tenancy</w:t>
      </w:r>
      <w:r w:rsidRPr="001B6EFC">
        <w:rPr>
          <w:lang w:eastAsia="en-AU"/>
        </w:rPr>
        <w:t xml:space="preserve">” (emphasis added).  </w:t>
      </w:r>
    </w:p>
    <w:p w14:paraId="188CA89D" w14:textId="6B3EEFD5" w:rsidR="001B6EFC" w:rsidRPr="001B6EFC" w:rsidRDefault="00337468" w:rsidP="001B6EFC">
      <w:pPr>
        <w:pBdr>
          <w:top w:val="single" w:sz="4" w:space="1" w:color="auto"/>
          <w:left w:val="single" w:sz="4" w:space="4" w:color="auto"/>
          <w:bottom w:val="single" w:sz="4" w:space="1" w:color="auto"/>
          <w:right w:val="single" w:sz="4" w:space="4" w:color="auto"/>
        </w:pBdr>
        <w:rPr>
          <w:lang w:eastAsia="en-AU"/>
        </w:rPr>
      </w:pPr>
      <w:r>
        <w:rPr>
          <w:lang w:eastAsia="en-AU"/>
        </w:rPr>
        <w:t>The central issue impacting Margaret’s</w:t>
      </w:r>
      <w:r w:rsidR="001B6EFC" w:rsidRPr="001B6EFC">
        <w:rPr>
          <w:lang w:eastAsia="en-AU"/>
        </w:rPr>
        <w:t xml:space="preserve"> ability to comply with th</w:t>
      </w:r>
      <w:r>
        <w:rPr>
          <w:lang w:eastAsia="en-AU"/>
        </w:rPr>
        <w:t xml:space="preserve">e breach of duty notices in this case </w:t>
      </w:r>
      <w:r w:rsidR="009A6087">
        <w:rPr>
          <w:lang w:eastAsia="en-AU"/>
        </w:rPr>
        <w:t>was</w:t>
      </w:r>
      <w:r>
        <w:rPr>
          <w:lang w:eastAsia="en-AU"/>
        </w:rPr>
        <w:t xml:space="preserve"> her</w:t>
      </w:r>
      <w:r w:rsidR="001B6EFC" w:rsidRPr="001B6EFC">
        <w:rPr>
          <w:lang w:eastAsia="en-AU"/>
        </w:rPr>
        <w:t xml:space="preserve"> extreme financial stress and reliance on other support agencies, both </w:t>
      </w:r>
      <w:r>
        <w:rPr>
          <w:lang w:eastAsia="en-AU"/>
        </w:rPr>
        <w:t>of which arise directly from her</w:t>
      </w:r>
      <w:r w:rsidR="001B6EFC" w:rsidRPr="001B6EFC">
        <w:rPr>
          <w:lang w:eastAsia="en-AU"/>
        </w:rPr>
        <w:t xml:space="preserve"> sig</w:t>
      </w:r>
      <w:r>
        <w:rPr>
          <w:lang w:eastAsia="en-AU"/>
        </w:rPr>
        <w:t>nificant mental health issues. </w:t>
      </w:r>
      <w:r w:rsidR="001B6EFC" w:rsidRPr="001B6EFC">
        <w:rPr>
          <w:lang w:eastAsia="en-AU"/>
        </w:rPr>
        <w:t xml:space="preserve">In this case, whilst the broadly worded compliance order still stands, </w:t>
      </w:r>
      <w:r>
        <w:rPr>
          <w:lang w:eastAsia="en-AU"/>
        </w:rPr>
        <w:t>s</w:t>
      </w:r>
      <w:r w:rsidR="001B6EFC" w:rsidRPr="001B6EFC">
        <w:rPr>
          <w:lang w:eastAsia="en-AU"/>
        </w:rPr>
        <w:t xml:space="preserve">he </w:t>
      </w:r>
      <w:r>
        <w:rPr>
          <w:lang w:eastAsia="en-AU"/>
        </w:rPr>
        <w:t>will remain</w:t>
      </w:r>
      <w:r w:rsidR="001B6EFC" w:rsidRPr="001B6EFC">
        <w:rPr>
          <w:lang w:eastAsia="en-AU"/>
        </w:rPr>
        <w:t xml:space="preserve"> at significant risk of eviction into the future.</w:t>
      </w:r>
    </w:p>
    <w:p w14:paraId="672D5E3B" w14:textId="25AC7741" w:rsidR="00866EAF" w:rsidRPr="00CE23D8" w:rsidRDefault="00866EAF" w:rsidP="00CE23D8">
      <w:pPr>
        <w:shd w:val="pct10" w:color="auto" w:fill="auto"/>
        <w:rPr>
          <w:lang w:eastAsia="en-AU"/>
        </w:rPr>
      </w:pPr>
      <w:r w:rsidRPr="00CE23D8">
        <w:rPr>
          <w:b/>
          <w:lang w:eastAsia="en-AU"/>
        </w:rPr>
        <w:t>Recommendation</w:t>
      </w:r>
      <w:r w:rsidR="004703FF" w:rsidRPr="00CE23D8">
        <w:rPr>
          <w:b/>
          <w:lang w:eastAsia="en-AU"/>
        </w:rPr>
        <w:t xml:space="preserve"> 11</w:t>
      </w:r>
      <w:r w:rsidRPr="00CE23D8">
        <w:rPr>
          <w:b/>
          <w:lang w:eastAsia="en-AU"/>
        </w:rPr>
        <w:t>:</w:t>
      </w:r>
      <w:r w:rsidRPr="00CE23D8">
        <w:rPr>
          <w:lang w:eastAsia="en-AU"/>
        </w:rPr>
        <w:t xml:space="preserve"> Initial</w:t>
      </w:r>
      <w:r w:rsidR="00670387">
        <w:rPr>
          <w:lang w:eastAsia="en-AU"/>
        </w:rPr>
        <w:t xml:space="preserve"> compliance</w:t>
      </w:r>
      <w:r w:rsidRPr="00CE23D8">
        <w:rPr>
          <w:lang w:eastAsia="en-AU"/>
        </w:rPr>
        <w:t xml:space="preserve"> orders should be limited to 6 months before lapsing. </w:t>
      </w:r>
      <w:r w:rsidR="003012DC" w:rsidRPr="00CE23D8">
        <w:rPr>
          <w:lang w:eastAsia="en-AU"/>
        </w:rPr>
        <w:t>Only w</w:t>
      </w:r>
      <w:r w:rsidRPr="00CE23D8">
        <w:rPr>
          <w:lang w:eastAsia="en-AU"/>
        </w:rPr>
        <w:t>here sub</w:t>
      </w:r>
      <w:r w:rsidR="003012DC" w:rsidRPr="00CE23D8">
        <w:rPr>
          <w:lang w:eastAsia="en-AU"/>
        </w:rPr>
        <w:t xml:space="preserve">sequent orders are needed </w:t>
      </w:r>
      <w:r w:rsidRPr="00CE23D8">
        <w:rPr>
          <w:lang w:eastAsia="en-AU"/>
        </w:rPr>
        <w:t xml:space="preserve">should </w:t>
      </w:r>
      <w:r w:rsidR="003012DC" w:rsidRPr="00CE23D8">
        <w:rPr>
          <w:lang w:eastAsia="en-AU"/>
        </w:rPr>
        <w:t>there be discretion</w:t>
      </w:r>
      <w:r w:rsidR="00CE23D8">
        <w:rPr>
          <w:lang w:eastAsia="en-AU"/>
        </w:rPr>
        <w:t xml:space="preserve"> for them to be extended for a period of up to 12 months</w:t>
      </w:r>
      <w:r w:rsidRPr="00CE23D8">
        <w:rPr>
          <w:lang w:eastAsia="en-AU"/>
        </w:rPr>
        <w:t xml:space="preserve">. Tribunal members should be given more flexibility when determining whether a tenant should be evicted. Section 332 </w:t>
      </w:r>
      <w:r w:rsidR="00CE23D8">
        <w:rPr>
          <w:lang w:eastAsia="en-AU"/>
        </w:rPr>
        <w:t xml:space="preserve">of the RTA </w:t>
      </w:r>
      <w:r w:rsidRPr="00CE23D8">
        <w:rPr>
          <w:lang w:eastAsia="en-AU"/>
        </w:rPr>
        <w:t xml:space="preserve">does not provide this flexibility. Section 332 (1) (b) should be amended so that each of the </w:t>
      </w:r>
      <w:r w:rsidR="00CE23D8">
        <w:rPr>
          <w:lang w:eastAsia="en-AU"/>
        </w:rPr>
        <w:t>subsections are alternative base</w:t>
      </w:r>
      <w:r w:rsidRPr="00CE23D8">
        <w:rPr>
          <w:lang w:eastAsia="en-AU"/>
        </w:rPr>
        <w:t>s on which a possession order can be refused.</w:t>
      </w:r>
    </w:p>
    <w:p w14:paraId="5284FD69" w14:textId="77777777" w:rsidR="00345EF4" w:rsidRPr="00755CA6" w:rsidRDefault="003012DC" w:rsidP="00755CA6">
      <w:pPr>
        <w:pStyle w:val="Heading3"/>
        <w:rPr>
          <w:i/>
        </w:rPr>
      </w:pPr>
      <w:r>
        <w:rPr>
          <w:i/>
        </w:rPr>
        <w:t>Possession for</w:t>
      </w:r>
      <w:r w:rsidR="007A2284">
        <w:rPr>
          <w:i/>
        </w:rPr>
        <w:t xml:space="preserve"> r</w:t>
      </w:r>
      <w:r w:rsidR="00345EF4">
        <w:rPr>
          <w:i/>
        </w:rPr>
        <w:t>ental arrears</w:t>
      </w:r>
    </w:p>
    <w:p w14:paraId="52FA8846" w14:textId="77777777" w:rsidR="00D74A3E" w:rsidRPr="00DF2723" w:rsidRDefault="00D74A3E" w:rsidP="00DF2723">
      <w:pPr>
        <w:pStyle w:val="Heading1"/>
        <w:rPr>
          <w:rFonts w:cs="Times New Roman"/>
          <w:b w:val="0"/>
          <w:bCs w:val="0"/>
          <w:color w:val="auto"/>
          <w:kern w:val="0"/>
          <w:sz w:val="22"/>
          <w:szCs w:val="24"/>
        </w:rPr>
      </w:pPr>
      <w:r w:rsidRPr="00DF2723">
        <w:rPr>
          <w:rFonts w:cs="Times New Roman"/>
          <w:b w:val="0"/>
          <w:bCs w:val="0"/>
          <w:color w:val="auto"/>
          <w:kern w:val="0"/>
          <w:sz w:val="22"/>
          <w:szCs w:val="24"/>
        </w:rPr>
        <w:t>The 2013-2014 VCAT Annual Report states that of the 61,126 applications to the Residential Tenancies List, most were made by a landlord for possession due to the tenant’s failure to pay rent.</w:t>
      </w:r>
      <w:r w:rsidR="003012DC">
        <w:rPr>
          <w:rStyle w:val="FootnoteReference"/>
          <w:rFonts w:cs="Times New Roman"/>
          <w:b w:val="0"/>
          <w:bCs w:val="0"/>
          <w:color w:val="auto"/>
          <w:kern w:val="0"/>
          <w:szCs w:val="24"/>
        </w:rPr>
        <w:footnoteReference w:id="10"/>
      </w:r>
      <w:r w:rsidRPr="00DF2723">
        <w:rPr>
          <w:rFonts w:cs="Times New Roman"/>
          <w:b w:val="0"/>
          <w:bCs w:val="0"/>
          <w:color w:val="auto"/>
          <w:kern w:val="0"/>
          <w:sz w:val="22"/>
          <w:szCs w:val="24"/>
        </w:rPr>
        <w:t xml:space="preserve"> The Tribunal has the power under section 331 of the RTA to adjourn these proceeding</w:t>
      </w:r>
      <w:r w:rsidR="00561BF0">
        <w:rPr>
          <w:rFonts w:cs="Times New Roman"/>
          <w:b w:val="0"/>
          <w:bCs w:val="0"/>
          <w:color w:val="auto"/>
          <w:kern w:val="0"/>
          <w:sz w:val="22"/>
          <w:szCs w:val="24"/>
        </w:rPr>
        <w:t>s</w:t>
      </w:r>
      <w:r w:rsidRPr="00DF2723">
        <w:rPr>
          <w:rFonts w:cs="Times New Roman"/>
          <w:b w:val="0"/>
          <w:bCs w:val="0"/>
          <w:color w:val="auto"/>
          <w:kern w:val="0"/>
          <w:sz w:val="22"/>
          <w:szCs w:val="24"/>
        </w:rPr>
        <w:t xml:space="preserve"> to enable arrangements to be made</w:t>
      </w:r>
      <w:r w:rsidR="00561BF0">
        <w:rPr>
          <w:rFonts w:cs="Times New Roman"/>
          <w:b w:val="0"/>
          <w:bCs w:val="0"/>
          <w:color w:val="auto"/>
          <w:kern w:val="0"/>
          <w:sz w:val="22"/>
          <w:szCs w:val="24"/>
        </w:rPr>
        <w:t>,</w:t>
      </w:r>
      <w:r w:rsidRPr="00DF2723">
        <w:rPr>
          <w:rFonts w:cs="Times New Roman"/>
          <w:b w:val="0"/>
          <w:bCs w:val="0"/>
          <w:color w:val="auto"/>
          <w:kern w:val="0"/>
          <w:sz w:val="22"/>
          <w:szCs w:val="24"/>
        </w:rPr>
        <w:t xml:space="preserve"> </w:t>
      </w:r>
      <w:r w:rsidR="00827932">
        <w:rPr>
          <w:rFonts w:cs="Times New Roman"/>
          <w:b w:val="0"/>
          <w:bCs w:val="0"/>
          <w:color w:val="auto"/>
          <w:kern w:val="0"/>
          <w:sz w:val="22"/>
          <w:szCs w:val="24"/>
        </w:rPr>
        <w:t>or where they have already been made</w:t>
      </w:r>
      <w:r w:rsidR="00561BF0">
        <w:rPr>
          <w:rFonts w:cs="Times New Roman"/>
          <w:b w:val="0"/>
          <w:bCs w:val="0"/>
          <w:color w:val="auto"/>
          <w:kern w:val="0"/>
          <w:sz w:val="22"/>
          <w:szCs w:val="24"/>
        </w:rPr>
        <w:t>,</w:t>
      </w:r>
      <w:r w:rsidR="00827932">
        <w:rPr>
          <w:rFonts w:cs="Times New Roman"/>
          <w:b w:val="0"/>
          <w:bCs w:val="0"/>
          <w:color w:val="auto"/>
          <w:kern w:val="0"/>
          <w:sz w:val="22"/>
          <w:szCs w:val="24"/>
        </w:rPr>
        <w:t xml:space="preserve"> </w:t>
      </w:r>
      <w:r w:rsidRPr="00DF2723">
        <w:rPr>
          <w:rFonts w:cs="Times New Roman"/>
          <w:b w:val="0"/>
          <w:bCs w:val="0"/>
          <w:color w:val="auto"/>
          <w:kern w:val="0"/>
          <w:sz w:val="22"/>
          <w:szCs w:val="24"/>
        </w:rPr>
        <w:t>to avoid financial loss to the landlord. In our experience tenants have often repaid the arrears prior to the possession order hearing, or are in a position to repay the arrears in instalments within a short period of time. In these cases the Tribunal is likely to exercise its discretion under section 331</w:t>
      </w:r>
      <w:r w:rsidR="00561BF0">
        <w:rPr>
          <w:rFonts w:cs="Times New Roman"/>
          <w:b w:val="0"/>
          <w:bCs w:val="0"/>
          <w:color w:val="auto"/>
          <w:kern w:val="0"/>
          <w:sz w:val="22"/>
          <w:szCs w:val="24"/>
        </w:rPr>
        <w:t xml:space="preserve"> of the RTA</w:t>
      </w:r>
      <w:r w:rsidRPr="00DF2723">
        <w:rPr>
          <w:rFonts w:cs="Times New Roman"/>
          <w:b w:val="0"/>
          <w:bCs w:val="0"/>
          <w:color w:val="auto"/>
          <w:kern w:val="0"/>
          <w:sz w:val="22"/>
          <w:szCs w:val="24"/>
        </w:rPr>
        <w:t xml:space="preserve">. </w:t>
      </w:r>
    </w:p>
    <w:p w14:paraId="704ACB2E" w14:textId="77777777" w:rsidR="00D74A3E" w:rsidRPr="00DF2723" w:rsidRDefault="00D74A3E" w:rsidP="00DF2723">
      <w:pPr>
        <w:pStyle w:val="Heading1"/>
        <w:rPr>
          <w:rFonts w:cs="Times New Roman"/>
          <w:b w:val="0"/>
          <w:bCs w:val="0"/>
          <w:color w:val="auto"/>
          <w:kern w:val="0"/>
          <w:sz w:val="22"/>
          <w:szCs w:val="24"/>
        </w:rPr>
      </w:pPr>
      <w:r w:rsidRPr="00DF2723">
        <w:rPr>
          <w:rFonts w:cs="Times New Roman"/>
          <w:b w:val="0"/>
          <w:bCs w:val="0"/>
          <w:color w:val="auto"/>
          <w:kern w:val="0"/>
          <w:sz w:val="22"/>
          <w:szCs w:val="24"/>
        </w:rPr>
        <w:t>In our experience it is often the case that very little negotiation has taken place between the tenant and the landlord in relation to the outstanding rent prior to the possession order hearing.</w:t>
      </w:r>
      <w:r w:rsidR="003012DC">
        <w:rPr>
          <w:rFonts w:cs="Times New Roman"/>
          <w:b w:val="0"/>
          <w:bCs w:val="0"/>
          <w:color w:val="auto"/>
          <w:kern w:val="0"/>
          <w:sz w:val="22"/>
          <w:szCs w:val="24"/>
        </w:rPr>
        <w:t xml:space="preserve"> </w:t>
      </w:r>
      <w:r w:rsidRPr="00DF2723">
        <w:rPr>
          <w:rFonts w:cs="Times New Roman"/>
          <w:b w:val="0"/>
          <w:bCs w:val="0"/>
          <w:color w:val="auto"/>
          <w:kern w:val="0"/>
          <w:sz w:val="22"/>
          <w:szCs w:val="24"/>
        </w:rPr>
        <w:t>It is preferable to sustain tenancies with arrears repayments where the tenant can repay the arrears. This benefits landlords by increasing their chance of recovering rental losses and benefits tenants by preventing eviction</w:t>
      </w:r>
      <w:r w:rsidR="00561BF0">
        <w:rPr>
          <w:rFonts w:cs="Times New Roman"/>
          <w:b w:val="0"/>
          <w:bCs w:val="0"/>
          <w:color w:val="auto"/>
          <w:kern w:val="0"/>
          <w:sz w:val="22"/>
          <w:szCs w:val="24"/>
        </w:rPr>
        <w:t>s</w:t>
      </w:r>
      <w:r w:rsidRPr="00DF2723">
        <w:rPr>
          <w:rFonts w:cs="Times New Roman"/>
          <w:b w:val="0"/>
          <w:bCs w:val="0"/>
          <w:color w:val="auto"/>
          <w:kern w:val="0"/>
          <w:sz w:val="22"/>
          <w:szCs w:val="24"/>
        </w:rPr>
        <w:t xml:space="preserve">. </w:t>
      </w:r>
    </w:p>
    <w:p w14:paraId="0061972E" w14:textId="77777777" w:rsidR="00D74A3E" w:rsidRPr="00DF2723" w:rsidRDefault="00D16EB8" w:rsidP="00DF2723">
      <w:pPr>
        <w:pStyle w:val="Heading1"/>
        <w:rPr>
          <w:rFonts w:cs="Times New Roman"/>
          <w:b w:val="0"/>
          <w:bCs w:val="0"/>
          <w:color w:val="auto"/>
          <w:kern w:val="0"/>
          <w:sz w:val="22"/>
          <w:szCs w:val="24"/>
        </w:rPr>
      </w:pPr>
      <w:r>
        <w:rPr>
          <w:rFonts w:cs="Times New Roman"/>
          <w:b w:val="0"/>
          <w:bCs w:val="0"/>
          <w:color w:val="auto"/>
          <w:kern w:val="0"/>
          <w:sz w:val="22"/>
          <w:szCs w:val="24"/>
        </w:rPr>
        <w:t>In our view i</w:t>
      </w:r>
      <w:r w:rsidR="003012DC">
        <w:rPr>
          <w:rFonts w:cs="Times New Roman"/>
          <w:b w:val="0"/>
          <w:bCs w:val="0"/>
          <w:color w:val="auto"/>
          <w:kern w:val="0"/>
          <w:sz w:val="22"/>
          <w:szCs w:val="24"/>
        </w:rPr>
        <w:t>t would be more efficient and effective for VCAT proceedings to automatically discontinue if the</w:t>
      </w:r>
      <w:r w:rsidR="00D74A3E" w:rsidRPr="00DF2723">
        <w:rPr>
          <w:rFonts w:cs="Times New Roman"/>
          <w:b w:val="0"/>
          <w:bCs w:val="0"/>
          <w:color w:val="auto"/>
          <w:kern w:val="0"/>
          <w:sz w:val="22"/>
          <w:szCs w:val="24"/>
        </w:rPr>
        <w:t xml:space="preserve"> tenant pays rent</w:t>
      </w:r>
      <w:r>
        <w:rPr>
          <w:rFonts w:cs="Times New Roman"/>
          <w:b w:val="0"/>
          <w:bCs w:val="0"/>
          <w:color w:val="auto"/>
          <w:kern w:val="0"/>
          <w:sz w:val="22"/>
          <w:szCs w:val="24"/>
        </w:rPr>
        <w:t>al</w:t>
      </w:r>
      <w:r w:rsidR="00D74A3E" w:rsidRPr="00DF2723">
        <w:rPr>
          <w:rFonts w:cs="Times New Roman"/>
          <w:b w:val="0"/>
          <w:bCs w:val="0"/>
          <w:color w:val="auto"/>
          <w:kern w:val="0"/>
          <w:sz w:val="22"/>
          <w:szCs w:val="24"/>
        </w:rPr>
        <w:t xml:space="preserve"> arrears in </w:t>
      </w:r>
      <w:r w:rsidR="003012DC">
        <w:rPr>
          <w:rFonts w:cs="Times New Roman"/>
          <w:b w:val="0"/>
          <w:bCs w:val="0"/>
          <w:color w:val="auto"/>
          <w:kern w:val="0"/>
          <w:sz w:val="22"/>
          <w:szCs w:val="24"/>
        </w:rPr>
        <w:t>full</w:t>
      </w:r>
      <w:r w:rsidR="00D74A3E" w:rsidRPr="00DF2723">
        <w:rPr>
          <w:rFonts w:cs="Times New Roman"/>
          <w:b w:val="0"/>
          <w:bCs w:val="0"/>
          <w:color w:val="auto"/>
          <w:kern w:val="0"/>
          <w:sz w:val="22"/>
          <w:szCs w:val="24"/>
        </w:rPr>
        <w:t>.</w:t>
      </w:r>
      <w:r w:rsidR="003012DC">
        <w:rPr>
          <w:rFonts w:cs="Times New Roman"/>
          <w:b w:val="0"/>
          <w:bCs w:val="0"/>
          <w:color w:val="auto"/>
          <w:kern w:val="0"/>
          <w:sz w:val="22"/>
          <w:szCs w:val="24"/>
        </w:rPr>
        <w:t xml:space="preserve"> </w:t>
      </w:r>
      <w:r w:rsidR="00D74A3E" w:rsidRPr="00DF2723">
        <w:rPr>
          <w:rFonts w:cs="Times New Roman"/>
          <w:b w:val="0"/>
          <w:bCs w:val="0"/>
          <w:color w:val="auto"/>
          <w:kern w:val="0"/>
          <w:sz w:val="22"/>
          <w:szCs w:val="24"/>
        </w:rPr>
        <w:t>Reforming these provisions would reduce the numb</w:t>
      </w:r>
      <w:r w:rsidR="003012DC">
        <w:rPr>
          <w:rFonts w:cs="Times New Roman"/>
          <w:b w:val="0"/>
          <w:bCs w:val="0"/>
          <w:color w:val="auto"/>
          <w:kern w:val="0"/>
          <w:sz w:val="22"/>
          <w:szCs w:val="24"/>
        </w:rPr>
        <w:t xml:space="preserve">ers of applications to VCAT, as well as </w:t>
      </w:r>
      <w:r w:rsidR="00D74A3E" w:rsidRPr="00DF2723">
        <w:rPr>
          <w:rFonts w:cs="Times New Roman"/>
          <w:b w:val="0"/>
          <w:bCs w:val="0"/>
          <w:color w:val="auto"/>
          <w:kern w:val="0"/>
          <w:sz w:val="22"/>
          <w:szCs w:val="24"/>
        </w:rPr>
        <w:t xml:space="preserve">the numbers of applications </w:t>
      </w:r>
      <w:r w:rsidR="003012DC">
        <w:rPr>
          <w:rFonts w:cs="Times New Roman"/>
          <w:b w:val="0"/>
          <w:bCs w:val="0"/>
          <w:color w:val="auto"/>
          <w:kern w:val="0"/>
          <w:sz w:val="22"/>
          <w:szCs w:val="24"/>
        </w:rPr>
        <w:t xml:space="preserve">unnecessarily and inefficiently </w:t>
      </w:r>
      <w:r w:rsidR="00D74A3E" w:rsidRPr="00DF2723">
        <w:rPr>
          <w:rFonts w:cs="Times New Roman"/>
          <w:b w:val="0"/>
          <w:bCs w:val="0"/>
          <w:color w:val="auto"/>
          <w:kern w:val="0"/>
          <w:sz w:val="22"/>
          <w:szCs w:val="24"/>
        </w:rPr>
        <w:t>proceeding to hearin</w:t>
      </w:r>
      <w:r>
        <w:rPr>
          <w:rFonts w:cs="Times New Roman"/>
          <w:b w:val="0"/>
          <w:bCs w:val="0"/>
          <w:color w:val="auto"/>
          <w:kern w:val="0"/>
          <w:sz w:val="22"/>
          <w:szCs w:val="24"/>
        </w:rPr>
        <w:t>g at VCAT, which is likely to result in</w:t>
      </w:r>
      <w:r w:rsidR="001B42D0">
        <w:rPr>
          <w:rFonts w:cs="Times New Roman"/>
          <w:b w:val="0"/>
          <w:bCs w:val="0"/>
          <w:color w:val="auto"/>
          <w:kern w:val="0"/>
          <w:sz w:val="22"/>
          <w:szCs w:val="24"/>
        </w:rPr>
        <w:t xml:space="preserve"> a</w:t>
      </w:r>
      <w:r w:rsidR="00D74A3E" w:rsidRPr="00DF2723">
        <w:rPr>
          <w:rFonts w:cs="Times New Roman"/>
          <w:b w:val="0"/>
          <w:bCs w:val="0"/>
          <w:color w:val="auto"/>
          <w:kern w:val="0"/>
          <w:sz w:val="22"/>
          <w:szCs w:val="24"/>
        </w:rPr>
        <w:t xml:space="preserve"> cost and time saving for the Tribunal.</w:t>
      </w:r>
    </w:p>
    <w:p w14:paraId="7DDE3DC7" w14:textId="77777777" w:rsidR="004F6449" w:rsidRDefault="00D74A3E" w:rsidP="004F6449">
      <w:pPr>
        <w:shd w:val="pct10" w:color="auto" w:fill="auto"/>
        <w:rPr>
          <w:b/>
          <w:lang w:eastAsia="en-AU"/>
        </w:rPr>
      </w:pPr>
      <w:r w:rsidRPr="003012DC">
        <w:rPr>
          <w:b/>
          <w:lang w:eastAsia="en-AU"/>
        </w:rPr>
        <w:t>Recommendation</w:t>
      </w:r>
      <w:r w:rsidR="004703FF">
        <w:rPr>
          <w:b/>
          <w:lang w:eastAsia="en-AU"/>
        </w:rPr>
        <w:t xml:space="preserve"> 12</w:t>
      </w:r>
      <w:r w:rsidRPr="003012DC">
        <w:rPr>
          <w:b/>
          <w:lang w:eastAsia="en-AU"/>
        </w:rPr>
        <w:t xml:space="preserve">: </w:t>
      </w:r>
    </w:p>
    <w:p w14:paraId="38FD34B6" w14:textId="77777777" w:rsidR="004F6449" w:rsidRPr="004F6449" w:rsidRDefault="00D74A3E" w:rsidP="004F6449">
      <w:pPr>
        <w:pStyle w:val="ListParagraph"/>
        <w:numPr>
          <w:ilvl w:val="0"/>
          <w:numId w:val="44"/>
        </w:numPr>
        <w:shd w:val="pct10" w:color="auto" w:fill="auto"/>
        <w:rPr>
          <w:b/>
          <w:lang w:eastAsia="en-AU"/>
        </w:rPr>
      </w:pPr>
      <w:r w:rsidRPr="009A6087">
        <w:rPr>
          <w:lang w:eastAsia="en-AU"/>
        </w:rPr>
        <w:lastRenderedPageBreak/>
        <w:t>Insert a requirement into the RTA for landlords to attempt to negotiate a repayment plan with tenants prior to making an application for a possession order</w:t>
      </w:r>
      <w:r w:rsidR="00670387">
        <w:rPr>
          <w:lang w:eastAsia="en-AU"/>
        </w:rPr>
        <w:t xml:space="preserve"> on the basis of rental arrears</w:t>
      </w:r>
      <w:r w:rsidR="004F6449">
        <w:rPr>
          <w:lang w:eastAsia="en-AU"/>
        </w:rPr>
        <w:t>.</w:t>
      </w:r>
    </w:p>
    <w:p w14:paraId="670F457E" w14:textId="77777777" w:rsidR="004F6449" w:rsidRPr="004F6449" w:rsidRDefault="00D74A3E" w:rsidP="004F6449">
      <w:pPr>
        <w:pStyle w:val="ListParagraph"/>
        <w:numPr>
          <w:ilvl w:val="0"/>
          <w:numId w:val="44"/>
        </w:numPr>
        <w:shd w:val="pct10" w:color="auto" w:fill="auto"/>
        <w:rPr>
          <w:b/>
          <w:lang w:eastAsia="en-AU"/>
        </w:rPr>
      </w:pPr>
      <w:r w:rsidRPr="009A6087">
        <w:rPr>
          <w:lang w:eastAsia="en-AU"/>
        </w:rPr>
        <w:t>Insert a provision into the RTA that a notice to vacate is not valid or of no effect if rent is paid within 14 days of it being issued.</w:t>
      </w:r>
      <w:r w:rsidR="000D3034" w:rsidRPr="009A6087">
        <w:rPr>
          <w:lang w:eastAsia="en-AU"/>
        </w:rPr>
        <w:t xml:space="preserve"> </w:t>
      </w:r>
    </w:p>
    <w:p w14:paraId="3AF16FBE" w14:textId="4FE9EC28" w:rsidR="00D74A3E" w:rsidRPr="004F6449" w:rsidRDefault="000D3034" w:rsidP="004F6449">
      <w:pPr>
        <w:pStyle w:val="ListParagraph"/>
        <w:numPr>
          <w:ilvl w:val="0"/>
          <w:numId w:val="44"/>
        </w:numPr>
        <w:shd w:val="pct10" w:color="auto" w:fill="auto"/>
        <w:rPr>
          <w:b/>
          <w:lang w:eastAsia="en-AU"/>
        </w:rPr>
      </w:pPr>
      <w:r w:rsidRPr="009A6087">
        <w:rPr>
          <w:lang w:eastAsia="en-AU"/>
        </w:rPr>
        <w:t>Amend the RTA to create a right for tenants to an urgent hearing before VCAT to invalidate an application or warrant for possession if rental arrears are paid in full prior to the application being heard or the warrant being executed.</w:t>
      </w:r>
      <w:r w:rsidRPr="004F6449">
        <w:rPr>
          <w:b/>
          <w:lang w:eastAsia="en-AU"/>
        </w:rPr>
        <w:t xml:space="preserve"> </w:t>
      </w:r>
      <w:r w:rsidR="00D74A3E" w:rsidRPr="004F6449">
        <w:rPr>
          <w:b/>
          <w:lang w:eastAsia="en-AU"/>
        </w:rPr>
        <w:t xml:space="preserve">   </w:t>
      </w:r>
    </w:p>
    <w:p w14:paraId="5B58900F" w14:textId="77777777" w:rsidR="0008602F" w:rsidRPr="00755CA6" w:rsidRDefault="005E2F48" w:rsidP="00755CA6">
      <w:pPr>
        <w:pStyle w:val="Heading3"/>
        <w:rPr>
          <w:i/>
        </w:rPr>
      </w:pPr>
      <w:r>
        <w:rPr>
          <w:i/>
        </w:rPr>
        <w:t>Introduce</w:t>
      </w:r>
      <w:r w:rsidR="0008602F">
        <w:rPr>
          <w:i/>
        </w:rPr>
        <w:t xml:space="preserve"> a </w:t>
      </w:r>
      <w:r w:rsidR="00936934">
        <w:rPr>
          <w:i/>
        </w:rPr>
        <w:t>‘</w:t>
      </w:r>
      <w:r w:rsidR="0008602F">
        <w:rPr>
          <w:i/>
        </w:rPr>
        <w:t>reasonableness</w:t>
      </w:r>
      <w:r w:rsidR="00936934">
        <w:rPr>
          <w:i/>
        </w:rPr>
        <w:t>’</w:t>
      </w:r>
      <w:r w:rsidR="0008602F">
        <w:rPr>
          <w:i/>
        </w:rPr>
        <w:t xml:space="preserve"> requirement in possession order hearings</w:t>
      </w:r>
    </w:p>
    <w:p w14:paraId="6F9B74F9" w14:textId="77777777" w:rsidR="00936934" w:rsidRPr="005E2F48" w:rsidRDefault="00936934" w:rsidP="005E2F48">
      <w:pPr>
        <w:pStyle w:val="Heading1"/>
        <w:rPr>
          <w:rFonts w:cs="Times New Roman"/>
          <w:b w:val="0"/>
          <w:bCs w:val="0"/>
          <w:color w:val="auto"/>
          <w:kern w:val="0"/>
          <w:sz w:val="22"/>
          <w:szCs w:val="24"/>
          <w:lang w:eastAsia="en-US"/>
        </w:rPr>
      </w:pPr>
      <w:r w:rsidRPr="005E2F48">
        <w:rPr>
          <w:rFonts w:cs="Times New Roman"/>
          <w:b w:val="0"/>
          <w:bCs w:val="0"/>
          <w:color w:val="auto"/>
          <w:kern w:val="0"/>
          <w:sz w:val="22"/>
          <w:szCs w:val="24"/>
          <w:lang w:eastAsia="en-US"/>
        </w:rPr>
        <w:t>The current RTA does not provide a requirement for evictions to be ‘reasonable’ in the circumstances</w:t>
      </w:r>
      <w:r w:rsidRPr="005E2F48">
        <w:rPr>
          <w:rFonts w:cs="Times New Roman"/>
          <w:b w:val="0"/>
          <w:bCs w:val="0"/>
          <w:color w:val="auto"/>
          <w:kern w:val="0"/>
          <w:sz w:val="22"/>
          <w:szCs w:val="24"/>
        </w:rPr>
        <w:t xml:space="preserve">. </w:t>
      </w:r>
      <w:r w:rsidR="00547E00">
        <w:rPr>
          <w:rFonts w:cs="Times New Roman"/>
          <w:b w:val="0"/>
          <w:bCs w:val="0"/>
          <w:color w:val="auto"/>
          <w:kern w:val="0"/>
          <w:sz w:val="22"/>
          <w:szCs w:val="24"/>
        </w:rPr>
        <w:t xml:space="preserve">Justice Connect’s </w:t>
      </w:r>
      <w:r w:rsidR="005E2F48">
        <w:rPr>
          <w:rFonts w:cs="Times New Roman"/>
          <w:b w:val="0"/>
          <w:bCs w:val="0"/>
          <w:color w:val="auto"/>
          <w:kern w:val="0"/>
          <w:sz w:val="22"/>
          <w:szCs w:val="24"/>
        </w:rPr>
        <w:t>Homeless Law have advocated for the introduction of a reas</w:t>
      </w:r>
      <w:r w:rsidR="00547E00">
        <w:rPr>
          <w:rFonts w:cs="Times New Roman"/>
          <w:b w:val="0"/>
          <w:bCs w:val="0"/>
          <w:color w:val="auto"/>
          <w:kern w:val="0"/>
          <w:sz w:val="22"/>
          <w:szCs w:val="24"/>
        </w:rPr>
        <w:t>onableness requirement in</w:t>
      </w:r>
      <w:r w:rsidR="009F79CB">
        <w:rPr>
          <w:rFonts w:cs="Times New Roman"/>
          <w:b w:val="0"/>
          <w:bCs w:val="0"/>
          <w:color w:val="auto"/>
          <w:kern w:val="0"/>
          <w:sz w:val="22"/>
          <w:szCs w:val="24"/>
        </w:rPr>
        <w:t xml:space="preserve"> </w:t>
      </w:r>
      <w:r w:rsidR="005E2F48">
        <w:rPr>
          <w:rFonts w:cs="Times New Roman"/>
          <w:b w:val="0"/>
          <w:bCs w:val="0"/>
          <w:color w:val="auto"/>
          <w:kern w:val="0"/>
          <w:sz w:val="22"/>
          <w:szCs w:val="24"/>
        </w:rPr>
        <w:t>possession order proceedings at VCAT</w:t>
      </w:r>
      <w:r w:rsidR="009F79CB">
        <w:rPr>
          <w:rFonts w:cs="Times New Roman"/>
          <w:b w:val="0"/>
          <w:bCs w:val="0"/>
          <w:color w:val="auto"/>
          <w:kern w:val="0"/>
          <w:sz w:val="22"/>
          <w:szCs w:val="24"/>
        </w:rPr>
        <w:t xml:space="preserve"> in order to maintain tenancies and provide </w:t>
      </w:r>
      <w:r w:rsidR="009F79CB" w:rsidRPr="009F79CB">
        <w:rPr>
          <w:rFonts w:cs="Times New Roman"/>
          <w:b w:val="0"/>
          <w:bCs w:val="0"/>
          <w:color w:val="auto"/>
          <w:kern w:val="0"/>
          <w:sz w:val="22"/>
          <w:szCs w:val="24"/>
        </w:rPr>
        <w:t>VCAT members with an additional layer of discretion when dealing with applications for possession that, while legally valid, may otherwise be unreasonable and inappropriate in the circumstances</w:t>
      </w:r>
      <w:r w:rsidR="005E2F48" w:rsidRPr="009F79CB">
        <w:rPr>
          <w:rStyle w:val="FootnoteReference"/>
        </w:rPr>
        <w:t>.</w:t>
      </w:r>
      <w:r w:rsidR="005E2F48" w:rsidRPr="009F79CB">
        <w:rPr>
          <w:rStyle w:val="FootnoteReference"/>
          <w:color w:val="auto"/>
        </w:rPr>
        <w:footnoteReference w:id="11"/>
      </w:r>
      <w:r w:rsidR="009F79CB">
        <w:rPr>
          <w:rStyle w:val="FootnoteReference"/>
        </w:rPr>
        <w:t xml:space="preserve">  </w:t>
      </w:r>
      <w:r w:rsidR="009F79CB">
        <w:rPr>
          <w:rFonts w:cs="Times New Roman"/>
          <w:b w:val="0"/>
          <w:bCs w:val="0"/>
          <w:color w:val="auto"/>
          <w:kern w:val="0"/>
          <w:sz w:val="22"/>
          <w:szCs w:val="24"/>
        </w:rPr>
        <w:t>We</w:t>
      </w:r>
      <w:r w:rsidR="005E2F48">
        <w:rPr>
          <w:rFonts w:cs="Times New Roman"/>
          <w:b w:val="0"/>
          <w:bCs w:val="0"/>
          <w:color w:val="auto"/>
          <w:kern w:val="0"/>
          <w:sz w:val="22"/>
          <w:szCs w:val="24"/>
        </w:rPr>
        <w:t xml:space="preserve"> support this approach. </w:t>
      </w:r>
      <w:r w:rsidRPr="005E2F48">
        <w:rPr>
          <w:rFonts w:cs="Times New Roman"/>
          <w:b w:val="0"/>
          <w:bCs w:val="0"/>
          <w:color w:val="auto"/>
          <w:kern w:val="0"/>
          <w:sz w:val="22"/>
          <w:szCs w:val="24"/>
        </w:rPr>
        <w:t xml:space="preserve">Notably, the </w:t>
      </w:r>
      <w:r w:rsidRPr="005E2F48">
        <w:rPr>
          <w:rFonts w:cs="Times New Roman"/>
          <w:b w:val="0"/>
          <w:bCs w:val="0"/>
          <w:i/>
          <w:color w:val="auto"/>
          <w:kern w:val="0"/>
          <w:sz w:val="22"/>
          <w:szCs w:val="24"/>
        </w:rPr>
        <w:t>Housing (Scotland) Act 2001</w:t>
      </w:r>
      <w:r w:rsidRPr="005E2F48">
        <w:rPr>
          <w:rFonts w:cs="Times New Roman"/>
          <w:b w:val="0"/>
          <w:bCs w:val="0"/>
          <w:color w:val="auto"/>
          <w:kern w:val="0"/>
          <w:sz w:val="22"/>
          <w:szCs w:val="24"/>
        </w:rPr>
        <w:t xml:space="preserve"> provides that, for certain types of tenancy agreements, the court must be satisfied that the landlord has a statutory ground for recovery of possession and that ‘it is reasonable to make the order’ for possession. The reasonableness test incorporates consideration of the nature, frequency and duration of action by</w:t>
      </w:r>
      <w:r>
        <w:t xml:space="preserve"> </w:t>
      </w:r>
      <w:r w:rsidRPr="005E2F48">
        <w:rPr>
          <w:rFonts w:cs="Times New Roman"/>
          <w:b w:val="0"/>
          <w:bCs w:val="0"/>
          <w:color w:val="auto"/>
          <w:kern w:val="0"/>
          <w:sz w:val="22"/>
          <w:szCs w:val="24"/>
        </w:rPr>
        <w:t>the tenant leading to the application to evict, the degree to which the tenant is responsible for the eviction proceedings, the effect of the tenant’s conduct on others and whether the landlord has considered other possible courses of conduct.</w:t>
      </w:r>
      <w:r w:rsidR="009F79CB">
        <w:rPr>
          <w:rStyle w:val="FootnoteReference"/>
          <w:rFonts w:cs="Times New Roman"/>
          <w:b w:val="0"/>
          <w:bCs w:val="0"/>
          <w:color w:val="auto"/>
          <w:kern w:val="0"/>
          <w:szCs w:val="24"/>
        </w:rPr>
        <w:footnoteReference w:id="12"/>
      </w:r>
    </w:p>
    <w:p w14:paraId="39E37961" w14:textId="77777777" w:rsidR="00936934" w:rsidRDefault="009F79CB" w:rsidP="00936934">
      <w:r w:rsidRPr="00D10E31">
        <w:t xml:space="preserve">Currently VCAT members have discretion </w:t>
      </w:r>
      <w:r w:rsidR="00D10E31" w:rsidRPr="00D10E31">
        <w:t>under section 352 of the RTA when considering whether to postpone the issuing of a warrant in certain circumstances if the hardship suffered by the tenant would be greater than that to the landlord.</w:t>
      </w:r>
      <w:r w:rsidRPr="00D10E31">
        <w:t xml:space="preserve"> Introducing a similar provision </w:t>
      </w:r>
      <w:r w:rsidR="00D10E31" w:rsidRPr="00D10E31">
        <w:t xml:space="preserve">in possession order proceedings would provide Tribunal members with added discretion and increase protection for vulnerable tenants. </w:t>
      </w:r>
    </w:p>
    <w:p w14:paraId="66B46111" w14:textId="77777777" w:rsidR="00C20226" w:rsidRPr="00C20226" w:rsidRDefault="00C20226" w:rsidP="00547E00">
      <w:pPr>
        <w:shd w:val="pct10" w:color="auto" w:fill="auto"/>
        <w:rPr>
          <w:b/>
        </w:rPr>
      </w:pPr>
      <w:r w:rsidRPr="00C20226">
        <w:rPr>
          <w:b/>
        </w:rPr>
        <w:t>Recommendation</w:t>
      </w:r>
      <w:r w:rsidR="004703FF">
        <w:rPr>
          <w:b/>
        </w:rPr>
        <w:t xml:space="preserve"> 13</w:t>
      </w:r>
      <w:r w:rsidRPr="00C20226">
        <w:rPr>
          <w:b/>
        </w:rPr>
        <w:t xml:space="preserve">: </w:t>
      </w:r>
      <w:r w:rsidR="00C74CCF">
        <w:t>Amend</w:t>
      </w:r>
      <w:r w:rsidRPr="00547E00">
        <w:t xml:space="preserve"> the RTA </w:t>
      </w:r>
      <w:r w:rsidR="00C74CCF">
        <w:t>to reflect that VCAT must</w:t>
      </w:r>
      <w:r w:rsidRPr="00547E00">
        <w:t xml:space="preserve"> not </w:t>
      </w:r>
      <w:r w:rsidR="00C74CCF">
        <w:t xml:space="preserve">make a possession order unless it is reasonable and proportionate </w:t>
      </w:r>
      <w:r w:rsidRPr="00547E00">
        <w:t>in the circumstances, taking into account hardship to the tenant</w:t>
      </w:r>
      <w:r w:rsidR="00C74CCF">
        <w:t>.</w:t>
      </w:r>
      <w:r w:rsidRPr="00C20226">
        <w:rPr>
          <w:b/>
        </w:rPr>
        <w:t xml:space="preserve"> </w:t>
      </w:r>
    </w:p>
    <w:p w14:paraId="30FCB96B" w14:textId="77777777" w:rsidR="000C6537" w:rsidRPr="005E2F48" w:rsidRDefault="000C6537" w:rsidP="00755CA6">
      <w:pPr>
        <w:pStyle w:val="Heading1"/>
      </w:pPr>
      <w:r w:rsidRPr="00515BC0">
        <w:t xml:space="preserve">Residential </w:t>
      </w:r>
      <w:r w:rsidRPr="00755CA6">
        <w:t>tenancies</w:t>
      </w:r>
      <w:r w:rsidRPr="00515BC0">
        <w:t xml:space="preserve"> disputes</w:t>
      </w:r>
      <w:r w:rsidRPr="00515BC0">
        <w:rPr>
          <w:b w:val="0"/>
          <w:i/>
        </w:rPr>
        <w:t xml:space="preserve"> </w:t>
      </w:r>
    </w:p>
    <w:p w14:paraId="6A621B74" w14:textId="77777777" w:rsidR="00A56A2A" w:rsidRDefault="00A56A2A" w:rsidP="00755CA6">
      <w:pPr>
        <w:pStyle w:val="Heading2"/>
      </w:pPr>
      <w:r>
        <w:t xml:space="preserve">Improving VCAT decision-making </w:t>
      </w:r>
    </w:p>
    <w:p w14:paraId="50C42C52" w14:textId="77777777" w:rsidR="00A56A2A" w:rsidRPr="00755CA6" w:rsidRDefault="005E2F48" w:rsidP="00755CA6">
      <w:pPr>
        <w:pStyle w:val="Heading3"/>
        <w:rPr>
          <w:i/>
        </w:rPr>
      </w:pPr>
      <w:r w:rsidRPr="00755CA6">
        <w:rPr>
          <w:i/>
        </w:rPr>
        <w:t>Difficulty e</w:t>
      </w:r>
      <w:r w:rsidR="00A56A2A" w:rsidRPr="00755CA6">
        <w:rPr>
          <w:i/>
        </w:rPr>
        <w:t>nforcing VCAT orders</w:t>
      </w:r>
    </w:p>
    <w:p w14:paraId="10E5374F" w14:textId="77777777" w:rsidR="00A56A2A" w:rsidRDefault="00A56A2A" w:rsidP="00D10E31">
      <w:r>
        <w:t xml:space="preserve">In our experience, Victoria Police infrequently enforce restraining orders issued under section 472 of the RTA. </w:t>
      </w:r>
      <w:r w:rsidR="005E2F48">
        <w:t>Additionally, t</w:t>
      </w:r>
      <w:r w:rsidRPr="00052B67">
        <w:t>he process for enforcing</w:t>
      </w:r>
      <w:r>
        <w:t xml:space="preserve"> non-monetary orders of VCAT, in accordance with</w:t>
      </w:r>
      <w:r w:rsidRPr="00052B67">
        <w:t xml:space="preserve"> s</w:t>
      </w:r>
      <w:r>
        <w:t>ection</w:t>
      </w:r>
      <w:r w:rsidRPr="00052B67">
        <w:t xml:space="preserve"> 122 of the VCAT Act, is complex, intimidating to tenants, and not sufficiently timely when tenants are being denied access to their home.</w:t>
      </w:r>
    </w:p>
    <w:p w14:paraId="44878C4B" w14:textId="77777777" w:rsidR="00A56A2A" w:rsidRPr="005E2F48" w:rsidRDefault="00A56A2A" w:rsidP="00D10E31">
      <w:r w:rsidRPr="005E2F48">
        <w:lastRenderedPageBreak/>
        <w:t xml:space="preserve">The inclusion of offences underpinning the RTA recognises the significant power imbalance faced by tenants, and is a marked departure from the historical context of residential tenancies being a private contract between parties.  </w:t>
      </w:r>
    </w:p>
    <w:p w14:paraId="1F1DF4BC" w14:textId="77777777" w:rsidR="00A56A2A" w:rsidRPr="005E2F48" w:rsidRDefault="00A56A2A" w:rsidP="00D10E31">
      <w:r w:rsidRPr="005E2F48">
        <w:t xml:space="preserve">In order to achieve its purpose of establishing rights and obligations between the parties, the RTA must be able to be enforced.  </w:t>
      </w:r>
    </w:p>
    <w:p w14:paraId="5B42A1D1" w14:textId="436CC4E5" w:rsidR="000C6537" w:rsidRPr="005E2F48" w:rsidRDefault="00A56A2A" w:rsidP="00646383">
      <w:pPr>
        <w:shd w:val="pct10" w:color="auto" w:fill="auto"/>
        <w:rPr>
          <w:b/>
        </w:rPr>
      </w:pPr>
      <w:r w:rsidRPr="005E2F48">
        <w:rPr>
          <w:b/>
        </w:rPr>
        <w:t>Recommendation</w:t>
      </w:r>
      <w:r w:rsidR="004703FF">
        <w:rPr>
          <w:b/>
        </w:rPr>
        <w:t xml:space="preserve"> 14</w:t>
      </w:r>
      <w:r w:rsidRPr="005E2F48">
        <w:rPr>
          <w:b/>
        </w:rPr>
        <w:t xml:space="preserve">: </w:t>
      </w:r>
      <w:r w:rsidRPr="00D10E31">
        <w:t>Amend Schedule 2 of the Residential Tenancies Regulation</w:t>
      </w:r>
      <w:r w:rsidR="00D10E31">
        <w:t>s</w:t>
      </w:r>
      <w:r w:rsidRPr="00D10E31">
        <w:t xml:space="preserve"> 2008 to include</w:t>
      </w:r>
      <w:r w:rsidR="00646383">
        <w:t xml:space="preserve"> landlord</w:t>
      </w:r>
      <w:r w:rsidRPr="00D10E31">
        <w:t xml:space="preserve"> non-compliance with Tr</w:t>
      </w:r>
      <w:r w:rsidR="00646383">
        <w:t>ibunal orders as an infringeable</w:t>
      </w:r>
      <w:r w:rsidRPr="00D10E31">
        <w:t xml:space="preserve"> offence. Update the police manual and </w:t>
      </w:r>
      <w:r w:rsidR="005E2F48" w:rsidRPr="00D10E31">
        <w:t xml:space="preserve">provide additional </w:t>
      </w:r>
      <w:r w:rsidRPr="00D10E31">
        <w:t>train</w:t>
      </w:r>
      <w:r w:rsidR="005E2F48" w:rsidRPr="00D10E31">
        <w:t>ing</w:t>
      </w:r>
      <w:r w:rsidRPr="00D10E31">
        <w:t xml:space="preserve"> </w:t>
      </w:r>
      <w:r w:rsidR="005E2F48" w:rsidRPr="00D10E31">
        <w:t xml:space="preserve">for </w:t>
      </w:r>
      <w:r w:rsidRPr="00D10E31">
        <w:t xml:space="preserve">police on the need to enforce </w:t>
      </w:r>
      <w:r w:rsidR="00670387">
        <w:t xml:space="preserve">orders made against landlords under </w:t>
      </w:r>
      <w:r w:rsidRPr="00D10E31">
        <w:t>the RTA.</w:t>
      </w:r>
    </w:p>
    <w:p w14:paraId="2646C0BE" w14:textId="77777777" w:rsidR="00F8112C" w:rsidRPr="006107E1" w:rsidRDefault="00646383" w:rsidP="00F8112C">
      <w:pPr>
        <w:rPr>
          <w:b/>
          <w:i/>
          <w:lang w:eastAsia="en-AU"/>
        </w:rPr>
      </w:pPr>
      <w:r>
        <w:rPr>
          <w:b/>
          <w:i/>
          <w:lang w:eastAsia="en-AU"/>
        </w:rPr>
        <w:t>Increasing</w:t>
      </w:r>
      <w:r w:rsidR="00F8112C">
        <w:rPr>
          <w:b/>
          <w:i/>
          <w:lang w:eastAsia="en-AU"/>
        </w:rPr>
        <w:t xml:space="preserve"> alternative dispute resolution at VCAT</w:t>
      </w:r>
    </w:p>
    <w:p w14:paraId="035D0F7F" w14:textId="4A2B34AB" w:rsidR="00024F5A" w:rsidRPr="005E2F48" w:rsidRDefault="00024F5A" w:rsidP="00646383">
      <w:r w:rsidRPr="005E2F48">
        <w:t>A large proportion of VCAT hearings are for pos</w:t>
      </w:r>
      <w:r w:rsidR="005E2F48">
        <w:t>session based on rent</w:t>
      </w:r>
      <w:r w:rsidR="00646383">
        <w:t>al</w:t>
      </w:r>
      <w:r w:rsidR="005E2F48">
        <w:t xml:space="preserve"> arrears. </w:t>
      </w:r>
      <w:r w:rsidRPr="005E2F48">
        <w:t>Tenants that attend m</w:t>
      </w:r>
      <w:r w:rsidR="005E2F48">
        <w:t xml:space="preserve">ay argue for a repayment plan. </w:t>
      </w:r>
      <w:r w:rsidRPr="005E2F48">
        <w:t>Section 331(1)(b) of the RTA provides the Tribunal with discretion</w:t>
      </w:r>
      <w:r w:rsidR="00D6512B">
        <w:t xml:space="preserve">. </w:t>
      </w:r>
      <w:r w:rsidRPr="005E2F48">
        <w:t>In recognition of the impact of being evicted, the Tribunal will often attempt to sustain tenancies, however its power is dependent on being satisfied that satisfactory arrangements have been or can be made to avoid fi</w:t>
      </w:r>
      <w:r w:rsidR="005E2F48">
        <w:t>nancial loss to the landlord. This could more efficiently</w:t>
      </w:r>
      <w:r w:rsidRPr="005E2F48">
        <w:t xml:space="preserve"> be achieved through a without prejudice pre-hearing conciliation, potentially by phone, removing the cost to parties in having to attend a</w:t>
      </w:r>
      <w:r w:rsidR="005E2F48">
        <w:t>n in-person</w:t>
      </w:r>
      <w:r w:rsidRPr="005E2F48">
        <w:t xml:space="preserve"> hearing. </w:t>
      </w:r>
    </w:p>
    <w:p w14:paraId="24281FC7" w14:textId="22E08C81" w:rsidR="005C2FE8" w:rsidRPr="005E2F48" w:rsidRDefault="00024F5A" w:rsidP="00024F5A">
      <w:r w:rsidRPr="005E2F48">
        <w:t xml:space="preserve">The same approach could be adopted for possession applications for breach of </w:t>
      </w:r>
      <w:r w:rsidR="005E2F48">
        <w:t xml:space="preserve">a </w:t>
      </w:r>
      <w:r w:rsidRPr="005E2F48">
        <w:t>compliance order, although it is likely a face-to-face conciliation would be required</w:t>
      </w:r>
      <w:r w:rsidR="005E2F48">
        <w:t xml:space="preserve"> in these circumstances</w:t>
      </w:r>
      <w:r w:rsidRPr="005E2F48">
        <w:t xml:space="preserve">. </w:t>
      </w:r>
      <w:r w:rsidR="005E2F48">
        <w:t>This recognises</w:t>
      </w:r>
      <w:r w:rsidRPr="005E2F48">
        <w:t xml:space="preserve"> that most landlords are </w:t>
      </w:r>
      <w:r w:rsidR="005E2F48">
        <w:t xml:space="preserve">often </w:t>
      </w:r>
      <w:r w:rsidRPr="005E2F48">
        <w:t xml:space="preserve">attempting to </w:t>
      </w:r>
      <w:r w:rsidR="00D6512B">
        <w:t>deal with problematic</w:t>
      </w:r>
      <w:r w:rsidR="00D6512B" w:rsidRPr="005E2F48">
        <w:t xml:space="preserve"> </w:t>
      </w:r>
      <w:r w:rsidRPr="005E2F48">
        <w:t xml:space="preserve">behaviour, </w:t>
      </w:r>
      <w:r w:rsidR="005E2F48">
        <w:t>rather than</w:t>
      </w:r>
      <w:r w:rsidRPr="005E2F48">
        <w:t xml:space="preserve"> necessarily wanting to evict the tenant. A conciliation is more suited to identifying the underlying causes of the breaching be</w:t>
      </w:r>
      <w:r w:rsidR="00646383">
        <w:t>haviour and explore</w:t>
      </w:r>
      <w:r w:rsidRPr="005E2F48">
        <w:t xml:space="preserve"> opportunities to address those causes.  </w:t>
      </w:r>
    </w:p>
    <w:p w14:paraId="3257E851" w14:textId="77777777" w:rsidR="00024F5A" w:rsidRPr="005E2F48" w:rsidRDefault="00646383" w:rsidP="00646383">
      <w:r>
        <w:t>Increasing the use of</w:t>
      </w:r>
      <w:r w:rsidR="00024F5A" w:rsidRPr="005E2F48">
        <w:t xml:space="preserve"> ADR has the capacity to reduce the burden on VCAT, increase arrears recovery rates for landlords and remove the cost incurred by parties </w:t>
      </w:r>
      <w:r w:rsidR="00630E67">
        <w:t>in having to attend hearings.</w:t>
      </w:r>
    </w:p>
    <w:p w14:paraId="717828CA" w14:textId="12E792BE" w:rsidR="00024F5A" w:rsidRPr="005E2F48" w:rsidRDefault="00024F5A" w:rsidP="00646383">
      <w:pPr>
        <w:shd w:val="pct10" w:color="auto" w:fill="auto"/>
        <w:rPr>
          <w:b/>
        </w:rPr>
      </w:pPr>
      <w:r w:rsidRPr="005E2F48">
        <w:rPr>
          <w:b/>
        </w:rPr>
        <w:t>Recommendation</w:t>
      </w:r>
      <w:r w:rsidR="004703FF">
        <w:rPr>
          <w:b/>
        </w:rPr>
        <w:t xml:space="preserve"> 15</w:t>
      </w:r>
      <w:r w:rsidRPr="00646383">
        <w:rPr>
          <w:b/>
        </w:rPr>
        <w:t>:</w:t>
      </w:r>
      <w:r w:rsidRPr="00646383">
        <w:t xml:space="preserve"> </w:t>
      </w:r>
      <w:r w:rsidR="00646383">
        <w:t>Consider introducing</w:t>
      </w:r>
      <w:r w:rsidR="00670387">
        <w:t>, on a trial basis,</w:t>
      </w:r>
      <w:r w:rsidRPr="00646383">
        <w:t xml:space="preserve"> without prejudice opt-in </w:t>
      </w:r>
      <w:r w:rsidR="00630E67" w:rsidRPr="00646383">
        <w:t>ADR</w:t>
      </w:r>
      <w:r w:rsidRPr="00646383">
        <w:t xml:space="preserve"> for arrears and compliance order matters. </w:t>
      </w:r>
      <w:r w:rsidR="00646383">
        <w:t>Evaluate the trial to determine whether these</w:t>
      </w:r>
      <w:r w:rsidRPr="00646383">
        <w:t xml:space="preserve"> are </w:t>
      </w:r>
      <w:r w:rsidR="00646383">
        <w:t>operating to sustain</w:t>
      </w:r>
      <w:r w:rsidRPr="00646383">
        <w:t xml:space="preserve"> tenancies</w:t>
      </w:r>
      <w:r w:rsidR="00646383">
        <w:t xml:space="preserve"> and increase</w:t>
      </w:r>
      <w:r w:rsidRPr="00646383">
        <w:t xml:space="preserve"> VCAT efficiency.</w:t>
      </w:r>
    </w:p>
    <w:p w14:paraId="29C1C485" w14:textId="77777777" w:rsidR="00024F5A" w:rsidRPr="006107E1" w:rsidRDefault="00024F5A" w:rsidP="00024F5A">
      <w:pPr>
        <w:rPr>
          <w:b/>
          <w:i/>
          <w:lang w:eastAsia="en-AU"/>
        </w:rPr>
      </w:pPr>
      <w:r>
        <w:rPr>
          <w:b/>
          <w:i/>
          <w:lang w:eastAsia="en-AU"/>
        </w:rPr>
        <w:t>Improving tenant attendance at VCAT hearings</w:t>
      </w:r>
    </w:p>
    <w:p w14:paraId="099CF4F7" w14:textId="77777777" w:rsidR="00485330" w:rsidRPr="00630E67" w:rsidRDefault="00337286" w:rsidP="00646383">
      <w:r>
        <w:t>As a result of non-attendance, re-hearings are frequently requested resulting in both tenants and landlords</w:t>
      </w:r>
      <w:r w:rsidRPr="00630E67">
        <w:t xml:space="preserve"> having to attend multiple hearings and incur extra costs in doing so. VLA has previously requested that VCAT </w:t>
      </w:r>
      <w:r w:rsidR="00630E67">
        <w:t>provide</w:t>
      </w:r>
      <w:r w:rsidRPr="00630E67">
        <w:t xml:space="preserve"> an information sheet </w:t>
      </w:r>
      <w:r w:rsidR="00630E67">
        <w:t xml:space="preserve">to tenants </w:t>
      </w:r>
      <w:r w:rsidRPr="00630E67">
        <w:t>with t</w:t>
      </w:r>
      <w:r w:rsidR="00630E67">
        <w:t xml:space="preserve">he notice of hearing </w:t>
      </w:r>
      <w:r w:rsidRPr="00630E67">
        <w:t>providing details of all the legal services available to assist them, including VLA’s Legal Help phone line.</w:t>
      </w:r>
      <w:r w:rsidR="00485330">
        <w:t xml:space="preserve"> This would be in line with the current practice of Victoria Police to include VLA’s contact details on charge sheets to facilitate the receipt of legal advice at the earliest opportunity.</w:t>
      </w:r>
      <w:r w:rsidRPr="00630E67">
        <w:t xml:space="preserve"> Currently the notice of hearing simply refers both tenants and landlords to Consumer Affairs Victoria.</w:t>
      </w:r>
    </w:p>
    <w:p w14:paraId="656E689E" w14:textId="77777777" w:rsidR="00337286" w:rsidRPr="00630E67" w:rsidRDefault="00630E67" w:rsidP="00646383">
      <w:r>
        <w:t>Informing</w:t>
      </w:r>
      <w:r w:rsidR="00337286" w:rsidRPr="00630E67">
        <w:t xml:space="preserve"> tenants of the services available to them </w:t>
      </w:r>
      <w:r>
        <w:t>at an earlier stage has the potential to</w:t>
      </w:r>
      <w:r w:rsidR="00337286" w:rsidRPr="00630E67">
        <w:t xml:space="preserve"> encourage them to seek assistance prior to the date of the hearing or to approach the duty lawyer service on the hearing date. Tenants who are aware of their rights, how to exercise them and where to seek help in obtaining representation, if required, are more likely to attend their hearings. It may also assist tenants in resolving matters with their landlord prior to the hearing, thereby reducing the time required to be </w:t>
      </w:r>
      <w:r>
        <w:t xml:space="preserve">allocated to the hearing at </w:t>
      </w:r>
      <w:r w:rsidR="00337286" w:rsidRPr="00630E67">
        <w:t>VCAT.</w:t>
      </w:r>
      <w:r>
        <w:t xml:space="preserve"> </w:t>
      </w:r>
      <w:r w:rsidR="00337286" w:rsidRPr="00630E67">
        <w:t>Increased tenant attendance would reduce the number of review applications a</w:t>
      </w:r>
      <w:r>
        <w:t xml:space="preserve">nd reduce arbitrary evictions. </w:t>
      </w:r>
    </w:p>
    <w:p w14:paraId="57B05AC6" w14:textId="77777777" w:rsidR="00A56A2A" w:rsidRPr="005E2F48" w:rsidRDefault="00337286" w:rsidP="00646383">
      <w:pPr>
        <w:shd w:val="pct10" w:color="auto" w:fill="auto"/>
        <w:rPr>
          <w:b/>
        </w:rPr>
      </w:pPr>
      <w:r w:rsidRPr="00337286">
        <w:rPr>
          <w:b/>
        </w:rPr>
        <w:lastRenderedPageBreak/>
        <w:t>Recommendation</w:t>
      </w:r>
      <w:r w:rsidR="004703FF">
        <w:rPr>
          <w:b/>
        </w:rPr>
        <w:t xml:space="preserve"> 16</w:t>
      </w:r>
      <w:r w:rsidRPr="00337286">
        <w:rPr>
          <w:b/>
        </w:rPr>
        <w:t>:</w:t>
      </w:r>
      <w:r w:rsidR="00485330">
        <w:rPr>
          <w:b/>
        </w:rPr>
        <w:t xml:space="preserve"> </w:t>
      </w:r>
      <w:r w:rsidR="00485330" w:rsidRPr="00646383">
        <w:t>Amend the regulations so that the form of a notice to vacate includes VLA’s contact details.</w:t>
      </w:r>
      <w:r w:rsidRPr="00337286">
        <w:rPr>
          <w:b/>
        </w:rPr>
        <w:t xml:space="preserve"> </w:t>
      </w:r>
    </w:p>
    <w:p w14:paraId="239754EB" w14:textId="77777777" w:rsidR="00A56A2A" w:rsidRPr="006107E1" w:rsidRDefault="00A56A2A" w:rsidP="00A56A2A">
      <w:pPr>
        <w:rPr>
          <w:b/>
          <w:i/>
          <w:lang w:eastAsia="en-AU"/>
        </w:rPr>
      </w:pPr>
      <w:r>
        <w:rPr>
          <w:b/>
          <w:i/>
          <w:lang w:eastAsia="en-AU"/>
        </w:rPr>
        <w:t>Introducing internal appeal rights at VCAT</w:t>
      </w:r>
    </w:p>
    <w:p w14:paraId="7FA17FED" w14:textId="77777777" w:rsidR="00A56A2A" w:rsidRDefault="00A56A2A" w:rsidP="00DC26D0">
      <w:r w:rsidRPr="00630E67">
        <w:t xml:space="preserve">There is currently no access to internal review of decisions made in the Residential Tenancies list at VCAT. </w:t>
      </w:r>
      <w:r w:rsidR="00630E67">
        <w:t xml:space="preserve">Internal appeals would provide a more accessible and affordable right of appeal; increase the consistency, predictability and quality of decision-making and ultimately strengthen jurisprudence. </w:t>
      </w:r>
    </w:p>
    <w:p w14:paraId="71B5AF04" w14:textId="1B7AEEFB" w:rsidR="00630E67" w:rsidRDefault="00D6512B" w:rsidP="00DC26D0">
      <w:r>
        <w:t>I</w:t>
      </w:r>
      <w:r w:rsidR="00630E67">
        <w:t xml:space="preserve">nternal appeals are available in comparative jurisdictions in both the New South Wales Civil and Administrative Tribunal and the Queensland Civil and Administrative Tribunal. </w:t>
      </w:r>
    </w:p>
    <w:p w14:paraId="62081979" w14:textId="77777777" w:rsidR="005E2F48" w:rsidRDefault="00A56A2A" w:rsidP="00635EF3">
      <w:pPr>
        <w:shd w:val="pct10" w:color="auto" w:fill="auto"/>
        <w:rPr>
          <w:b/>
        </w:rPr>
      </w:pPr>
      <w:r w:rsidRPr="005E2F48">
        <w:rPr>
          <w:b/>
        </w:rPr>
        <w:t>Recommendation</w:t>
      </w:r>
      <w:r w:rsidR="004703FF">
        <w:rPr>
          <w:b/>
        </w:rPr>
        <w:t xml:space="preserve"> 17</w:t>
      </w:r>
      <w:r w:rsidR="00630E67">
        <w:rPr>
          <w:b/>
        </w:rPr>
        <w:t xml:space="preserve">: </w:t>
      </w:r>
      <w:r w:rsidR="00630E67" w:rsidRPr="00635EF3">
        <w:t>Allow for internal appeal from</w:t>
      </w:r>
      <w:r w:rsidRPr="00635EF3">
        <w:t xml:space="preserve"> decision</w:t>
      </w:r>
      <w:r w:rsidR="00630E67" w:rsidRPr="00635EF3">
        <w:t>s in the Residential Tenancies List to a Senior M</w:t>
      </w:r>
      <w:r w:rsidRPr="00635EF3">
        <w:t>ember either as a right or with leave where there is materially changed circumstances or a question of law to be considered.</w:t>
      </w:r>
    </w:p>
    <w:p w14:paraId="6BC61BE2" w14:textId="77777777" w:rsidR="00635EF3" w:rsidRPr="006107E1" w:rsidRDefault="00635EF3" w:rsidP="00635EF3">
      <w:pPr>
        <w:rPr>
          <w:b/>
          <w:i/>
          <w:lang w:eastAsia="en-AU"/>
        </w:rPr>
      </w:pPr>
      <w:r>
        <w:rPr>
          <w:b/>
          <w:i/>
          <w:lang w:eastAsia="en-AU"/>
        </w:rPr>
        <w:t>Improving the operation of the Charter in residential tenancy matters at VCAT</w:t>
      </w:r>
      <w:r w:rsidR="00DC26D0">
        <w:rPr>
          <w:rStyle w:val="FootnoteReference"/>
          <w:b/>
          <w:i/>
          <w:lang w:eastAsia="en-AU"/>
        </w:rPr>
        <w:footnoteReference w:id="13"/>
      </w:r>
    </w:p>
    <w:p w14:paraId="2A28A0A5" w14:textId="77777777" w:rsidR="00DC26D0" w:rsidRDefault="00635EF3" w:rsidP="00DC26D0">
      <w:r w:rsidRPr="00DC26D0">
        <w:t xml:space="preserve">Following the decision in </w:t>
      </w:r>
      <w:r w:rsidRPr="00DC26D0">
        <w:rPr>
          <w:i/>
        </w:rPr>
        <w:t>Director of Housing v Sudi</w:t>
      </w:r>
      <w:r w:rsidR="00DC26D0">
        <w:t xml:space="preserve"> [2011] VSCA 266</w:t>
      </w:r>
      <w:r w:rsidRPr="00DC26D0">
        <w:t xml:space="preserve"> (‘Sudi’),</w:t>
      </w:r>
      <w:r w:rsidR="00DC26D0" w:rsidRPr="00DC26D0">
        <w:t xml:space="preserve"> VCAT does not have the power to </w:t>
      </w:r>
      <w:r w:rsidRPr="00DC26D0">
        <w:t>undertake collateral review of applications by public authorit</w:t>
      </w:r>
      <w:r w:rsidR="00DC26D0" w:rsidRPr="00DC26D0">
        <w:t xml:space="preserve">y landlords to evict tenants by </w:t>
      </w:r>
      <w:r w:rsidRPr="00DC26D0">
        <w:t>considering the compatibility of these applications</w:t>
      </w:r>
      <w:r w:rsidR="00DC26D0">
        <w:t xml:space="preserve"> with the </w:t>
      </w:r>
      <w:r w:rsidR="00DC26D0" w:rsidRPr="00DC26D0">
        <w:rPr>
          <w:i/>
        </w:rPr>
        <w:t xml:space="preserve">Charter of Human Rights and Responsibilities Act 2006 </w:t>
      </w:r>
      <w:r w:rsidR="00DC26D0">
        <w:t>(Vic) (Charter)</w:t>
      </w:r>
      <w:r w:rsidRPr="00DC26D0">
        <w:t>.</w:t>
      </w:r>
      <w:r w:rsidR="00DC26D0" w:rsidRPr="00DC26D0">
        <w:t xml:space="preserve"> This means that vulnerable individuals and families, who are facing eviction from </w:t>
      </w:r>
      <w:r w:rsidR="00DC26D0">
        <w:t>social housing</w:t>
      </w:r>
      <w:r w:rsidR="00DC26D0" w:rsidRPr="00DC26D0">
        <w:t xml:space="preserve">, must undertake a complex and lengthy legal process to test whether the decision to evict them is a proportionate and reasonable limitation on their human rights. The decision of </w:t>
      </w:r>
      <w:r w:rsidR="00DC26D0" w:rsidRPr="00DC26D0">
        <w:rPr>
          <w:i/>
        </w:rPr>
        <w:t>Burgess &amp; Anor v Director of Housing &amp; Anor</w:t>
      </w:r>
      <w:r w:rsidR="00DC26D0" w:rsidRPr="00DC26D0">
        <w:t xml:space="preserve"> (‘Burgess’) has further complicated the process for seeking redress of possible human rights breaches when facing eviction. Following the decision in Burgess</w:t>
      </w:r>
      <w:r w:rsidR="00DC26D0">
        <w:t>, a tenant</w:t>
      </w:r>
      <w:r w:rsidR="00DC26D0" w:rsidRPr="00DC26D0">
        <w:t xml:space="preserve"> </w:t>
      </w:r>
      <w:r w:rsidR="00DC26D0">
        <w:t>must either:</w:t>
      </w:r>
    </w:p>
    <w:p w14:paraId="73A79103" w14:textId="77777777" w:rsidR="00DC26D0" w:rsidRDefault="00DC26D0" w:rsidP="00DC26D0">
      <w:pPr>
        <w:pStyle w:val="ListParagraph"/>
        <w:numPr>
          <w:ilvl w:val="0"/>
          <w:numId w:val="37"/>
        </w:numPr>
      </w:pPr>
      <w:r w:rsidRPr="00DC26D0">
        <w:t>apply to the Supreme Court after the decision is made to issue the notice to vacate but before the VCAT makes the possession order; or</w:t>
      </w:r>
    </w:p>
    <w:p w14:paraId="7E730D55" w14:textId="77777777" w:rsidR="00DC26D0" w:rsidRPr="00DC26D0" w:rsidRDefault="00DC26D0" w:rsidP="00DC26D0">
      <w:pPr>
        <w:pStyle w:val="ListParagraph"/>
        <w:numPr>
          <w:ilvl w:val="0"/>
          <w:numId w:val="37"/>
        </w:numPr>
      </w:pPr>
      <w:r w:rsidRPr="00DC26D0">
        <w:t>apply to the Supreme Court very quickly after the decision is made to purchase a warrant order.</w:t>
      </w:r>
    </w:p>
    <w:p w14:paraId="1ED36FCA" w14:textId="77777777" w:rsidR="00DC26D0" w:rsidRDefault="00DC26D0" w:rsidP="00DC26D0">
      <w:r>
        <w:t>In our view</w:t>
      </w:r>
      <w:r w:rsidRPr="00DC26D0">
        <w:t xml:space="preserve"> VCAT should be expressly conferred with the p</w:t>
      </w:r>
      <w:r>
        <w:t xml:space="preserve">ower to consider the lawfulness </w:t>
      </w:r>
      <w:r w:rsidRPr="00DC26D0">
        <w:t>under the Charter of decisions of public authorities in respect of ev</w:t>
      </w:r>
      <w:r>
        <w:t xml:space="preserve">iction – including decisions to </w:t>
      </w:r>
      <w:r w:rsidRPr="00DC26D0">
        <w:t>issue notices to vacate, make applications for possession and ma</w:t>
      </w:r>
      <w:r>
        <w:t xml:space="preserve">ke applications for warrants of </w:t>
      </w:r>
      <w:r w:rsidRPr="00DC26D0">
        <w:t>possession. Consideration of Charter lawfulness should take place at the sam</w:t>
      </w:r>
      <w:r>
        <w:t xml:space="preserve">e time that VCAT </w:t>
      </w:r>
      <w:r w:rsidRPr="00DC26D0">
        <w:t xml:space="preserve">considers whether the actions of the landlords were consistent with the </w:t>
      </w:r>
      <w:r>
        <w:t>RTA</w:t>
      </w:r>
      <w:r w:rsidRPr="00DC26D0">
        <w:t>.</w:t>
      </w:r>
    </w:p>
    <w:p w14:paraId="3074603E" w14:textId="77777777" w:rsidR="00DC26D0" w:rsidRDefault="00DC26D0" w:rsidP="00DC26D0">
      <w:pPr>
        <w:autoSpaceDE w:val="0"/>
        <w:autoSpaceDN w:val="0"/>
        <w:adjustRightInd w:val="0"/>
        <w:spacing w:after="0" w:line="240" w:lineRule="auto"/>
      </w:pPr>
    </w:p>
    <w:p w14:paraId="7B9CE56A" w14:textId="77777777" w:rsidR="00A56A2A" w:rsidRPr="009A6087" w:rsidRDefault="00DC26D0" w:rsidP="009A6087">
      <w:pPr>
        <w:shd w:val="pct10" w:color="auto" w:fill="auto"/>
        <w:rPr>
          <w:b/>
        </w:rPr>
      </w:pPr>
      <w:r w:rsidRPr="00DC26D0">
        <w:rPr>
          <w:b/>
        </w:rPr>
        <w:t>Recommendation 18</w:t>
      </w:r>
      <w:r w:rsidRPr="009A6087">
        <w:rPr>
          <w:b/>
        </w:rPr>
        <w:t xml:space="preserve">: </w:t>
      </w:r>
      <w:r w:rsidRPr="009A6087">
        <w:t>Amend legislation (whether the Charter, VCAT Act or the RTA) to expressly confer VCAT with the power to consider the lawfulness under the Charter of decisions of public authorities in respect of eviction – including decisions to issue notices to vacate, make applications for possession and make applications for warrants of possession.</w:t>
      </w:r>
    </w:p>
    <w:sectPr w:rsidR="00A56A2A" w:rsidRPr="009A6087" w:rsidSect="00DA29C4">
      <w:headerReference w:type="even" r:id="rId14"/>
      <w:headerReference w:type="default" r:id="rId15"/>
      <w:headerReference w:type="first" r:id="rId16"/>
      <w:footerReference w:type="first" r:id="rId1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7AAA" w14:textId="77777777" w:rsidR="004736B9" w:rsidRDefault="004736B9">
      <w:r>
        <w:separator/>
      </w:r>
    </w:p>
    <w:p w14:paraId="07ECAA3F" w14:textId="77777777" w:rsidR="004736B9" w:rsidRDefault="004736B9"/>
    <w:p w14:paraId="1D4BE83D" w14:textId="77777777" w:rsidR="004736B9" w:rsidRDefault="004736B9"/>
  </w:endnote>
  <w:endnote w:type="continuationSeparator" w:id="0">
    <w:p w14:paraId="54C26C29" w14:textId="77777777" w:rsidR="004736B9" w:rsidRDefault="004736B9">
      <w:r>
        <w:continuationSeparator/>
      </w:r>
    </w:p>
    <w:p w14:paraId="41BC387C" w14:textId="77777777" w:rsidR="004736B9" w:rsidRDefault="004736B9"/>
    <w:p w14:paraId="6CCFD3D9" w14:textId="77777777" w:rsidR="004736B9" w:rsidRDefault="0047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5C1A" w14:textId="77777777" w:rsidR="00EE7BFF" w:rsidRDefault="00EE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5F02" w14:textId="77777777" w:rsidR="001B42D0" w:rsidRDefault="001B42D0" w:rsidP="004E0688">
    <w:pPr>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2BF3" w14:textId="77777777" w:rsidR="00A0742A" w:rsidRDefault="001B42D0" w:rsidP="00A0742A">
    <w:pPr>
      <w:pStyle w:val="VLAdivision"/>
    </w:pPr>
    <w:r>
      <w:t>Civil Justice Program – Victoria Legal Aid</w:t>
    </w:r>
  </w:p>
  <w:p w14:paraId="6ACCDA7F" w14:textId="77777777" w:rsidR="00A0742A" w:rsidRPr="00A0742A" w:rsidRDefault="00A0742A" w:rsidP="00A0742A">
    <w:pPr>
      <w:pStyle w:val="VLAauthor"/>
      <w:rPr>
        <w:b w:val="0"/>
        <w:color w:val="auto"/>
        <w:sz w:val="18"/>
        <w:szCs w:val="18"/>
      </w:rPr>
    </w:pPr>
    <w:r w:rsidRPr="00A0742A">
      <w:rPr>
        <w:b w:val="0"/>
        <w:sz w:val="18"/>
        <w:szCs w:val="18"/>
      </w:rPr>
      <w:t>© 2015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4FE73671" w14:textId="77777777" w:rsidR="00A0742A" w:rsidRPr="00A0742A" w:rsidRDefault="00A0742A" w:rsidP="00A0742A">
    <w:pPr>
      <w:pStyle w:val="VLAdivision"/>
      <w:rPr>
        <w:b w:val="0"/>
        <w:sz w:val="18"/>
        <w:szCs w:val="18"/>
      </w:rPr>
    </w:pPr>
    <w:r w:rsidRPr="00A0742A">
      <w:rPr>
        <w:b w:val="0"/>
        <w:sz w:val="18"/>
        <w:szCs w:val="18"/>
      </w:rPr>
      <w:t xml:space="preserve">Disclaimer. </w:t>
    </w:r>
    <w:r w:rsidR="00FC3DE7">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05C3" w14:textId="77777777" w:rsidR="001B42D0" w:rsidRDefault="001B42D0" w:rsidP="00161EEF">
    <w:pPr>
      <w:pStyle w:val="Filename"/>
      <w:tabs>
        <w:tab w:val="clear" w:pos="9240"/>
      </w:tabs>
    </w:pPr>
    <w:r>
      <w:t>Victoria Legal Aid – RTA Rev</w:t>
    </w:r>
    <w:r w:rsidR="00A0742A">
      <w:t>iew – Laying the Groundwork – [</w:t>
    </w:r>
    <w:r>
      <w:t>1</w:t>
    </w:r>
    <w:r w:rsidR="00A0742A">
      <w:t>9 August</w:t>
    </w:r>
    <w:r>
      <w:t xml:space="preserve"> 2015]</w:t>
    </w:r>
  </w:p>
  <w:p w14:paraId="031CF238" w14:textId="77777777" w:rsidR="001B42D0" w:rsidRPr="002B4970" w:rsidRDefault="001B42D0"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C2E6F">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758C" w14:textId="77777777" w:rsidR="004736B9" w:rsidRPr="00E9228F" w:rsidRDefault="004736B9" w:rsidP="00E9228F">
      <w:pPr>
        <w:rPr>
          <w:sz w:val="18"/>
          <w:szCs w:val="18"/>
        </w:rPr>
      </w:pPr>
      <w:r w:rsidRPr="006831FC">
        <w:rPr>
          <w:sz w:val="18"/>
        </w:rPr>
        <w:separator/>
      </w:r>
    </w:p>
  </w:footnote>
  <w:footnote w:type="continuationSeparator" w:id="0">
    <w:p w14:paraId="6775AAF1" w14:textId="77777777" w:rsidR="004736B9" w:rsidRDefault="004736B9">
      <w:r>
        <w:continuationSeparator/>
      </w:r>
    </w:p>
    <w:p w14:paraId="282BDCE8" w14:textId="77777777" w:rsidR="004736B9" w:rsidRDefault="004736B9"/>
    <w:p w14:paraId="35C685B3" w14:textId="77777777" w:rsidR="004736B9" w:rsidRDefault="004736B9"/>
  </w:footnote>
  <w:footnote w:id="1">
    <w:p w14:paraId="55F9EFF9" w14:textId="77777777" w:rsidR="001B42D0" w:rsidRPr="00413983" w:rsidRDefault="001B42D0" w:rsidP="00465AF7">
      <w:pPr>
        <w:pStyle w:val="FootnoteText"/>
        <w:spacing w:after="0" w:line="240" w:lineRule="auto"/>
        <w:rPr>
          <w:szCs w:val="18"/>
        </w:rPr>
      </w:pPr>
      <w:r w:rsidRPr="00413983">
        <w:rPr>
          <w:rStyle w:val="FootnoteReference"/>
          <w:szCs w:val="18"/>
        </w:rPr>
        <w:footnoteRef/>
      </w:r>
      <w:r>
        <w:rPr>
          <w:szCs w:val="18"/>
        </w:rPr>
        <w:t xml:space="preserve"> </w:t>
      </w:r>
      <w:r w:rsidRPr="00413983">
        <w:rPr>
          <w:i/>
          <w:szCs w:val="18"/>
        </w:rPr>
        <w:t>2015 Rental Affordability Snapshot,</w:t>
      </w:r>
      <w:r w:rsidRPr="00413983">
        <w:rPr>
          <w:szCs w:val="18"/>
        </w:rPr>
        <w:t xml:space="preserve"> Anglicare Australia, 18. Cited in </w:t>
      </w:r>
      <w:r w:rsidRPr="00413983">
        <w:rPr>
          <w:i/>
          <w:szCs w:val="18"/>
        </w:rPr>
        <w:t>Residential Tenancies Act Review. Laying the Groundwork - Consultation Paper</w:t>
      </w:r>
      <w:r>
        <w:rPr>
          <w:i/>
          <w:szCs w:val="18"/>
        </w:rPr>
        <w:t xml:space="preserve"> </w:t>
      </w:r>
      <w:r w:rsidRPr="00413983">
        <w:rPr>
          <w:szCs w:val="18"/>
        </w:rPr>
        <w:t xml:space="preserve">(2015), 9. </w:t>
      </w:r>
    </w:p>
  </w:footnote>
  <w:footnote w:id="2">
    <w:p w14:paraId="7077FC78" w14:textId="77777777" w:rsidR="001B42D0" w:rsidRPr="00413983" w:rsidRDefault="001B42D0" w:rsidP="005E118C">
      <w:pPr>
        <w:pStyle w:val="FootnoteText"/>
        <w:spacing w:after="0" w:line="240" w:lineRule="auto"/>
        <w:rPr>
          <w:rStyle w:val="FootnoteReference"/>
          <w:szCs w:val="18"/>
          <w:highlight w:val="yellow"/>
        </w:rPr>
      </w:pPr>
      <w:r w:rsidRPr="00413983">
        <w:rPr>
          <w:rStyle w:val="FootnoteReference"/>
          <w:szCs w:val="18"/>
        </w:rPr>
        <w:footnoteRef/>
      </w:r>
      <w:r w:rsidRPr="00413983">
        <w:rPr>
          <w:rStyle w:val="FootnoteReference"/>
          <w:szCs w:val="18"/>
        </w:rPr>
        <w:t xml:space="preserve"> </w:t>
      </w:r>
      <w:r w:rsidRPr="00413983">
        <w:t xml:space="preserve">Department of Health and Human Services, </w:t>
      </w:r>
      <w:r w:rsidRPr="00413983">
        <w:rPr>
          <w:i/>
        </w:rPr>
        <w:t>Public Housing Waiting and Transfer List</w:t>
      </w:r>
      <w:r>
        <w:t xml:space="preserve"> (June</w:t>
      </w:r>
      <w:r w:rsidRPr="00413983">
        <w:t xml:space="preserve"> 2015</w:t>
      </w:r>
      <w:r>
        <w:t>)</w:t>
      </w:r>
      <w:r w:rsidRPr="00413983">
        <w:t>.</w:t>
      </w:r>
    </w:p>
  </w:footnote>
  <w:footnote w:id="3">
    <w:p w14:paraId="461D8B2B" w14:textId="77777777" w:rsidR="001B42D0" w:rsidRPr="00413983" w:rsidRDefault="001B42D0" w:rsidP="005E118C">
      <w:pPr>
        <w:spacing w:after="0" w:line="240" w:lineRule="auto"/>
        <w:rPr>
          <w:sz w:val="18"/>
          <w:szCs w:val="18"/>
        </w:rPr>
      </w:pPr>
      <w:r w:rsidRPr="00413983">
        <w:rPr>
          <w:rStyle w:val="FootnoteReference"/>
          <w:szCs w:val="18"/>
        </w:rPr>
        <w:footnoteRef/>
      </w:r>
      <w:r>
        <w:rPr>
          <w:szCs w:val="18"/>
        </w:rPr>
        <w:t xml:space="preserve"> </w:t>
      </w:r>
      <w:r w:rsidRPr="00413983">
        <w:rPr>
          <w:sz w:val="18"/>
          <w:szCs w:val="20"/>
        </w:rPr>
        <w:t xml:space="preserve">Law and Justice Foundation, </w:t>
      </w:r>
      <w:r w:rsidRPr="00413983">
        <w:rPr>
          <w:i/>
          <w:sz w:val="18"/>
          <w:szCs w:val="20"/>
        </w:rPr>
        <w:t>Legal Australia-Wide Survey: Legal Need in Australia</w:t>
      </w:r>
      <w:r w:rsidRPr="00413983">
        <w:rPr>
          <w:sz w:val="18"/>
          <w:szCs w:val="20"/>
        </w:rPr>
        <w:t xml:space="preserve"> (2012)</w:t>
      </w:r>
      <w:r>
        <w:rPr>
          <w:sz w:val="18"/>
          <w:szCs w:val="20"/>
        </w:rPr>
        <w:t>,</w:t>
      </w:r>
      <w:r w:rsidRPr="00413983">
        <w:rPr>
          <w:sz w:val="18"/>
          <w:szCs w:val="20"/>
        </w:rPr>
        <w:t xml:space="preserve"> 86.</w:t>
      </w:r>
    </w:p>
  </w:footnote>
  <w:footnote w:id="4">
    <w:p w14:paraId="7670C8F5" w14:textId="77777777" w:rsidR="0091658B" w:rsidRDefault="0091658B" w:rsidP="0091658B">
      <w:pPr>
        <w:pStyle w:val="FootnoteText"/>
        <w:spacing w:after="0"/>
      </w:pPr>
      <w:r>
        <w:rPr>
          <w:rStyle w:val="FootnoteReference"/>
        </w:rPr>
        <w:footnoteRef/>
      </w:r>
      <w:r>
        <w:t xml:space="preserve"> National Association of Tenant Organisations, </w:t>
      </w:r>
      <w:r w:rsidRPr="002F0648">
        <w:rPr>
          <w:i/>
        </w:rPr>
        <w:t xml:space="preserve">A Better Lease on Life – Improving Australian Tenancy Law </w:t>
      </w:r>
      <w:r>
        <w:t>(2010).</w:t>
      </w:r>
    </w:p>
  </w:footnote>
  <w:footnote w:id="5">
    <w:p w14:paraId="5FDA6520" w14:textId="77777777" w:rsidR="001B42D0" w:rsidRDefault="001B42D0" w:rsidP="009D2890">
      <w:pPr>
        <w:pStyle w:val="FootnoteText"/>
        <w:spacing w:after="0" w:line="240" w:lineRule="auto"/>
      </w:pPr>
      <w:r>
        <w:rPr>
          <w:rStyle w:val="FootnoteReference"/>
        </w:rPr>
        <w:footnoteRef/>
      </w:r>
      <w:r>
        <w:t xml:space="preserve"> National Association of Tenant Organisations, </w:t>
      </w:r>
      <w:r w:rsidRPr="002F0648">
        <w:rPr>
          <w:i/>
        </w:rPr>
        <w:t xml:space="preserve">A Better Lease on Life – Improving Australian Tenancy Law </w:t>
      </w:r>
      <w:r>
        <w:t>(2010) 47.</w:t>
      </w:r>
    </w:p>
  </w:footnote>
  <w:footnote w:id="6">
    <w:p w14:paraId="58665BDC" w14:textId="77777777" w:rsidR="001B42D0" w:rsidRPr="002F0648" w:rsidRDefault="001B42D0" w:rsidP="009D2890">
      <w:pPr>
        <w:pStyle w:val="FootnoteText"/>
        <w:spacing w:after="0" w:line="240" w:lineRule="auto"/>
        <w:rPr>
          <w:lang w:val="en-US"/>
        </w:rPr>
      </w:pPr>
      <w:r>
        <w:rPr>
          <w:rStyle w:val="FootnoteReference"/>
        </w:rPr>
        <w:footnoteRef/>
      </w:r>
      <w:r>
        <w:t xml:space="preserve"> </w:t>
      </w:r>
      <w:r>
        <w:rPr>
          <w:lang w:val="en-US"/>
        </w:rPr>
        <w:t xml:space="preserve">Jane Berry, Footscray Community Legal Centre Inc, </w:t>
      </w:r>
      <w:r>
        <w:rPr>
          <w:i/>
          <w:lang w:val="en-US"/>
        </w:rPr>
        <w:t>Home Sweet Home – Act for the House Not the Tenant</w:t>
      </w:r>
      <w:r>
        <w:rPr>
          <w:lang w:val="en-US"/>
        </w:rPr>
        <w:t xml:space="preserve"> (2013); Victorian Council of Social Services, </w:t>
      </w:r>
      <w:r>
        <w:rPr>
          <w:i/>
          <w:lang w:val="en-US"/>
        </w:rPr>
        <w:t>Decent Not Dodgy. ‘Secret Shopper’ Survey</w:t>
      </w:r>
      <w:r>
        <w:rPr>
          <w:lang w:val="en-US"/>
        </w:rPr>
        <w:t xml:space="preserve"> (2010). </w:t>
      </w:r>
    </w:p>
  </w:footnote>
  <w:footnote w:id="7">
    <w:p w14:paraId="69DEDB97" w14:textId="77777777" w:rsidR="001B42D0" w:rsidRPr="009D2890" w:rsidRDefault="001B42D0" w:rsidP="00FE760B">
      <w:pPr>
        <w:pStyle w:val="FootnoteText"/>
        <w:spacing w:after="0" w:line="240" w:lineRule="auto"/>
        <w:rPr>
          <w:lang w:val="en-US"/>
        </w:rPr>
      </w:pPr>
      <w:r>
        <w:rPr>
          <w:rStyle w:val="FootnoteReference"/>
        </w:rPr>
        <w:footnoteRef/>
      </w:r>
      <w:r>
        <w:t xml:space="preserve"> </w:t>
      </w:r>
      <w:r>
        <w:rPr>
          <w:lang w:val="en-US"/>
        </w:rPr>
        <w:t xml:space="preserve">VCAT </w:t>
      </w:r>
      <w:r>
        <w:rPr>
          <w:i/>
          <w:lang w:val="en-US"/>
        </w:rPr>
        <w:t xml:space="preserve">Annual Report </w:t>
      </w:r>
      <w:r>
        <w:rPr>
          <w:lang w:val="en-US"/>
        </w:rPr>
        <w:t>(2013-2014) 21.</w:t>
      </w:r>
    </w:p>
  </w:footnote>
  <w:footnote w:id="8">
    <w:p w14:paraId="259B1370" w14:textId="77777777" w:rsidR="001B42D0" w:rsidRPr="00DA520A" w:rsidRDefault="001B42D0">
      <w:pPr>
        <w:pStyle w:val="FootnoteText"/>
        <w:rPr>
          <w:lang w:val="en-US"/>
        </w:rPr>
      </w:pPr>
      <w:r>
        <w:rPr>
          <w:rStyle w:val="FootnoteReference"/>
        </w:rPr>
        <w:footnoteRef/>
      </w:r>
      <w:r w:rsidRPr="00413983">
        <w:rPr>
          <w:i/>
          <w:szCs w:val="18"/>
        </w:rPr>
        <w:t>2015 Rental Affordability Snapshot,</w:t>
      </w:r>
      <w:r w:rsidRPr="00413983">
        <w:rPr>
          <w:szCs w:val="18"/>
        </w:rPr>
        <w:t xml:space="preserve"> Anglicare Australia, 18. Cited in </w:t>
      </w:r>
      <w:r w:rsidRPr="00413983">
        <w:rPr>
          <w:i/>
          <w:szCs w:val="18"/>
        </w:rPr>
        <w:t>Residential Tenancies Act Review. Laying the Groundwork - Consultation Paper</w:t>
      </w:r>
      <w:r>
        <w:rPr>
          <w:i/>
          <w:szCs w:val="18"/>
        </w:rPr>
        <w:t xml:space="preserve"> </w:t>
      </w:r>
      <w:r>
        <w:rPr>
          <w:szCs w:val="18"/>
        </w:rPr>
        <w:t>(2015), 20</w:t>
      </w:r>
      <w:r w:rsidRPr="00413983">
        <w:rPr>
          <w:szCs w:val="18"/>
        </w:rPr>
        <w:t>.</w:t>
      </w:r>
    </w:p>
  </w:footnote>
  <w:footnote w:id="9">
    <w:p w14:paraId="49457286" w14:textId="77777777" w:rsidR="001B42D0" w:rsidRPr="006E46B1" w:rsidRDefault="001B42D0">
      <w:pPr>
        <w:pStyle w:val="FootnoteText"/>
        <w:rPr>
          <w:lang w:val="en-US"/>
        </w:rPr>
      </w:pPr>
      <w:r>
        <w:rPr>
          <w:rStyle w:val="FootnoteReference"/>
        </w:rPr>
        <w:footnoteRef/>
      </w:r>
      <w:r>
        <w:t xml:space="preserve"> National Association of Tenant Organisations, </w:t>
      </w:r>
      <w:r w:rsidRPr="002F0648">
        <w:rPr>
          <w:i/>
        </w:rPr>
        <w:t xml:space="preserve">A Better Lease on Life – Improving Australian Tenancy Law </w:t>
      </w:r>
      <w:r>
        <w:t>(2010) 24.</w:t>
      </w:r>
    </w:p>
  </w:footnote>
  <w:footnote w:id="10">
    <w:p w14:paraId="0847596C" w14:textId="77777777" w:rsidR="001B42D0" w:rsidRPr="003012DC" w:rsidRDefault="001B42D0">
      <w:pPr>
        <w:pStyle w:val="FootnoteText"/>
        <w:rPr>
          <w:lang w:val="en-US"/>
        </w:rPr>
      </w:pPr>
      <w:r>
        <w:rPr>
          <w:rStyle w:val="FootnoteReference"/>
        </w:rPr>
        <w:footnoteRef/>
      </w:r>
      <w:r>
        <w:t xml:space="preserve"> </w:t>
      </w:r>
      <w:r>
        <w:rPr>
          <w:lang w:val="en-US"/>
        </w:rPr>
        <w:t xml:space="preserve">VCAT </w:t>
      </w:r>
      <w:r>
        <w:rPr>
          <w:i/>
          <w:lang w:val="en-US"/>
        </w:rPr>
        <w:t xml:space="preserve">Annual Report </w:t>
      </w:r>
      <w:r>
        <w:rPr>
          <w:lang w:val="en-US"/>
        </w:rPr>
        <w:t>(2013-2014) 20.</w:t>
      </w:r>
    </w:p>
  </w:footnote>
  <w:footnote w:id="11">
    <w:p w14:paraId="343E3670" w14:textId="77777777" w:rsidR="001B42D0" w:rsidRPr="00936934" w:rsidRDefault="001B42D0" w:rsidP="005E2F48">
      <w:pPr>
        <w:pStyle w:val="FootnoteText"/>
        <w:rPr>
          <w:lang w:val="en-US"/>
        </w:rPr>
      </w:pPr>
      <w:r w:rsidRPr="00547E00">
        <w:rPr>
          <w:rStyle w:val="FootnoteReference"/>
        </w:rPr>
        <w:footnoteRef/>
      </w:r>
      <w:r w:rsidR="00547E00" w:rsidRPr="00547E00">
        <w:t xml:space="preserve"> Justice Connect Homeless Law, </w:t>
      </w:r>
      <w:r w:rsidR="00547E00" w:rsidRPr="00547E00">
        <w:rPr>
          <w:i/>
        </w:rPr>
        <w:t>Home Safe: Submission to the Royal Commission into Family Violence</w:t>
      </w:r>
      <w:r w:rsidR="00547E00" w:rsidRPr="00547E00">
        <w:t xml:space="preserve"> (May 2015) 17.</w:t>
      </w:r>
    </w:p>
  </w:footnote>
  <w:footnote w:id="12">
    <w:p w14:paraId="51BB34FD" w14:textId="77777777" w:rsidR="001B42D0" w:rsidRDefault="001B42D0">
      <w:pPr>
        <w:pStyle w:val="FootnoteText"/>
      </w:pPr>
      <w:r w:rsidRPr="00547E00">
        <w:rPr>
          <w:rStyle w:val="FootnoteReference"/>
        </w:rPr>
        <w:footnoteRef/>
      </w:r>
      <w:r w:rsidR="00547E00" w:rsidRPr="00547E00">
        <w:t xml:space="preserve"> </w:t>
      </w:r>
      <w:r w:rsidR="00547E00" w:rsidRPr="00547E00">
        <w:rPr>
          <w:i/>
        </w:rPr>
        <w:t>Housing (Scotland) Act 2001</w:t>
      </w:r>
      <w:r w:rsidR="00D10E31">
        <w:t xml:space="preserve"> </w:t>
      </w:r>
      <w:r w:rsidR="00547E00" w:rsidRPr="00547E00">
        <w:t>s16 (3).</w:t>
      </w:r>
    </w:p>
  </w:footnote>
  <w:footnote w:id="13">
    <w:p w14:paraId="15ECA0A2" w14:textId="77777777" w:rsidR="00DC26D0" w:rsidRDefault="00DC26D0">
      <w:pPr>
        <w:pStyle w:val="FootnoteText"/>
      </w:pPr>
      <w:r>
        <w:rPr>
          <w:rStyle w:val="FootnoteReference"/>
        </w:rPr>
        <w:footnoteRef/>
      </w:r>
      <w:r>
        <w:t xml:space="preserve"> See also Victoria Legal Aid</w:t>
      </w:r>
      <w:r w:rsidRPr="00547E00">
        <w:t xml:space="preserve">, </w:t>
      </w:r>
      <w:r>
        <w:rPr>
          <w:i/>
        </w:rPr>
        <w:t xml:space="preserve">Submission to the Charter of Human Rights and Responsibilities Act 2006, Eight-year Review </w:t>
      </w:r>
      <w:r>
        <w:t xml:space="preserve"> (June 2015)</w:t>
      </w:r>
      <w:r w:rsidRPr="00547E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DB45" w14:textId="7D010A62" w:rsidR="001B42D0" w:rsidRDefault="001B42D0">
    <w:pPr>
      <w:pStyle w:val="Header"/>
    </w:pPr>
    <w:r>
      <w:rPr>
        <w:noProof/>
        <w:lang w:eastAsia="en-AU"/>
      </w:rPr>
      <mc:AlternateContent>
        <mc:Choice Requires="wps">
          <w:drawing>
            <wp:anchor distT="0" distB="0" distL="114300" distR="114300" simplePos="0" relativeHeight="251658752" behindDoc="1" locked="0" layoutInCell="0" allowOverlap="1" wp14:anchorId="47DC7C54" wp14:editId="709A83B2">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09BB703" w14:textId="77777777" w:rsidR="001B42D0" w:rsidRDefault="001B42D0"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C7C54"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14:paraId="409BB703" w14:textId="77777777" w:rsidR="001B42D0" w:rsidRDefault="001B42D0"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D7A0" w14:textId="2BF83C87" w:rsidR="001B42D0" w:rsidRPr="009F7B2D" w:rsidRDefault="001B42D0" w:rsidP="004E06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DD84" w14:textId="6ED1ADAF" w:rsidR="001B42D0" w:rsidRDefault="001B42D0" w:rsidP="006E2882">
    <w:pPr>
      <w:spacing w:before="400"/>
      <w:jc w:val="right"/>
    </w:pPr>
    <w:r>
      <w:rPr>
        <w:noProof/>
        <w:lang w:eastAsia="en-AU"/>
      </w:rPr>
      <w:drawing>
        <wp:inline distT="0" distB="0" distL="0" distR="0" wp14:anchorId="12C8E89C" wp14:editId="40907553">
          <wp:extent cx="2706370" cy="434975"/>
          <wp:effectExtent l="0" t="0" r="0" b="3175"/>
          <wp:docPr id="4" name="Picture 4"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F3BE" w14:textId="68C94489" w:rsidR="001B42D0" w:rsidRDefault="001B42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9AF0" w14:textId="0C573515" w:rsidR="00EE7BFF" w:rsidRDefault="00EE7B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417C" w14:textId="6D36C24F" w:rsidR="001B42D0" w:rsidRPr="00665568" w:rsidRDefault="001B42D0"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FFFFFF7C"/>
    <w:multiLevelType w:val="singleLevel"/>
    <w:tmpl w:val="154076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0C58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7" w15:restartNumberingAfterBreak="0">
    <w:nsid w:val="04513E53"/>
    <w:multiLevelType w:val="hybridMultilevel"/>
    <w:tmpl w:val="1EF4CA40"/>
    <w:lvl w:ilvl="0" w:tplc="F1562E1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F34298"/>
    <w:multiLevelType w:val="hybridMultilevel"/>
    <w:tmpl w:val="17C2E806"/>
    <w:lvl w:ilvl="0" w:tplc="6C0C8E1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267116"/>
    <w:multiLevelType w:val="hybridMultilevel"/>
    <w:tmpl w:val="54B8A0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06760"/>
    <w:multiLevelType w:val="multilevel"/>
    <w:tmpl w:val="3644586A"/>
    <w:lvl w:ilvl="0">
      <w:start w:val="1"/>
      <w:numFmt w:val="bullet"/>
      <w:lvlText w:val=""/>
      <w:lvlJc w:val="left"/>
      <w:pPr>
        <w:tabs>
          <w:tab w:val="num" w:pos="357"/>
        </w:tabs>
        <w:ind w:left="357" w:hanging="357"/>
      </w:pPr>
      <w:rPr>
        <w:rFonts w:ascii="Symbol" w:hAnsi="Symbo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1" w15:restartNumberingAfterBreak="0">
    <w:nsid w:val="1139724A"/>
    <w:multiLevelType w:val="hybridMultilevel"/>
    <w:tmpl w:val="CF90550C"/>
    <w:lvl w:ilvl="0" w:tplc="462461A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163B0B5E"/>
    <w:multiLevelType w:val="hybridMultilevel"/>
    <w:tmpl w:val="90A6D7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A25D7A"/>
    <w:multiLevelType w:val="hybridMultilevel"/>
    <w:tmpl w:val="CF90550C"/>
    <w:lvl w:ilvl="0" w:tplc="462461A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1B5C25"/>
    <w:multiLevelType w:val="hybridMultilevel"/>
    <w:tmpl w:val="C9D8FB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8" w15:restartNumberingAfterBreak="0">
    <w:nsid w:val="2B69165E"/>
    <w:multiLevelType w:val="hybridMultilevel"/>
    <w:tmpl w:val="CF90550C"/>
    <w:lvl w:ilvl="0" w:tplc="462461A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E01319"/>
    <w:multiLevelType w:val="hybridMultilevel"/>
    <w:tmpl w:val="B084295A"/>
    <w:lvl w:ilvl="0" w:tplc="B6EE566A">
      <w:start w:val="1"/>
      <w:numFmt w:val="decimal"/>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3B130C91"/>
    <w:multiLevelType w:val="hybridMultilevel"/>
    <w:tmpl w:val="7714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501F0993"/>
    <w:multiLevelType w:val="hybridMultilevel"/>
    <w:tmpl w:val="0EB0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80A48"/>
    <w:multiLevelType w:val="hybridMultilevel"/>
    <w:tmpl w:val="4AB6B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81C5C"/>
    <w:multiLevelType w:val="hybridMultilevel"/>
    <w:tmpl w:val="1952D9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C4D2272"/>
    <w:multiLevelType w:val="hybridMultilevel"/>
    <w:tmpl w:val="15BABF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9F61E7"/>
    <w:multiLevelType w:val="hybridMultilevel"/>
    <w:tmpl w:val="5CD0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5" w15:restartNumberingAfterBreak="0">
    <w:nsid w:val="7EEE3B42"/>
    <w:multiLevelType w:val="hybridMultilevel"/>
    <w:tmpl w:val="B80AE6E8"/>
    <w:lvl w:ilvl="0" w:tplc="8E2A77F0">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8"/>
  </w:num>
  <w:num w:numId="4">
    <w:abstractNumId w:val="24"/>
  </w:num>
  <w:num w:numId="5">
    <w:abstractNumId w:val="19"/>
  </w:num>
  <w:num w:numId="6">
    <w:abstractNumId w:val="28"/>
  </w:num>
  <w:num w:numId="7">
    <w:abstractNumId w:val="29"/>
  </w:num>
  <w:num w:numId="8">
    <w:abstractNumId w:val="28"/>
  </w:num>
  <w:num w:numId="9">
    <w:abstractNumId w:val="23"/>
  </w:num>
  <w:num w:numId="10">
    <w:abstractNumId w:val="19"/>
  </w:num>
  <w:num w:numId="11">
    <w:abstractNumId w:val="28"/>
  </w:num>
  <w:num w:numId="12">
    <w:abstractNumId w:val="28"/>
  </w:num>
  <w:num w:numId="13">
    <w:abstractNumId w:val="24"/>
  </w:num>
  <w:num w:numId="14">
    <w:abstractNumId w:val="24"/>
  </w:num>
  <w:num w:numId="15">
    <w:abstractNumId w:val="24"/>
  </w:num>
  <w:num w:numId="16">
    <w:abstractNumId w:val="23"/>
  </w:num>
  <w:num w:numId="17">
    <w:abstractNumId w:val="19"/>
  </w:num>
  <w:num w:numId="18">
    <w:abstractNumId w:val="28"/>
  </w:num>
  <w:num w:numId="19">
    <w:abstractNumId w:val="28"/>
  </w:num>
  <w:num w:numId="20">
    <w:abstractNumId w:val="24"/>
  </w:num>
  <w:num w:numId="21">
    <w:abstractNumId w:val="24"/>
  </w:num>
  <w:num w:numId="22">
    <w:abstractNumId w:val="24"/>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21"/>
  </w:num>
  <w:num w:numId="31">
    <w:abstractNumId w:val="27"/>
  </w:num>
  <w:num w:numId="32">
    <w:abstractNumId w:val="9"/>
  </w:num>
  <w:num w:numId="33">
    <w:abstractNumId w:val="16"/>
  </w:num>
  <w:num w:numId="34">
    <w:abstractNumId w:val="10"/>
  </w:num>
  <w:num w:numId="35">
    <w:abstractNumId w:val="22"/>
  </w:num>
  <w:num w:numId="36">
    <w:abstractNumId w:val="26"/>
  </w:num>
  <w:num w:numId="37">
    <w:abstractNumId w:val="33"/>
  </w:num>
  <w:num w:numId="38">
    <w:abstractNumId w:val="25"/>
  </w:num>
  <w:num w:numId="39">
    <w:abstractNumId w:val="13"/>
  </w:num>
  <w:num w:numId="40">
    <w:abstractNumId w:val="11"/>
  </w:num>
  <w:num w:numId="41">
    <w:abstractNumId w:val="15"/>
  </w:num>
  <w:num w:numId="42">
    <w:abstractNumId w:val="32"/>
  </w:num>
  <w:num w:numId="43">
    <w:abstractNumId w:val="35"/>
  </w:num>
  <w:num w:numId="44">
    <w:abstractNumId w:val="7"/>
  </w:num>
  <w:num w:numId="45">
    <w:abstractNumId w:val="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lvlOverride w:ilvl="3"/>
    <w:lvlOverride w:ilvl="4"/>
    <w:lvlOverride w:ilvl="5"/>
    <w:lvlOverride w:ilvl="6"/>
    <w:lvlOverride w:ilvl="7"/>
    <w:lvlOverride w:ilvl="8"/>
  </w:num>
  <w:num w:numId="4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activeWritingStyle w:appName="MSWord" w:lang="en-AU" w:vendorID="64" w:dllVersion="131078" w:nlCheck="1" w:checkStyle="1"/>
  <w:activeWritingStyle w:appName="MSWord" w:lang="en-US" w:vendorID="64" w:dllVersion="131078"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389D"/>
    <w:rsid w:val="00007914"/>
    <w:rsid w:val="000155A6"/>
    <w:rsid w:val="00022C70"/>
    <w:rsid w:val="00022C83"/>
    <w:rsid w:val="00022F0E"/>
    <w:rsid w:val="00022F62"/>
    <w:rsid w:val="000240FD"/>
    <w:rsid w:val="00024F5A"/>
    <w:rsid w:val="00026AA1"/>
    <w:rsid w:val="00032AF3"/>
    <w:rsid w:val="00052B67"/>
    <w:rsid w:val="0005492F"/>
    <w:rsid w:val="00055B69"/>
    <w:rsid w:val="00056D16"/>
    <w:rsid w:val="000579AC"/>
    <w:rsid w:val="000610FC"/>
    <w:rsid w:val="00061235"/>
    <w:rsid w:val="00062699"/>
    <w:rsid w:val="00064B2A"/>
    <w:rsid w:val="00067162"/>
    <w:rsid w:val="0007008C"/>
    <w:rsid w:val="00070D34"/>
    <w:rsid w:val="00070E94"/>
    <w:rsid w:val="00074A4B"/>
    <w:rsid w:val="00077D72"/>
    <w:rsid w:val="00081FFE"/>
    <w:rsid w:val="000833F9"/>
    <w:rsid w:val="00084C6C"/>
    <w:rsid w:val="0008602F"/>
    <w:rsid w:val="000905F6"/>
    <w:rsid w:val="00095DED"/>
    <w:rsid w:val="000A02AE"/>
    <w:rsid w:val="000A34D0"/>
    <w:rsid w:val="000A5E74"/>
    <w:rsid w:val="000A711A"/>
    <w:rsid w:val="000B02D8"/>
    <w:rsid w:val="000B0AB6"/>
    <w:rsid w:val="000B278C"/>
    <w:rsid w:val="000C0B84"/>
    <w:rsid w:val="000C6383"/>
    <w:rsid w:val="000C6537"/>
    <w:rsid w:val="000D3034"/>
    <w:rsid w:val="000D41D7"/>
    <w:rsid w:val="000D4F97"/>
    <w:rsid w:val="000E0695"/>
    <w:rsid w:val="000E1BB5"/>
    <w:rsid w:val="000E4B9B"/>
    <w:rsid w:val="000E7142"/>
    <w:rsid w:val="000E7744"/>
    <w:rsid w:val="000F62A8"/>
    <w:rsid w:val="00101678"/>
    <w:rsid w:val="00101CBD"/>
    <w:rsid w:val="00114C38"/>
    <w:rsid w:val="00114EE2"/>
    <w:rsid w:val="0011572E"/>
    <w:rsid w:val="00123DAB"/>
    <w:rsid w:val="00124D25"/>
    <w:rsid w:val="00130286"/>
    <w:rsid w:val="001412C8"/>
    <w:rsid w:val="0014270F"/>
    <w:rsid w:val="001479F2"/>
    <w:rsid w:val="00154A19"/>
    <w:rsid w:val="00161EEF"/>
    <w:rsid w:val="00175D56"/>
    <w:rsid w:val="001A17AA"/>
    <w:rsid w:val="001A419A"/>
    <w:rsid w:val="001A5374"/>
    <w:rsid w:val="001B270D"/>
    <w:rsid w:val="001B42D0"/>
    <w:rsid w:val="001B6EFC"/>
    <w:rsid w:val="001C4BC6"/>
    <w:rsid w:val="001D5DE3"/>
    <w:rsid w:val="001E0A52"/>
    <w:rsid w:val="001E1987"/>
    <w:rsid w:val="001E2D8B"/>
    <w:rsid w:val="001E5143"/>
    <w:rsid w:val="001E730B"/>
    <w:rsid w:val="001F5717"/>
    <w:rsid w:val="001F6604"/>
    <w:rsid w:val="001F6FFA"/>
    <w:rsid w:val="001F7353"/>
    <w:rsid w:val="00205144"/>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C128D"/>
    <w:rsid w:val="002D18AF"/>
    <w:rsid w:val="002E64B6"/>
    <w:rsid w:val="002F0648"/>
    <w:rsid w:val="003012DC"/>
    <w:rsid w:val="0030591D"/>
    <w:rsid w:val="00305D85"/>
    <w:rsid w:val="00307C02"/>
    <w:rsid w:val="00310AB6"/>
    <w:rsid w:val="003317D9"/>
    <w:rsid w:val="00337286"/>
    <w:rsid w:val="00337468"/>
    <w:rsid w:val="00337A22"/>
    <w:rsid w:val="00343DAA"/>
    <w:rsid w:val="00345EF4"/>
    <w:rsid w:val="00351665"/>
    <w:rsid w:val="00353889"/>
    <w:rsid w:val="0036511B"/>
    <w:rsid w:val="00366E4F"/>
    <w:rsid w:val="00371282"/>
    <w:rsid w:val="00372327"/>
    <w:rsid w:val="00376112"/>
    <w:rsid w:val="003775EB"/>
    <w:rsid w:val="00383710"/>
    <w:rsid w:val="00384660"/>
    <w:rsid w:val="00393F26"/>
    <w:rsid w:val="003A13F2"/>
    <w:rsid w:val="003A2302"/>
    <w:rsid w:val="003A4402"/>
    <w:rsid w:val="003A5726"/>
    <w:rsid w:val="003B2FE9"/>
    <w:rsid w:val="003B6366"/>
    <w:rsid w:val="003C2CB9"/>
    <w:rsid w:val="003C2F49"/>
    <w:rsid w:val="003C4A7F"/>
    <w:rsid w:val="003C7A7F"/>
    <w:rsid w:val="003D29C2"/>
    <w:rsid w:val="003D6B33"/>
    <w:rsid w:val="003E17D1"/>
    <w:rsid w:val="003E409C"/>
    <w:rsid w:val="003E5D82"/>
    <w:rsid w:val="003F1C1E"/>
    <w:rsid w:val="003F48A9"/>
    <w:rsid w:val="003F55A5"/>
    <w:rsid w:val="003F6005"/>
    <w:rsid w:val="00406E80"/>
    <w:rsid w:val="0041181E"/>
    <w:rsid w:val="00413983"/>
    <w:rsid w:val="00423CC7"/>
    <w:rsid w:val="00423DE6"/>
    <w:rsid w:val="004365C6"/>
    <w:rsid w:val="00442077"/>
    <w:rsid w:val="00442DBC"/>
    <w:rsid w:val="00447BE6"/>
    <w:rsid w:val="0045435F"/>
    <w:rsid w:val="00461AE2"/>
    <w:rsid w:val="00462BA5"/>
    <w:rsid w:val="00462C13"/>
    <w:rsid w:val="004637BC"/>
    <w:rsid w:val="0046548B"/>
    <w:rsid w:val="00465AF7"/>
    <w:rsid w:val="004703FF"/>
    <w:rsid w:val="004736B9"/>
    <w:rsid w:val="004755A4"/>
    <w:rsid w:val="0048037C"/>
    <w:rsid w:val="00481371"/>
    <w:rsid w:val="00485330"/>
    <w:rsid w:val="00493B23"/>
    <w:rsid w:val="00495490"/>
    <w:rsid w:val="00496242"/>
    <w:rsid w:val="004B12B4"/>
    <w:rsid w:val="004B7B80"/>
    <w:rsid w:val="004C3F49"/>
    <w:rsid w:val="004C429D"/>
    <w:rsid w:val="004D3B12"/>
    <w:rsid w:val="004E0688"/>
    <w:rsid w:val="004E2C5B"/>
    <w:rsid w:val="004E511B"/>
    <w:rsid w:val="004F1880"/>
    <w:rsid w:val="004F2CD9"/>
    <w:rsid w:val="004F3590"/>
    <w:rsid w:val="004F6449"/>
    <w:rsid w:val="005050E0"/>
    <w:rsid w:val="00506BE9"/>
    <w:rsid w:val="005176AD"/>
    <w:rsid w:val="00520FB3"/>
    <w:rsid w:val="00521801"/>
    <w:rsid w:val="005248C7"/>
    <w:rsid w:val="005272D5"/>
    <w:rsid w:val="005314CA"/>
    <w:rsid w:val="0053511D"/>
    <w:rsid w:val="005375A4"/>
    <w:rsid w:val="0054738D"/>
    <w:rsid w:val="00547E00"/>
    <w:rsid w:val="0056148F"/>
    <w:rsid w:val="00561BF0"/>
    <w:rsid w:val="0056464E"/>
    <w:rsid w:val="00567614"/>
    <w:rsid w:val="005731B6"/>
    <w:rsid w:val="005940DB"/>
    <w:rsid w:val="005A01BE"/>
    <w:rsid w:val="005A7F72"/>
    <w:rsid w:val="005B2676"/>
    <w:rsid w:val="005B4B28"/>
    <w:rsid w:val="005B4BAD"/>
    <w:rsid w:val="005C10CC"/>
    <w:rsid w:val="005C2FE8"/>
    <w:rsid w:val="005C3889"/>
    <w:rsid w:val="005D103A"/>
    <w:rsid w:val="005D1354"/>
    <w:rsid w:val="005D5637"/>
    <w:rsid w:val="005E118C"/>
    <w:rsid w:val="005E248A"/>
    <w:rsid w:val="005E2F48"/>
    <w:rsid w:val="005E3A7F"/>
    <w:rsid w:val="005E3CA0"/>
    <w:rsid w:val="005F193F"/>
    <w:rsid w:val="005F43F8"/>
    <w:rsid w:val="005F6411"/>
    <w:rsid w:val="005F7D8E"/>
    <w:rsid w:val="0060388D"/>
    <w:rsid w:val="0060449D"/>
    <w:rsid w:val="00604558"/>
    <w:rsid w:val="00605C95"/>
    <w:rsid w:val="006107E1"/>
    <w:rsid w:val="006151E7"/>
    <w:rsid w:val="00621997"/>
    <w:rsid w:val="006247D3"/>
    <w:rsid w:val="006260BB"/>
    <w:rsid w:val="00630E67"/>
    <w:rsid w:val="00635EF3"/>
    <w:rsid w:val="00640994"/>
    <w:rsid w:val="00646383"/>
    <w:rsid w:val="00653753"/>
    <w:rsid w:val="00653D29"/>
    <w:rsid w:val="00653DD4"/>
    <w:rsid w:val="00657BC3"/>
    <w:rsid w:val="0066180F"/>
    <w:rsid w:val="00665568"/>
    <w:rsid w:val="00670387"/>
    <w:rsid w:val="00673787"/>
    <w:rsid w:val="00675BF8"/>
    <w:rsid w:val="006819A3"/>
    <w:rsid w:val="006831FC"/>
    <w:rsid w:val="00683F81"/>
    <w:rsid w:val="00687605"/>
    <w:rsid w:val="006952DD"/>
    <w:rsid w:val="00696BAC"/>
    <w:rsid w:val="006A5F7D"/>
    <w:rsid w:val="006A6A7D"/>
    <w:rsid w:val="006B2384"/>
    <w:rsid w:val="006B350F"/>
    <w:rsid w:val="006B7DD2"/>
    <w:rsid w:val="006C3D4C"/>
    <w:rsid w:val="006C4CA7"/>
    <w:rsid w:val="006C6C21"/>
    <w:rsid w:val="006D7C65"/>
    <w:rsid w:val="006E2882"/>
    <w:rsid w:val="006E2AD6"/>
    <w:rsid w:val="006E2C26"/>
    <w:rsid w:val="006E2FA2"/>
    <w:rsid w:val="006E3195"/>
    <w:rsid w:val="006E43A6"/>
    <w:rsid w:val="006E46B1"/>
    <w:rsid w:val="00701FAF"/>
    <w:rsid w:val="00707B1D"/>
    <w:rsid w:val="0071324F"/>
    <w:rsid w:val="00714771"/>
    <w:rsid w:val="00716188"/>
    <w:rsid w:val="007205F0"/>
    <w:rsid w:val="00733602"/>
    <w:rsid w:val="00736267"/>
    <w:rsid w:val="0074198C"/>
    <w:rsid w:val="0075285A"/>
    <w:rsid w:val="007538CC"/>
    <w:rsid w:val="007550FB"/>
    <w:rsid w:val="00755CA6"/>
    <w:rsid w:val="00756788"/>
    <w:rsid w:val="00757E2F"/>
    <w:rsid w:val="007600C3"/>
    <w:rsid w:val="00774F94"/>
    <w:rsid w:val="007767BD"/>
    <w:rsid w:val="0078022B"/>
    <w:rsid w:val="007825F3"/>
    <w:rsid w:val="00783185"/>
    <w:rsid w:val="007933F4"/>
    <w:rsid w:val="007966A5"/>
    <w:rsid w:val="007A0204"/>
    <w:rsid w:val="007A2284"/>
    <w:rsid w:val="007A2F94"/>
    <w:rsid w:val="007A3410"/>
    <w:rsid w:val="007B6D12"/>
    <w:rsid w:val="007D08B2"/>
    <w:rsid w:val="007D7535"/>
    <w:rsid w:val="007E4CB8"/>
    <w:rsid w:val="007E54F6"/>
    <w:rsid w:val="007E76DB"/>
    <w:rsid w:val="007F52A9"/>
    <w:rsid w:val="00800301"/>
    <w:rsid w:val="00800DC7"/>
    <w:rsid w:val="00811FE7"/>
    <w:rsid w:val="00820F62"/>
    <w:rsid w:val="00821FC7"/>
    <w:rsid w:val="00823A4E"/>
    <w:rsid w:val="00827932"/>
    <w:rsid w:val="0083009F"/>
    <w:rsid w:val="00835928"/>
    <w:rsid w:val="00835DCC"/>
    <w:rsid w:val="008377A1"/>
    <w:rsid w:val="008425B2"/>
    <w:rsid w:val="008450E7"/>
    <w:rsid w:val="00850401"/>
    <w:rsid w:val="00851E13"/>
    <w:rsid w:val="00853BDA"/>
    <w:rsid w:val="00855D9B"/>
    <w:rsid w:val="0085710F"/>
    <w:rsid w:val="008636CA"/>
    <w:rsid w:val="00866EAF"/>
    <w:rsid w:val="008710EE"/>
    <w:rsid w:val="00885238"/>
    <w:rsid w:val="00896048"/>
    <w:rsid w:val="00897348"/>
    <w:rsid w:val="008A067C"/>
    <w:rsid w:val="008B6507"/>
    <w:rsid w:val="008B6EEB"/>
    <w:rsid w:val="008B786B"/>
    <w:rsid w:val="008B7E42"/>
    <w:rsid w:val="008C072E"/>
    <w:rsid w:val="008C23F7"/>
    <w:rsid w:val="008C4E01"/>
    <w:rsid w:val="008D3B5D"/>
    <w:rsid w:val="008E5D0D"/>
    <w:rsid w:val="008F0579"/>
    <w:rsid w:val="008F057C"/>
    <w:rsid w:val="008F092D"/>
    <w:rsid w:val="008F1F0B"/>
    <w:rsid w:val="008F36EC"/>
    <w:rsid w:val="008F726E"/>
    <w:rsid w:val="00910DBE"/>
    <w:rsid w:val="00911151"/>
    <w:rsid w:val="0091658B"/>
    <w:rsid w:val="00917DE9"/>
    <w:rsid w:val="00925672"/>
    <w:rsid w:val="0093361D"/>
    <w:rsid w:val="00936934"/>
    <w:rsid w:val="0094252E"/>
    <w:rsid w:val="00945E43"/>
    <w:rsid w:val="00946548"/>
    <w:rsid w:val="00951A9A"/>
    <w:rsid w:val="00953ADC"/>
    <w:rsid w:val="00954984"/>
    <w:rsid w:val="0095636C"/>
    <w:rsid w:val="00957221"/>
    <w:rsid w:val="009627B9"/>
    <w:rsid w:val="009642AF"/>
    <w:rsid w:val="00972D04"/>
    <w:rsid w:val="009922E5"/>
    <w:rsid w:val="00992562"/>
    <w:rsid w:val="009A227B"/>
    <w:rsid w:val="009A23DB"/>
    <w:rsid w:val="009A2930"/>
    <w:rsid w:val="009A2B56"/>
    <w:rsid w:val="009A3694"/>
    <w:rsid w:val="009A6087"/>
    <w:rsid w:val="009C0194"/>
    <w:rsid w:val="009C0B68"/>
    <w:rsid w:val="009C1230"/>
    <w:rsid w:val="009C12DD"/>
    <w:rsid w:val="009C3623"/>
    <w:rsid w:val="009D0F76"/>
    <w:rsid w:val="009D2890"/>
    <w:rsid w:val="009D3968"/>
    <w:rsid w:val="009F2795"/>
    <w:rsid w:val="009F2F9E"/>
    <w:rsid w:val="009F79CB"/>
    <w:rsid w:val="009F7A4E"/>
    <w:rsid w:val="009F7A60"/>
    <w:rsid w:val="00A0742A"/>
    <w:rsid w:val="00A134FD"/>
    <w:rsid w:val="00A171DA"/>
    <w:rsid w:val="00A25235"/>
    <w:rsid w:val="00A30C8A"/>
    <w:rsid w:val="00A448DA"/>
    <w:rsid w:val="00A50488"/>
    <w:rsid w:val="00A551BE"/>
    <w:rsid w:val="00A56A2A"/>
    <w:rsid w:val="00A63371"/>
    <w:rsid w:val="00A64264"/>
    <w:rsid w:val="00A65CE7"/>
    <w:rsid w:val="00A6793B"/>
    <w:rsid w:val="00A712DE"/>
    <w:rsid w:val="00A80FFC"/>
    <w:rsid w:val="00A82893"/>
    <w:rsid w:val="00A83227"/>
    <w:rsid w:val="00A940C0"/>
    <w:rsid w:val="00A94752"/>
    <w:rsid w:val="00AA2CCE"/>
    <w:rsid w:val="00AA5335"/>
    <w:rsid w:val="00AB34F4"/>
    <w:rsid w:val="00AB6BFF"/>
    <w:rsid w:val="00AC1D04"/>
    <w:rsid w:val="00AC2B72"/>
    <w:rsid w:val="00AC2E6F"/>
    <w:rsid w:val="00AC464A"/>
    <w:rsid w:val="00AD170A"/>
    <w:rsid w:val="00AE146B"/>
    <w:rsid w:val="00AE1D8D"/>
    <w:rsid w:val="00AF56AB"/>
    <w:rsid w:val="00AF5D4C"/>
    <w:rsid w:val="00B0000B"/>
    <w:rsid w:val="00B01519"/>
    <w:rsid w:val="00B07747"/>
    <w:rsid w:val="00B10A7F"/>
    <w:rsid w:val="00B1619F"/>
    <w:rsid w:val="00B22672"/>
    <w:rsid w:val="00B22DA0"/>
    <w:rsid w:val="00B23F19"/>
    <w:rsid w:val="00B242C3"/>
    <w:rsid w:val="00B3125C"/>
    <w:rsid w:val="00B37955"/>
    <w:rsid w:val="00B41378"/>
    <w:rsid w:val="00B556D7"/>
    <w:rsid w:val="00B56F07"/>
    <w:rsid w:val="00B60A4B"/>
    <w:rsid w:val="00B6132E"/>
    <w:rsid w:val="00B647BB"/>
    <w:rsid w:val="00B70E99"/>
    <w:rsid w:val="00B728AE"/>
    <w:rsid w:val="00B82931"/>
    <w:rsid w:val="00B8316F"/>
    <w:rsid w:val="00B83604"/>
    <w:rsid w:val="00B90C62"/>
    <w:rsid w:val="00B921BF"/>
    <w:rsid w:val="00B9248C"/>
    <w:rsid w:val="00B92895"/>
    <w:rsid w:val="00B93DDD"/>
    <w:rsid w:val="00B97EFB"/>
    <w:rsid w:val="00B97EFF"/>
    <w:rsid w:val="00BA222F"/>
    <w:rsid w:val="00BA6D49"/>
    <w:rsid w:val="00BB1F72"/>
    <w:rsid w:val="00BB2E00"/>
    <w:rsid w:val="00BB352E"/>
    <w:rsid w:val="00BC40C0"/>
    <w:rsid w:val="00BC4D4B"/>
    <w:rsid w:val="00BD1123"/>
    <w:rsid w:val="00BE0E09"/>
    <w:rsid w:val="00BE0E40"/>
    <w:rsid w:val="00BE25A1"/>
    <w:rsid w:val="00BE34E5"/>
    <w:rsid w:val="00BE63A6"/>
    <w:rsid w:val="00BE7FD7"/>
    <w:rsid w:val="00BF073A"/>
    <w:rsid w:val="00BF1BDA"/>
    <w:rsid w:val="00C01D35"/>
    <w:rsid w:val="00C1145A"/>
    <w:rsid w:val="00C11511"/>
    <w:rsid w:val="00C148F9"/>
    <w:rsid w:val="00C16A13"/>
    <w:rsid w:val="00C16A43"/>
    <w:rsid w:val="00C171FB"/>
    <w:rsid w:val="00C20226"/>
    <w:rsid w:val="00C20338"/>
    <w:rsid w:val="00C22FC4"/>
    <w:rsid w:val="00C27D47"/>
    <w:rsid w:val="00C349DD"/>
    <w:rsid w:val="00C4104C"/>
    <w:rsid w:val="00C41A06"/>
    <w:rsid w:val="00C42578"/>
    <w:rsid w:val="00C4614D"/>
    <w:rsid w:val="00C546D6"/>
    <w:rsid w:val="00C5490E"/>
    <w:rsid w:val="00C564C2"/>
    <w:rsid w:val="00C568E5"/>
    <w:rsid w:val="00C5742E"/>
    <w:rsid w:val="00C578A3"/>
    <w:rsid w:val="00C627F5"/>
    <w:rsid w:val="00C70818"/>
    <w:rsid w:val="00C74608"/>
    <w:rsid w:val="00C74806"/>
    <w:rsid w:val="00C74CCF"/>
    <w:rsid w:val="00C76860"/>
    <w:rsid w:val="00C76ACB"/>
    <w:rsid w:val="00C85211"/>
    <w:rsid w:val="00C915FE"/>
    <w:rsid w:val="00C96789"/>
    <w:rsid w:val="00CA228A"/>
    <w:rsid w:val="00CA4F9B"/>
    <w:rsid w:val="00CA5BC6"/>
    <w:rsid w:val="00CA7422"/>
    <w:rsid w:val="00CB2934"/>
    <w:rsid w:val="00CB5042"/>
    <w:rsid w:val="00CB6506"/>
    <w:rsid w:val="00CC0C03"/>
    <w:rsid w:val="00CC42A3"/>
    <w:rsid w:val="00CC437D"/>
    <w:rsid w:val="00CC77B0"/>
    <w:rsid w:val="00CD1D12"/>
    <w:rsid w:val="00CD3D1F"/>
    <w:rsid w:val="00CD7346"/>
    <w:rsid w:val="00CE23D8"/>
    <w:rsid w:val="00CE29C1"/>
    <w:rsid w:val="00CE4C2F"/>
    <w:rsid w:val="00CE52ED"/>
    <w:rsid w:val="00CF1809"/>
    <w:rsid w:val="00CF7865"/>
    <w:rsid w:val="00D10E31"/>
    <w:rsid w:val="00D15C63"/>
    <w:rsid w:val="00D16EB8"/>
    <w:rsid w:val="00D2112B"/>
    <w:rsid w:val="00D2271F"/>
    <w:rsid w:val="00D231C1"/>
    <w:rsid w:val="00D23D32"/>
    <w:rsid w:val="00D43920"/>
    <w:rsid w:val="00D442FD"/>
    <w:rsid w:val="00D447FC"/>
    <w:rsid w:val="00D47B4C"/>
    <w:rsid w:val="00D519B9"/>
    <w:rsid w:val="00D51B10"/>
    <w:rsid w:val="00D540C1"/>
    <w:rsid w:val="00D57E83"/>
    <w:rsid w:val="00D60A46"/>
    <w:rsid w:val="00D6140D"/>
    <w:rsid w:val="00D622EF"/>
    <w:rsid w:val="00D64351"/>
    <w:rsid w:val="00D6512B"/>
    <w:rsid w:val="00D7143E"/>
    <w:rsid w:val="00D714EB"/>
    <w:rsid w:val="00D71D00"/>
    <w:rsid w:val="00D72A48"/>
    <w:rsid w:val="00D7351D"/>
    <w:rsid w:val="00D74A3E"/>
    <w:rsid w:val="00D77FC5"/>
    <w:rsid w:val="00D80165"/>
    <w:rsid w:val="00D815D4"/>
    <w:rsid w:val="00D8285F"/>
    <w:rsid w:val="00D83356"/>
    <w:rsid w:val="00D86BA1"/>
    <w:rsid w:val="00D86C2C"/>
    <w:rsid w:val="00D87556"/>
    <w:rsid w:val="00D917C3"/>
    <w:rsid w:val="00DA29C4"/>
    <w:rsid w:val="00DA520A"/>
    <w:rsid w:val="00DA7AB8"/>
    <w:rsid w:val="00DB3599"/>
    <w:rsid w:val="00DB51EF"/>
    <w:rsid w:val="00DB7701"/>
    <w:rsid w:val="00DC1866"/>
    <w:rsid w:val="00DC2052"/>
    <w:rsid w:val="00DC26D0"/>
    <w:rsid w:val="00DC3C22"/>
    <w:rsid w:val="00DD0BEF"/>
    <w:rsid w:val="00DD6C7D"/>
    <w:rsid w:val="00DD721D"/>
    <w:rsid w:val="00DF2723"/>
    <w:rsid w:val="00DF4036"/>
    <w:rsid w:val="00DF7365"/>
    <w:rsid w:val="00E004C5"/>
    <w:rsid w:val="00E00F9A"/>
    <w:rsid w:val="00E1488D"/>
    <w:rsid w:val="00E15C73"/>
    <w:rsid w:val="00E15F96"/>
    <w:rsid w:val="00E24A08"/>
    <w:rsid w:val="00E27394"/>
    <w:rsid w:val="00E36631"/>
    <w:rsid w:val="00E36CAF"/>
    <w:rsid w:val="00E42BB4"/>
    <w:rsid w:val="00E52D83"/>
    <w:rsid w:val="00E604A7"/>
    <w:rsid w:val="00E61A54"/>
    <w:rsid w:val="00E6688C"/>
    <w:rsid w:val="00E72E37"/>
    <w:rsid w:val="00E81687"/>
    <w:rsid w:val="00E845D0"/>
    <w:rsid w:val="00E8483F"/>
    <w:rsid w:val="00E9228F"/>
    <w:rsid w:val="00E96F91"/>
    <w:rsid w:val="00EA1560"/>
    <w:rsid w:val="00EB1B22"/>
    <w:rsid w:val="00EB246A"/>
    <w:rsid w:val="00EC1FF1"/>
    <w:rsid w:val="00EC3306"/>
    <w:rsid w:val="00EC6B29"/>
    <w:rsid w:val="00ED5FF7"/>
    <w:rsid w:val="00EE1259"/>
    <w:rsid w:val="00EE5DC2"/>
    <w:rsid w:val="00EE685D"/>
    <w:rsid w:val="00EE7BFF"/>
    <w:rsid w:val="00EF0EE1"/>
    <w:rsid w:val="00EF27A0"/>
    <w:rsid w:val="00EF7DDD"/>
    <w:rsid w:val="00F03063"/>
    <w:rsid w:val="00F116E5"/>
    <w:rsid w:val="00F125E0"/>
    <w:rsid w:val="00F169C5"/>
    <w:rsid w:val="00F244BF"/>
    <w:rsid w:val="00F2554F"/>
    <w:rsid w:val="00F25594"/>
    <w:rsid w:val="00F25B9E"/>
    <w:rsid w:val="00F31F4C"/>
    <w:rsid w:val="00F320FD"/>
    <w:rsid w:val="00F3505A"/>
    <w:rsid w:val="00F470AF"/>
    <w:rsid w:val="00F526FE"/>
    <w:rsid w:val="00F667C0"/>
    <w:rsid w:val="00F773E8"/>
    <w:rsid w:val="00F8112C"/>
    <w:rsid w:val="00F82AB6"/>
    <w:rsid w:val="00F8381F"/>
    <w:rsid w:val="00F83EC1"/>
    <w:rsid w:val="00F84688"/>
    <w:rsid w:val="00F92EA5"/>
    <w:rsid w:val="00F958F4"/>
    <w:rsid w:val="00F96C67"/>
    <w:rsid w:val="00FB7C15"/>
    <w:rsid w:val="00FC2237"/>
    <w:rsid w:val="00FC3DE7"/>
    <w:rsid w:val="00FC7073"/>
    <w:rsid w:val="00FE24F9"/>
    <w:rsid w:val="00FE760B"/>
    <w:rsid w:val="00FF0D72"/>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481B53"/>
  <w15:docId w15:val="{67945A85-E90F-42D9-BED0-3BBF932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semiHidden/>
    <w:unhideWhenUsed/>
    <w:rsid w:val="00D71D00"/>
    <w:rPr>
      <w:sz w:val="18"/>
      <w:szCs w:val="18"/>
    </w:rPr>
  </w:style>
  <w:style w:type="paragraph" w:styleId="CommentText">
    <w:name w:val="annotation text"/>
    <w:basedOn w:val="Normal"/>
    <w:link w:val="CommentTextChar"/>
    <w:semiHidden/>
    <w:unhideWhenUsed/>
    <w:rsid w:val="00D71D00"/>
    <w:pPr>
      <w:spacing w:line="240" w:lineRule="auto"/>
    </w:pPr>
    <w:rPr>
      <w:sz w:val="24"/>
    </w:rPr>
  </w:style>
  <w:style w:type="character" w:customStyle="1" w:styleId="CommentTextChar">
    <w:name w:val="Comment Text Char"/>
    <w:basedOn w:val="DefaultParagraphFont"/>
    <w:link w:val="CommentText"/>
    <w:semiHidden/>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0638">
      <w:bodyDiv w:val="1"/>
      <w:marLeft w:val="0"/>
      <w:marRight w:val="0"/>
      <w:marTop w:val="0"/>
      <w:marBottom w:val="0"/>
      <w:divBdr>
        <w:top w:val="none" w:sz="0" w:space="0" w:color="auto"/>
        <w:left w:val="none" w:sz="0" w:space="0" w:color="auto"/>
        <w:bottom w:val="none" w:sz="0" w:space="0" w:color="auto"/>
        <w:right w:val="none" w:sz="0" w:space="0" w:color="auto"/>
      </w:divBdr>
    </w:div>
    <w:div w:id="58752320">
      <w:bodyDiv w:val="1"/>
      <w:marLeft w:val="0"/>
      <w:marRight w:val="0"/>
      <w:marTop w:val="0"/>
      <w:marBottom w:val="0"/>
      <w:divBdr>
        <w:top w:val="none" w:sz="0" w:space="0" w:color="auto"/>
        <w:left w:val="none" w:sz="0" w:space="0" w:color="auto"/>
        <w:bottom w:val="none" w:sz="0" w:space="0" w:color="auto"/>
        <w:right w:val="none" w:sz="0" w:space="0" w:color="auto"/>
      </w:divBdr>
    </w:div>
    <w:div w:id="241838683">
      <w:bodyDiv w:val="1"/>
      <w:marLeft w:val="0"/>
      <w:marRight w:val="0"/>
      <w:marTop w:val="0"/>
      <w:marBottom w:val="0"/>
      <w:divBdr>
        <w:top w:val="none" w:sz="0" w:space="0" w:color="auto"/>
        <w:left w:val="none" w:sz="0" w:space="0" w:color="auto"/>
        <w:bottom w:val="none" w:sz="0" w:space="0" w:color="auto"/>
        <w:right w:val="none" w:sz="0" w:space="0" w:color="auto"/>
      </w:divBdr>
    </w:div>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31638579">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A6C6-0B22-45B1-A636-09DC1717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6805</Words>
  <Characters>36186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Residential Tenancies Act Review – Laying the Groundwork submission</vt:lpstr>
    </vt:vector>
  </TitlesOfParts>
  <Company>Victoria Legal Aid</Company>
  <LinksUpToDate>false</LinksUpToDate>
  <CharactersWithSpaces>42906</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Review – Laying the Groundwork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