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F0A4A" w14:textId="77777777" w:rsidR="00C245E0" w:rsidRPr="00CE7289" w:rsidRDefault="00C245E0" w:rsidP="00CE7289">
      <w:bookmarkStart w:id="0" w:name="Subject"/>
    </w:p>
    <w:p w14:paraId="6514B0DE" w14:textId="7E091D97" w:rsidR="00E6688C" w:rsidRDefault="002E0C47" w:rsidP="00CE7289">
      <w:pPr>
        <w:pStyle w:val="Title"/>
        <w:spacing w:before="3600"/>
      </w:pPr>
      <w:r w:rsidRPr="00CE7289">
        <w:t>C</w:t>
      </w:r>
      <w:r w:rsidR="00934B9D" w:rsidRPr="00CE7289">
        <w:t>hild Sexual Abuse and C</w:t>
      </w:r>
      <w:r w:rsidRPr="00CE7289">
        <w:t>riminal Justice</w:t>
      </w:r>
      <w:bookmarkEnd w:id="0"/>
    </w:p>
    <w:p w14:paraId="65D227BC" w14:textId="77777777" w:rsidR="00E6688C" w:rsidRPr="00CE7289" w:rsidRDefault="00843264" w:rsidP="00CE7289">
      <w:pPr>
        <w:pStyle w:val="VLAsubtitle"/>
      </w:pPr>
      <w:r w:rsidRPr="00CE7289">
        <w:t xml:space="preserve">Response to </w:t>
      </w:r>
      <w:r w:rsidR="002E0C47" w:rsidRPr="00CE7289">
        <w:t>Royal Commission into Institutional Responses to Child Sexual Abuse Consultation</w:t>
      </w:r>
      <w:r w:rsidR="00141C81" w:rsidRPr="00CE7289">
        <w:t xml:space="preserve"> Paper</w:t>
      </w:r>
      <w:r w:rsidR="00934B9D" w:rsidRPr="00CE7289">
        <w:t xml:space="preserve"> on Criminal Justice</w:t>
      </w:r>
    </w:p>
    <w:p w14:paraId="4A4B5780" w14:textId="77777777" w:rsidR="00853BDA" w:rsidRDefault="002E0C47" w:rsidP="00843264">
      <w:pPr>
        <w:pStyle w:val="VLAdate"/>
        <w:sectPr w:rsidR="00853BDA" w:rsidSect="00DA29C4">
          <w:headerReference w:type="even" r:id="rId8"/>
          <w:headerReference w:type="default" r:id="rId9"/>
          <w:footerReference w:type="default" r:id="rId10"/>
          <w:headerReference w:type="first" r:id="rId11"/>
          <w:type w:val="oddPage"/>
          <w:pgSz w:w="11906" w:h="16838" w:code="9"/>
          <w:pgMar w:top="1418" w:right="992" w:bottom="3969" w:left="1134" w:header="851" w:footer="2835" w:gutter="0"/>
          <w:paperSrc w:first="7" w:other="7"/>
          <w:cols w:space="720"/>
          <w:titlePg/>
          <w:docGrid w:linePitch="299"/>
        </w:sectPr>
      </w:pPr>
      <w:r>
        <w:t>October</w:t>
      </w:r>
      <w:r w:rsidR="00606D29">
        <w:t xml:space="preserve"> 2016</w:t>
      </w:r>
    </w:p>
    <w:p w14:paraId="47689B2C" w14:textId="523EF35D"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CE7289">
        <w:rPr>
          <w:noProof/>
          <w:color w:val="971A4B"/>
        </w:rPr>
        <w:t>2016</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1315C060" w14:textId="77777777" w:rsidR="00022C83" w:rsidRPr="006E2882" w:rsidRDefault="006E2882" w:rsidP="00CE4C2F">
      <w:pPr>
        <w:pStyle w:val="Confidentialityclause"/>
        <w:rPr>
          <w:bCs w:val="0"/>
        </w:rPr>
      </w:pPr>
      <w:r w:rsidRPr="006E2882">
        <w:rPr>
          <w:bCs w:val="0"/>
        </w:rPr>
        <w:t>Written requests should be directed to Victoria Legal Aid, Research and Communications, 350 Queen Street, Melbourne Vic</w:t>
      </w:r>
      <w:r w:rsidR="00C74608">
        <w:rPr>
          <w:bCs w:val="0"/>
        </w:rPr>
        <w:t xml:space="preserve"> </w:t>
      </w:r>
      <w:r w:rsidRPr="006E2882">
        <w:rPr>
          <w:bCs w:val="0"/>
        </w:rPr>
        <w:t>3000.</w:t>
      </w:r>
    </w:p>
    <w:p w14:paraId="4481F11A" w14:textId="77777777" w:rsidR="0056464E" w:rsidRDefault="00022C83" w:rsidP="002A7402">
      <w:pPr>
        <w:pStyle w:val="Confidentialityclause"/>
        <w:rPr>
          <w:bCs w:val="0"/>
        </w:rPr>
      </w:pPr>
      <w:r w:rsidRPr="005D5637">
        <w:rPr>
          <w:color w:val="971A4B"/>
        </w:rPr>
        <w:t>Disclaimer.</w:t>
      </w:r>
      <w:r w:rsidR="00843264">
        <w:rPr>
          <w:color w:val="971A4B"/>
        </w:rPr>
        <w:t xml:space="preserve"> </w:t>
      </w:r>
      <w:r w:rsidR="00843264" w:rsidRPr="00022C83">
        <w:rPr>
          <w:bCs w:val="0"/>
        </w:rPr>
        <w:t>The material in this publication</w:t>
      </w:r>
      <w:r w:rsidR="00843264">
        <w:rPr>
          <w:bCs w:val="0"/>
        </w:rPr>
        <w:t xml:space="preserve"> </w:t>
      </w:r>
      <w:r w:rsidR="00843264" w:rsidRPr="001F7F9F">
        <w:rPr>
          <w:bCs w:val="0"/>
        </w:rPr>
        <w:t>has been prepared for Victoria Legal Aid staff and community legal centre staff and volunteers for study purposes only</w:t>
      </w:r>
      <w:r w:rsidR="00843264"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480B3E33" w14:textId="77777777" w:rsidR="00696BAC" w:rsidRPr="00E24A08" w:rsidRDefault="00696BAC" w:rsidP="002A7402">
      <w:pPr>
        <w:pStyle w:val="Confidentialityclause"/>
        <w:rPr>
          <w:bCs w:val="0"/>
        </w:rPr>
      </w:pPr>
    </w:p>
    <w:p w14:paraId="725DF680" w14:textId="77777777" w:rsidR="00CE4C2F" w:rsidRPr="00CC0C03" w:rsidRDefault="00CE4C2F" w:rsidP="00CC0C03">
      <w:pPr>
        <w:sectPr w:rsidR="00CE4C2F" w:rsidRPr="00CC0C03" w:rsidSect="007538CC">
          <w:headerReference w:type="default" r:id="rId12"/>
          <w:footerReference w:type="default" r:id="rId13"/>
          <w:headerReference w:type="first" r:id="rId14"/>
          <w:footerReference w:type="first" r:id="rId15"/>
          <w:type w:val="evenPage"/>
          <w:pgSz w:w="11906" w:h="16838" w:code="9"/>
          <w:pgMar w:top="950" w:right="992" w:bottom="1134" w:left="1134" w:header="984" w:footer="429" w:gutter="0"/>
          <w:paperSrc w:first="7" w:other="7"/>
          <w:pgNumType w:start="1"/>
          <w:cols w:space="720"/>
          <w:titlePg/>
          <w:docGrid w:linePitch="299"/>
        </w:sectPr>
      </w:pPr>
    </w:p>
    <w:p w14:paraId="19C693C0" w14:textId="77777777" w:rsidR="002B4970" w:rsidRPr="0056464E" w:rsidRDefault="002B4970" w:rsidP="0056464E">
      <w:pPr>
        <w:pStyle w:val="Contents"/>
      </w:pPr>
      <w:r w:rsidRPr="0056464E">
        <w:lastRenderedPageBreak/>
        <w:t>Contents</w:t>
      </w:r>
    </w:p>
    <w:p w14:paraId="02BABE89" w14:textId="58CA1442" w:rsidR="008F4A1D"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465704245" w:history="1">
        <w:r w:rsidR="008F4A1D" w:rsidRPr="003B5DF1">
          <w:rPr>
            <w:rStyle w:val="Hyperlink"/>
            <w:noProof/>
          </w:rPr>
          <w:t>Introduction</w:t>
        </w:r>
        <w:r w:rsidR="008F4A1D">
          <w:rPr>
            <w:noProof/>
            <w:webHidden/>
          </w:rPr>
          <w:tab/>
        </w:r>
        <w:r w:rsidR="008F4A1D">
          <w:rPr>
            <w:noProof/>
            <w:webHidden/>
          </w:rPr>
          <w:fldChar w:fldCharType="begin"/>
        </w:r>
        <w:r w:rsidR="008F4A1D">
          <w:rPr>
            <w:noProof/>
            <w:webHidden/>
          </w:rPr>
          <w:instrText xml:space="preserve"> PAGEREF _Toc465704245 \h </w:instrText>
        </w:r>
        <w:r w:rsidR="008F4A1D">
          <w:rPr>
            <w:noProof/>
            <w:webHidden/>
          </w:rPr>
        </w:r>
        <w:r w:rsidR="008F4A1D">
          <w:rPr>
            <w:noProof/>
            <w:webHidden/>
          </w:rPr>
          <w:fldChar w:fldCharType="separate"/>
        </w:r>
        <w:r w:rsidR="00531912">
          <w:rPr>
            <w:noProof/>
            <w:webHidden/>
          </w:rPr>
          <w:t>1</w:t>
        </w:r>
        <w:r w:rsidR="008F4A1D">
          <w:rPr>
            <w:noProof/>
            <w:webHidden/>
          </w:rPr>
          <w:fldChar w:fldCharType="end"/>
        </w:r>
      </w:hyperlink>
    </w:p>
    <w:p w14:paraId="512C35B5" w14:textId="180C38ED" w:rsidR="008F4A1D" w:rsidRDefault="00D91929">
      <w:pPr>
        <w:pStyle w:val="TOC1"/>
        <w:rPr>
          <w:rFonts w:asciiTheme="minorHAnsi" w:eastAsiaTheme="minorEastAsia" w:hAnsiTheme="minorHAnsi" w:cstheme="minorBidi"/>
          <w:b w:val="0"/>
          <w:noProof/>
          <w:sz w:val="22"/>
          <w:szCs w:val="22"/>
          <w:lang w:eastAsia="en-AU"/>
        </w:rPr>
      </w:pPr>
      <w:hyperlink w:anchor="_Toc465704246" w:history="1">
        <w:r w:rsidR="008F4A1D" w:rsidRPr="003B5DF1">
          <w:rPr>
            <w:rStyle w:val="Hyperlink"/>
            <w:noProof/>
          </w:rPr>
          <w:t>Blind reporting</w:t>
        </w:r>
        <w:r w:rsidR="008F4A1D">
          <w:rPr>
            <w:noProof/>
            <w:webHidden/>
          </w:rPr>
          <w:tab/>
        </w:r>
        <w:r w:rsidR="008F4A1D">
          <w:rPr>
            <w:noProof/>
            <w:webHidden/>
          </w:rPr>
          <w:fldChar w:fldCharType="begin"/>
        </w:r>
        <w:r w:rsidR="008F4A1D">
          <w:rPr>
            <w:noProof/>
            <w:webHidden/>
          </w:rPr>
          <w:instrText xml:space="preserve"> PAGEREF _Toc465704246 \h </w:instrText>
        </w:r>
        <w:r w:rsidR="008F4A1D">
          <w:rPr>
            <w:noProof/>
            <w:webHidden/>
          </w:rPr>
        </w:r>
        <w:r w:rsidR="008F4A1D">
          <w:rPr>
            <w:noProof/>
            <w:webHidden/>
          </w:rPr>
          <w:fldChar w:fldCharType="separate"/>
        </w:r>
        <w:r w:rsidR="00531912">
          <w:rPr>
            <w:noProof/>
            <w:webHidden/>
          </w:rPr>
          <w:t>2</w:t>
        </w:r>
        <w:r w:rsidR="008F4A1D">
          <w:rPr>
            <w:noProof/>
            <w:webHidden/>
          </w:rPr>
          <w:fldChar w:fldCharType="end"/>
        </w:r>
      </w:hyperlink>
    </w:p>
    <w:p w14:paraId="2815337B" w14:textId="64DC12EF" w:rsidR="008F4A1D" w:rsidRDefault="00D91929">
      <w:pPr>
        <w:pStyle w:val="TOC1"/>
        <w:rPr>
          <w:rFonts w:asciiTheme="minorHAnsi" w:eastAsiaTheme="minorEastAsia" w:hAnsiTheme="minorHAnsi" w:cstheme="minorBidi"/>
          <w:b w:val="0"/>
          <w:noProof/>
          <w:sz w:val="22"/>
          <w:szCs w:val="22"/>
          <w:lang w:eastAsia="en-AU"/>
        </w:rPr>
      </w:pPr>
      <w:hyperlink w:anchor="_Toc465704247" w:history="1">
        <w:r w:rsidR="008F4A1D" w:rsidRPr="003B5DF1">
          <w:rPr>
            <w:rStyle w:val="Hyperlink"/>
            <w:noProof/>
          </w:rPr>
          <w:t>Child sexual abuse offences</w:t>
        </w:r>
        <w:r w:rsidR="008F4A1D">
          <w:rPr>
            <w:noProof/>
            <w:webHidden/>
          </w:rPr>
          <w:tab/>
        </w:r>
        <w:r w:rsidR="008F4A1D">
          <w:rPr>
            <w:noProof/>
            <w:webHidden/>
          </w:rPr>
          <w:fldChar w:fldCharType="begin"/>
        </w:r>
        <w:r w:rsidR="008F4A1D">
          <w:rPr>
            <w:noProof/>
            <w:webHidden/>
          </w:rPr>
          <w:instrText xml:space="preserve"> PAGEREF _Toc465704247 \h </w:instrText>
        </w:r>
        <w:r w:rsidR="008F4A1D">
          <w:rPr>
            <w:noProof/>
            <w:webHidden/>
          </w:rPr>
        </w:r>
        <w:r w:rsidR="008F4A1D">
          <w:rPr>
            <w:noProof/>
            <w:webHidden/>
          </w:rPr>
          <w:fldChar w:fldCharType="separate"/>
        </w:r>
        <w:r w:rsidR="00531912">
          <w:rPr>
            <w:noProof/>
            <w:webHidden/>
          </w:rPr>
          <w:t>3</w:t>
        </w:r>
        <w:r w:rsidR="008F4A1D">
          <w:rPr>
            <w:noProof/>
            <w:webHidden/>
          </w:rPr>
          <w:fldChar w:fldCharType="end"/>
        </w:r>
      </w:hyperlink>
    </w:p>
    <w:p w14:paraId="5064AE2E" w14:textId="44FDA283" w:rsidR="008F4A1D" w:rsidRDefault="00D91929">
      <w:pPr>
        <w:pStyle w:val="TOC3"/>
        <w:rPr>
          <w:rFonts w:asciiTheme="minorHAnsi" w:eastAsiaTheme="minorEastAsia" w:hAnsiTheme="minorHAnsi" w:cstheme="minorBidi"/>
          <w:sz w:val="22"/>
          <w:szCs w:val="22"/>
          <w:lang w:eastAsia="en-AU"/>
        </w:rPr>
      </w:pPr>
      <w:hyperlink w:anchor="_Toc465704248" w:history="1">
        <w:r w:rsidR="008F4A1D" w:rsidRPr="003B5DF1">
          <w:rPr>
            <w:rStyle w:val="Hyperlink"/>
          </w:rPr>
          <w:t>The Victorian course of conduct charge</w:t>
        </w:r>
        <w:r w:rsidR="008F4A1D">
          <w:rPr>
            <w:webHidden/>
          </w:rPr>
          <w:tab/>
        </w:r>
        <w:r w:rsidR="008F4A1D">
          <w:rPr>
            <w:webHidden/>
          </w:rPr>
          <w:fldChar w:fldCharType="begin"/>
        </w:r>
        <w:r w:rsidR="008F4A1D">
          <w:rPr>
            <w:webHidden/>
          </w:rPr>
          <w:instrText xml:space="preserve"> PAGEREF _Toc465704248 \h </w:instrText>
        </w:r>
        <w:r w:rsidR="008F4A1D">
          <w:rPr>
            <w:webHidden/>
          </w:rPr>
        </w:r>
        <w:r w:rsidR="008F4A1D">
          <w:rPr>
            <w:webHidden/>
          </w:rPr>
          <w:fldChar w:fldCharType="separate"/>
        </w:r>
        <w:r w:rsidR="00531912">
          <w:rPr>
            <w:webHidden/>
          </w:rPr>
          <w:t>3</w:t>
        </w:r>
        <w:r w:rsidR="008F4A1D">
          <w:rPr>
            <w:webHidden/>
          </w:rPr>
          <w:fldChar w:fldCharType="end"/>
        </w:r>
      </w:hyperlink>
    </w:p>
    <w:p w14:paraId="417AF2E7" w14:textId="665C13F7" w:rsidR="008F4A1D" w:rsidRDefault="00D91929">
      <w:pPr>
        <w:pStyle w:val="TOC1"/>
        <w:rPr>
          <w:rFonts w:asciiTheme="minorHAnsi" w:eastAsiaTheme="minorEastAsia" w:hAnsiTheme="minorHAnsi" w:cstheme="minorBidi"/>
          <w:b w:val="0"/>
          <w:noProof/>
          <w:sz w:val="22"/>
          <w:szCs w:val="22"/>
          <w:lang w:eastAsia="en-AU"/>
        </w:rPr>
      </w:pPr>
      <w:hyperlink w:anchor="_Toc465704249" w:history="1">
        <w:r w:rsidR="008F4A1D" w:rsidRPr="003B5DF1">
          <w:rPr>
            <w:rStyle w:val="Hyperlink"/>
            <w:noProof/>
          </w:rPr>
          <w:t>Third-party offences</w:t>
        </w:r>
        <w:r w:rsidR="008F4A1D">
          <w:rPr>
            <w:noProof/>
            <w:webHidden/>
          </w:rPr>
          <w:tab/>
        </w:r>
        <w:r w:rsidR="008F4A1D">
          <w:rPr>
            <w:noProof/>
            <w:webHidden/>
          </w:rPr>
          <w:fldChar w:fldCharType="begin"/>
        </w:r>
        <w:r w:rsidR="008F4A1D">
          <w:rPr>
            <w:noProof/>
            <w:webHidden/>
          </w:rPr>
          <w:instrText xml:space="preserve"> PAGEREF _Toc465704249 \h </w:instrText>
        </w:r>
        <w:r w:rsidR="008F4A1D">
          <w:rPr>
            <w:noProof/>
            <w:webHidden/>
          </w:rPr>
        </w:r>
        <w:r w:rsidR="008F4A1D">
          <w:rPr>
            <w:noProof/>
            <w:webHidden/>
          </w:rPr>
          <w:fldChar w:fldCharType="separate"/>
        </w:r>
        <w:r w:rsidR="00531912">
          <w:rPr>
            <w:noProof/>
            <w:webHidden/>
          </w:rPr>
          <w:t>4</w:t>
        </w:r>
        <w:r w:rsidR="008F4A1D">
          <w:rPr>
            <w:noProof/>
            <w:webHidden/>
          </w:rPr>
          <w:fldChar w:fldCharType="end"/>
        </w:r>
      </w:hyperlink>
    </w:p>
    <w:p w14:paraId="24C559BE" w14:textId="438D1D4B" w:rsidR="008F4A1D" w:rsidRDefault="00D91929">
      <w:pPr>
        <w:pStyle w:val="TOC1"/>
        <w:rPr>
          <w:rFonts w:asciiTheme="minorHAnsi" w:eastAsiaTheme="minorEastAsia" w:hAnsiTheme="minorHAnsi" w:cstheme="minorBidi"/>
          <w:b w:val="0"/>
          <w:noProof/>
          <w:sz w:val="22"/>
          <w:szCs w:val="22"/>
          <w:lang w:eastAsia="en-AU"/>
        </w:rPr>
      </w:pPr>
      <w:hyperlink w:anchor="_Toc465704250" w:history="1">
        <w:r w:rsidR="008F4A1D" w:rsidRPr="003B5DF1">
          <w:rPr>
            <w:rStyle w:val="Hyperlink"/>
            <w:noProof/>
          </w:rPr>
          <w:t>Delays in prosecutions</w:t>
        </w:r>
        <w:r w:rsidR="008F4A1D">
          <w:rPr>
            <w:noProof/>
            <w:webHidden/>
          </w:rPr>
          <w:tab/>
        </w:r>
        <w:r w:rsidR="008F4A1D">
          <w:rPr>
            <w:noProof/>
            <w:webHidden/>
          </w:rPr>
          <w:fldChar w:fldCharType="begin"/>
        </w:r>
        <w:r w:rsidR="008F4A1D">
          <w:rPr>
            <w:noProof/>
            <w:webHidden/>
          </w:rPr>
          <w:instrText xml:space="preserve"> PAGEREF _Toc465704250 \h </w:instrText>
        </w:r>
        <w:r w:rsidR="008F4A1D">
          <w:rPr>
            <w:noProof/>
            <w:webHidden/>
          </w:rPr>
        </w:r>
        <w:r w:rsidR="008F4A1D">
          <w:rPr>
            <w:noProof/>
            <w:webHidden/>
          </w:rPr>
          <w:fldChar w:fldCharType="separate"/>
        </w:r>
        <w:r w:rsidR="00531912">
          <w:rPr>
            <w:noProof/>
            <w:webHidden/>
          </w:rPr>
          <w:t>4</w:t>
        </w:r>
        <w:r w:rsidR="008F4A1D">
          <w:rPr>
            <w:noProof/>
            <w:webHidden/>
          </w:rPr>
          <w:fldChar w:fldCharType="end"/>
        </w:r>
      </w:hyperlink>
    </w:p>
    <w:p w14:paraId="42108EFD" w14:textId="2D038EC6" w:rsidR="008F4A1D" w:rsidRDefault="00D91929">
      <w:pPr>
        <w:pStyle w:val="TOC3"/>
        <w:rPr>
          <w:rFonts w:asciiTheme="minorHAnsi" w:eastAsiaTheme="minorEastAsia" w:hAnsiTheme="minorHAnsi" w:cstheme="minorBidi"/>
          <w:sz w:val="22"/>
          <w:szCs w:val="22"/>
          <w:lang w:eastAsia="en-AU"/>
        </w:rPr>
      </w:pPr>
      <w:hyperlink w:anchor="_Toc465704251" w:history="1">
        <w:r w:rsidR="008F4A1D" w:rsidRPr="003B5DF1">
          <w:rPr>
            <w:rStyle w:val="Hyperlink"/>
          </w:rPr>
          <w:t>Case management and committals</w:t>
        </w:r>
        <w:r w:rsidR="008F4A1D">
          <w:rPr>
            <w:webHidden/>
          </w:rPr>
          <w:tab/>
        </w:r>
        <w:r w:rsidR="008F4A1D">
          <w:rPr>
            <w:webHidden/>
          </w:rPr>
          <w:fldChar w:fldCharType="begin"/>
        </w:r>
        <w:r w:rsidR="008F4A1D">
          <w:rPr>
            <w:webHidden/>
          </w:rPr>
          <w:instrText xml:space="preserve"> PAGEREF _Toc465704251 \h </w:instrText>
        </w:r>
        <w:r w:rsidR="008F4A1D">
          <w:rPr>
            <w:webHidden/>
          </w:rPr>
        </w:r>
        <w:r w:rsidR="008F4A1D">
          <w:rPr>
            <w:webHidden/>
          </w:rPr>
          <w:fldChar w:fldCharType="separate"/>
        </w:r>
        <w:r w:rsidR="00531912">
          <w:rPr>
            <w:webHidden/>
          </w:rPr>
          <w:t>5</w:t>
        </w:r>
        <w:r w:rsidR="008F4A1D">
          <w:rPr>
            <w:webHidden/>
          </w:rPr>
          <w:fldChar w:fldCharType="end"/>
        </w:r>
      </w:hyperlink>
    </w:p>
    <w:p w14:paraId="104A45E5" w14:textId="72530BB0" w:rsidR="008F4A1D" w:rsidRDefault="00D91929">
      <w:pPr>
        <w:pStyle w:val="TOC3"/>
        <w:rPr>
          <w:rFonts w:asciiTheme="minorHAnsi" w:eastAsiaTheme="minorEastAsia" w:hAnsiTheme="minorHAnsi" w:cstheme="minorBidi"/>
          <w:sz w:val="22"/>
          <w:szCs w:val="22"/>
          <w:lang w:eastAsia="en-AU"/>
        </w:rPr>
      </w:pPr>
      <w:hyperlink w:anchor="_Toc465704252" w:history="1">
        <w:r w:rsidR="008F4A1D" w:rsidRPr="003B5DF1">
          <w:rPr>
            <w:rStyle w:val="Hyperlink"/>
          </w:rPr>
          <w:t>Guilty pleas</w:t>
        </w:r>
        <w:r w:rsidR="008F4A1D">
          <w:rPr>
            <w:webHidden/>
          </w:rPr>
          <w:tab/>
        </w:r>
        <w:r w:rsidR="008F4A1D">
          <w:rPr>
            <w:webHidden/>
          </w:rPr>
          <w:fldChar w:fldCharType="begin"/>
        </w:r>
        <w:r w:rsidR="008F4A1D">
          <w:rPr>
            <w:webHidden/>
          </w:rPr>
          <w:instrText xml:space="preserve"> PAGEREF _Toc465704252 \h </w:instrText>
        </w:r>
        <w:r w:rsidR="008F4A1D">
          <w:rPr>
            <w:webHidden/>
          </w:rPr>
        </w:r>
        <w:r w:rsidR="008F4A1D">
          <w:rPr>
            <w:webHidden/>
          </w:rPr>
          <w:fldChar w:fldCharType="separate"/>
        </w:r>
        <w:r w:rsidR="00531912">
          <w:rPr>
            <w:webHidden/>
          </w:rPr>
          <w:t>7</w:t>
        </w:r>
        <w:r w:rsidR="008F4A1D">
          <w:rPr>
            <w:webHidden/>
          </w:rPr>
          <w:fldChar w:fldCharType="end"/>
        </w:r>
      </w:hyperlink>
    </w:p>
    <w:p w14:paraId="0C682EB2" w14:textId="7B0D8721" w:rsidR="008F4A1D" w:rsidRDefault="00D91929">
      <w:pPr>
        <w:pStyle w:val="TOC1"/>
        <w:rPr>
          <w:rFonts w:asciiTheme="minorHAnsi" w:eastAsiaTheme="minorEastAsia" w:hAnsiTheme="minorHAnsi" w:cstheme="minorBidi"/>
          <w:b w:val="0"/>
          <w:noProof/>
          <w:sz w:val="22"/>
          <w:szCs w:val="22"/>
          <w:lang w:eastAsia="en-AU"/>
        </w:rPr>
      </w:pPr>
      <w:hyperlink w:anchor="_Toc465704253" w:history="1">
        <w:r w:rsidR="008F4A1D" w:rsidRPr="003B5DF1">
          <w:rPr>
            <w:rStyle w:val="Hyperlink"/>
            <w:noProof/>
          </w:rPr>
          <w:t>Evidence of victims and survivors</w:t>
        </w:r>
        <w:r w:rsidR="008F4A1D">
          <w:rPr>
            <w:noProof/>
            <w:webHidden/>
          </w:rPr>
          <w:tab/>
        </w:r>
        <w:r w:rsidR="008F4A1D">
          <w:rPr>
            <w:noProof/>
            <w:webHidden/>
          </w:rPr>
          <w:fldChar w:fldCharType="begin"/>
        </w:r>
        <w:r w:rsidR="008F4A1D">
          <w:rPr>
            <w:noProof/>
            <w:webHidden/>
          </w:rPr>
          <w:instrText xml:space="preserve"> PAGEREF _Toc465704253 \h </w:instrText>
        </w:r>
        <w:r w:rsidR="008F4A1D">
          <w:rPr>
            <w:noProof/>
            <w:webHidden/>
          </w:rPr>
        </w:r>
        <w:r w:rsidR="008F4A1D">
          <w:rPr>
            <w:noProof/>
            <w:webHidden/>
          </w:rPr>
          <w:fldChar w:fldCharType="separate"/>
        </w:r>
        <w:r w:rsidR="00531912">
          <w:rPr>
            <w:noProof/>
            <w:webHidden/>
          </w:rPr>
          <w:t>7</w:t>
        </w:r>
        <w:r w:rsidR="008F4A1D">
          <w:rPr>
            <w:noProof/>
            <w:webHidden/>
          </w:rPr>
          <w:fldChar w:fldCharType="end"/>
        </w:r>
      </w:hyperlink>
    </w:p>
    <w:p w14:paraId="13D4279A" w14:textId="520E17C0" w:rsidR="008F4A1D" w:rsidRDefault="00D91929">
      <w:pPr>
        <w:pStyle w:val="TOC3"/>
        <w:rPr>
          <w:rFonts w:asciiTheme="minorHAnsi" w:eastAsiaTheme="minorEastAsia" w:hAnsiTheme="minorHAnsi" w:cstheme="minorBidi"/>
          <w:sz w:val="22"/>
          <w:szCs w:val="22"/>
          <w:lang w:eastAsia="en-AU"/>
        </w:rPr>
      </w:pPr>
      <w:hyperlink w:anchor="_Toc465704254" w:history="1">
        <w:r w:rsidR="008F4A1D" w:rsidRPr="003B5DF1">
          <w:rPr>
            <w:rStyle w:val="Hyperlink"/>
          </w:rPr>
          <w:t>Improving special measures – pre-recording all of a witness’s evidence</w:t>
        </w:r>
        <w:r w:rsidR="008F4A1D">
          <w:rPr>
            <w:webHidden/>
          </w:rPr>
          <w:tab/>
        </w:r>
        <w:r w:rsidR="008F4A1D">
          <w:rPr>
            <w:webHidden/>
          </w:rPr>
          <w:fldChar w:fldCharType="begin"/>
        </w:r>
        <w:r w:rsidR="008F4A1D">
          <w:rPr>
            <w:webHidden/>
          </w:rPr>
          <w:instrText xml:space="preserve"> PAGEREF _Toc465704254 \h </w:instrText>
        </w:r>
        <w:r w:rsidR="008F4A1D">
          <w:rPr>
            <w:webHidden/>
          </w:rPr>
        </w:r>
        <w:r w:rsidR="008F4A1D">
          <w:rPr>
            <w:webHidden/>
          </w:rPr>
          <w:fldChar w:fldCharType="separate"/>
        </w:r>
        <w:r w:rsidR="00531912">
          <w:rPr>
            <w:webHidden/>
          </w:rPr>
          <w:t>7</w:t>
        </w:r>
        <w:r w:rsidR="008F4A1D">
          <w:rPr>
            <w:webHidden/>
          </w:rPr>
          <w:fldChar w:fldCharType="end"/>
        </w:r>
      </w:hyperlink>
    </w:p>
    <w:p w14:paraId="4CFFF69E" w14:textId="44747493" w:rsidR="008F4A1D" w:rsidRDefault="00D91929">
      <w:pPr>
        <w:pStyle w:val="TOC3"/>
        <w:rPr>
          <w:rFonts w:asciiTheme="minorHAnsi" w:eastAsiaTheme="minorEastAsia" w:hAnsiTheme="minorHAnsi" w:cstheme="minorBidi"/>
          <w:sz w:val="22"/>
          <w:szCs w:val="22"/>
          <w:lang w:eastAsia="en-AU"/>
        </w:rPr>
      </w:pPr>
      <w:hyperlink w:anchor="_Toc465704255" w:history="1">
        <w:r w:rsidR="008F4A1D" w:rsidRPr="003B5DF1">
          <w:rPr>
            <w:rStyle w:val="Hyperlink"/>
          </w:rPr>
          <w:t>Intermediaries</w:t>
        </w:r>
        <w:r w:rsidR="008F4A1D">
          <w:rPr>
            <w:webHidden/>
          </w:rPr>
          <w:tab/>
        </w:r>
        <w:r w:rsidR="008F4A1D">
          <w:rPr>
            <w:webHidden/>
          </w:rPr>
          <w:fldChar w:fldCharType="begin"/>
        </w:r>
        <w:r w:rsidR="008F4A1D">
          <w:rPr>
            <w:webHidden/>
          </w:rPr>
          <w:instrText xml:space="preserve"> PAGEREF _Toc465704255 \h </w:instrText>
        </w:r>
        <w:r w:rsidR="008F4A1D">
          <w:rPr>
            <w:webHidden/>
          </w:rPr>
        </w:r>
        <w:r w:rsidR="008F4A1D">
          <w:rPr>
            <w:webHidden/>
          </w:rPr>
          <w:fldChar w:fldCharType="separate"/>
        </w:r>
        <w:r w:rsidR="00531912">
          <w:rPr>
            <w:webHidden/>
          </w:rPr>
          <w:t>8</w:t>
        </w:r>
        <w:r w:rsidR="008F4A1D">
          <w:rPr>
            <w:webHidden/>
          </w:rPr>
          <w:fldChar w:fldCharType="end"/>
        </w:r>
      </w:hyperlink>
    </w:p>
    <w:p w14:paraId="12A4E3AB" w14:textId="4E408C8B" w:rsidR="008F4A1D" w:rsidRDefault="00D91929">
      <w:pPr>
        <w:pStyle w:val="TOC3"/>
        <w:rPr>
          <w:rFonts w:asciiTheme="minorHAnsi" w:eastAsiaTheme="minorEastAsia" w:hAnsiTheme="minorHAnsi" w:cstheme="minorBidi"/>
          <w:sz w:val="22"/>
          <w:szCs w:val="22"/>
          <w:lang w:eastAsia="en-AU"/>
        </w:rPr>
      </w:pPr>
      <w:hyperlink w:anchor="_Toc465704256" w:history="1">
        <w:r w:rsidR="008F4A1D" w:rsidRPr="003B5DF1">
          <w:rPr>
            <w:rStyle w:val="Hyperlink"/>
          </w:rPr>
          <w:t>Ground rules hearings</w:t>
        </w:r>
        <w:r w:rsidR="008F4A1D">
          <w:rPr>
            <w:webHidden/>
          </w:rPr>
          <w:tab/>
        </w:r>
        <w:r w:rsidR="008F4A1D">
          <w:rPr>
            <w:webHidden/>
          </w:rPr>
          <w:fldChar w:fldCharType="begin"/>
        </w:r>
        <w:r w:rsidR="008F4A1D">
          <w:rPr>
            <w:webHidden/>
          </w:rPr>
          <w:instrText xml:space="preserve"> PAGEREF _Toc465704256 \h </w:instrText>
        </w:r>
        <w:r w:rsidR="008F4A1D">
          <w:rPr>
            <w:webHidden/>
          </w:rPr>
        </w:r>
        <w:r w:rsidR="008F4A1D">
          <w:rPr>
            <w:webHidden/>
          </w:rPr>
          <w:fldChar w:fldCharType="separate"/>
        </w:r>
        <w:r w:rsidR="00531912">
          <w:rPr>
            <w:webHidden/>
          </w:rPr>
          <w:t>9</w:t>
        </w:r>
        <w:r w:rsidR="008F4A1D">
          <w:rPr>
            <w:webHidden/>
          </w:rPr>
          <w:fldChar w:fldCharType="end"/>
        </w:r>
      </w:hyperlink>
    </w:p>
    <w:p w14:paraId="5ABEC98C" w14:textId="1B906F5B" w:rsidR="008F4A1D" w:rsidRDefault="00D91929">
      <w:pPr>
        <w:pStyle w:val="TOC1"/>
        <w:rPr>
          <w:rFonts w:asciiTheme="minorHAnsi" w:eastAsiaTheme="minorEastAsia" w:hAnsiTheme="minorHAnsi" w:cstheme="minorBidi"/>
          <w:b w:val="0"/>
          <w:noProof/>
          <w:sz w:val="22"/>
          <w:szCs w:val="22"/>
          <w:lang w:eastAsia="en-AU"/>
        </w:rPr>
      </w:pPr>
      <w:hyperlink w:anchor="_Toc465704257" w:history="1">
        <w:r w:rsidR="008F4A1D" w:rsidRPr="003B5DF1">
          <w:rPr>
            <w:rStyle w:val="Hyperlink"/>
            <w:noProof/>
          </w:rPr>
          <w:t>Tendency and coincidence evidence</w:t>
        </w:r>
        <w:r w:rsidR="008F4A1D">
          <w:rPr>
            <w:noProof/>
            <w:webHidden/>
          </w:rPr>
          <w:tab/>
        </w:r>
        <w:r w:rsidR="008F4A1D">
          <w:rPr>
            <w:noProof/>
            <w:webHidden/>
          </w:rPr>
          <w:fldChar w:fldCharType="begin"/>
        </w:r>
        <w:r w:rsidR="008F4A1D">
          <w:rPr>
            <w:noProof/>
            <w:webHidden/>
          </w:rPr>
          <w:instrText xml:space="preserve"> PAGEREF _Toc465704257 \h </w:instrText>
        </w:r>
        <w:r w:rsidR="008F4A1D">
          <w:rPr>
            <w:noProof/>
            <w:webHidden/>
          </w:rPr>
        </w:r>
        <w:r w:rsidR="008F4A1D">
          <w:rPr>
            <w:noProof/>
            <w:webHidden/>
          </w:rPr>
          <w:fldChar w:fldCharType="separate"/>
        </w:r>
        <w:r w:rsidR="00531912">
          <w:rPr>
            <w:noProof/>
            <w:webHidden/>
          </w:rPr>
          <w:t>10</w:t>
        </w:r>
        <w:r w:rsidR="008F4A1D">
          <w:rPr>
            <w:noProof/>
            <w:webHidden/>
          </w:rPr>
          <w:fldChar w:fldCharType="end"/>
        </w:r>
      </w:hyperlink>
    </w:p>
    <w:p w14:paraId="6446E310" w14:textId="6E6B942B" w:rsidR="008F4A1D" w:rsidRDefault="00D91929">
      <w:pPr>
        <w:pStyle w:val="TOC3"/>
        <w:rPr>
          <w:rFonts w:asciiTheme="minorHAnsi" w:eastAsiaTheme="minorEastAsia" w:hAnsiTheme="minorHAnsi" w:cstheme="minorBidi"/>
          <w:sz w:val="22"/>
          <w:szCs w:val="22"/>
          <w:lang w:eastAsia="en-AU"/>
        </w:rPr>
      </w:pPr>
      <w:hyperlink w:anchor="_Toc465704258" w:history="1">
        <w:r w:rsidR="008F4A1D" w:rsidRPr="003B5DF1">
          <w:rPr>
            <w:rStyle w:val="Hyperlink"/>
            <w:lang w:val="en-US"/>
          </w:rPr>
          <w:t>Admissibility of evidence</w:t>
        </w:r>
        <w:r w:rsidR="008F4A1D">
          <w:rPr>
            <w:webHidden/>
          </w:rPr>
          <w:tab/>
        </w:r>
        <w:r w:rsidR="008F4A1D">
          <w:rPr>
            <w:webHidden/>
          </w:rPr>
          <w:fldChar w:fldCharType="begin"/>
        </w:r>
        <w:r w:rsidR="008F4A1D">
          <w:rPr>
            <w:webHidden/>
          </w:rPr>
          <w:instrText xml:space="preserve"> PAGEREF _Toc465704258 \h </w:instrText>
        </w:r>
        <w:r w:rsidR="008F4A1D">
          <w:rPr>
            <w:webHidden/>
          </w:rPr>
        </w:r>
        <w:r w:rsidR="008F4A1D">
          <w:rPr>
            <w:webHidden/>
          </w:rPr>
          <w:fldChar w:fldCharType="separate"/>
        </w:r>
        <w:r w:rsidR="00531912">
          <w:rPr>
            <w:webHidden/>
          </w:rPr>
          <w:t>11</w:t>
        </w:r>
        <w:r w:rsidR="008F4A1D">
          <w:rPr>
            <w:webHidden/>
          </w:rPr>
          <w:fldChar w:fldCharType="end"/>
        </w:r>
      </w:hyperlink>
    </w:p>
    <w:p w14:paraId="0E81C989" w14:textId="06CC47DB" w:rsidR="008F4A1D" w:rsidRDefault="00D91929">
      <w:pPr>
        <w:pStyle w:val="TOC1"/>
        <w:rPr>
          <w:rFonts w:asciiTheme="minorHAnsi" w:eastAsiaTheme="minorEastAsia" w:hAnsiTheme="minorHAnsi" w:cstheme="minorBidi"/>
          <w:b w:val="0"/>
          <w:noProof/>
          <w:sz w:val="22"/>
          <w:szCs w:val="22"/>
          <w:lang w:eastAsia="en-AU"/>
        </w:rPr>
      </w:pPr>
      <w:hyperlink w:anchor="_Toc465704259" w:history="1">
        <w:r w:rsidR="008F4A1D" w:rsidRPr="003B5DF1">
          <w:rPr>
            <w:rStyle w:val="Hyperlink"/>
            <w:noProof/>
          </w:rPr>
          <w:t>Appeals</w:t>
        </w:r>
        <w:r w:rsidR="008F4A1D">
          <w:rPr>
            <w:noProof/>
            <w:webHidden/>
          </w:rPr>
          <w:tab/>
        </w:r>
        <w:r w:rsidR="008F4A1D">
          <w:rPr>
            <w:noProof/>
            <w:webHidden/>
          </w:rPr>
          <w:fldChar w:fldCharType="begin"/>
        </w:r>
        <w:r w:rsidR="008F4A1D">
          <w:rPr>
            <w:noProof/>
            <w:webHidden/>
          </w:rPr>
          <w:instrText xml:space="preserve"> PAGEREF _Toc465704259 \h </w:instrText>
        </w:r>
        <w:r w:rsidR="008F4A1D">
          <w:rPr>
            <w:noProof/>
            <w:webHidden/>
          </w:rPr>
        </w:r>
        <w:r w:rsidR="008F4A1D">
          <w:rPr>
            <w:noProof/>
            <w:webHidden/>
          </w:rPr>
          <w:fldChar w:fldCharType="separate"/>
        </w:r>
        <w:r w:rsidR="00531912">
          <w:rPr>
            <w:noProof/>
            <w:webHidden/>
          </w:rPr>
          <w:t>12</w:t>
        </w:r>
        <w:r w:rsidR="008F4A1D">
          <w:rPr>
            <w:noProof/>
            <w:webHidden/>
          </w:rPr>
          <w:fldChar w:fldCharType="end"/>
        </w:r>
      </w:hyperlink>
    </w:p>
    <w:p w14:paraId="241D55C0" w14:textId="39B7431A" w:rsidR="008F4A1D" w:rsidRDefault="00D91929">
      <w:pPr>
        <w:pStyle w:val="TOC3"/>
        <w:rPr>
          <w:rFonts w:asciiTheme="minorHAnsi" w:eastAsiaTheme="minorEastAsia" w:hAnsiTheme="minorHAnsi" w:cstheme="minorBidi"/>
          <w:sz w:val="22"/>
          <w:szCs w:val="22"/>
          <w:lang w:eastAsia="en-AU"/>
        </w:rPr>
      </w:pPr>
      <w:hyperlink w:anchor="_Toc465704260" w:history="1">
        <w:r w:rsidR="008F4A1D" w:rsidRPr="003B5DF1">
          <w:rPr>
            <w:rStyle w:val="Hyperlink"/>
            <w:lang w:val="en-US"/>
          </w:rPr>
          <w:t>Inconsistent verdicts</w:t>
        </w:r>
        <w:r w:rsidR="008F4A1D">
          <w:rPr>
            <w:webHidden/>
          </w:rPr>
          <w:tab/>
        </w:r>
        <w:r w:rsidR="008F4A1D">
          <w:rPr>
            <w:webHidden/>
          </w:rPr>
          <w:fldChar w:fldCharType="begin"/>
        </w:r>
        <w:r w:rsidR="008F4A1D">
          <w:rPr>
            <w:webHidden/>
          </w:rPr>
          <w:instrText xml:space="preserve"> PAGEREF _Toc465704260 \h </w:instrText>
        </w:r>
        <w:r w:rsidR="008F4A1D">
          <w:rPr>
            <w:webHidden/>
          </w:rPr>
        </w:r>
        <w:r w:rsidR="008F4A1D">
          <w:rPr>
            <w:webHidden/>
          </w:rPr>
          <w:fldChar w:fldCharType="separate"/>
        </w:r>
        <w:r w:rsidR="00531912">
          <w:rPr>
            <w:webHidden/>
          </w:rPr>
          <w:t>12</w:t>
        </w:r>
        <w:r w:rsidR="008F4A1D">
          <w:rPr>
            <w:webHidden/>
          </w:rPr>
          <w:fldChar w:fldCharType="end"/>
        </w:r>
      </w:hyperlink>
    </w:p>
    <w:p w14:paraId="146F7D72" w14:textId="23E72EEB" w:rsidR="008F4A1D" w:rsidRDefault="00D91929">
      <w:pPr>
        <w:pStyle w:val="TOC1"/>
        <w:rPr>
          <w:rFonts w:asciiTheme="minorHAnsi" w:eastAsiaTheme="minorEastAsia" w:hAnsiTheme="minorHAnsi" w:cstheme="minorBidi"/>
          <w:b w:val="0"/>
          <w:noProof/>
          <w:sz w:val="22"/>
          <w:szCs w:val="22"/>
          <w:lang w:eastAsia="en-AU"/>
        </w:rPr>
      </w:pPr>
      <w:hyperlink w:anchor="_Toc465704261" w:history="1">
        <w:r w:rsidR="008F4A1D" w:rsidRPr="003B5DF1">
          <w:rPr>
            <w:rStyle w:val="Hyperlink"/>
            <w:noProof/>
          </w:rPr>
          <w:t>Post-sentencing issues</w:t>
        </w:r>
        <w:r w:rsidR="008F4A1D">
          <w:rPr>
            <w:noProof/>
            <w:webHidden/>
          </w:rPr>
          <w:tab/>
        </w:r>
        <w:r w:rsidR="008F4A1D">
          <w:rPr>
            <w:noProof/>
            <w:webHidden/>
          </w:rPr>
          <w:fldChar w:fldCharType="begin"/>
        </w:r>
        <w:r w:rsidR="008F4A1D">
          <w:rPr>
            <w:noProof/>
            <w:webHidden/>
          </w:rPr>
          <w:instrText xml:space="preserve"> PAGEREF _Toc465704261 \h </w:instrText>
        </w:r>
        <w:r w:rsidR="008F4A1D">
          <w:rPr>
            <w:noProof/>
            <w:webHidden/>
          </w:rPr>
        </w:r>
        <w:r w:rsidR="008F4A1D">
          <w:rPr>
            <w:noProof/>
            <w:webHidden/>
          </w:rPr>
          <w:fldChar w:fldCharType="separate"/>
        </w:r>
        <w:r w:rsidR="00531912">
          <w:rPr>
            <w:noProof/>
            <w:webHidden/>
          </w:rPr>
          <w:t>13</w:t>
        </w:r>
        <w:r w:rsidR="008F4A1D">
          <w:rPr>
            <w:noProof/>
            <w:webHidden/>
          </w:rPr>
          <w:fldChar w:fldCharType="end"/>
        </w:r>
      </w:hyperlink>
    </w:p>
    <w:p w14:paraId="142C37F6" w14:textId="3E9B7C0A" w:rsidR="008F4A1D" w:rsidRDefault="00D91929">
      <w:pPr>
        <w:pStyle w:val="TOC3"/>
        <w:rPr>
          <w:rFonts w:asciiTheme="minorHAnsi" w:eastAsiaTheme="minorEastAsia" w:hAnsiTheme="minorHAnsi" w:cstheme="minorBidi"/>
          <w:sz w:val="22"/>
          <w:szCs w:val="22"/>
          <w:lang w:eastAsia="en-AU"/>
        </w:rPr>
      </w:pPr>
      <w:hyperlink w:anchor="_Toc465704262" w:history="1">
        <w:r w:rsidR="008F4A1D" w:rsidRPr="003B5DF1">
          <w:rPr>
            <w:rStyle w:val="Hyperlink"/>
          </w:rPr>
          <w:t>Supervision and detention orders</w:t>
        </w:r>
        <w:r w:rsidR="008F4A1D">
          <w:rPr>
            <w:webHidden/>
          </w:rPr>
          <w:tab/>
        </w:r>
        <w:r w:rsidR="008F4A1D">
          <w:rPr>
            <w:webHidden/>
          </w:rPr>
          <w:fldChar w:fldCharType="begin"/>
        </w:r>
        <w:r w:rsidR="008F4A1D">
          <w:rPr>
            <w:webHidden/>
          </w:rPr>
          <w:instrText xml:space="preserve"> PAGEREF _Toc465704262 \h </w:instrText>
        </w:r>
        <w:r w:rsidR="008F4A1D">
          <w:rPr>
            <w:webHidden/>
          </w:rPr>
        </w:r>
        <w:r w:rsidR="008F4A1D">
          <w:rPr>
            <w:webHidden/>
          </w:rPr>
          <w:fldChar w:fldCharType="separate"/>
        </w:r>
        <w:r w:rsidR="00531912">
          <w:rPr>
            <w:webHidden/>
          </w:rPr>
          <w:t>13</w:t>
        </w:r>
        <w:r w:rsidR="008F4A1D">
          <w:rPr>
            <w:webHidden/>
          </w:rPr>
          <w:fldChar w:fldCharType="end"/>
        </w:r>
      </w:hyperlink>
    </w:p>
    <w:p w14:paraId="5A4F8EC2" w14:textId="0C0A5064" w:rsidR="00687605" w:rsidRDefault="004E0688" w:rsidP="00AA2CCE">
      <w:r>
        <w:fldChar w:fldCharType="end"/>
      </w:r>
    </w:p>
    <w:p w14:paraId="3924901A" w14:textId="77777777" w:rsidR="00F92EA5" w:rsidRDefault="00F92EA5" w:rsidP="00AA2CCE"/>
    <w:p w14:paraId="4AB9174D" w14:textId="77777777" w:rsidR="002B4970" w:rsidRPr="00A37C6E" w:rsidRDefault="002B4970" w:rsidP="00AA2CCE">
      <w:pPr>
        <w:rPr>
          <w:lang w:eastAsia="en-AU"/>
        </w:rPr>
        <w:sectPr w:rsidR="002B4970" w:rsidRPr="00A37C6E" w:rsidSect="00DA29C4">
          <w:headerReference w:type="default" r:id="rId16"/>
          <w:footerReference w:type="default" r:id="rId17"/>
          <w:pgSz w:w="11906" w:h="16838"/>
          <w:pgMar w:top="1418" w:right="992" w:bottom="1134" w:left="1134" w:header="851" w:footer="284" w:gutter="0"/>
          <w:paperSrc w:first="7" w:other="7"/>
          <w:pgNumType w:fmt="lowerRoman" w:start="1"/>
          <w:cols w:space="720"/>
          <w:docGrid w:linePitch="299"/>
        </w:sectPr>
      </w:pPr>
    </w:p>
    <w:p w14:paraId="39BFC75B" w14:textId="77777777" w:rsidR="00934B9D" w:rsidRDefault="002E0C47" w:rsidP="00934B9D">
      <w:pPr>
        <w:pStyle w:val="Heading1"/>
      </w:pPr>
      <w:bookmarkStart w:id="1" w:name="_Toc465704245"/>
      <w:bookmarkStart w:id="2" w:name="Text12"/>
      <w:r>
        <w:lastRenderedPageBreak/>
        <w:t>Introduction</w:t>
      </w:r>
      <w:bookmarkEnd w:id="1"/>
    </w:p>
    <w:p w14:paraId="0D4FB47F" w14:textId="77777777" w:rsidR="00E4228E" w:rsidRDefault="00E4228E" w:rsidP="00E4228E">
      <w:r>
        <w:t>Victoria Legal Aid (VLA) plays an important institutional role within the criminal justice system, representing both offenders and victims at various stages of the criminal process.</w:t>
      </w:r>
    </w:p>
    <w:p w14:paraId="45CC15B9" w14:textId="77777777" w:rsidR="00E4228E" w:rsidRPr="00234FBC" w:rsidRDefault="00E4228E" w:rsidP="00E4228E">
      <w:r>
        <w:t xml:space="preserve">As the largest defence practice in Victoria, </w:t>
      </w:r>
      <w:r w:rsidR="00496BEB" w:rsidRPr="00496BEB">
        <w:t>we represent a significant number of people charged with sexual offences, many of whom themselves have been victim</w:t>
      </w:r>
      <w:r w:rsidR="00934B9D">
        <w:t>s of sexual and other offending</w:t>
      </w:r>
      <w:r>
        <w:t xml:space="preserve">. VLA regards the proper representation of criminal accused in trial and appeal processes as an important safeguard for victims as well as for offenders. For example, an accused is not permitted to cross-examine </w:t>
      </w:r>
      <w:r w:rsidR="00496BEB">
        <w:t>a victim of sexual abuse in the absence of legal representation</w:t>
      </w:r>
      <w:r>
        <w:t>.</w:t>
      </w:r>
      <w:r w:rsidR="00496BEB">
        <w:rPr>
          <w:rStyle w:val="FootnoteReference"/>
        </w:rPr>
        <w:footnoteReference w:id="1"/>
      </w:r>
      <w:r>
        <w:t xml:space="preserve"> Proper representation may also reduce inappropriate or misconceived appeal applications, and assist in increasing the effectiveness of court orders. </w:t>
      </w:r>
      <w:r w:rsidR="00234FBC">
        <w:t xml:space="preserve">VLA is also the lead legal service provider for people subject to applications and reviews under the </w:t>
      </w:r>
      <w:r w:rsidR="00234FBC">
        <w:rPr>
          <w:i/>
        </w:rPr>
        <w:t>Serious Sex Offender (Supervision and Detention Order) Act 2009</w:t>
      </w:r>
      <w:r w:rsidR="0034098E">
        <w:t xml:space="preserve"> (Vic)</w:t>
      </w:r>
      <w:r w:rsidR="00234FBC">
        <w:t xml:space="preserve">. </w:t>
      </w:r>
    </w:p>
    <w:p w14:paraId="416A2CC7" w14:textId="11709A86" w:rsidR="003335B1" w:rsidRDefault="00D91929" w:rsidP="00620A4C">
      <w:r>
        <w:t>In 2015–</w:t>
      </w:r>
      <w:r w:rsidR="00DB7046">
        <w:t>16, VLA provided 962</w:t>
      </w:r>
      <w:r w:rsidR="00BE377A">
        <w:t xml:space="preserve"> grants of legal assistance for people charged with comm</w:t>
      </w:r>
      <w:r w:rsidR="00DB7046">
        <w:t>itting sexual abuse offences, 43</w:t>
      </w:r>
      <w:r w:rsidR="00BE377A">
        <w:t xml:space="preserve"> per cent of which were represented by</w:t>
      </w:r>
      <w:r w:rsidR="00DB7046">
        <w:t xml:space="preserve"> our in-house practice. One</w:t>
      </w:r>
      <w:r w:rsidR="00BE377A">
        <w:t xml:space="preserve"> third of total grants were for alleged offending against a child. </w:t>
      </w:r>
      <w:r w:rsidR="00620A4C">
        <w:t>Given our role as the funding provider for</w:t>
      </w:r>
      <w:r>
        <w:t xml:space="preserve"> approximately 80 per cent</w:t>
      </w:r>
      <w:r w:rsidR="001419C7" w:rsidRPr="001419C7">
        <w:t xml:space="preserve"> of people who face criminal trial in Victoria, </w:t>
      </w:r>
      <w:r w:rsidR="00620A4C">
        <w:t xml:space="preserve">and our in-house legal expertise, </w:t>
      </w:r>
      <w:r w:rsidR="001419C7" w:rsidRPr="001419C7">
        <w:t xml:space="preserve">we have an important role in exploring options for changes to the trial process to ensure high quality services and the efficient management of criminal cases. In January 2014 VLA undertook a review of criminal trials in Victoria. Our </w:t>
      </w:r>
      <w:hyperlink r:id="rId18" w:history="1">
        <w:r w:rsidR="001419C7" w:rsidRPr="001419C7">
          <w:rPr>
            <w:rStyle w:val="Hyperlink"/>
          </w:rPr>
          <w:t>Delivering High Quality Criminal Trials</w:t>
        </w:r>
      </w:hyperlink>
      <w:r w:rsidR="001419C7" w:rsidRPr="001419C7">
        <w:t xml:space="preserve"> review examined options for improving the quality of legally aided criminal trials in Victoria. </w:t>
      </w:r>
    </w:p>
    <w:p w14:paraId="2144AE94" w14:textId="77777777" w:rsidR="00620A4C" w:rsidRPr="00620A4C" w:rsidRDefault="00620A4C" w:rsidP="00620A4C">
      <w:r w:rsidRPr="00620A4C">
        <w:t xml:space="preserve">VLA </w:t>
      </w:r>
      <w:r>
        <w:t xml:space="preserve">also </w:t>
      </w:r>
      <w:r w:rsidRPr="00620A4C">
        <w:t>provides information, advice and representation to victims of crime seeking to access financial assistance from the Victims of Crime Assistance Tribunal</w:t>
      </w:r>
      <w:r w:rsidR="003335B1">
        <w:t>, and</w:t>
      </w:r>
      <w:r w:rsidRPr="00620A4C">
        <w:t xml:space="preserve"> assist</w:t>
      </w:r>
      <w:r w:rsidR="003335B1">
        <w:t>s</w:t>
      </w:r>
      <w:r w:rsidRPr="00620A4C">
        <w:t xml:space="preserve"> victims to obtain compensation by pursuing claims under the </w:t>
      </w:r>
      <w:r w:rsidRPr="00620A4C">
        <w:rPr>
          <w:i/>
        </w:rPr>
        <w:t>Sentencing Act 1991</w:t>
      </w:r>
      <w:r w:rsidRPr="00620A4C">
        <w:t xml:space="preserve"> (Vic). </w:t>
      </w:r>
    </w:p>
    <w:p w14:paraId="62EA26E6" w14:textId="77777777" w:rsidR="00AB20D4" w:rsidRDefault="00AB20D4" w:rsidP="002E0C47">
      <w:r>
        <w:t xml:space="preserve">Sometimes the most important and challenging role a defence lawyer can play is to assist their client to build insight so that they reach a point where they can more clearly consider taking responsibility for their actions and their willingness to take up options that may be available for their rehabilitation. That process can be very complicated with clients that experience multiple issues such as mental illness, cognitive impairment or drug and alcohol addiction. </w:t>
      </w:r>
    </w:p>
    <w:p w14:paraId="4BE33C2A" w14:textId="77777777" w:rsidR="003335B1" w:rsidRDefault="003335B1" w:rsidP="002E0C47">
      <w:r w:rsidRPr="003335B1">
        <w:t xml:space="preserve">Our experience of cases involving child sexual offending is that clients facing these types of allegations consistently present with highly complex psychological needs. There is a high risk of mental health issues becoming more acute when the client begins to accept the consequences of their offending, is contemplating or has entered a plea of guilty and in turn is facing what will likely be a lengthy term of imprisonment. Alternatively, when a client exercises their right to contest the allegations, the stress and stigma of a criminal trial can profoundly impact the mental and physical wellbeing of the accused, particularly in the context of increasing public awareness and media focus on sexual offending and the prolific nature of social media. In 2014 the Coroners Court of Victoria investigated a cluster of reported deaths where the deceased was facing pending child sexual offence charges and intentionally took their own life. It was identified that the most common time when these deaths occur is either immediately following the suspect being charged or proximate to court proceedings. </w:t>
      </w:r>
      <w:r w:rsidR="001C0964">
        <w:t xml:space="preserve">The </w:t>
      </w:r>
      <w:r w:rsidR="00401CBE">
        <w:t>purpose of this</w:t>
      </w:r>
      <w:r w:rsidR="001C0964">
        <w:t xml:space="preserve"> investigation was to look at what, if any, supports were available to </w:t>
      </w:r>
      <w:r w:rsidR="00401CBE">
        <w:t xml:space="preserve">the alleged offender to prevent these deaths occurring. </w:t>
      </w:r>
    </w:p>
    <w:p w14:paraId="678805B3" w14:textId="77777777" w:rsidR="00D04239" w:rsidRDefault="00D04239" w:rsidP="002E0C47">
      <w:r>
        <w:lastRenderedPageBreak/>
        <w:t>We note also that there are unique vicarious trauma risks for defence lawyers working exclusively in this area and for this reason</w:t>
      </w:r>
      <w:r w:rsidR="001C0964">
        <w:t>,</w:t>
      </w:r>
      <w:r>
        <w:t xml:space="preserve"> while sexual offence cases are often complex, technical and specialist in nature, VLA recently merged its general indictable and specialist sex offence teams to ensure</w:t>
      </w:r>
      <w:r w:rsidR="001C0964">
        <w:t xml:space="preserve"> that our</w:t>
      </w:r>
      <w:r>
        <w:t xml:space="preserve"> practitioners undertake a mixture of casework.</w:t>
      </w:r>
    </w:p>
    <w:p w14:paraId="684F9A30" w14:textId="77777777" w:rsidR="00934B9D" w:rsidRDefault="00FD7760" w:rsidP="002E0C47">
      <w:pPr>
        <w:rPr>
          <w:lang w:val="en-US"/>
        </w:rPr>
      </w:pPr>
      <w:r>
        <w:t>VLA</w:t>
      </w:r>
      <w:r w:rsidR="00496BEB">
        <w:t xml:space="preserve"> </w:t>
      </w:r>
      <w:r w:rsidR="002E0C47" w:rsidRPr="002E0C47">
        <w:t>support</w:t>
      </w:r>
      <w:r>
        <w:t>s</w:t>
      </w:r>
      <w:r w:rsidR="002E0C47" w:rsidRPr="002E0C47">
        <w:t xml:space="preserve"> reforms that are likely to improve criminal justice responses to child sexual abuse and protect the c</w:t>
      </w:r>
      <w:r w:rsidR="002E0C47">
        <w:t>ommun</w:t>
      </w:r>
      <w:r w:rsidR="00AD0F97">
        <w:t>ity from sexual offending</w:t>
      </w:r>
      <w:r w:rsidR="002E0C47" w:rsidRPr="002E0C47">
        <w:t xml:space="preserve"> to ensure that victims receive justice and are not further traumatised by their experience within the criminal justice system</w:t>
      </w:r>
      <w:r w:rsidR="00AD0F97">
        <w:t xml:space="preserve">. However, this must be </w:t>
      </w:r>
      <w:r w:rsidR="002E0C47">
        <w:t xml:space="preserve">appropriately balanced </w:t>
      </w:r>
      <w:r w:rsidR="002E0C47" w:rsidRPr="002E0C47">
        <w:t>against the need for an accused person to receive a fai</w:t>
      </w:r>
      <w:r w:rsidR="00AD0F97">
        <w:t xml:space="preserve">r hearing without undue prejudice in accordance with section 24 of the </w:t>
      </w:r>
      <w:r w:rsidR="00AD0F97" w:rsidRPr="00AD0F97">
        <w:rPr>
          <w:i/>
        </w:rPr>
        <w:t xml:space="preserve">Charter of Human Rights and Responsibilities Act </w:t>
      </w:r>
      <w:r w:rsidR="00F8390F">
        <w:rPr>
          <w:i/>
        </w:rPr>
        <w:t>2006</w:t>
      </w:r>
      <w:r w:rsidR="00AD0F97">
        <w:t xml:space="preserve"> (Vic)</w:t>
      </w:r>
      <w:r w:rsidR="002E0C47" w:rsidRPr="002E0C47">
        <w:t>.</w:t>
      </w:r>
      <w:r w:rsidR="002E0C47" w:rsidRPr="002E0C47">
        <w:rPr>
          <w:lang w:val="en-US"/>
        </w:rPr>
        <w:t xml:space="preserve"> </w:t>
      </w:r>
      <w:r w:rsidR="0035211E" w:rsidRPr="0035211E">
        <w:t>It is vital in a community that believes in fairness and the rule of law that all people have access to a just process where significant sanctions are at stake.</w:t>
      </w:r>
    </w:p>
    <w:p w14:paraId="50DB0E6F" w14:textId="77777777" w:rsidR="00934B9D" w:rsidRDefault="00934B9D" w:rsidP="002E0C47">
      <w:pPr>
        <w:rPr>
          <w:lang w:val="en-US"/>
        </w:rPr>
      </w:pPr>
      <w:r>
        <w:rPr>
          <w:lang w:val="en-US"/>
        </w:rPr>
        <w:t xml:space="preserve">The </w:t>
      </w:r>
      <w:r w:rsidR="001A7742">
        <w:rPr>
          <w:lang w:val="en-US"/>
        </w:rPr>
        <w:t xml:space="preserve">Royal Commission </w:t>
      </w:r>
      <w:proofErr w:type="spellStart"/>
      <w:r w:rsidR="001A7742">
        <w:rPr>
          <w:lang w:val="en-US"/>
        </w:rPr>
        <w:t>recognises</w:t>
      </w:r>
      <w:proofErr w:type="spellEnd"/>
      <w:r w:rsidR="001A7742">
        <w:rPr>
          <w:lang w:val="en-US"/>
        </w:rPr>
        <w:t xml:space="preserve"> that Victoria already has in place a number of special measures and procedures for both protecting victims and survivors of sexual abuse during the court process and ensuring that a person accused of committing a sexual offence receives a fair hearing. </w:t>
      </w:r>
      <w:r w:rsidR="00FD7760">
        <w:rPr>
          <w:lang w:val="en-US"/>
        </w:rPr>
        <w:t>Therefore,</w:t>
      </w:r>
      <w:r w:rsidR="001A7742">
        <w:rPr>
          <w:lang w:val="en-US"/>
        </w:rPr>
        <w:t xml:space="preserve"> our submission </w:t>
      </w:r>
      <w:r w:rsidR="00FD7760">
        <w:rPr>
          <w:lang w:val="en-US"/>
        </w:rPr>
        <w:t xml:space="preserve">is limited </w:t>
      </w:r>
      <w:r w:rsidR="001A7742">
        <w:rPr>
          <w:lang w:val="en-US"/>
        </w:rPr>
        <w:t xml:space="preserve">to addressing those issues, proposals and recommendations in the Consultation Paper that </w:t>
      </w:r>
      <w:r w:rsidR="00FF77A2">
        <w:rPr>
          <w:lang w:val="en-US"/>
        </w:rPr>
        <w:t xml:space="preserve">raise the possibility of a new policy or process or amendments to existing legislation that would be likely to </w:t>
      </w:r>
      <w:r w:rsidR="00F60A19">
        <w:rPr>
          <w:lang w:val="en-US"/>
        </w:rPr>
        <w:t xml:space="preserve">have the most </w:t>
      </w:r>
      <w:r w:rsidR="00FF77A2">
        <w:rPr>
          <w:lang w:val="en-US"/>
        </w:rPr>
        <w:t xml:space="preserve">impact on VLA’s clients.   </w:t>
      </w:r>
      <w:r w:rsidR="001A7742">
        <w:rPr>
          <w:lang w:val="en-US"/>
        </w:rPr>
        <w:t xml:space="preserve">  </w:t>
      </w:r>
    </w:p>
    <w:p w14:paraId="7EC5A0D8" w14:textId="77777777" w:rsidR="00165B57" w:rsidRPr="00425B99" w:rsidRDefault="00934B9D" w:rsidP="002E0C47">
      <w:pPr>
        <w:rPr>
          <w:lang w:val="en-US"/>
        </w:rPr>
      </w:pPr>
      <w:r w:rsidRPr="00934B9D">
        <w:rPr>
          <w:lang w:val="en-US"/>
        </w:rPr>
        <w:t>We note that the Royal Commission is not specifically examining the issue of child sexual abuse and related matters outside institutional contexts but that any recommendations it makes may impact on the response to all forms of child sexual abuse in all contexts. This would have implications for adult</w:t>
      </w:r>
      <w:r>
        <w:rPr>
          <w:lang w:val="en-US"/>
        </w:rPr>
        <w:t>s</w:t>
      </w:r>
      <w:r w:rsidRPr="00934B9D">
        <w:rPr>
          <w:lang w:val="en-US"/>
        </w:rPr>
        <w:t xml:space="preserve"> and young people who are accused of having committed child sexual abuse offences outside an institutional setting</w:t>
      </w:r>
      <w:r w:rsidR="00425B99">
        <w:rPr>
          <w:lang w:val="en-US"/>
        </w:rPr>
        <w:t xml:space="preserve"> and who form the majority of VLA’s clients who are charged with sexual offences</w:t>
      </w:r>
      <w:r w:rsidRPr="00934B9D">
        <w:rPr>
          <w:lang w:val="en-US"/>
        </w:rPr>
        <w:t xml:space="preserve">. </w:t>
      </w:r>
      <w:r w:rsidR="001A7742">
        <w:rPr>
          <w:lang w:val="en-US"/>
        </w:rPr>
        <w:t xml:space="preserve"> </w:t>
      </w:r>
      <w:r w:rsidR="00A108E4" w:rsidRPr="00A108E4">
        <w:rPr>
          <w:lang w:val="en-US"/>
        </w:rPr>
        <w:t xml:space="preserve"> </w:t>
      </w:r>
      <w:r w:rsidR="00A108E4" w:rsidRPr="00A108E4">
        <w:rPr>
          <w:lang w:val="en"/>
        </w:rPr>
        <w:t xml:space="preserve">   </w:t>
      </w:r>
    </w:p>
    <w:p w14:paraId="7EB88D94" w14:textId="77777777" w:rsidR="00F60A19" w:rsidRDefault="00A7183D" w:rsidP="00606D29">
      <w:pPr>
        <w:pStyle w:val="Heading1"/>
      </w:pPr>
      <w:bookmarkStart w:id="3" w:name="_Toc465704246"/>
      <w:r>
        <w:t>Blind reporting</w:t>
      </w:r>
      <w:bookmarkEnd w:id="3"/>
    </w:p>
    <w:p w14:paraId="091C6493" w14:textId="77777777" w:rsidR="00915001" w:rsidRDefault="00915001" w:rsidP="00F60A19">
      <w:pPr>
        <w:rPr>
          <w:lang w:val="en-US"/>
        </w:rPr>
      </w:pPr>
      <w:r>
        <w:rPr>
          <w:lang w:val="en-US"/>
        </w:rPr>
        <w:t>T</w:t>
      </w:r>
      <w:r w:rsidR="00393EB1">
        <w:rPr>
          <w:lang w:val="en-US"/>
        </w:rPr>
        <w:t>he Royal Commission’s Consultation P</w:t>
      </w:r>
      <w:r>
        <w:rPr>
          <w:lang w:val="en-US"/>
        </w:rPr>
        <w:t xml:space="preserve">aper considers </w:t>
      </w:r>
      <w:r w:rsidR="00393EB1">
        <w:rPr>
          <w:lang w:val="en-US"/>
        </w:rPr>
        <w:t xml:space="preserve">whether or not blind reporting should be permitted or encouraged and how the competing objectives of respecting survivors’ wishes and </w:t>
      </w:r>
      <w:proofErr w:type="spellStart"/>
      <w:r w:rsidR="00393EB1">
        <w:rPr>
          <w:lang w:val="en-US"/>
        </w:rPr>
        <w:t>maximising</w:t>
      </w:r>
      <w:proofErr w:type="spellEnd"/>
      <w:r w:rsidR="00393EB1">
        <w:rPr>
          <w:lang w:val="en-US"/>
        </w:rPr>
        <w:t xml:space="preserve"> effective reporting of child sexual abuse should be balanced.  </w:t>
      </w:r>
    </w:p>
    <w:p w14:paraId="214B0DFB" w14:textId="77777777" w:rsidR="00210828" w:rsidRDefault="00BD0D94" w:rsidP="00F60A19">
      <w:pPr>
        <w:rPr>
          <w:lang w:val="en-US"/>
        </w:rPr>
      </w:pPr>
      <w:r>
        <w:rPr>
          <w:lang w:val="en-US"/>
        </w:rPr>
        <w:t>R</w:t>
      </w:r>
      <w:r w:rsidR="004F5A10">
        <w:rPr>
          <w:lang w:val="en-US"/>
        </w:rPr>
        <w:t xml:space="preserve">eporting child sexual abuse is important both for securing a criminal justice response for the </w:t>
      </w:r>
      <w:r>
        <w:rPr>
          <w:lang w:val="en-US"/>
        </w:rPr>
        <w:t>victim</w:t>
      </w:r>
      <w:r w:rsidR="004F5A10">
        <w:rPr>
          <w:lang w:val="en-US"/>
        </w:rPr>
        <w:t xml:space="preserve"> and preventing further abuse</w:t>
      </w:r>
      <w:r w:rsidR="00915001">
        <w:rPr>
          <w:lang w:val="en-US"/>
        </w:rPr>
        <w:t xml:space="preserve"> and should</w:t>
      </w:r>
      <w:r w:rsidR="004F5A10">
        <w:rPr>
          <w:lang w:val="en-US"/>
        </w:rPr>
        <w:t xml:space="preserve"> be encouraged. </w:t>
      </w:r>
      <w:r w:rsidR="00FE1A50">
        <w:rPr>
          <w:lang w:val="en-US"/>
        </w:rPr>
        <w:t xml:space="preserve">However, we note </w:t>
      </w:r>
      <w:r>
        <w:rPr>
          <w:lang w:val="en-US"/>
        </w:rPr>
        <w:t xml:space="preserve">the </w:t>
      </w:r>
      <w:r w:rsidR="00486454">
        <w:rPr>
          <w:lang w:val="en-US"/>
        </w:rPr>
        <w:t>complex and personal r</w:t>
      </w:r>
      <w:r>
        <w:rPr>
          <w:lang w:val="en-US"/>
        </w:rPr>
        <w:t xml:space="preserve">easons why a victim </w:t>
      </w:r>
      <w:r w:rsidR="00836239">
        <w:rPr>
          <w:lang w:val="en-US"/>
        </w:rPr>
        <w:t>or survivor may</w:t>
      </w:r>
      <w:r w:rsidR="00486454">
        <w:rPr>
          <w:lang w:val="en-US"/>
        </w:rPr>
        <w:t xml:space="preserve"> choose not to report child sexual abuse to police, </w:t>
      </w:r>
      <w:r w:rsidR="00836239">
        <w:rPr>
          <w:lang w:val="en-US"/>
        </w:rPr>
        <w:t>such as</w:t>
      </w:r>
      <w:r w:rsidR="00486454">
        <w:rPr>
          <w:lang w:val="en-US"/>
        </w:rPr>
        <w:t xml:space="preserve"> wanting to avoid reliving a traumatic experience or concerns </w:t>
      </w:r>
      <w:r w:rsidR="00836239">
        <w:rPr>
          <w:lang w:val="en-US"/>
        </w:rPr>
        <w:t xml:space="preserve">by imprisoned survivors about </w:t>
      </w:r>
      <w:r w:rsidR="00486454">
        <w:rPr>
          <w:lang w:val="en-US"/>
        </w:rPr>
        <w:t>be</w:t>
      </w:r>
      <w:r w:rsidR="00836239">
        <w:rPr>
          <w:lang w:val="en-US"/>
        </w:rPr>
        <w:t>ing</w:t>
      </w:r>
      <w:r w:rsidR="00486454">
        <w:rPr>
          <w:lang w:val="en-US"/>
        </w:rPr>
        <w:t xml:space="preserve"> </w:t>
      </w:r>
      <w:r w:rsidR="000E628A">
        <w:rPr>
          <w:lang w:val="en-US"/>
        </w:rPr>
        <w:t>labelled an informant in the prison setting</w:t>
      </w:r>
      <w:r w:rsidR="00210828">
        <w:rPr>
          <w:lang w:val="en-US"/>
        </w:rPr>
        <w:t>, and that blind reporting may relieve some of the anxiety about reporting and related processes</w:t>
      </w:r>
      <w:r w:rsidR="00486454">
        <w:rPr>
          <w:lang w:val="en-US"/>
        </w:rPr>
        <w:t xml:space="preserve">. </w:t>
      </w:r>
    </w:p>
    <w:p w14:paraId="576420F6" w14:textId="77777777" w:rsidR="000D78A0" w:rsidRDefault="00FE1A50" w:rsidP="00F60A19">
      <w:pPr>
        <w:rPr>
          <w:lang w:val="en-US"/>
        </w:rPr>
      </w:pPr>
      <w:r>
        <w:rPr>
          <w:lang w:val="en-US"/>
        </w:rPr>
        <w:t>Respect for the victim’s wishes and privacy must be balanced again</w:t>
      </w:r>
      <w:r w:rsidR="00836239">
        <w:rPr>
          <w:lang w:val="en-US"/>
        </w:rPr>
        <w:t>st the need to protect both the</w:t>
      </w:r>
      <w:r>
        <w:rPr>
          <w:lang w:val="en-US"/>
        </w:rPr>
        <w:t>m and other children from further offending by the perpetrator. We therefore support the position of victim adv</w:t>
      </w:r>
      <w:r w:rsidR="00BD0D94">
        <w:rPr>
          <w:lang w:val="en-US"/>
        </w:rPr>
        <w:t>ocacy and support agencies, such as</w:t>
      </w:r>
      <w:r>
        <w:rPr>
          <w:lang w:val="en-US"/>
        </w:rPr>
        <w:t xml:space="preserve"> </w:t>
      </w:r>
      <w:r w:rsidR="00115BA8">
        <w:rPr>
          <w:lang w:val="en-US"/>
        </w:rPr>
        <w:t xml:space="preserve">Berry Street and </w:t>
      </w:r>
      <w:r>
        <w:rPr>
          <w:lang w:val="en-US"/>
        </w:rPr>
        <w:t xml:space="preserve">Broken Rites, who will respect a victim’s decision not to report but will actively encourage </w:t>
      </w:r>
      <w:r w:rsidR="005B3C14">
        <w:rPr>
          <w:lang w:val="en-US"/>
        </w:rPr>
        <w:t>it by addressing some of the perceived barriers to reporting</w:t>
      </w:r>
      <w:r w:rsidR="00066B96">
        <w:rPr>
          <w:lang w:val="en-US"/>
        </w:rPr>
        <w:t xml:space="preserve"> </w:t>
      </w:r>
      <w:r w:rsidR="0097486C">
        <w:rPr>
          <w:lang w:val="en-US"/>
        </w:rPr>
        <w:t>and supporting victims to make the report.</w:t>
      </w:r>
      <w:r w:rsidR="00115BA8">
        <w:rPr>
          <w:lang w:val="en-US"/>
        </w:rPr>
        <w:t xml:space="preserve"> We also support Berry Street’s policy of blind reporting where any information it holds leads it to form a reasonable belief that children or yo</w:t>
      </w:r>
      <w:r w:rsidR="00066B96">
        <w:rPr>
          <w:lang w:val="en-US"/>
        </w:rPr>
        <w:t>ung people may presently</w:t>
      </w:r>
      <w:r w:rsidR="000D6E09">
        <w:rPr>
          <w:lang w:val="en-US"/>
        </w:rPr>
        <w:t xml:space="preserve"> be at risk</w:t>
      </w:r>
      <w:r w:rsidR="00115BA8">
        <w:rPr>
          <w:lang w:val="en-US"/>
        </w:rPr>
        <w:t>.</w:t>
      </w:r>
    </w:p>
    <w:p w14:paraId="375161D9" w14:textId="77777777" w:rsidR="00F60A19" w:rsidRDefault="00B14A7B" w:rsidP="00F60A19">
      <w:pPr>
        <w:rPr>
          <w:lang w:val="en-US"/>
        </w:rPr>
      </w:pPr>
      <w:r>
        <w:rPr>
          <w:lang w:val="en-US"/>
        </w:rPr>
        <w:t>However, i</w:t>
      </w:r>
      <w:r w:rsidR="001A2FE9">
        <w:rPr>
          <w:lang w:val="en-US"/>
        </w:rPr>
        <w:t>t is important</w:t>
      </w:r>
      <w:r w:rsidR="004B0C0C">
        <w:rPr>
          <w:lang w:val="en-US"/>
        </w:rPr>
        <w:t xml:space="preserve"> </w:t>
      </w:r>
      <w:r>
        <w:rPr>
          <w:lang w:val="en-US"/>
        </w:rPr>
        <w:t xml:space="preserve">for the Royal Commission to note </w:t>
      </w:r>
      <w:r w:rsidR="004B0C0C">
        <w:rPr>
          <w:lang w:val="en-US"/>
        </w:rPr>
        <w:t xml:space="preserve">that </w:t>
      </w:r>
      <w:r w:rsidRPr="00B14A7B">
        <w:rPr>
          <w:lang w:val="en-US"/>
        </w:rPr>
        <w:t xml:space="preserve">prosecutions that proceed on the basis of a blind report </w:t>
      </w:r>
      <w:r>
        <w:rPr>
          <w:lang w:val="en-US"/>
        </w:rPr>
        <w:t>can impede</w:t>
      </w:r>
      <w:r w:rsidRPr="00B14A7B">
        <w:rPr>
          <w:lang w:val="en-US"/>
        </w:rPr>
        <w:t xml:space="preserve"> the ability for an accused person to defend the allegations where, for example, the accused is unable to directly challenge the complainant</w:t>
      </w:r>
      <w:r w:rsidR="00755FCD">
        <w:rPr>
          <w:lang w:val="en-US"/>
        </w:rPr>
        <w:t xml:space="preserve"> if information about that </w:t>
      </w:r>
      <w:r w:rsidR="00755FCD">
        <w:rPr>
          <w:lang w:val="en-US"/>
        </w:rPr>
        <w:lastRenderedPageBreak/>
        <w:t>person is concealed</w:t>
      </w:r>
      <w:r w:rsidRPr="00B14A7B">
        <w:rPr>
          <w:lang w:val="en-US"/>
        </w:rPr>
        <w:t>.</w:t>
      </w:r>
      <w:r>
        <w:rPr>
          <w:lang w:val="en-US"/>
        </w:rPr>
        <w:t xml:space="preserve"> Therefore, VLA</w:t>
      </w:r>
      <w:r w:rsidR="00755FCD">
        <w:rPr>
          <w:lang w:val="en-US"/>
        </w:rPr>
        <w:t xml:space="preserve"> recommends the introduction of minimum standards </w:t>
      </w:r>
      <w:r w:rsidR="00A673AA">
        <w:rPr>
          <w:lang w:val="en-US"/>
        </w:rPr>
        <w:t>for police responses</w:t>
      </w:r>
      <w:r w:rsidR="00755FCD">
        <w:rPr>
          <w:lang w:val="en-US"/>
        </w:rPr>
        <w:t xml:space="preserve"> to blind reports to ensure that</w:t>
      </w:r>
      <w:r>
        <w:rPr>
          <w:lang w:val="en-US"/>
        </w:rPr>
        <w:t xml:space="preserve"> </w:t>
      </w:r>
      <w:r w:rsidR="00755FCD">
        <w:rPr>
          <w:lang w:val="en-US"/>
        </w:rPr>
        <w:t>police conduct diligent investigations and</w:t>
      </w:r>
      <w:r w:rsidR="00E31D4F">
        <w:rPr>
          <w:lang w:val="en-US"/>
        </w:rPr>
        <w:t xml:space="preserve"> that </w:t>
      </w:r>
      <w:r w:rsidR="004B0C0C">
        <w:rPr>
          <w:lang w:val="en-US"/>
        </w:rPr>
        <w:t xml:space="preserve">any </w:t>
      </w:r>
      <w:r w:rsidR="00E31D4F">
        <w:rPr>
          <w:lang w:val="en-US"/>
        </w:rPr>
        <w:t xml:space="preserve">subsequent </w:t>
      </w:r>
      <w:r w:rsidR="004B0C0C">
        <w:rPr>
          <w:lang w:val="en-US"/>
        </w:rPr>
        <w:t xml:space="preserve">prosecution </w:t>
      </w:r>
      <w:r w:rsidR="004B0C0C" w:rsidRPr="004B0C0C">
        <w:rPr>
          <w:lang w:val="en-US"/>
        </w:rPr>
        <w:t>meet</w:t>
      </w:r>
      <w:r w:rsidR="004B0C0C">
        <w:rPr>
          <w:lang w:val="en-US"/>
        </w:rPr>
        <w:t xml:space="preserve">s the standards required by the </w:t>
      </w:r>
      <w:r w:rsidR="004B0C0C" w:rsidRPr="004B0C0C">
        <w:rPr>
          <w:lang w:val="en-US"/>
        </w:rPr>
        <w:t xml:space="preserve">criminal justice system </w:t>
      </w:r>
      <w:r w:rsidR="004B0C0C">
        <w:rPr>
          <w:lang w:val="en-US"/>
        </w:rPr>
        <w:t>for ensuring that the accused person receives a fair trial</w:t>
      </w:r>
      <w:r w:rsidR="00E31D4F">
        <w:rPr>
          <w:lang w:val="en-US"/>
        </w:rPr>
        <w:t>.</w:t>
      </w:r>
      <w:r w:rsidR="001A2FE9">
        <w:rPr>
          <w:lang w:val="en-US"/>
        </w:rPr>
        <w:t xml:space="preserve"> </w:t>
      </w:r>
    </w:p>
    <w:p w14:paraId="48238B90" w14:textId="110BEA89" w:rsidR="00B14A7B" w:rsidRDefault="00B14A7B" w:rsidP="00B14A7B">
      <w:pPr>
        <w:rPr>
          <w:lang w:val="en-US"/>
        </w:rPr>
      </w:pPr>
      <w:r w:rsidRPr="00B14A7B">
        <w:rPr>
          <w:lang w:val="en-US"/>
        </w:rPr>
        <w:t>VLA supports the Royal Commission’s proposal for the development of a readily-available guide that third parties can give to victims and survivors and considers that this should be available in p</w:t>
      </w:r>
      <w:r w:rsidR="00A673AA">
        <w:rPr>
          <w:lang w:val="en-US"/>
        </w:rPr>
        <w:t xml:space="preserve">lain language with access to </w:t>
      </w:r>
      <w:r w:rsidRPr="00B14A7B">
        <w:rPr>
          <w:lang w:val="en-US"/>
        </w:rPr>
        <w:t xml:space="preserve">interpreter services for people from culturally and linguistically diverse backgrounds and with an outline of the options for reporting to police and contact information for victim advocacy and support groups provided.    </w:t>
      </w:r>
    </w:p>
    <w:p w14:paraId="77C1AB72" w14:textId="77777777" w:rsidR="00CE7289" w:rsidRPr="00CE7289" w:rsidRDefault="00CE7289" w:rsidP="00CE7289">
      <w:pPr>
        <w:pStyle w:val="Recommendation"/>
        <w:rPr>
          <w:b/>
        </w:rPr>
      </w:pPr>
      <w:r w:rsidRPr="00CE7289">
        <w:rPr>
          <w:b/>
        </w:rPr>
        <w:t>Recommendation 1 – Minimum standards for police responses to blind reporting</w:t>
      </w:r>
    </w:p>
    <w:p w14:paraId="5BDB330B" w14:textId="77777777" w:rsidR="00CE7289" w:rsidRPr="00CE7289" w:rsidRDefault="00CE7289" w:rsidP="00CE7289">
      <w:pPr>
        <w:pStyle w:val="Recommendation"/>
      </w:pPr>
      <w:r w:rsidRPr="00CE7289">
        <w:t>Introduce minimum standards for police responses to blind reports to ensure that investigations are conducted diligently and that any subsequent prosecution meets the standards required by the criminal justice system for ensuring that the accused person receives a fair trial.</w:t>
      </w:r>
    </w:p>
    <w:p w14:paraId="034205F1" w14:textId="77777777" w:rsidR="00CE7289" w:rsidRPr="00CE7289" w:rsidRDefault="00CE7289" w:rsidP="00CE7289">
      <w:pPr>
        <w:pStyle w:val="Recommendation"/>
        <w:rPr>
          <w:b/>
        </w:rPr>
      </w:pPr>
      <w:r w:rsidRPr="00CE7289">
        <w:rPr>
          <w:b/>
        </w:rPr>
        <w:t>Recommendation 2 – Guide for third parties in plain language and contact details</w:t>
      </w:r>
    </w:p>
    <w:p w14:paraId="113141E5" w14:textId="39135867" w:rsidR="00CE7289" w:rsidRDefault="00CE7289" w:rsidP="00CE7289">
      <w:pPr>
        <w:pStyle w:val="Recommendation"/>
      </w:pPr>
      <w:r w:rsidRPr="00CE7289">
        <w:t>Develop a readily-available guide for third parties to give to victims and survivors in plain language with access to interpreter services for people from culturally and linguistically diverse backgrounds, including an outline of the options for reporting to police and contact information for victim advocacy and support groups.</w:t>
      </w:r>
    </w:p>
    <w:p w14:paraId="37B79AD6" w14:textId="6E5C88E5" w:rsidR="00A7183D" w:rsidRDefault="00A7183D" w:rsidP="00606D29">
      <w:pPr>
        <w:pStyle w:val="Heading1"/>
      </w:pPr>
      <w:bookmarkStart w:id="4" w:name="_Toc465704247"/>
      <w:r>
        <w:t>Child sexual abuse offences</w:t>
      </w:r>
      <w:bookmarkEnd w:id="4"/>
    </w:p>
    <w:p w14:paraId="19BBCC33" w14:textId="77777777" w:rsidR="006B18D2" w:rsidRPr="006B18D2" w:rsidRDefault="006B18D2" w:rsidP="00CE7289">
      <w:pPr>
        <w:pStyle w:val="Heading2"/>
      </w:pPr>
      <w:bookmarkStart w:id="5" w:name="_Toc465704248"/>
      <w:r>
        <w:t>The Victorian course of conduct charge</w:t>
      </w:r>
      <w:bookmarkEnd w:id="5"/>
    </w:p>
    <w:p w14:paraId="54958CCE" w14:textId="77777777" w:rsidR="00560357" w:rsidRPr="00E03CB6" w:rsidRDefault="00560357" w:rsidP="00CE7289">
      <w:pPr>
        <w:rPr>
          <w:lang w:eastAsia="en-AU"/>
        </w:rPr>
      </w:pPr>
      <w:r w:rsidRPr="00E03CB6">
        <w:rPr>
          <w:lang w:eastAsia="en-AU"/>
        </w:rPr>
        <w:t>VLA acknowledges the difficulty faced by many complainants who are unable to provide sufficient detail of their historical sexual assault allegations. Historical sex</w:t>
      </w:r>
      <w:r w:rsidR="00D27AC7" w:rsidRPr="00E03CB6">
        <w:rPr>
          <w:lang w:eastAsia="en-AU"/>
        </w:rPr>
        <w:t>ual</w:t>
      </w:r>
      <w:r w:rsidRPr="00E03CB6">
        <w:rPr>
          <w:lang w:eastAsia="en-AU"/>
        </w:rPr>
        <w:t xml:space="preserve"> offences are universally challenging for complainants, prosecution and accused as the passage of time inevitably leads to diminished recollection and limits the availability of witnesses and forensic evidence. </w:t>
      </w:r>
    </w:p>
    <w:p w14:paraId="0847913B" w14:textId="77777777" w:rsidR="00951E55" w:rsidRDefault="0034098E" w:rsidP="00CE7289">
      <w:pPr>
        <w:rPr>
          <w:lang w:eastAsia="en-AU"/>
        </w:rPr>
      </w:pPr>
      <w:r>
        <w:rPr>
          <w:lang w:eastAsia="en-AU"/>
        </w:rPr>
        <w:t>This difficulty is reflected in the</w:t>
      </w:r>
      <w:r w:rsidR="00951E55">
        <w:rPr>
          <w:lang w:eastAsia="en-AU"/>
        </w:rPr>
        <w:t xml:space="preserve"> course of conduct charge at c</w:t>
      </w:r>
      <w:r w:rsidR="00951E55" w:rsidRPr="00951E55">
        <w:rPr>
          <w:lang w:eastAsia="en-AU"/>
        </w:rPr>
        <w:t xml:space="preserve">lause 4A of the </w:t>
      </w:r>
      <w:r w:rsidR="00951E55" w:rsidRPr="00951E55">
        <w:rPr>
          <w:i/>
          <w:lang w:eastAsia="en-AU"/>
        </w:rPr>
        <w:t xml:space="preserve">Criminal Procedure Act 2009 </w:t>
      </w:r>
      <w:r w:rsidR="00951E55" w:rsidRPr="00951E55">
        <w:rPr>
          <w:lang w:eastAsia="en-AU"/>
        </w:rPr>
        <w:t>(Vic) (CPA)</w:t>
      </w:r>
      <w:r w:rsidR="00951E55" w:rsidRPr="00951E55">
        <w:rPr>
          <w:vertAlign w:val="superscript"/>
          <w:lang w:eastAsia="en-AU"/>
        </w:rPr>
        <w:footnoteReference w:id="2"/>
      </w:r>
      <w:r w:rsidR="00951E55">
        <w:rPr>
          <w:lang w:eastAsia="en-AU"/>
        </w:rPr>
        <w:t xml:space="preserve"> </w:t>
      </w:r>
      <w:r>
        <w:rPr>
          <w:lang w:eastAsia="en-AU"/>
        </w:rPr>
        <w:t>which does not require</w:t>
      </w:r>
      <w:r w:rsidR="00A60E4D">
        <w:rPr>
          <w:lang w:eastAsia="en-AU"/>
        </w:rPr>
        <w:t xml:space="preserve"> proof of ‘any particular number of incidents of the offence or the dates, times, places, circumstances or occasions of the incidents’ or ‘the general circumstances of any particular incident’ and ‘need not include particulars of any specific incident of the offence, including its date, time, place, circumstances or occasion’. </w:t>
      </w:r>
    </w:p>
    <w:p w14:paraId="3C9B4878" w14:textId="77777777" w:rsidR="0041389B" w:rsidRPr="00533E22" w:rsidRDefault="002C2E0A" w:rsidP="00CE7289">
      <w:pPr>
        <w:rPr>
          <w:lang w:val="en-US" w:eastAsia="en-AU"/>
        </w:rPr>
      </w:pPr>
      <w:r>
        <w:rPr>
          <w:lang w:val="en-US" w:eastAsia="en-AU"/>
        </w:rPr>
        <w:t>The Royal Commission’</w:t>
      </w:r>
      <w:r w:rsidR="00533E22">
        <w:rPr>
          <w:lang w:val="en-US" w:eastAsia="en-AU"/>
        </w:rPr>
        <w:t xml:space="preserve">s Consultation Paper questions </w:t>
      </w:r>
      <w:r w:rsidRPr="002C2E0A">
        <w:rPr>
          <w:lang w:val="en-US" w:eastAsia="en-AU"/>
        </w:rPr>
        <w:t>whether the requirement for particulars can be further restricted without causing unfairness to the accused.</w:t>
      </w:r>
      <w:r w:rsidR="00533E22">
        <w:rPr>
          <w:lang w:val="en-US" w:eastAsia="en-AU"/>
        </w:rPr>
        <w:t xml:space="preserve"> </w:t>
      </w:r>
      <w:r w:rsidR="00A60E4D">
        <w:rPr>
          <w:lang w:eastAsia="en-AU"/>
        </w:rPr>
        <w:t>VLA considers that</w:t>
      </w:r>
      <w:r w:rsidR="00D27AC7" w:rsidRPr="00E03CB6">
        <w:rPr>
          <w:lang w:eastAsia="en-AU"/>
        </w:rPr>
        <w:t xml:space="preserve"> further restricting</w:t>
      </w:r>
      <w:r w:rsidR="00560357" w:rsidRPr="00E03CB6">
        <w:rPr>
          <w:lang w:eastAsia="en-AU"/>
        </w:rPr>
        <w:t xml:space="preserve"> the requirement for </w:t>
      </w:r>
      <w:r w:rsidR="00BC2E61" w:rsidRPr="00E03CB6">
        <w:rPr>
          <w:lang w:eastAsia="en-AU"/>
        </w:rPr>
        <w:t>the complainant to provide</w:t>
      </w:r>
      <w:r w:rsidR="009C308E">
        <w:rPr>
          <w:lang w:eastAsia="en-AU"/>
        </w:rPr>
        <w:t xml:space="preserve"> some</w:t>
      </w:r>
      <w:r w:rsidR="00BC2E61" w:rsidRPr="00E03CB6">
        <w:rPr>
          <w:lang w:eastAsia="en-AU"/>
        </w:rPr>
        <w:t xml:space="preserve"> </w:t>
      </w:r>
      <w:r w:rsidR="00D27AC7" w:rsidRPr="00E03CB6">
        <w:rPr>
          <w:lang w:eastAsia="en-AU"/>
        </w:rPr>
        <w:t>particulars</w:t>
      </w:r>
      <w:r w:rsidR="00560357" w:rsidRPr="00E03CB6">
        <w:rPr>
          <w:lang w:eastAsia="en-AU"/>
        </w:rPr>
        <w:t xml:space="preserve"> creates a very real risk that people will be wrongly convicted of serious offences on evidence that is impossible to meaningfully test or challenge.</w:t>
      </w:r>
      <w:r w:rsidR="00D27AC7" w:rsidRPr="00E03CB6">
        <w:rPr>
          <w:lang w:eastAsia="en-AU"/>
        </w:rPr>
        <w:t xml:space="preserve"> </w:t>
      </w:r>
      <w:r w:rsidR="00A60E4D">
        <w:rPr>
          <w:lang w:eastAsia="en-AU"/>
        </w:rPr>
        <w:t>I</w:t>
      </w:r>
      <w:r w:rsidR="00560357" w:rsidRPr="00E03CB6">
        <w:rPr>
          <w:lang w:eastAsia="en-AU"/>
        </w:rPr>
        <w:t>n an environment in which both the complainant and the accused are disadvantaged by the passing of time, it is important that appropriate balance is achieved so as not to undermine an accused’s presumption of innocence, especially given the serious consequ</w:t>
      </w:r>
      <w:r w:rsidR="00D27AC7" w:rsidRPr="00E03CB6">
        <w:rPr>
          <w:lang w:eastAsia="en-AU"/>
        </w:rPr>
        <w:t xml:space="preserve">ences that follow a conviction. </w:t>
      </w:r>
    </w:p>
    <w:p w14:paraId="2C37FABD" w14:textId="77777777" w:rsidR="00560357" w:rsidRDefault="0041389B" w:rsidP="00560357">
      <w:pPr>
        <w:spacing w:after="200" w:line="300" w:lineRule="exact"/>
        <w:rPr>
          <w:rFonts w:cs="Arial"/>
          <w:color w:val="000000"/>
          <w:szCs w:val="22"/>
          <w:lang w:eastAsia="en-AU"/>
        </w:rPr>
      </w:pPr>
      <w:r>
        <w:rPr>
          <w:rFonts w:cs="Arial"/>
          <w:szCs w:val="22"/>
          <w:lang w:eastAsia="en-AU"/>
        </w:rPr>
        <w:lastRenderedPageBreak/>
        <w:t>Whilst an overwhelming majority of sexual offence complaints are genuine, there are a small number of cases where allegations will be made that are incorrect, false or exaggerated.</w:t>
      </w:r>
      <w:r>
        <w:rPr>
          <w:rStyle w:val="FootnoteReference"/>
          <w:rFonts w:cs="Arial"/>
          <w:szCs w:val="22"/>
          <w:lang w:eastAsia="en-AU"/>
        </w:rPr>
        <w:footnoteReference w:id="3"/>
      </w:r>
      <w:r>
        <w:rPr>
          <w:rFonts w:cs="Arial"/>
          <w:szCs w:val="22"/>
          <w:lang w:eastAsia="en-AU"/>
        </w:rPr>
        <w:t xml:space="preserve"> </w:t>
      </w:r>
      <w:r w:rsidR="00560357" w:rsidRPr="00E03CB6">
        <w:rPr>
          <w:rFonts w:cs="Arial"/>
          <w:color w:val="000000"/>
          <w:szCs w:val="22"/>
          <w:lang w:eastAsia="en-AU"/>
        </w:rPr>
        <w:t>Requiring reasonable particulars that are able to be tested in the courts is one way to guard against the possibility of improper convictions, as it allows an accused to produce exculpatory evidence (for example, alibi evidence).</w:t>
      </w:r>
      <w:r w:rsidR="00533E22">
        <w:rPr>
          <w:rFonts w:cs="Arial"/>
          <w:color w:val="000000"/>
          <w:szCs w:val="22"/>
          <w:lang w:eastAsia="en-AU"/>
        </w:rPr>
        <w:t xml:space="preserve"> VLA therefore does not support a further restriction on the requirement for particulars in the course of conduct provision. </w:t>
      </w:r>
    </w:p>
    <w:p w14:paraId="7A9AE1A6" w14:textId="46A4F894" w:rsidR="00A7183D" w:rsidRDefault="008F4A1D" w:rsidP="00A7183D">
      <w:pPr>
        <w:pStyle w:val="Heading1"/>
      </w:pPr>
      <w:bookmarkStart w:id="6" w:name="_Toc465704249"/>
      <w:r>
        <w:t>T</w:t>
      </w:r>
      <w:r w:rsidR="00A7183D">
        <w:t>hird-party offences</w:t>
      </w:r>
      <w:bookmarkEnd w:id="6"/>
    </w:p>
    <w:p w14:paraId="22CF97F7" w14:textId="77777777" w:rsidR="00840034" w:rsidRDefault="00514D20" w:rsidP="00A7183D">
      <w:pPr>
        <w:rPr>
          <w:lang w:eastAsia="en-AU"/>
        </w:rPr>
      </w:pPr>
      <w:r>
        <w:rPr>
          <w:lang w:eastAsia="en-AU"/>
        </w:rPr>
        <w:t>S</w:t>
      </w:r>
      <w:r w:rsidRPr="00514D20">
        <w:rPr>
          <w:lang w:eastAsia="en-AU"/>
        </w:rPr>
        <w:t xml:space="preserve">ection 327(2) of the </w:t>
      </w:r>
      <w:r w:rsidRPr="00514D20">
        <w:rPr>
          <w:i/>
          <w:lang w:eastAsia="en-AU"/>
        </w:rPr>
        <w:t>Crimes Act 1958</w:t>
      </w:r>
      <w:r w:rsidRPr="00514D20">
        <w:rPr>
          <w:lang w:eastAsia="en-AU"/>
        </w:rPr>
        <w:t xml:space="preserve"> (Vic)</w:t>
      </w:r>
      <w:r>
        <w:rPr>
          <w:lang w:eastAsia="en-AU"/>
        </w:rPr>
        <w:t xml:space="preserve"> makes it an offence to fail to make a disclosure where a person forms a reasonable belief that a sexual offence has been committed against a child under the age of 16 years. </w:t>
      </w:r>
      <w:r w:rsidR="00D06B2E">
        <w:rPr>
          <w:lang w:eastAsia="en-AU"/>
        </w:rPr>
        <w:t xml:space="preserve">This reflects existing community attitudes about the need for an additional level of protection for a particularly vulnerable cohort of victims. </w:t>
      </w:r>
      <w:r w:rsidR="00840034">
        <w:rPr>
          <w:lang w:eastAsia="en-AU"/>
        </w:rPr>
        <w:t xml:space="preserve">VLA considers that </w:t>
      </w:r>
      <w:r w:rsidR="00FD3AF2">
        <w:rPr>
          <w:lang w:eastAsia="en-AU"/>
        </w:rPr>
        <w:t xml:space="preserve">the subjective and objective test of </w:t>
      </w:r>
      <w:r w:rsidR="00840034">
        <w:rPr>
          <w:lang w:eastAsia="en-AU"/>
        </w:rPr>
        <w:t>‘reasonable belief’</w:t>
      </w:r>
      <w:r w:rsidR="00FD3AF2">
        <w:rPr>
          <w:lang w:eastAsia="en-AU"/>
        </w:rPr>
        <w:t xml:space="preserve"> and the reasonable excuse provisions </w:t>
      </w:r>
      <w:r w:rsidR="007A1402">
        <w:rPr>
          <w:lang w:eastAsia="en-AU"/>
        </w:rPr>
        <w:t xml:space="preserve">in section 327(2) </w:t>
      </w:r>
      <w:r w:rsidR="00FD3AF2">
        <w:rPr>
          <w:lang w:eastAsia="en-AU"/>
        </w:rPr>
        <w:t xml:space="preserve">are </w:t>
      </w:r>
      <w:r w:rsidR="00840034">
        <w:rPr>
          <w:lang w:eastAsia="en-AU"/>
        </w:rPr>
        <w:t>appropriate</w:t>
      </w:r>
      <w:r w:rsidR="00A009A2">
        <w:rPr>
          <w:lang w:eastAsia="en-AU"/>
        </w:rPr>
        <w:t xml:space="preserve"> as they strike the right balance between protecting </w:t>
      </w:r>
      <w:r w:rsidR="00044ED4">
        <w:rPr>
          <w:lang w:eastAsia="en-AU"/>
        </w:rPr>
        <w:t>this vulnerable cohort</w:t>
      </w:r>
      <w:r w:rsidR="00A009A2">
        <w:rPr>
          <w:lang w:eastAsia="en-AU"/>
        </w:rPr>
        <w:t xml:space="preserve"> from further abuse and </w:t>
      </w:r>
      <w:r w:rsidR="007A1402">
        <w:rPr>
          <w:lang w:eastAsia="en-AU"/>
        </w:rPr>
        <w:t xml:space="preserve">not penalising a third party who fails to disclose in specific circumstances.  </w:t>
      </w:r>
    </w:p>
    <w:p w14:paraId="11059F8C" w14:textId="77777777" w:rsidR="00690D4B" w:rsidRDefault="00D86CF5" w:rsidP="00A7183D">
      <w:pPr>
        <w:rPr>
          <w:lang w:eastAsia="en-AU"/>
        </w:rPr>
      </w:pPr>
      <w:r>
        <w:rPr>
          <w:lang w:val="en-US" w:eastAsia="en-AU"/>
        </w:rPr>
        <w:t xml:space="preserve">The Royal Commission asks for feedback about </w:t>
      </w:r>
      <w:r w:rsidRPr="00D86CF5">
        <w:rPr>
          <w:lang w:val="en-US" w:eastAsia="en-AU"/>
        </w:rPr>
        <w:t>whether a criminal offence for failure to repo</w:t>
      </w:r>
      <w:r>
        <w:rPr>
          <w:lang w:val="en-US" w:eastAsia="en-AU"/>
        </w:rPr>
        <w:t>rt</w:t>
      </w:r>
      <w:r w:rsidRPr="00D86CF5">
        <w:rPr>
          <w:lang w:val="en-US" w:eastAsia="en-AU"/>
        </w:rPr>
        <w:t xml:space="preserve"> should apply to</w:t>
      </w:r>
      <w:r>
        <w:rPr>
          <w:lang w:val="en-US" w:eastAsia="en-AU"/>
        </w:rPr>
        <w:t xml:space="preserve"> </w:t>
      </w:r>
      <w:r w:rsidRPr="00D86CF5">
        <w:rPr>
          <w:lang w:val="en-US" w:eastAsia="en-AU"/>
        </w:rPr>
        <w:t>all serious criminal offences</w:t>
      </w:r>
      <w:r>
        <w:rPr>
          <w:lang w:val="en-US" w:eastAsia="en-AU"/>
        </w:rPr>
        <w:t xml:space="preserve">. </w:t>
      </w:r>
      <w:r w:rsidR="006B32F9">
        <w:rPr>
          <w:lang w:eastAsia="en-AU"/>
        </w:rPr>
        <w:t xml:space="preserve">VLA </w:t>
      </w:r>
      <w:r w:rsidR="00693EBA">
        <w:rPr>
          <w:lang w:eastAsia="en-AU"/>
        </w:rPr>
        <w:t>does not support</w:t>
      </w:r>
      <w:r w:rsidR="00A009A2">
        <w:rPr>
          <w:lang w:eastAsia="en-AU"/>
        </w:rPr>
        <w:t xml:space="preserve"> the</w:t>
      </w:r>
      <w:r w:rsidR="006B32F9">
        <w:rPr>
          <w:lang w:eastAsia="en-AU"/>
        </w:rPr>
        <w:t xml:space="preserve"> ex</w:t>
      </w:r>
      <w:r w:rsidR="00FD3AF2">
        <w:rPr>
          <w:lang w:eastAsia="en-AU"/>
        </w:rPr>
        <w:t>ten</w:t>
      </w:r>
      <w:r w:rsidR="00A009A2">
        <w:rPr>
          <w:lang w:eastAsia="en-AU"/>
        </w:rPr>
        <w:t>sion of this offence</w:t>
      </w:r>
      <w:r w:rsidR="00514D20">
        <w:rPr>
          <w:lang w:eastAsia="en-AU"/>
        </w:rPr>
        <w:t xml:space="preserve"> </w:t>
      </w:r>
      <w:r w:rsidR="00514D20" w:rsidRPr="00514D20">
        <w:rPr>
          <w:lang w:eastAsia="en-AU"/>
        </w:rPr>
        <w:t>to all serious criminal of</w:t>
      </w:r>
      <w:r w:rsidR="00FD3AF2">
        <w:rPr>
          <w:lang w:eastAsia="en-AU"/>
        </w:rPr>
        <w:t>fences</w:t>
      </w:r>
      <w:r w:rsidR="00A009A2">
        <w:rPr>
          <w:lang w:eastAsia="en-AU"/>
        </w:rPr>
        <w:t xml:space="preserve"> </w:t>
      </w:r>
      <w:r w:rsidR="007A1402">
        <w:rPr>
          <w:lang w:eastAsia="en-AU"/>
        </w:rPr>
        <w:t>as</w:t>
      </w:r>
      <w:r w:rsidR="00693EBA">
        <w:rPr>
          <w:lang w:eastAsia="en-AU"/>
        </w:rPr>
        <w:t xml:space="preserve"> </w:t>
      </w:r>
      <w:r w:rsidR="00923F51">
        <w:rPr>
          <w:lang w:eastAsia="en-AU"/>
        </w:rPr>
        <w:t xml:space="preserve">the need to protect victims from other serious offending does not justify the imposition of a positive duty on members of the </w:t>
      </w:r>
      <w:r w:rsidR="00F84ECD">
        <w:rPr>
          <w:lang w:eastAsia="en-AU"/>
        </w:rPr>
        <w:t>community</w:t>
      </w:r>
      <w:r w:rsidR="00923F51">
        <w:rPr>
          <w:lang w:eastAsia="en-AU"/>
        </w:rPr>
        <w:t xml:space="preserve"> of which the failure to perform may invoke a punitive response. </w:t>
      </w:r>
      <w:r w:rsidR="00044ED4">
        <w:rPr>
          <w:lang w:eastAsia="en-AU"/>
        </w:rPr>
        <w:t>An expanded failure to disclose offence</w:t>
      </w:r>
      <w:r w:rsidR="007A1402">
        <w:rPr>
          <w:lang w:eastAsia="en-AU"/>
        </w:rPr>
        <w:t xml:space="preserve"> would place</w:t>
      </w:r>
      <w:r w:rsidR="00FD3AF2">
        <w:rPr>
          <w:lang w:eastAsia="en-AU"/>
        </w:rPr>
        <w:t xml:space="preserve"> </w:t>
      </w:r>
      <w:r w:rsidR="007D21D2">
        <w:rPr>
          <w:lang w:eastAsia="en-AU"/>
        </w:rPr>
        <w:t>an</w:t>
      </w:r>
      <w:r w:rsidR="007A1402">
        <w:rPr>
          <w:lang w:eastAsia="en-AU"/>
        </w:rPr>
        <w:t xml:space="preserve"> inord</w:t>
      </w:r>
      <w:r w:rsidR="00566DDE">
        <w:rPr>
          <w:lang w:eastAsia="en-AU"/>
        </w:rPr>
        <w:t>inate</w:t>
      </w:r>
      <w:r w:rsidR="007A1402">
        <w:rPr>
          <w:lang w:eastAsia="en-AU"/>
        </w:rPr>
        <w:t xml:space="preserve"> burden on members of the community </w:t>
      </w:r>
      <w:r w:rsidR="00566DDE">
        <w:rPr>
          <w:lang w:eastAsia="en-AU"/>
        </w:rPr>
        <w:t>to disclose conduct that may or may no</w:t>
      </w:r>
      <w:r w:rsidR="007D21D2">
        <w:rPr>
          <w:lang w:eastAsia="en-AU"/>
        </w:rPr>
        <w:t xml:space="preserve">t actually constitute </w:t>
      </w:r>
      <w:r w:rsidR="00693EBA">
        <w:rPr>
          <w:lang w:eastAsia="en-AU"/>
        </w:rPr>
        <w:t xml:space="preserve">serious </w:t>
      </w:r>
      <w:r w:rsidR="007D21D2">
        <w:rPr>
          <w:lang w:eastAsia="en-AU"/>
        </w:rPr>
        <w:t>offending simply</w:t>
      </w:r>
      <w:r w:rsidR="00566DDE">
        <w:rPr>
          <w:lang w:eastAsia="en-AU"/>
        </w:rPr>
        <w:t xml:space="preserve"> to avoid offending </w:t>
      </w:r>
      <w:r w:rsidR="00D06B2E">
        <w:rPr>
          <w:lang w:eastAsia="en-AU"/>
        </w:rPr>
        <w:t xml:space="preserve">against the new provision, and penalise people who </w:t>
      </w:r>
      <w:r w:rsidR="00D06B2E" w:rsidRPr="00D06B2E">
        <w:rPr>
          <w:lang w:eastAsia="en-AU"/>
        </w:rPr>
        <w:t>inadvertently fail to recognise the conduct of a serious criminal offence</w:t>
      </w:r>
      <w:r w:rsidR="00D06B2E">
        <w:rPr>
          <w:lang w:eastAsia="en-AU"/>
        </w:rPr>
        <w:t>.</w:t>
      </w:r>
      <w:r w:rsidR="007D21D2">
        <w:rPr>
          <w:lang w:eastAsia="en-AU"/>
        </w:rPr>
        <w:t xml:space="preserve"> </w:t>
      </w:r>
      <w:r w:rsidR="00DE6602">
        <w:rPr>
          <w:lang w:eastAsia="en-AU"/>
        </w:rPr>
        <w:t xml:space="preserve">VLA also questions the utility of a provision that would presume an understanding on behalf of members of the community that a positive duty to take particular </w:t>
      </w:r>
      <w:r w:rsidR="00FC7C2A">
        <w:rPr>
          <w:lang w:eastAsia="en-AU"/>
        </w:rPr>
        <w:t>steps</w:t>
      </w:r>
      <w:r w:rsidR="00DE6602">
        <w:rPr>
          <w:lang w:eastAsia="en-AU"/>
        </w:rPr>
        <w:t xml:space="preserve"> applies.  </w:t>
      </w:r>
    </w:p>
    <w:p w14:paraId="1FC675E8" w14:textId="77777777" w:rsidR="00A7183D" w:rsidRDefault="007D21D2" w:rsidP="00A7183D">
      <w:pPr>
        <w:rPr>
          <w:lang w:eastAsia="en-AU"/>
        </w:rPr>
      </w:pPr>
      <w:r>
        <w:rPr>
          <w:lang w:eastAsia="en-AU"/>
        </w:rPr>
        <w:t xml:space="preserve">Such </w:t>
      </w:r>
      <w:r w:rsidR="00F52276">
        <w:rPr>
          <w:lang w:eastAsia="en-AU"/>
        </w:rPr>
        <w:t xml:space="preserve">an </w:t>
      </w:r>
      <w:r w:rsidR="00566DDE">
        <w:rPr>
          <w:lang w:eastAsia="en-AU"/>
        </w:rPr>
        <w:t>obligation</w:t>
      </w:r>
      <w:r>
        <w:rPr>
          <w:lang w:eastAsia="en-AU"/>
        </w:rPr>
        <w:t xml:space="preserve"> would</w:t>
      </w:r>
      <w:r w:rsidR="00566DDE">
        <w:rPr>
          <w:lang w:eastAsia="en-AU"/>
        </w:rPr>
        <w:t xml:space="preserve"> </w:t>
      </w:r>
      <w:r w:rsidR="006A1D5C">
        <w:rPr>
          <w:lang w:eastAsia="en-AU"/>
        </w:rPr>
        <w:t xml:space="preserve">also </w:t>
      </w:r>
      <w:r w:rsidRPr="007D21D2">
        <w:rPr>
          <w:lang w:eastAsia="en-AU"/>
        </w:rPr>
        <w:t>place family and friends in the invidious position of having to nominate loved ones for offending</w:t>
      </w:r>
      <w:r w:rsidR="0083671B">
        <w:rPr>
          <w:lang w:eastAsia="en-AU"/>
        </w:rPr>
        <w:t>. Complex family dynamics can make a decision to report complicated and difficult, for example where a family member re</w:t>
      </w:r>
      <w:r w:rsidR="00690D4B">
        <w:rPr>
          <w:lang w:eastAsia="en-AU"/>
        </w:rPr>
        <w:t>lies on the alleged offender for financial and/or emotional support,</w:t>
      </w:r>
      <w:r w:rsidR="00735FB6">
        <w:rPr>
          <w:lang w:eastAsia="en-AU"/>
        </w:rPr>
        <w:t xml:space="preserve"> experiences threats and</w:t>
      </w:r>
      <w:r w:rsidR="00690D4B">
        <w:rPr>
          <w:lang w:eastAsia="en-AU"/>
        </w:rPr>
        <w:t xml:space="preserve"> fears for their safety in the event of a reprisal</w:t>
      </w:r>
      <w:r w:rsidR="00735FB6">
        <w:rPr>
          <w:lang w:eastAsia="en-AU"/>
        </w:rPr>
        <w:t xml:space="preserve">, </w:t>
      </w:r>
      <w:r w:rsidR="00690D4B">
        <w:rPr>
          <w:lang w:eastAsia="en-AU"/>
        </w:rPr>
        <w:t xml:space="preserve">has been a victim themselves, or where </w:t>
      </w:r>
      <w:r w:rsidR="00735FB6">
        <w:rPr>
          <w:lang w:eastAsia="en-AU"/>
        </w:rPr>
        <w:t xml:space="preserve">another family member who is also </w:t>
      </w:r>
      <w:r w:rsidR="00690D4B">
        <w:rPr>
          <w:lang w:eastAsia="en-AU"/>
        </w:rPr>
        <w:t xml:space="preserve">the victim has requested that a report not be made. </w:t>
      </w:r>
      <w:r w:rsidR="00702BF5">
        <w:rPr>
          <w:lang w:eastAsia="en-AU"/>
        </w:rPr>
        <w:t>Newly arrived migrant</w:t>
      </w:r>
      <w:r w:rsidR="00735FB6">
        <w:rPr>
          <w:lang w:eastAsia="en-AU"/>
        </w:rPr>
        <w:t>s</w:t>
      </w:r>
      <w:r w:rsidR="00702BF5">
        <w:rPr>
          <w:lang w:eastAsia="en-AU"/>
        </w:rPr>
        <w:t xml:space="preserve"> from culturally and linguistically diverse backgrounds may fear social isolation and the withdrawal of financial support from the alleged perpetrator </w:t>
      </w:r>
      <w:r w:rsidR="00735FB6">
        <w:rPr>
          <w:lang w:eastAsia="en-AU"/>
        </w:rPr>
        <w:t xml:space="preserve">or the victim </w:t>
      </w:r>
      <w:r w:rsidR="00702BF5">
        <w:rPr>
          <w:lang w:eastAsia="en-AU"/>
        </w:rPr>
        <w:t xml:space="preserve">if a report is made. Fears of reprisals and </w:t>
      </w:r>
      <w:r w:rsidR="00DE6602">
        <w:rPr>
          <w:lang w:eastAsia="en-AU"/>
        </w:rPr>
        <w:t>invasion of privacy</w:t>
      </w:r>
      <w:r w:rsidR="00735FB6">
        <w:rPr>
          <w:lang w:eastAsia="en-AU"/>
        </w:rPr>
        <w:t xml:space="preserve"> present</w:t>
      </w:r>
      <w:r w:rsidR="00702BF5">
        <w:rPr>
          <w:lang w:eastAsia="en-AU"/>
        </w:rPr>
        <w:t xml:space="preserve"> additional challenges for </w:t>
      </w:r>
      <w:r w:rsidR="00735FB6">
        <w:rPr>
          <w:lang w:eastAsia="en-AU"/>
        </w:rPr>
        <w:t>people in small tight-knit</w:t>
      </w:r>
      <w:r w:rsidR="00702BF5">
        <w:rPr>
          <w:lang w:eastAsia="en-AU"/>
        </w:rPr>
        <w:t xml:space="preserve"> communities. </w:t>
      </w:r>
      <w:r w:rsidR="008F34D3">
        <w:rPr>
          <w:lang w:eastAsia="en-AU"/>
        </w:rPr>
        <w:t xml:space="preserve">Further, the requirement to report </w:t>
      </w:r>
      <w:r>
        <w:rPr>
          <w:lang w:eastAsia="en-AU"/>
        </w:rPr>
        <w:t xml:space="preserve">may </w:t>
      </w:r>
      <w:r w:rsidRPr="007D21D2">
        <w:rPr>
          <w:lang w:eastAsia="en-AU"/>
        </w:rPr>
        <w:t xml:space="preserve">abrogate section 18 of the </w:t>
      </w:r>
      <w:r w:rsidRPr="007D21D2">
        <w:rPr>
          <w:i/>
          <w:lang w:eastAsia="en-AU"/>
        </w:rPr>
        <w:t>Evidence Act 2008</w:t>
      </w:r>
      <w:r w:rsidRPr="007D21D2">
        <w:rPr>
          <w:lang w:eastAsia="en-AU"/>
        </w:rPr>
        <w:t xml:space="preserve"> (Vic)</w:t>
      </w:r>
      <w:r w:rsidR="008F34D3">
        <w:rPr>
          <w:lang w:eastAsia="en-AU"/>
        </w:rPr>
        <w:t xml:space="preserve"> in relation to the compellability of family members as witnesses</w:t>
      </w:r>
      <w:r w:rsidRPr="007D21D2">
        <w:rPr>
          <w:lang w:eastAsia="en-AU"/>
        </w:rPr>
        <w:t>.</w:t>
      </w:r>
      <w:r>
        <w:rPr>
          <w:lang w:eastAsia="en-AU"/>
        </w:rPr>
        <w:t xml:space="preserve"> </w:t>
      </w:r>
    </w:p>
    <w:p w14:paraId="1BA61A07" w14:textId="77777777" w:rsidR="00606D29" w:rsidRPr="00606D29" w:rsidRDefault="002E0C47" w:rsidP="00606D29">
      <w:pPr>
        <w:pStyle w:val="Heading1"/>
      </w:pPr>
      <w:bookmarkStart w:id="7" w:name="_Toc465704250"/>
      <w:r>
        <w:t>Delays in prosecutions</w:t>
      </w:r>
      <w:bookmarkEnd w:id="7"/>
    </w:p>
    <w:bookmarkEnd w:id="2"/>
    <w:p w14:paraId="4E4142BA" w14:textId="77777777" w:rsidR="00173FC1" w:rsidRDefault="00076C1D" w:rsidP="00480D97">
      <w:pPr>
        <w:tabs>
          <w:tab w:val="left" w:pos="7419"/>
        </w:tabs>
      </w:pPr>
      <w:r>
        <w:t xml:space="preserve">In our experience, </w:t>
      </w:r>
      <w:r w:rsidR="00BE2D29" w:rsidRPr="00BE2D29">
        <w:t>significant delay between an incident and the court hearing to determine its resolution makes it difficult</w:t>
      </w:r>
      <w:r w:rsidR="00BE2D29">
        <w:t xml:space="preserve"> for a person accused of an offence </w:t>
      </w:r>
      <w:r w:rsidR="00BE2D29" w:rsidRPr="00BE2D29">
        <w:t xml:space="preserve">to remember the incident, provide </w:t>
      </w:r>
      <w:r w:rsidR="00BE2D29" w:rsidRPr="00BE2D29">
        <w:lastRenderedPageBreak/>
        <w:t>their lawyer with meaningful instructions, give evidence and, in many cases, actually link the incident in question to the court proceedings.</w:t>
      </w:r>
      <w:r>
        <w:t xml:space="preserve"> </w:t>
      </w:r>
      <w:r w:rsidR="00737C61" w:rsidRPr="00737C61">
        <w:t xml:space="preserve">A significant number of stakeholders VLA consulted during </w:t>
      </w:r>
      <w:r w:rsidR="00833899">
        <w:t xml:space="preserve">our </w:t>
      </w:r>
      <w:r w:rsidR="00502111">
        <w:t xml:space="preserve">Delivering </w:t>
      </w:r>
      <w:r w:rsidR="00833899">
        <w:t>High Quality Criminal Trials</w:t>
      </w:r>
      <w:r w:rsidR="00276CDB">
        <w:t xml:space="preserve"> review</w:t>
      </w:r>
      <w:r w:rsidR="00737C61" w:rsidRPr="00737C61">
        <w:t xml:space="preserve"> </w:t>
      </w:r>
      <w:r w:rsidR="00376FD1">
        <w:t xml:space="preserve">also </w:t>
      </w:r>
      <w:r w:rsidR="00737C61" w:rsidRPr="00737C61">
        <w:t xml:space="preserve">expressed frustration about late disclosure by police and prosecution at various stages of the trial process, as late disclosure leads to a multitude of problems including delay and unfairness. </w:t>
      </w:r>
      <w:r w:rsidR="00480D97">
        <w:t xml:space="preserve">During our review, we examined </w:t>
      </w:r>
      <w:r w:rsidR="00DB22C7">
        <w:t>the role of committals in narrowing the issues for trial and testing</w:t>
      </w:r>
      <w:r w:rsidR="00DB22C7" w:rsidRPr="00DB22C7">
        <w:t xml:space="preserve"> the strength of the evidence</w:t>
      </w:r>
      <w:r w:rsidR="00DB22C7">
        <w:t>, and the benefits associated with</w:t>
      </w:r>
      <w:r w:rsidR="000F6FCE">
        <w:t xml:space="preserve"> early guilty pleas by the accused for both them and the victim. </w:t>
      </w:r>
    </w:p>
    <w:p w14:paraId="38A9BEA6" w14:textId="77777777" w:rsidR="00376FD1" w:rsidRDefault="00673258" w:rsidP="00DA0493">
      <w:r>
        <w:t>In September 2014 VLA conducted a</w:t>
      </w:r>
      <w:r w:rsidR="000F68CE">
        <w:t xml:space="preserve"> </w:t>
      </w:r>
      <w:r w:rsidR="00502111">
        <w:t xml:space="preserve">separate </w:t>
      </w:r>
      <w:hyperlink r:id="rId19" w:history="1">
        <w:r w:rsidR="00DA0493" w:rsidRPr="00673258">
          <w:rPr>
            <w:rStyle w:val="Hyperlink"/>
          </w:rPr>
          <w:t>review</w:t>
        </w:r>
      </w:hyperlink>
      <w:r w:rsidR="00DA0493">
        <w:t xml:space="preserve"> into our funding of criminal appeals </w:t>
      </w:r>
      <w:r w:rsidR="000F68CE">
        <w:t xml:space="preserve">against sentence to the </w:t>
      </w:r>
      <w:r w:rsidR="00862947">
        <w:t xml:space="preserve">Victorian Supreme </w:t>
      </w:r>
      <w:r w:rsidR="000F68CE">
        <w:t>C</w:t>
      </w:r>
      <w:r>
        <w:t xml:space="preserve">ourt of Appeal. We </w:t>
      </w:r>
      <w:r w:rsidR="00DA0493">
        <w:t xml:space="preserve">found that the victims </w:t>
      </w:r>
      <w:r>
        <w:t xml:space="preserve">we </w:t>
      </w:r>
      <w:r w:rsidR="00DA0493">
        <w:t xml:space="preserve">consulted </w:t>
      </w:r>
      <w:r w:rsidR="00376FD1">
        <w:t xml:space="preserve">during our review </w:t>
      </w:r>
      <w:r w:rsidR="00DA0493">
        <w:t>experienced the justice system in different ways. However, system delay (often perceived as defence generated delay), as an additional and often unrecognised trauma to victims and their families, was an important common theme identified during the consultation. Whilst delay can be taken into account in reducing sentence for offenders, victims did not feel that delay was taken into account in terms</w:t>
      </w:r>
      <w:r w:rsidR="000F68CE">
        <w:t xml:space="preserve"> of the impact it has on them</w:t>
      </w:r>
      <w:r w:rsidR="00DA0493">
        <w:t xml:space="preserve"> and their families. </w:t>
      </w:r>
      <w:r w:rsidR="00502111">
        <w:t>Our</w:t>
      </w:r>
      <w:r>
        <w:t xml:space="preserve"> r</w:t>
      </w:r>
      <w:r w:rsidRPr="00673258">
        <w:t xml:space="preserve">eview highlighted the need for criminal justice stakeholders to work together more effectively to ensure victims are appropriately informed and included in appeal processes, in recognition of their rights under the </w:t>
      </w:r>
      <w:r w:rsidRPr="00673258">
        <w:rPr>
          <w:i/>
        </w:rPr>
        <w:t>Victims Charter Act 2006</w:t>
      </w:r>
      <w:r w:rsidRPr="00673258">
        <w:t xml:space="preserve"> (Vic) and the </w:t>
      </w:r>
      <w:r w:rsidRPr="00673258">
        <w:rPr>
          <w:i/>
        </w:rPr>
        <w:t>Sentencing Act 1991</w:t>
      </w:r>
      <w:r w:rsidRPr="00673258">
        <w:t xml:space="preserve"> (Vic).</w:t>
      </w:r>
    </w:p>
    <w:p w14:paraId="6303C16A" w14:textId="77777777" w:rsidR="00A00EBD" w:rsidRPr="00A00EBD" w:rsidRDefault="00A00EBD" w:rsidP="00CE7289">
      <w:pPr>
        <w:pStyle w:val="Heading2"/>
      </w:pPr>
      <w:bookmarkStart w:id="8" w:name="_Toc465704251"/>
      <w:r>
        <w:t xml:space="preserve">Case management and </w:t>
      </w:r>
      <w:r w:rsidR="00C3110A">
        <w:t>committals</w:t>
      </w:r>
      <w:bookmarkEnd w:id="8"/>
      <w:r w:rsidR="00C3110A">
        <w:t xml:space="preserve"> </w:t>
      </w:r>
      <w:r>
        <w:t xml:space="preserve"> </w:t>
      </w:r>
    </w:p>
    <w:p w14:paraId="221FFAEB" w14:textId="6D482D18" w:rsidR="00B54065" w:rsidRDefault="00A55B04" w:rsidP="009D5819">
      <w:r w:rsidRPr="00A55B04">
        <w:t>VLA considers that where a case can be resolved it should happen as early as is reasonably possible. The strengths and weaknesses of a case should be identified early and a case st</w:t>
      </w:r>
      <w:r w:rsidR="000F68CE">
        <w:t xml:space="preserve">rategy </w:t>
      </w:r>
      <w:r w:rsidR="00820EF9">
        <w:t xml:space="preserve">developed </w:t>
      </w:r>
      <w:r w:rsidR="000F68CE">
        <w:t xml:space="preserve">as a result. </w:t>
      </w:r>
      <w:r w:rsidR="006115E1">
        <w:t>This was a major focu</w:t>
      </w:r>
      <w:r w:rsidR="00502111">
        <w:t>s of the implementation of our Delivering</w:t>
      </w:r>
      <w:r w:rsidR="006115E1">
        <w:t xml:space="preserve"> High</w:t>
      </w:r>
      <w:r w:rsidR="00502111">
        <w:t xml:space="preserve"> Quality Criminal Trials review</w:t>
      </w:r>
      <w:r w:rsidR="006115E1">
        <w:t>. VLA supports the Royal Commission’s focus on achieving ear</w:t>
      </w:r>
      <w:r w:rsidR="003B0E73">
        <w:t>ly appropriate resolution</w:t>
      </w:r>
      <w:r w:rsidR="006115E1">
        <w:t xml:space="preserve"> </w:t>
      </w:r>
      <w:r w:rsidR="003B0E73">
        <w:t>as this</w:t>
      </w:r>
      <w:r w:rsidR="006115E1">
        <w:t xml:space="preserve"> benefits both the accused</w:t>
      </w:r>
      <w:r w:rsidR="009A133A">
        <w:t xml:space="preserve">, </w:t>
      </w:r>
      <w:r w:rsidR="006115E1">
        <w:t>the victim</w:t>
      </w:r>
      <w:r w:rsidR="009A133A">
        <w:t xml:space="preserve"> and the broader community.</w:t>
      </w:r>
    </w:p>
    <w:p w14:paraId="3FE9C311" w14:textId="77777777" w:rsidR="006115E1" w:rsidRDefault="0028286E" w:rsidP="009D5819">
      <w:r w:rsidRPr="0028286E">
        <w:t>As noted</w:t>
      </w:r>
      <w:r>
        <w:t xml:space="preserve"> by the Royal Commission, </w:t>
      </w:r>
      <w:r w:rsidR="00B54065">
        <w:t xml:space="preserve">specific </w:t>
      </w:r>
      <w:r w:rsidRPr="0028286E">
        <w:t>measures for maximising the efficient management o</w:t>
      </w:r>
      <w:r>
        <w:t>f sexual offence trials are</w:t>
      </w:r>
      <w:r w:rsidRPr="0028286E">
        <w:t xml:space="preserve"> available in Victoria, including section 270 of the CPA which is intended to encourage early guilty pleas, the management of sex offences in a separate list in the County Court, and the requirement for both parties to answer questions relating to pre-trial issues at the initial directions hearing.    </w:t>
      </w:r>
    </w:p>
    <w:p w14:paraId="05ED37C6" w14:textId="77777777" w:rsidR="00DA3D4D" w:rsidRDefault="00B54065" w:rsidP="009D5819">
      <w:r>
        <w:t>In Victoria, c</w:t>
      </w:r>
      <w:r w:rsidR="0023557A">
        <w:t>arefully run</w:t>
      </w:r>
      <w:r w:rsidR="008D5CF6">
        <w:t xml:space="preserve"> committal</w:t>
      </w:r>
      <w:r w:rsidR="009528F4">
        <w:t xml:space="preserve">s allow for timely testing of the strength of a case, narrowing of </w:t>
      </w:r>
      <w:r>
        <w:t xml:space="preserve">the </w:t>
      </w:r>
      <w:r w:rsidR="009528F4">
        <w:t>issues for trial, discussions regarding resolution or discontinuance</w:t>
      </w:r>
      <w:r w:rsidR="00011591">
        <w:t>,</w:t>
      </w:r>
      <w:r w:rsidR="009528F4">
        <w:t xml:space="preserve"> and the early and full disclosure of evidence.</w:t>
      </w:r>
      <w:r w:rsidR="008D5CF6" w:rsidRPr="008D5CF6">
        <w:t xml:space="preserve"> </w:t>
      </w:r>
      <w:r w:rsidR="009528F4">
        <w:t xml:space="preserve">They </w:t>
      </w:r>
      <w:r w:rsidR="00C21471">
        <w:t xml:space="preserve">can </w:t>
      </w:r>
      <w:r w:rsidR="009528F4">
        <w:t xml:space="preserve">also </w:t>
      </w:r>
      <w:r w:rsidR="00C21471">
        <w:t xml:space="preserve">prompt the prosecution to make decisions about how a case is to be put at an early stage well before trial. </w:t>
      </w:r>
      <w:r w:rsidR="00610A9D" w:rsidRPr="00610A9D">
        <w:t xml:space="preserve">The pre-committal phase is </w:t>
      </w:r>
      <w:r w:rsidR="00C3110A">
        <w:t xml:space="preserve">also </w:t>
      </w:r>
      <w:r w:rsidR="00610A9D" w:rsidRPr="00610A9D">
        <w:t xml:space="preserve">important as it is </w:t>
      </w:r>
      <w:r w:rsidR="00610A9D">
        <w:t>an</w:t>
      </w:r>
      <w:r w:rsidR="00610A9D" w:rsidRPr="00610A9D">
        <w:t xml:space="preserve"> opportunity to identify whether the case can be resolved early or whether it needs to proceed</w:t>
      </w:r>
      <w:r w:rsidR="00610A9D">
        <w:t>, with the benefit of a plea of guilty prior to committal a driving factor</w:t>
      </w:r>
      <w:r w:rsidR="00610A9D" w:rsidRPr="00610A9D">
        <w:t>.</w:t>
      </w:r>
      <w:r w:rsidR="00610A9D">
        <w:t xml:space="preserve"> </w:t>
      </w:r>
      <w:r w:rsidR="00011591">
        <w:t xml:space="preserve">However, </w:t>
      </w:r>
      <w:r w:rsidR="00011591" w:rsidRPr="00011591">
        <w:t>VLA’s practice experience and consultation with stakeholders from across the profession and judiciary in relation to our Delivering High Quality Criminal Trials review revealed that there are issues across the board with late disclosure of evidence by police and the prosecution</w:t>
      </w:r>
      <w:r w:rsidR="00011591">
        <w:t>.</w:t>
      </w:r>
      <w:r w:rsidR="00075590" w:rsidRPr="00075590">
        <w:t xml:space="preserve"> </w:t>
      </w:r>
      <w:r w:rsidR="00075590">
        <w:t>T</w:t>
      </w:r>
      <w:r w:rsidR="00075590" w:rsidRPr="00075590">
        <w:t>here are still too many instances where late disclosure creates delay and unnecessarily prolongs cases when they could have been resolved or determined earlier. It is difficult for the defence to respond and comply with case management requirements where, for example, they have not received notices of tendency and coincidence evidence, additional statements or material that should have been disclosed at the committal mention stage.</w:t>
      </w:r>
    </w:p>
    <w:p w14:paraId="78815D2D" w14:textId="77777777" w:rsidR="0078244B" w:rsidRDefault="0078244B" w:rsidP="009D5819">
      <w:r w:rsidRPr="0078244B">
        <w:t xml:space="preserve">Section 123 </w:t>
      </w:r>
      <w:r w:rsidR="00C97644">
        <w:t>of the CPA prohibits</w:t>
      </w:r>
      <w:r w:rsidRPr="0078244B">
        <w:t xml:space="preserve"> the Magistrates’ Court </w:t>
      </w:r>
      <w:r w:rsidR="00011591">
        <w:t xml:space="preserve">in sexual offence cases </w:t>
      </w:r>
      <w:r w:rsidRPr="0078244B">
        <w:t xml:space="preserve">from granting leave to cross-examine </w:t>
      </w:r>
      <w:r w:rsidR="00011591">
        <w:t>victims</w:t>
      </w:r>
      <w:r w:rsidRPr="0078244B">
        <w:t xml:space="preserve"> who were under the age of 18 years at the time of the proceedings or have </w:t>
      </w:r>
      <w:r w:rsidRPr="0078244B">
        <w:lastRenderedPageBreak/>
        <w:t xml:space="preserve">a cognitive impairment. </w:t>
      </w:r>
      <w:r w:rsidR="00011591">
        <w:t>S</w:t>
      </w:r>
      <w:r w:rsidR="00DD69CE">
        <w:t xml:space="preserve">pecial hearings take place outside of the trial process just prior to empanelment to obtain evidence from </w:t>
      </w:r>
      <w:r>
        <w:t xml:space="preserve">these vulnerable classes of </w:t>
      </w:r>
      <w:r w:rsidR="00011591">
        <w:t>victim</w:t>
      </w:r>
      <w:r w:rsidR="00DD69CE">
        <w:t xml:space="preserve">s. Evidence from these </w:t>
      </w:r>
      <w:r w:rsidR="00011591">
        <w:t>victim</w:t>
      </w:r>
      <w:r>
        <w:t>s</w:t>
      </w:r>
      <w:r w:rsidR="00DD69CE">
        <w:t xml:space="preserve"> is also able to be given remotely. </w:t>
      </w:r>
      <w:r w:rsidRPr="0078244B">
        <w:t>Recent amendments have enabled flexibility and judicial discretion around how special hearings are used, recognising that some victims want to give their evidence in court.</w:t>
      </w:r>
      <w:r>
        <w:t xml:space="preserve"> </w:t>
      </w:r>
      <w:r w:rsidR="00C97644">
        <w:t>However, VLA’s experience is that the current special hearing approach to children and cognitively impaired victims of sexual offences can sometimes lead to late resolution and discontinuances, given that they do not occur until just prior to empanelment of a jury. Late decisions as to resolution and discontinuance of matters can have an adverse impact on both victims and the accused.</w:t>
      </w:r>
      <w:r w:rsidR="00764B48">
        <w:rPr>
          <w:rStyle w:val="FootnoteReference"/>
        </w:rPr>
        <w:footnoteReference w:id="4"/>
      </w:r>
      <w:r w:rsidR="00C97644">
        <w:t xml:space="preserve">   </w:t>
      </w:r>
    </w:p>
    <w:p w14:paraId="15E074AC" w14:textId="77777777" w:rsidR="00275C0B" w:rsidRDefault="00011591" w:rsidP="009D5819">
      <w:r>
        <w:t>An additional</w:t>
      </w:r>
      <w:r w:rsidR="00DA3D4D">
        <w:t xml:space="preserve"> challenge with more streamlined committals is that lawyers lose the ability to properly test the strength of the evidence, especially in cases where evidence is contested or where full and proper disclosure of the evidence has not occurred. </w:t>
      </w:r>
      <w:r w:rsidR="00F45C20">
        <w:t>Some of the more difficult cases can benefit from an early assessment or identification of the strength of the evidence which can also impact on the ability to resolve early. The benefit of early cross-examination of the victim</w:t>
      </w:r>
      <w:r w:rsidR="00075590">
        <w:t xml:space="preserve"> does</w:t>
      </w:r>
      <w:r w:rsidR="0078244B">
        <w:t xml:space="preserve"> not just flow to the accused person. Prosecutors can also be aided to make earlier decisions around the prospects of conviction and whether to proceed with a prosecution. The ability to asses</w:t>
      </w:r>
      <w:r>
        <w:t>s</w:t>
      </w:r>
      <w:r w:rsidR="0078244B">
        <w:t xml:space="preserve"> issues early enables the prosecution to identify problems and run the case accordingly. </w:t>
      </w:r>
      <w:r w:rsidR="0028286E">
        <w:t xml:space="preserve">In our experience, there are still too many cases that are discontinued late in the process, often on the eve of trial. </w:t>
      </w:r>
      <w:r>
        <w:t>This</w:t>
      </w:r>
      <w:r w:rsidR="0028286E">
        <w:t xml:space="preserve"> can be devastating for victims, expensive for the community and unfair to accused people. </w:t>
      </w:r>
    </w:p>
    <w:p w14:paraId="5EE89E8F" w14:textId="11248B3F" w:rsidR="0028286E" w:rsidRDefault="0028286E" w:rsidP="00C524A6">
      <w:r>
        <w:t xml:space="preserve">This highlights the need for flexibility of approach in criminal cases and the importance of tailoring case management and procedures to suit the needs of the case. </w:t>
      </w:r>
      <w:r w:rsidR="00011591">
        <w:t>C</w:t>
      </w:r>
      <w:r w:rsidR="00011591" w:rsidRPr="00011591">
        <w:t xml:space="preserve">ommittals are not the only way in which early disclosure, preparation and resolution </w:t>
      </w:r>
      <w:r w:rsidR="00011591">
        <w:t>can be achieved</w:t>
      </w:r>
      <w:r w:rsidR="009C5E49" w:rsidRPr="009C5E49">
        <w:t xml:space="preserve">. </w:t>
      </w:r>
      <w:r w:rsidR="00275C0B">
        <w:t>VLA therefore supports a</w:t>
      </w:r>
      <w:r w:rsidR="000701D0" w:rsidRPr="000701D0">
        <w:t xml:space="preserve"> formal case management approach in the higher courts </w:t>
      </w:r>
      <w:r w:rsidR="00275C0B">
        <w:t>which would facilitate</w:t>
      </w:r>
      <w:r w:rsidR="000701D0" w:rsidRPr="000701D0">
        <w:t xml:space="preserve"> early resolution </w:t>
      </w:r>
      <w:r w:rsidR="009C5E49">
        <w:t>and ensure early and full disclosure by police and prosecutors</w:t>
      </w:r>
      <w:r w:rsidR="009A133A">
        <w:t>. VLA also supports strengthened disclosure obligations for the prosecution and police through additional legislation and more transparent model litigant policies and procedures, including around decisions to discontinue prosecutions.</w:t>
      </w:r>
      <w:r w:rsidR="008302C3">
        <w:rPr>
          <w:rStyle w:val="FootnoteReference"/>
        </w:rPr>
        <w:footnoteReference w:id="5"/>
      </w:r>
      <w:r w:rsidR="000701D0" w:rsidRPr="000701D0">
        <w:t xml:space="preserve"> </w:t>
      </w:r>
    </w:p>
    <w:p w14:paraId="1D17B702" w14:textId="5C4E7190" w:rsidR="00275C0B" w:rsidRDefault="00656411" w:rsidP="00C524A6">
      <w:r>
        <w:t xml:space="preserve">The way in which victims and key witnesses are proofed by the prosecution is also critical. Management of victims’ expectations is extremely important and prosecutors and support services they rely upon are critical to properly preparing victims for the process and possible outcomes.  </w:t>
      </w:r>
    </w:p>
    <w:p w14:paraId="69ED2EB4" w14:textId="77777777" w:rsidR="00CE7289" w:rsidRPr="00CE7289" w:rsidRDefault="00CE7289" w:rsidP="00CE7289">
      <w:pPr>
        <w:pStyle w:val="Recommendation"/>
        <w:rPr>
          <w:b/>
        </w:rPr>
      </w:pPr>
      <w:r w:rsidRPr="00CE7289">
        <w:rPr>
          <w:b/>
        </w:rPr>
        <w:t xml:space="preserve">Recommendation 3 – Strengthened disclosure obligations </w:t>
      </w:r>
    </w:p>
    <w:p w14:paraId="48678CFC" w14:textId="6CE6F728" w:rsidR="00CE7289" w:rsidRDefault="00CE7289" w:rsidP="00CE7289">
      <w:pPr>
        <w:pStyle w:val="Recommendation"/>
      </w:pPr>
      <w:r>
        <w:t>Strengthen the</w:t>
      </w:r>
      <w:r w:rsidRPr="00AC1EBE">
        <w:t xml:space="preserve"> disclosure obligations for the prosecution and police through additional legislation and more transparent model litigant policies and procedures, including around decisions to discontinue prosecutions</w:t>
      </w:r>
      <w:r>
        <w:t>.</w:t>
      </w:r>
    </w:p>
    <w:p w14:paraId="31D48026" w14:textId="5DBF73EA" w:rsidR="00F5001F" w:rsidRPr="00A00EBD" w:rsidRDefault="00F5001F" w:rsidP="00CE7289">
      <w:pPr>
        <w:pStyle w:val="Heading2"/>
      </w:pPr>
      <w:bookmarkStart w:id="9" w:name="_Toc465704252"/>
      <w:r>
        <w:lastRenderedPageBreak/>
        <w:t>Guilty pleas</w:t>
      </w:r>
      <w:bookmarkEnd w:id="9"/>
    </w:p>
    <w:p w14:paraId="40450307" w14:textId="107E691A" w:rsidR="00F5001F" w:rsidRDefault="003B0E73" w:rsidP="00F5001F">
      <w:r>
        <w:t>VLA considers that t</w:t>
      </w:r>
      <w:r w:rsidR="00F5001F" w:rsidRPr="00F5001F">
        <w:t>he criminal justice system</w:t>
      </w:r>
      <w:r w:rsidR="00A477D5">
        <w:t>’s response to child sexual offending</w:t>
      </w:r>
      <w:r w:rsidR="00F5001F" w:rsidRPr="00F5001F">
        <w:t xml:space="preserve"> would be improved if there were tangible advantages for early guilty pleas, disincentives for late ones and processes to facilitate informed decision making by defence lawyers and </w:t>
      </w:r>
      <w:r w:rsidR="00A477D5">
        <w:t xml:space="preserve">people </w:t>
      </w:r>
      <w:r w:rsidR="00F5001F" w:rsidRPr="00F5001F">
        <w:t xml:space="preserve">accused </w:t>
      </w:r>
      <w:r w:rsidR="00A477D5">
        <w:t>of committing an offence</w:t>
      </w:r>
      <w:r w:rsidR="00F5001F" w:rsidRPr="00F5001F">
        <w:t xml:space="preserve">. This would require legislative reform to permit sentence indications to be given as to duration </w:t>
      </w:r>
      <w:r w:rsidR="009A133A">
        <w:t>(or likely range</w:t>
      </w:r>
      <w:r w:rsidR="00966C70">
        <w:t xml:space="preserve">) </w:t>
      </w:r>
      <w:r w:rsidR="00F5001F" w:rsidRPr="00F5001F">
        <w:t>of sentence as well as to sentence type. Similarly, legislative certainty as to the level of reduction in sentence for a guilty plea and the diminishing value of that reduction the later a plea is entered could make a major difference.</w:t>
      </w:r>
      <w:r w:rsidR="00F5001F" w:rsidRPr="00F5001F">
        <w:rPr>
          <w:vertAlign w:val="superscript"/>
        </w:rPr>
        <w:footnoteReference w:id="6"/>
      </w:r>
      <w:r w:rsidR="003136D7">
        <w:t xml:space="preserve"> </w:t>
      </w:r>
      <w:r w:rsidR="003136D7" w:rsidRPr="003136D7">
        <w:t xml:space="preserve">However, </w:t>
      </w:r>
      <w:r w:rsidR="00C73EF1">
        <w:t xml:space="preserve">it is important to note that any statutory incentives to </w:t>
      </w:r>
      <w:r w:rsidR="003136D7" w:rsidRPr="003136D7">
        <w:t>plea</w:t>
      </w:r>
      <w:r w:rsidR="00C73EF1">
        <w:t>d guilty would need to be appropriately applied by the court to ensure that the accused is not improperly pressured to plead. For in</w:t>
      </w:r>
      <w:r w:rsidR="00DB22C7">
        <w:t>s</w:t>
      </w:r>
      <w:r w:rsidR="00C73EF1">
        <w:t>tance</w:t>
      </w:r>
      <w:r w:rsidR="003136D7" w:rsidRPr="003136D7">
        <w:t xml:space="preserve">, in </w:t>
      </w:r>
      <w:proofErr w:type="spellStart"/>
      <w:r w:rsidR="003136D7" w:rsidRPr="003136D7">
        <w:rPr>
          <w:i/>
        </w:rPr>
        <w:t>Guariglia</w:t>
      </w:r>
      <w:proofErr w:type="spellEnd"/>
      <w:r w:rsidR="003136D7" w:rsidRPr="003136D7">
        <w:t xml:space="preserve"> </w:t>
      </w:r>
      <w:r w:rsidR="003136D7" w:rsidRPr="003136D7">
        <w:rPr>
          <w:i/>
        </w:rPr>
        <w:t>v The Queen</w:t>
      </w:r>
      <w:r w:rsidR="003136D7" w:rsidRPr="003136D7">
        <w:t xml:space="preserve"> [2010] VSCA 343, Nettle and Hansen JJA found that the applicant’s plea of guilty ‘was procured by improper pressure, which had a material effect on his decision to change his plea to guilty, and for that reason his plea of guilty was not an exercise of free choice’ [at 42]. As such, the appeal was allowed and a new trial was ordered.</w:t>
      </w:r>
    </w:p>
    <w:p w14:paraId="12FF54F6" w14:textId="77777777" w:rsidR="00CE7289" w:rsidRPr="00CE7289" w:rsidRDefault="00CE7289" w:rsidP="00CE7289">
      <w:pPr>
        <w:pStyle w:val="Recommendation"/>
        <w:rPr>
          <w:b/>
        </w:rPr>
      </w:pPr>
      <w:r w:rsidRPr="00CE7289">
        <w:rPr>
          <w:b/>
        </w:rPr>
        <w:t>Recommendation 4 – Indications of sentence duration</w:t>
      </w:r>
    </w:p>
    <w:p w14:paraId="5C92C9C2" w14:textId="686B2121" w:rsidR="00CE7289" w:rsidRPr="00F5001F" w:rsidRDefault="00CE7289" w:rsidP="00CE7289">
      <w:pPr>
        <w:pStyle w:val="Recommendation"/>
      </w:pPr>
      <w:r>
        <w:t xml:space="preserve">Amend the </w:t>
      </w:r>
      <w:r w:rsidRPr="005D09AC">
        <w:t>CPA</w:t>
      </w:r>
      <w:r>
        <w:t xml:space="preserve"> </w:t>
      </w:r>
      <w:r w:rsidRPr="009021B2">
        <w:t xml:space="preserve">to permit sentence indications to be given as to duration </w:t>
      </w:r>
      <w:r>
        <w:t xml:space="preserve">(or likely range) </w:t>
      </w:r>
      <w:r w:rsidRPr="009021B2">
        <w:t>of sentence as well as to sentence type.</w:t>
      </w:r>
    </w:p>
    <w:p w14:paraId="254173F9" w14:textId="77777777" w:rsidR="00A755D9" w:rsidRPr="00606D29" w:rsidRDefault="00A755D9" w:rsidP="00A755D9">
      <w:pPr>
        <w:pStyle w:val="Heading1"/>
      </w:pPr>
      <w:bookmarkStart w:id="10" w:name="_Toc465704253"/>
      <w:r>
        <w:t>Evidence of victims and survivors</w:t>
      </w:r>
      <w:bookmarkEnd w:id="10"/>
      <w:r>
        <w:t xml:space="preserve"> </w:t>
      </w:r>
    </w:p>
    <w:p w14:paraId="5B0ADA84" w14:textId="77777777" w:rsidR="003A4425" w:rsidRDefault="003A4425" w:rsidP="00CE7289">
      <w:pPr>
        <w:pStyle w:val="Heading2"/>
      </w:pPr>
      <w:bookmarkStart w:id="11" w:name="_Toc465704254"/>
      <w:r>
        <w:t>Improving spe</w:t>
      </w:r>
      <w:r w:rsidR="00E107D3">
        <w:t>cial measures – pre-recording</w:t>
      </w:r>
      <w:r>
        <w:t xml:space="preserve"> </w:t>
      </w:r>
      <w:r w:rsidR="00E44EC0">
        <w:t xml:space="preserve">all of a </w:t>
      </w:r>
      <w:r>
        <w:t>witness</w:t>
      </w:r>
      <w:r w:rsidR="00E44EC0">
        <w:t>’s</w:t>
      </w:r>
      <w:r>
        <w:t xml:space="preserve"> evidence</w:t>
      </w:r>
      <w:bookmarkEnd w:id="11"/>
      <w:r>
        <w:t xml:space="preserve"> </w:t>
      </w:r>
    </w:p>
    <w:p w14:paraId="4A6DE999" w14:textId="77777777" w:rsidR="003A4425" w:rsidRDefault="00E44EC0" w:rsidP="003A4425">
      <w:pPr>
        <w:rPr>
          <w:rFonts w:cs="Arial"/>
          <w:szCs w:val="22"/>
          <w:lang w:val="en-US"/>
        </w:rPr>
      </w:pPr>
      <w:r>
        <w:rPr>
          <w:rFonts w:cs="Arial"/>
          <w:szCs w:val="22"/>
          <w:lang w:val="en-US"/>
        </w:rPr>
        <w:t xml:space="preserve">The Royal Commission raises the recording of the full evidence of complainants – evidence in chief, cross-examination and re-examination – pre-trial in the absence of a jury as an option for potential reform to help vulnerable witnesses to give their best evidence. </w:t>
      </w:r>
      <w:r w:rsidR="007B4EF8">
        <w:rPr>
          <w:rFonts w:cs="Arial"/>
          <w:szCs w:val="22"/>
          <w:lang w:val="en-US"/>
        </w:rPr>
        <w:t>Specifically, it is suggested that ‘some adult survivors are likely to gain real benefit from being able to use a prerecorded police investigative interview as their evidence in chief’.</w:t>
      </w:r>
      <w:r w:rsidR="006D509F">
        <w:rPr>
          <w:rStyle w:val="FootnoteReference"/>
          <w:rFonts w:cs="Arial"/>
          <w:szCs w:val="22"/>
          <w:lang w:val="en-US"/>
        </w:rPr>
        <w:footnoteReference w:id="7"/>
      </w:r>
      <w:r>
        <w:rPr>
          <w:rFonts w:cs="Arial"/>
          <w:szCs w:val="22"/>
          <w:lang w:val="en-US"/>
        </w:rPr>
        <w:t xml:space="preserve"> </w:t>
      </w:r>
    </w:p>
    <w:p w14:paraId="22ECBDAC" w14:textId="77777777" w:rsidR="00AD3C2B" w:rsidRPr="00AD3C2B" w:rsidRDefault="003A4425" w:rsidP="003A4425">
      <w:pPr>
        <w:rPr>
          <w:rFonts w:cs="Arial"/>
          <w:szCs w:val="22"/>
          <w:lang w:val="en-US"/>
        </w:rPr>
      </w:pPr>
      <w:r w:rsidRPr="00AD3C2B">
        <w:rPr>
          <w:rFonts w:cs="Arial"/>
          <w:szCs w:val="22"/>
          <w:lang w:val="en-US"/>
        </w:rPr>
        <w:t xml:space="preserve">VLA provides in-principle support for the use of pre-recorded interviews as evidence for adult complainants, </w:t>
      </w:r>
      <w:r w:rsidR="00966C70" w:rsidRPr="00AD3C2B">
        <w:rPr>
          <w:rFonts w:cs="Arial"/>
          <w:szCs w:val="22"/>
          <w:lang w:val="en-US"/>
        </w:rPr>
        <w:t xml:space="preserve">noting that in part this already happens in Victoria for </w:t>
      </w:r>
      <w:r w:rsidR="00AB4AEA" w:rsidRPr="00AD3C2B">
        <w:rPr>
          <w:rFonts w:cs="Arial"/>
          <w:szCs w:val="22"/>
          <w:lang w:val="en-US"/>
        </w:rPr>
        <w:t xml:space="preserve">certain </w:t>
      </w:r>
      <w:r w:rsidR="00966C70" w:rsidRPr="00AD3C2B">
        <w:rPr>
          <w:rFonts w:cs="Arial"/>
          <w:szCs w:val="22"/>
          <w:lang w:val="en-US"/>
        </w:rPr>
        <w:t>cohorts of vulnerable sexual offence victims</w:t>
      </w:r>
      <w:r w:rsidR="00D13D9C" w:rsidRPr="00AD3C2B">
        <w:rPr>
          <w:rFonts w:cs="Arial"/>
          <w:szCs w:val="22"/>
          <w:lang w:val="en-US"/>
        </w:rPr>
        <w:t>.</w:t>
      </w:r>
      <w:r w:rsidR="00966C70" w:rsidRPr="00AD3C2B">
        <w:rPr>
          <w:rFonts w:cs="Arial"/>
          <w:szCs w:val="22"/>
          <w:lang w:val="en-US"/>
        </w:rPr>
        <w:t xml:space="preserve"> </w:t>
      </w:r>
      <w:r w:rsidR="00D13D9C" w:rsidRPr="00AD3C2B">
        <w:rPr>
          <w:rFonts w:cs="Arial"/>
          <w:szCs w:val="22"/>
          <w:lang w:val="en-US"/>
        </w:rPr>
        <w:t xml:space="preserve">However, </w:t>
      </w:r>
      <w:r w:rsidR="00966C70" w:rsidRPr="00AD3C2B">
        <w:rPr>
          <w:rFonts w:cs="Arial"/>
          <w:szCs w:val="22"/>
          <w:lang w:val="en-US"/>
        </w:rPr>
        <w:t xml:space="preserve">a key concern is </w:t>
      </w:r>
      <w:r w:rsidR="00D13D9C" w:rsidRPr="00AD3C2B">
        <w:rPr>
          <w:rFonts w:cs="Arial"/>
          <w:szCs w:val="22"/>
          <w:lang w:val="en-US"/>
        </w:rPr>
        <w:t>that</w:t>
      </w:r>
      <w:r w:rsidR="00966C70" w:rsidRPr="00AD3C2B">
        <w:rPr>
          <w:rFonts w:cs="Arial"/>
          <w:szCs w:val="22"/>
          <w:lang w:val="en-US"/>
        </w:rPr>
        <w:t xml:space="preserve"> </w:t>
      </w:r>
      <w:r w:rsidR="00AB4AEA" w:rsidRPr="00AD3C2B">
        <w:rPr>
          <w:rFonts w:cs="Arial"/>
          <w:szCs w:val="22"/>
          <w:lang w:val="en-US"/>
        </w:rPr>
        <w:t xml:space="preserve">the skill of </w:t>
      </w:r>
      <w:r w:rsidRPr="00AD3C2B">
        <w:rPr>
          <w:rFonts w:cs="Arial"/>
          <w:szCs w:val="22"/>
          <w:lang w:val="en-US"/>
        </w:rPr>
        <w:t xml:space="preserve">police officers </w:t>
      </w:r>
      <w:r w:rsidR="00AB4AEA" w:rsidRPr="00AD3C2B">
        <w:rPr>
          <w:rFonts w:cs="Arial"/>
          <w:szCs w:val="22"/>
          <w:lang w:val="en-US"/>
        </w:rPr>
        <w:t xml:space="preserve">in </w:t>
      </w:r>
      <w:r w:rsidRPr="00AD3C2B">
        <w:rPr>
          <w:rFonts w:cs="Arial"/>
          <w:szCs w:val="22"/>
          <w:lang w:val="en-US"/>
        </w:rPr>
        <w:t>leading evidence or eliciting relevant information</w:t>
      </w:r>
      <w:r w:rsidR="00966C70" w:rsidRPr="00AD3C2B">
        <w:rPr>
          <w:rFonts w:cs="Arial"/>
          <w:szCs w:val="22"/>
          <w:lang w:val="en-US"/>
        </w:rPr>
        <w:t xml:space="preserve"> varies and is in fact not the role of police</w:t>
      </w:r>
      <w:r w:rsidR="00AB4AEA" w:rsidRPr="00AD3C2B">
        <w:rPr>
          <w:rFonts w:cs="Arial"/>
          <w:szCs w:val="22"/>
          <w:lang w:val="en-US"/>
        </w:rPr>
        <w:t xml:space="preserve"> in the criminal trial process</w:t>
      </w:r>
      <w:r w:rsidRPr="00AD3C2B">
        <w:rPr>
          <w:rFonts w:cs="Arial"/>
          <w:szCs w:val="22"/>
          <w:lang w:val="en-US"/>
        </w:rPr>
        <w:t xml:space="preserve">. </w:t>
      </w:r>
      <w:r w:rsidR="00966C70" w:rsidRPr="00AD3C2B">
        <w:rPr>
          <w:rFonts w:cs="Arial"/>
          <w:szCs w:val="22"/>
          <w:lang w:val="en-US"/>
        </w:rPr>
        <w:t xml:space="preserve">Editing is often required of the existing audio-taped evidence that can be relied upon in Victoria and generally prosecuting counsel </w:t>
      </w:r>
      <w:r w:rsidR="00AD3C2B" w:rsidRPr="00AD3C2B">
        <w:rPr>
          <w:rFonts w:cs="Arial"/>
          <w:szCs w:val="22"/>
          <w:lang w:val="en-US"/>
        </w:rPr>
        <w:t>are</w:t>
      </w:r>
      <w:r w:rsidR="00AB4AEA" w:rsidRPr="00AD3C2B">
        <w:rPr>
          <w:rFonts w:cs="Arial"/>
          <w:szCs w:val="22"/>
          <w:lang w:val="en-US"/>
        </w:rPr>
        <w:t xml:space="preserve"> </w:t>
      </w:r>
      <w:r w:rsidR="00966C70" w:rsidRPr="00AD3C2B">
        <w:rPr>
          <w:rFonts w:cs="Arial"/>
          <w:szCs w:val="22"/>
          <w:lang w:val="en-US"/>
        </w:rPr>
        <w:t>best placed to examine in chief given determinations of</w:t>
      </w:r>
      <w:r w:rsidRPr="00AD3C2B">
        <w:rPr>
          <w:rFonts w:cs="Arial"/>
          <w:szCs w:val="22"/>
          <w:lang w:val="en-US"/>
        </w:rPr>
        <w:t xml:space="preserve"> relevance and admissibility</w:t>
      </w:r>
      <w:r w:rsidR="00966C70" w:rsidRPr="00AD3C2B">
        <w:rPr>
          <w:rFonts w:cs="Arial"/>
          <w:szCs w:val="22"/>
          <w:lang w:val="en-US"/>
        </w:rPr>
        <w:t>.</w:t>
      </w:r>
      <w:r w:rsidRPr="00AD3C2B">
        <w:rPr>
          <w:rFonts w:cs="Arial"/>
          <w:szCs w:val="22"/>
          <w:lang w:val="en-US"/>
        </w:rPr>
        <w:t xml:space="preserve"> We therefore agree that improving police investigative interviewing, including through improved skills and training, would need to be a priority if pre-recorded interviews were able to be used as evidence. </w:t>
      </w:r>
    </w:p>
    <w:p w14:paraId="30EC1472" w14:textId="29E3BB4C" w:rsidR="003A4425" w:rsidRDefault="003A4425" w:rsidP="003A4425">
      <w:pPr>
        <w:rPr>
          <w:rFonts w:cs="Arial"/>
          <w:szCs w:val="22"/>
        </w:rPr>
      </w:pPr>
      <w:r>
        <w:rPr>
          <w:rFonts w:cs="Arial"/>
          <w:szCs w:val="22"/>
        </w:rPr>
        <w:t>VLA considers that measures would need to be put in place to allow a</w:t>
      </w:r>
      <w:r w:rsidRPr="000A264B">
        <w:rPr>
          <w:rFonts w:cs="Arial"/>
          <w:szCs w:val="22"/>
        </w:rPr>
        <w:t xml:space="preserve">dult witnesses who have given evidence via </w:t>
      </w:r>
      <w:r>
        <w:rPr>
          <w:rFonts w:cs="Arial"/>
          <w:szCs w:val="22"/>
        </w:rPr>
        <w:t>a recording</w:t>
      </w:r>
      <w:r w:rsidRPr="000A264B">
        <w:rPr>
          <w:rFonts w:cs="Arial"/>
          <w:szCs w:val="22"/>
        </w:rPr>
        <w:t xml:space="preserve"> to be</w:t>
      </w:r>
      <w:r w:rsidR="00966C70">
        <w:rPr>
          <w:rFonts w:cs="Arial"/>
          <w:szCs w:val="22"/>
        </w:rPr>
        <w:t xml:space="preserve"> further examined in chief and of course</w:t>
      </w:r>
      <w:r w:rsidRPr="000A264B">
        <w:rPr>
          <w:rFonts w:cs="Arial"/>
          <w:szCs w:val="22"/>
        </w:rPr>
        <w:t xml:space="preserve"> cross-examined about issues that arise during the course of a trial</w:t>
      </w:r>
      <w:r>
        <w:rPr>
          <w:rFonts w:cs="Arial"/>
          <w:szCs w:val="22"/>
        </w:rPr>
        <w:t xml:space="preserve"> as is currently provided for in section 368(1) of the </w:t>
      </w:r>
      <w:r w:rsidRPr="00BA1B9A">
        <w:rPr>
          <w:rFonts w:cs="Arial"/>
          <w:szCs w:val="22"/>
        </w:rPr>
        <w:t>CPA</w:t>
      </w:r>
      <w:r w:rsidRPr="000A264B">
        <w:rPr>
          <w:rFonts w:cs="Arial"/>
          <w:szCs w:val="22"/>
        </w:rPr>
        <w:t xml:space="preserve"> </w:t>
      </w:r>
      <w:r>
        <w:rPr>
          <w:rFonts w:cs="Arial"/>
          <w:szCs w:val="22"/>
        </w:rPr>
        <w:t>for children and adults with a cognitive impairment. This is an important safeguard for ensuring</w:t>
      </w:r>
      <w:r w:rsidR="00AB4AEA">
        <w:rPr>
          <w:rFonts w:cs="Arial"/>
          <w:szCs w:val="22"/>
        </w:rPr>
        <w:t xml:space="preserve"> fairness </w:t>
      </w:r>
      <w:r w:rsidR="00AB4AEA">
        <w:rPr>
          <w:rFonts w:cs="Arial"/>
          <w:szCs w:val="22"/>
        </w:rPr>
        <w:lastRenderedPageBreak/>
        <w:t>to all involved in the trial, particularly</w:t>
      </w:r>
      <w:r>
        <w:rPr>
          <w:rFonts w:cs="Arial"/>
          <w:szCs w:val="22"/>
        </w:rPr>
        <w:t xml:space="preserve"> the accused person’s right to a fair trial</w:t>
      </w:r>
      <w:r w:rsidR="00AB4AEA">
        <w:rPr>
          <w:rFonts w:cs="Arial"/>
          <w:szCs w:val="22"/>
        </w:rPr>
        <w:t xml:space="preserve"> and in putting their defence fully.</w:t>
      </w:r>
    </w:p>
    <w:p w14:paraId="386685CE" w14:textId="77777777" w:rsidR="00CE7289" w:rsidRPr="00CE7289" w:rsidRDefault="00CE7289" w:rsidP="00CE7289">
      <w:pPr>
        <w:pStyle w:val="Recommendation"/>
        <w:rPr>
          <w:b/>
        </w:rPr>
      </w:pPr>
      <w:r w:rsidRPr="00CE7289">
        <w:rPr>
          <w:b/>
        </w:rPr>
        <w:t xml:space="preserve">Recommendation 5 – Ability to cross-examine if pre-recorded police interviews admitted into evidence </w:t>
      </w:r>
    </w:p>
    <w:p w14:paraId="20952BB4" w14:textId="50281211" w:rsidR="00CE7289" w:rsidRDefault="00CE7289" w:rsidP="00CE7289">
      <w:pPr>
        <w:pStyle w:val="Recommendation"/>
        <w:rPr>
          <w:rFonts w:cs="Arial"/>
          <w:szCs w:val="22"/>
        </w:rPr>
      </w:pPr>
      <w:r>
        <w:t xml:space="preserve">Ensure that any legislative changes that allow </w:t>
      </w:r>
      <w:r w:rsidRPr="00B01019">
        <w:t>a</w:t>
      </w:r>
      <w:r>
        <w:t>dult complainants to use pre-recorded police interviews as</w:t>
      </w:r>
      <w:r w:rsidRPr="00B01019">
        <w:t xml:space="preserve"> evidence </w:t>
      </w:r>
      <w:r>
        <w:t>include provision for the conduct of further cross-examination</w:t>
      </w:r>
      <w:r w:rsidRPr="00B01019">
        <w:t xml:space="preserve"> </w:t>
      </w:r>
      <w:r>
        <w:t xml:space="preserve">in respect of any issues that may arise </w:t>
      </w:r>
      <w:r w:rsidRPr="00B01019">
        <w:t>during the course of a trial.</w:t>
      </w:r>
    </w:p>
    <w:p w14:paraId="61B4D3C2" w14:textId="77777777" w:rsidR="001A6D60" w:rsidRPr="001A6D60" w:rsidRDefault="001A6D60" w:rsidP="00CE7289">
      <w:pPr>
        <w:pStyle w:val="Heading2"/>
      </w:pPr>
      <w:bookmarkStart w:id="12" w:name="_Toc465704255"/>
      <w:r>
        <w:t>Intermediaries</w:t>
      </w:r>
      <w:bookmarkEnd w:id="12"/>
    </w:p>
    <w:p w14:paraId="712C9676" w14:textId="64B989CE" w:rsidR="009B20CA" w:rsidRDefault="007E6E46" w:rsidP="001A6D60">
      <w:r>
        <w:t xml:space="preserve">VLA supports the introduction of a </w:t>
      </w:r>
      <w:r w:rsidR="008D5CF6">
        <w:t xml:space="preserve">formal </w:t>
      </w:r>
      <w:r>
        <w:t xml:space="preserve">scheme for providing witness intermediaries for child complainants or complainants with an intellectual disability or </w:t>
      </w:r>
      <w:r w:rsidR="001B6978">
        <w:t>acquired brain injury (</w:t>
      </w:r>
      <w:r w:rsidR="001674F9">
        <w:t>ABI</w:t>
      </w:r>
      <w:r w:rsidR="001B6978">
        <w:t>)</w:t>
      </w:r>
      <w:r w:rsidR="008B6283">
        <w:t xml:space="preserve"> </w:t>
      </w:r>
      <w:r>
        <w:t xml:space="preserve">in </w:t>
      </w:r>
      <w:r w:rsidR="00154807">
        <w:t xml:space="preserve">child </w:t>
      </w:r>
      <w:r>
        <w:t xml:space="preserve">sexual offence cases to support </w:t>
      </w:r>
      <w:r w:rsidR="00AB4AEA">
        <w:t>them</w:t>
      </w:r>
      <w:r>
        <w:t xml:space="preserve"> to provide accurate and reliable evidence and meaningfully participate during t</w:t>
      </w:r>
      <w:r w:rsidR="001B6978">
        <w:t>he hearing of these matters. We agree</w:t>
      </w:r>
      <w:r>
        <w:t xml:space="preserve"> that improving the quality of evidence provided is consistent with ensuring that the criminal justice system is accessible and has increased capacity to produce safe convictions for institutional child sexual abuse. </w:t>
      </w:r>
      <w:r w:rsidR="000200EE">
        <w:t>However, we are of the view</w:t>
      </w:r>
      <w:r w:rsidR="00C22BFA">
        <w:t xml:space="preserve"> that any intermediary scheme should be professionally based, intermediaries should receive formal training before becoming registered</w:t>
      </w:r>
      <w:r w:rsidR="001B6978">
        <w:t>,</w:t>
      </w:r>
      <w:r w:rsidR="00C22BFA">
        <w:t xml:space="preserve"> and appropriate guidelines</w:t>
      </w:r>
      <w:r w:rsidR="0021561E">
        <w:t>, standards</w:t>
      </w:r>
      <w:r w:rsidR="00C22BFA">
        <w:t xml:space="preserve"> </w:t>
      </w:r>
      <w:r w:rsidR="0021561E">
        <w:t>or</w:t>
      </w:r>
      <w:r w:rsidR="001E73FD">
        <w:t xml:space="preserve"> </w:t>
      </w:r>
      <w:r w:rsidR="0021561E">
        <w:t>co</w:t>
      </w:r>
      <w:r w:rsidR="001E73FD">
        <w:t xml:space="preserve">de </w:t>
      </w:r>
      <w:r w:rsidR="0021561E">
        <w:t>of c</w:t>
      </w:r>
      <w:r w:rsidR="001E73FD">
        <w:t xml:space="preserve">onduct </w:t>
      </w:r>
      <w:r w:rsidR="00C22BFA">
        <w:t xml:space="preserve">would need to be </w:t>
      </w:r>
      <w:r w:rsidR="001A6D60">
        <w:t xml:space="preserve">developed </w:t>
      </w:r>
      <w:r w:rsidR="00C22BFA">
        <w:t xml:space="preserve">to </w:t>
      </w:r>
      <w:r w:rsidR="00AB4AEA">
        <w:t xml:space="preserve">ensure </w:t>
      </w:r>
      <w:r w:rsidR="00C22BFA">
        <w:t>clari</w:t>
      </w:r>
      <w:r w:rsidR="00AB4AEA">
        <w:t>t</w:t>
      </w:r>
      <w:r w:rsidR="00C22BFA">
        <w:t xml:space="preserve">y </w:t>
      </w:r>
      <w:r w:rsidR="00AB4AEA">
        <w:t xml:space="preserve">and objectivity around </w:t>
      </w:r>
      <w:r w:rsidR="00C22BFA">
        <w:t xml:space="preserve">the role </w:t>
      </w:r>
      <w:r w:rsidR="00AB4AEA">
        <w:t xml:space="preserve">boundaries </w:t>
      </w:r>
      <w:r w:rsidR="00C22BFA">
        <w:t>of the intermediary</w:t>
      </w:r>
      <w:r w:rsidR="001A6D60">
        <w:t xml:space="preserve"> </w:t>
      </w:r>
      <w:r w:rsidR="00AB4AEA">
        <w:t>such that an</w:t>
      </w:r>
      <w:r w:rsidR="00D13D9C">
        <w:t xml:space="preserve"> </w:t>
      </w:r>
      <w:r w:rsidR="001A6D60">
        <w:t xml:space="preserve">accused’s right to a fair trial is not </w:t>
      </w:r>
      <w:r w:rsidR="00AB4AEA">
        <w:t>undermined</w:t>
      </w:r>
      <w:r w:rsidR="001A6D60">
        <w:t>.</w:t>
      </w:r>
      <w:r w:rsidR="0021561E">
        <w:t xml:space="preserve"> </w:t>
      </w:r>
    </w:p>
    <w:p w14:paraId="569516AA" w14:textId="77777777" w:rsidR="00386382" w:rsidRPr="00386382" w:rsidRDefault="00386382" w:rsidP="00386382">
      <w:r w:rsidRPr="00386382">
        <w:t xml:space="preserve">Consideration should also be given to introducing the role of an intermediary or support person for vulnerable accused people, such as children and adults with a cognitive impairment, given their likelihood of experiencing significant stress and confusion about the examination, cross examination and re-examination processes. We note that the South Australian ‘communication partners’ scheme broadly extends to defendants, not just vulnerable witnesses. </w:t>
      </w:r>
    </w:p>
    <w:p w14:paraId="309363E1" w14:textId="3F215C66" w:rsidR="00D26122" w:rsidRDefault="00386382" w:rsidP="001A6D60">
      <w:r>
        <w:t>G</w:t>
      </w:r>
      <w:r w:rsidR="00367E18">
        <w:t>uidelines</w:t>
      </w:r>
      <w:r w:rsidR="0021561E">
        <w:t>, standards</w:t>
      </w:r>
      <w:r w:rsidR="00367E18">
        <w:t xml:space="preserve"> </w:t>
      </w:r>
      <w:r w:rsidR="0021561E">
        <w:t>or c</w:t>
      </w:r>
      <w:r w:rsidR="001E73FD">
        <w:t>ode</w:t>
      </w:r>
      <w:r w:rsidR="0021561E">
        <w:t xml:space="preserve"> of conduct</w:t>
      </w:r>
      <w:r w:rsidR="001E73FD">
        <w:t xml:space="preserve"> </w:t>
      </w:r>
      <w:r w:rsidR="0021561E">
        <w:t xml:space="preserve">would </w:t>
      </w:r>
      <w:r>
        <w:t xml:space="preserve">be </w:t>
      </w:r>
      <w:r w:rsidR="0021561E">
        <w:t>need</w:t>
      </w:r>
      <w:r>
        <w:t>ed</w:t>
      </w:r>
      <w:r w:rsidR="0021561E">
        <w:t xml:space="preserve"> </w:t>
      </w:r>
      <w:r w:rsidR="00367E18">
        <w:t xml:space="preserve">to ensure that the </w:t>
      </w:r>
      <w:r w:rsidR="00260571">
        <w:t xml:space="preserve">scope of the </w:t>
      </w:r>
      <w:r w:rsidR="00367E18">
        <w:t xml:space="preserve">role of the intermediary or support person was </w:t>
      </w:r>
      <w:r w:rsidR="00260571">
        <w:t xml:space="preserve">both </w:t>
      </w:r>
      <w:r w:rsidR="00367E18">
        <w:t xml:space="preserve">clearly defined </w:t>
      </w:r>
      <w:r w:rsidR="00260571">
        <w:t xml:space="preserve">and </w:t>
      </w:r>
      <w:r w:rsidR="00367E18">
        <w:t>avoid</w:t>
      </w:r>
      <w:r w:rsidR="00260571">
        <w:t>ed</w:t>
      </w:r>
      <w:r w:rsidR="00367E18">
        <w:t xml:space="preserve"> the potential for an overlap with the role of a </w:t>
      </w:r>
      <w:r w:rsidR="00B651CD">
        <w:t>litigation guardian</w:t>
      </w:r>
      <w:r w:rsidR="0066791B">
        <w:t xml:space="preserve"> and</w:t>
      </w:r>
      <w:r w:rsidR="00154807">
        <w:t>/or</w:t>
      </w:r>
      <w:r w:rsidR="0066791B">
        <w:t xml:space="preserve"> the role of the defence lawyer</w:t>
      </w:r>
      <w:r w:rsidR="00543360">
        <w:t xml:space="preserve"> and prosecution</w:t>
      </w:r>
      <w:r w:rsidR="00B651CD">
        <w:t xml:space="preserve">. </w:t>
      </w:r>
      <w:r>
        <w:t>Ru</w:t>
      </w:r>
      <w:r w:rsidR="0021561E">
        <w:t>les regarding</w:t>
      </w:r>
      <w:r w:rsidR="002E58AA">
        <w:t xml:space="preserve"> </w:t>
      </w:r>
      <w:r w:rsidR="0021561E">
        <w:t xml:space="preserve">the need for impartiality and </w:t>
      </w:r>
      <w:r w:rsidR="00DF533E">
        <w:t xml:space="preserve">confidentiality would need to be addressed within </w:t>
      </w:r>
      <w:r>
        <w:t xml:space="preserve">both </w:t>
      </w:r>
      <w:r w:rsidR="00DF533E">
        <w:t>the</w:t>
      </w:r>
      <w:r w:rsidR="000408CC">
        <w:t xml:space="preserve"> guidelines and the</w:t>
      </w:r>
      <w:r w:rsidR="00DF533E">
        <w:t xml:space="preserve"> </w:t>
      </w:r>
      <w:r w:rsidR="0021561E">
        <w:t xml:space="preserve">professional </w:t>
      </w:r>
      <w:r w:rsidR="000408CC">
        <w:t xml:space="preserve">training </w:t>
      </w:r>
      <w:r w:rsidR="00AB4AEA">
        <w:t>to</w:t>
      </w:r>
      <w:r w:rsidR="002E58AA" w:rsidRPr="002E58AA">
        <w:t xml:space="preserve"> </w:t>
      </w:r>
      <w:r w:rsidR="009B20CA">
        <w:t xml:space="preserve">protect </w:t>
      </w:r>
      <w:r w:rsidR="009B20CA" w:rsidRPr="009B20CA">
        <w:t>the integrity of the evidence</w:t>
      </w:r>
      <w:r>
        <w:t>, for example to</w:t>
      </w:r>
      <w:r w:rsidR="009B20CA">
        <w:t xml:space="preserve"> </w:t>
      </w:r>
      <w:r>
        <w:t>ensure</w:t>
      </w:r>
      <w:r w:rsidR="002E58AA" w:rsidRPr="002E58AA">
        <w:t xml:space="preserve"> that </w:t>
      </w:r>
      <w:r>
        <w:t>the intermediary does</w:t>
      </w:r>
      <w:r w:rsidR="0021561E">
        <w:t xml:space="preserve"> not directly or inadvertently influence the evidence</w:t>
      </w:r>
      <w:r w:rsidR="000200EE">
        <w:t xml:space="preserve"> given by the witness. Behavioural </w:t>
      </w:r>
      <w:r w:rsidR="009B20CA">
        <w:t xml:space="preserve">techniques </w:t>
      </w:r>
      <w:r w:rsidR="000200EE">
        <w:t>and rules around the conduct of intermediaries</w:t>
      </w:r>
      <w:r w:rsidR="004D0AAB">
        <w:t xml:space="preserve"> </w:t>
      </w:r>
      <w:r w:rsidR="000200EE">
        <w:t>t</w:t>
      </w:r>
      <w:r w:rsidR="000200EE" w:rsidRPr="000200EE">
        <w:t xml:space="preserve">o </w:t>
      </w:r>
      <w:r w:rsidR="000200EE">
        <w:t>ensure</w:t>
      </w:r>
      <w:r w:rsidR="000200EE" w:rsidRPr="000200EE">
        <w:t xml:space="preserve"> minimal interference and disruption of the trial </w:t>
      </w:r>
      <w:r w:rsidR="000200EE">
        <w:t>and</w:t>
      </w:r>
      <w:r w:rsidR="009B20CA">
        <w:t xml:space="preserve"> </w:t>
      </w:r>
      <w:r w:rsidR="005554F1">
        <w:t xml:space="preserve">to </w:t>
      </w:r>
      <w:r w:rsidR="000200EE">
        <w:t>limit</w:t>
      </w:r>
      <w:r w:rsidR="009B20CA" w:rsidRPr="009B20CA">
        <w:t xml:space="preserve"> the risk of the jury becoming distracted </w:t>
      </w:r>
      <w:r w:rsidR="000200EE">
        <w:t xml:space="preserve">by their presence </w:t>
      </w:r>
      <w:r w:rsidR="009B20CA" w:rsidRPr="009B20CA">
        <w:t>from the evidence being given</w:t>
      </w:r>
      <w:r w:rsidR="005554F1">
        <w:t xml:space="preserve"> should also be included</w:t>
      </w:r>
      <w:r w:rsidR="00E039EC">
        <w:t>.</w:t>
      </w:r>
      <w:r w:rsidR="002E58AA">
        <w:t xml:space="preserve"> </w:t>
      </w:r>
    </w:p>
    <w:p w14:paraId="216B8CB3" w14:textId="631B7E8C" w:rsidR="0066791B" w:rsidRDefault="00DF533E" w:rsidP="001A6D60">
      <w:r>
        <w:t>Th</w:t>
      </w:r>
      <w:r w:rsidR="009B20CA">
        <w:t xml:space="preserve">e role of </w:t>
      </w:r>
      <w:r>
        <w:t xml:space="preserve">an interpreter </w:t>
      </w:r>
      <w:r w:rsidR="009B20CA">
        <w:t xml:space="preserve">in the courtroom </w:t>
      </w:r>
      <w:r>
        <w:t>to assist the intermediary to communicate with the witness or accused person who cannot properly understand or speak English would also need to be taken into account</w:t>
      </w:r>
      <w:r w:rsidR="009B20CA">
        <w:t xml:space="preserve">, in particular </w:t>
      </w:r>
      <w:r w:rsidR="005554F1">
        <w:t>whether an inter</w:t>
      </w:r>
      <w:r w:rsidR="00AB4AEA">
        <w:t>med</w:t>
      </w:r>
      <w:r w:rsidR="00D13D9C">
        <w:t>i</w:t>
      </w:r>
      <w:r w:rsidR="00AB4AEA">
        <w:t>ary</w:t>
      </w:r>
      <w:r w:rsidR="005554F1">
        <w:t xml:space="preserve"> for this purpose in addition to an interpreter for the conduct of the trial itself would be required</w:t>
      </w:r>
      <w:r>
        <w:t xml:space="preserve">. </w:t>
      </w:r>
      <w:r w:rsidR="0021561E">
        <w:t>Further, c</w:t>
      </w:r>
      <w:r w:rsidR="0021561E" w:rsidRPr="0021561E">
        <w:t xml:space="preserve">hanges to courtroom procedures would be needed to </w:t>
      </w:r>
      <w:r w:rsidR="008078C5">
        <w:t xml:space="preserve">require the judge to explain to the jury that the witness has </w:t>
      </w:r>
      <w:r w:rsidR="00940610">
        <w:t>an option to be supported by</w:t>
      </w:r>
      <w:r w:rsidR="008078C5">
        <w:t xml:space="preserve"> an i</w:t>
      </w:r>
      <w:r w:rsidR="00D26122">
        <w:t xml:space="preserve">ntermediary and </w:t>
      </w:r>
      <w:r w:rsidR="00940610">
        <w:t xml:space="preserve">what </w:t>
      </w:r>
      <w:r w:rsidR="008078C5">
        <w:t>the intermediary</w:t>
      </w:r>
      <w:r w:rsidR="00D26122">
        <w:t>’s role</w:t>
      </w:r>
      <w:r w:rsidR="008078C5">
        <w:t xml:space="preserve"> </w:t>
      </w:r>
      <w:r w:rsidR="00D26122">
        <w:t>in the proceedings</w:t>
      </w:r>
      <w:r w:rsidR="00386382">
        <w:t xml:space="preserve"> </w:t>
      </w:r>
      <w:r w:rsidR="00940610">
        <w:t xml:space="preserve">is, </w:t>
      </w:r>
      <w:r w:rsidR="008078C5">
        <w:t xml:space="preserve">to limit the risk of the jury making </w:t>
      </w:r>
      <w:r w:rsidR="00121188">
        <w:t>impermissible</w:t>
      </w:r>
      <w:r w:rsidR="008078C5">
        <w:t xml:space="preserve"> inferences, for example that an intermediary or support person is required because the witness feels threatened by the presence of the accused in the courtroom. </w:t>
      </w:r>
      <w:r w:rsidR="00F91973">
        <w:t>VLA considers that the court should have the power to stand aside a witness intermediary if</w:t>
      </w:r>
      <w:r w:rsidR="00D26122">
        <w:t xml:space="preserve"> it</w:t>
      </w:r>
      <w:r w:rsidR="00F91973">
        <w:t xml:space="preserve"> </w:t>
      </w:r>
      <w:r w:rsidR="00D26122">
        <w:t>appeared</w:t>
      </w:r>
      <w:r w:rsidR="00F91973">
        <w:t xml:space="preserve"> to the court that the intermediary</w:t>
      </w:r>
      <w:r w:rsidR="00D26122">
        <w:t xml:space="preserve"> wa</w:t>
      </w:r>
      <w:r w:rsidR="00F91973">
        <w:t xml:space="preserve">s not properly performing their function. </w:t>
      </w:r>
      <w:r w:rsidR="008078C5">
        <w:t xml:space="preserve"> </w:t>
      </w:r>
    </w:p>
    <w:p w14:paraId="36018053" w14:textId="77777777" w:rsidR="001A6D60" w:rsidRDefault="001A6D60" w:rsidP="001A6D60">
      <w:r w:rsidRPr="001A6D60">
        <w:lastRenderedPageBreak/>
        <w:t>Police questioning and interviews pose particul</w:t>
      </w:r>
      <w:r w:rsidR="001B6978">
        <w:t>ar problems for people with ABI</w:t>
      </w:r>
      <w:r w:rsidRPr="001A6D60">
        <w:t xml:space="preserve"> and intellectual disabilities, both as complainants and </w:t>
      </w:r>
      <w:r w:rsidR="001B6978">
        <w:t xml:space="preserve">accused persons. For instance, people with </w:t>
      </w:r>
      <w:r w:rsidRPr="001A6D60">
        <w:t>ABI may acquiesce to what is suggested to them by people in authority, such as police, because they are eager to appear compliant and/or do not want to reveal their cognitive impairment. They may agree with suggestions or statements put to them regardless of whether or not they understand the question, the suggestion is true, or they are compelled by law to do so.</w:t>
      </w:r>
    </w:p>
    <w:p w14:paraId="412420F6" w14:textId="31EC5EBD" w:rsidR="0036730F" w:rsidRPr="0036730F" w:rsidRDefault="001A6D60" w:rsidP="0036730F">
      <w:r w:rsidRPr="0036730F">
        <w:t xml:space="preserve">VLA </w:t>
      </w:r>
      <w:r w:rsidR="004E0691" w:rsidRPr="0036730F">
        <w:t xml:space="preserve">therefore </w:t>
      </w:r>
      <w:r w:rsidRPr="0036730F">
        <w:t>favou</w:t>
      </w:r>
      <w:r w:rsidR="002F743F" w:rsidRPr="0036730F">
        <w:t xml:space="preserve">rs </w:t>
      </w:r>
      <w:r w:rsidR="001D4EC5" w:rsidRPr="0036730F">
        <w:t xml:space="preserve">changes to the evidence laws which would prevent the police from beginning or carrying out questioning or an investigation of, or conducting a forensic procedure (such as fingerprinting or obtaining a DNA sample) on a person with ABI, other cognitive impairment or intellectual disability who may be charged with a child sexual or other offence in the absence of an independent support person or intermediary. </w:t>
      </w:r>
    </w:p>
    <w:p w14:paraId="2CCE7A1B" w14:textId="160B0DFB" w:rsidR="0036730F" w:rsidRPr="0036730F" w:rsidRDefault="0036730F" w:rsidP="0036730F">
      <w:pPr>
        <w:pStyle w:val="Recommendation"/>
        <w:rPr>
          <w:b/>
        </w:rPr>
      </w:pPr>
      <w:r w:rsidRPr="0036730F">
        <w:rPr>
          <w:b/>
        </w:rPr>
        <w:t>Recommendation 6 – Guidelines for professional intermediary scheme</w:t>
      </w:r>
    </w:p>
    <w:p w14:paraId="082F3AF3" w14:textId="77777777" w:rsidR="0036730F" w:rsidRPr="0036730F" w:rsidRDefault="0036730F" w:rsidP="0036730F">
      <w:pPr>
        <w:pStyle w:val="Recommendation"/>
      </w:pPr>
      <w:r w:rsidRPr="0036730F">
        <w:t xml:space="preserve">Any intermediary scheme should be professionally based with formal training required before registration, and appropriate guidelines, standards or code of conduct developed in consultation with the legal profession to clarify the role of the intermediary or support person and protect the integrity of the evidence. </w:t>
      </w:r>
    </w:p>
    <w:p w14:paraId="16F5274A" w14:textId="77777777" w:rsidR="0036730F" w:rsidRPr="0036730F" w:rsidRDefault="0036730F" w:rsidP="0036730F">
      <w:pPr>
        <w:pStyle w:val="Recommendation"/>
        <w:rPr>
          <w:b/>
        </w:rPr>
      </w:pPr>
      <w:r w:rsidRPr="0036730F">
        <w:rPr>
          <w:b/>
        </w:rPr>
        <w:t xml:space="preserve">Recommendation 7 – Change questioning, investigations and forensic procedures </w:t>
      </w:r>
    </w:p>
    <w:p w14:paraId="57F2BFC0" w14:textId="55F0FF66" w:rsidR="004E0691" w:rsidRPr="001D4EC5" w:rsidRDefault="0036730F" w:rsidP="0036730F">
      <w:pPr>
        <w:pStyle w:val="Recommendation"/>
      </w:pPr>
      <w:r w:rsidRPr="0036730F">
        <w:t>Change the evidence laws to prevent the police from beginning or carrying out questioning or an investigation of, or conducting a forensic procedure (such as fingerprinting or obtaining a DNA sample) on a person with ABI, other cognitive impairment or intellectual disability who may be charged with a child sexual or other offence in the absence of an independent support person or intermediary.</w:t>
      </w:r>
    </w:p>
    <w:p w14:paraId="5FC7EFE0" w14:textId="77777777" w:rsidR="000E2371" w:rsidRDefault="00F87793" w:rsidP="00CA49AA">
      <w:pPr>
        <w:pStyle w:val="Heading2"/>
      </w:pPr>
      <w:bookmarkStart w:id="13" w:name="_Toc465704256"/>
      <w:r>
        <w:t>Ground rules hearings</w:t>
      </w:r>
      <w:bookmarkEnd w:id="13"/>
    </w:p>
    <w:p w14:paraId="144A4B08" w14:textId="77777777" w:rsidR="000E2371" w:rsidRDefault="000E2371" w:rsidP="00A755D9">
      <w:r>
        <w:t xml:space="preserve">In the Consultation Paper, the Royal Commission refers to the potential benefits of pre-trial directions </w:t>
      </w:r>
      <w:r w:rsidRPr="000E2371">
        <w:t>hearings to lay the ‘ground rules for how the questioning of witnesses – in particular, vulnerable witnesses – is to be conducted’</w:t>
      </w:r>
      <w:r w:rsidR="00D40B66">
        <w:t xml:space="preserve"> in sexual offences cases which </w:t>
      </w:r>
      <w:r>
        <w:t>were outlined by witnesses in one of the</w:t>
      </w:r>
      <w:r w:rsidR="00D40B66">
        <w:t>ir</w:t>
      </w:r>
      <w:r>
        <w:t xml:space="preserve"> case studies. It is submitted that ‘ground rules provide not only for a more precise and less stressful experience for the witness but may also narrow the issues to be taken by the parties, thus improving the efficiency of the trial’.</w:t>
      </w:r>
      <w:r>
        <w:rPr>
          <w:rStyle w:val="FootnoteReference"/>
        </w:rPr>
        <w:footnoteReference w:id="8"/>
      </w:r>
    </w:p>
    <w:p w14:paraId="012D1F8B" w14:textId="35197318" w:rsidR="004B671E" w:rsidRDefault="00260571" w:rsidP="00A755D9">
      <w:r>
        <w:t>VL</w:t>
      </w:r>
      <w:r w:rsidR="00A5586B">
        <w:t xml:space="preserve">A </w:t>
      </w:r>
      <w:r w:rsidR="00797FA2">
        <w:t>support</w:t>
      </w:r>
      <w:r w:rsidR="00940610">
        <w:t>s</w:t>
      </w:r>
      <w:r w:rsidR="00797FA2">
        <w:t xml:space="preserve"> </w:t>
      </w:r>
      <w:r w:rsidR="00A5586B">
        <w:t xml:space="preserve">the use of </w:t>
      </w:r>
      <w:r w:rsidR="00D47575">
        <w:t>‘ground rules heari</w:t>
      </w:r>
      <w:r w:rsidR="00D40B66">
        <w:t>ngs’</w:t>
      </w:r>
      <w:r w:rsidR="00D47575">
        <w:t xml:space="preserve"> </w:t>
      </w:r>
      <w:r w:rsidR="00D40B66">
        <w:t>in sexual offence cases</w:t>
      </w:r>
      <w:r w:rsidR="00940610">
        <w:t xml:space="preserve">, particularly should intermediaries be introduced. Such hearings </w:t>
      </w:r>
      <w:r w:rsidR="00815848">
        <w:t xml:space="preserve">would </w:t>
      </w:r>
      <w:r w:rsidR="00940610">
        <w:t xml:space="preserve">also </w:t>
      </w:r>
      <w:r w:rsidR="005A2094">
        <w:t>reinforce</w:t>
      </w:r>
      <w:r w:rsidR="00D47575">
        <w:t xml:space="preserve"> </w:t>
      </w:r>
      <w:r w:rsidR="00A5586B">
        <w:t xml:space="preserve">and give practical effect to </w:t>
      </w:r>
      <w:r w:rsidR="00693ECC">
        <w:t xml:space="preserve">Victoria’s </w:t>
      </w:r>
      <w:hyperlink r:id="rId20" w:history="1">
        <w:r w:rsidR="00B96CB5">
          <w:rPr>
            <w:rStyle w:val="Hyperlink"/>
          </w:rPr>
          <w:t>Charter of Advocacy for prosecuting or defending sexual offence cases</w:t>
        </w:r>
      </w:hyperlink>
      <w:r w:rsidR="00D47575">
        <w:t>. The Charter</w:t>
      </w:r>
      <w:r w:rsidR="0079652D">
        <w:t xml:space="preserve"> provides a guide for pros</w:t>
      </w:r>
      <w:r w:rsidR="00DD46A7">
        <w:t>ecutors and defence lawyer</w:t>
      </w:r>
      <w:r w:rsidR="0079652D">
        <w:t>s about good conduct in relation to court proceedings for sexual offences</w:t>
      </w:r>
      <w:r w:rsidR="00213878">
        <w:t xml:space="preserve"> to minimise ‘the trauma experienced by victims of sexual assault in the justice system while ensuring that people accused of sexual offences receive a fair trial’</w:t>
      </w:r>
      <w:r w:rsidR="0079652D">
        <w:t>.</w:t>
      </w:r>
      <w:r w:rsidR="00213878">
        <w:rPr>
          <w:rStyle w:val="FootnoteReference"/>
        </w:rPr>
        <w:footnoteReference w:id="9"/>
      </w:r>
      <w:r w:rsidR="0079652D">
        <w:t xml:space="preserve"> </w:t>
      </w:r>
    </w:p>
    <w:p w14:paraId="3B1FBC5D" w14:textId="77777777" w:rsidR="00F87793" w:rsidRDefault="00413A0D" w:rsidP="00A755D9">
      <w:r>
        <w:t xml:space="preserve">However, </w:t>
      </w:r>
      <w:r w:rsidR="004B671E">
        <w:t>VLA considers that it is important that a</w:t>
      </w:r>
      <w:r w:rsidR="00BA1B9A">
        <w:t xml:space="preserve">ny </w:t>
      </w:r>
      <w:r w:rsidR="00D47575">
        <w:t>ground rul</w:t>
      </w:r>
      <w:r w:rsidR="00BA1B9A">
        <w:t>es</w:t>
      </w:r>
      <w:r w:rsidR="00D47575">
        <w:t xml:space="preserve"> </w:t>
      </w:r>
      <w:r w:rsidR="004B671E">
        <w:t xml:space="preserve">established at the </w:t>
      </w:r>
      <w:r w:rsidR="007120BF">
        <w:t xml:space="preserve">directions </w:t>
      </w:r>
      <w:r w:rsidR="004B671E">
        <w:t xml:space="preserve">hearing should relate to </w:t>
      </w:r>
      <w:r w:rsidR="004B671E" w:rsidRPr="004B671E">
        <w:rPr>
          <w:i/>
        </w:rPr>
        <w:t>how</w:t>
      </w:r>
      <w:r w:rsidR="004B671E">
        <w:t xml:space="preserve"> the defence asks questions of the witness not whether specific questions that would otherwise be allowed </w:t>
      </w:r>
      <w:r w:rsidR="005A2094">
        <w:t xml:space="preserve">under section 41 of the </w:t>
      </w:r>
      <w:r w:rsidR="005A2094" w:rsidRPr="005A2094">
        <w:rPr>
          <w:i/>
        </w:rPr>
        <w:t>Evidence Act 2008</w:t>
      </w:r>
      <w:r w:rsidR="005A2094">
        <w:t xml:space="preserve"> (Vic) </w:t>
      </w:r>
      <w:r w:rsidR="004B671E">
        <w:t xml:space="preserve">should be asked. </w:t>
      </w:r>
      <w:r w:rsidR="000F4F0D">
        <w:t>T</w:t>
      </w:r>
      <w:r w:rsidR="0090083C">
        <w:t xml:space="preserve">he ground rules should </w:t>
      </w:r>
      <w:r w:rsidR="000F4F0D">
        <w:t xml:space="preserve">assist to provide </w:t>
      </w:r>
      <w:r w:rsidR="0090083C">
        <w:t>a le</w:t>
      </w:r>
      <w:r w:rsidR="000F4F0D">
        <w:t xml:space="preserve">ss stressful experience for </w:t>
      </w:r>
      <w:r w:rsidR="0090083C">
        <w:t>witness</w:t>
      </w:r>
      <w:r w:rsidR="000F4F0D">
        <w:t xml:space="preserve">es and </w:t>
      </w:r>
      <w:r w:rsidR="000F4F0D">
        <w:lastRenderedPageBreak/>
        <w:t>complainants</w:t>
      </w:r>
      <w:r w:rsidR="0090083C">
        <w:t xml:space="preserve"> by </w:t>
      </w:r>
      <w:r w:rsidR="000F4F0D">
        <w:t>making it easier for them</w:t>
      </w:r>
      <w:r w:rsidR="0090083C">
        <w:t xml:space="preserve"> to better understand the question</w:t>
      </w:r>
      <w:r w:rsidR="000F4F0D">
        <w:t>s</w:t>
      </w:r>
      <w:r w:rsidR="0090083C">
        <w:t xml:space="preserve"> </w:t>
      </w:r>
      <w:r w:rsidR="000F4F0D">
        <w:t>put to them by the defence and enable a full and honest answer.</w:t>
      </w:r>
      <w:r w:rsidR="0090083C">
        <w:t xml:space="preserve"> </w:t>
      </w:r>
      <w:r w:rsidR="000F4F0D">
        <w:t xml:space="preserve">This </w:t>
      </w:r>
      <w:r w:rsidR="0090083C">
        <w:t xml:space="preserve">may </w:t>
      </w:r>
      <w:r w:rsidR="000F4F0D">
        <w:t xml:space="preserve">also </w:t>
      </w:r>
      <w:r w:rsidR="0090083C">
        <w:t>inadvertently reduce the number of follow up questions as</w:t>
      </w:r>
      <w:r w:rsidR="000F4F0D">
        <w:t>ked by the defence, thereby</w:t>
      </w:r>
      <w:r w:rsidR="0090083C">
        <w:t xml:space="preserve"> facilitating a more efficient trial.   </w:t>
      </w:r>
      <w:r w:rsidR="004B671E">
        <w:t xml:space="preserve">  </w:t>
      </w:r>
    </w:p>
    <w:p w14:paraId="4B89FD59" w14:textId="77777777" w:rsidR="00FB1B55" w:rsidRPr="00693ECC" w:rsidRDefault="00FB1B55" w:rsidP="00A755D9">
      <w:r w:rsidRPr="00FB1B55">
        <w:t>Although section 41 gives the court power to disallow an improper question or improper questioning put to a witness in cross-examination, or inform the witness that it need not be answered, ground rules established before a committal or trial may protect the vulnerable witness from experiencing any trauma or confusion in response to questioning that would otherwise have been asked but subsequently disallowed.</w:t>
      </w:r>
      <w:r w:rsidR="00797FA2">
        <w:t xml:space="preserve"> </w:t>
      </w:r>
    </w:p>
    <w:p w14:paraId="07C9222B" w14:textId="1C6B0915" w:rsidR="00797FA2" w:rsidRDefault="00BA1B9A" w:rsidP="00160027">
      <w:r>
        <w:t>It is important to note that c</w:t>
      </w:r>
      <w:r w:rsidR="00517133" w:rsidRPr="00517133">
        <w:t>ourt process</w:t>
      </w:r>
      <w:r w:rsidR="00517133">
        <w:t>es</w:t>
      </w:r>
      <w:r w:rsidR="00517133" w:rsidRPr="00517133">
        <w:t xml:space="preserve"> can </w:t>
      </w:r>
      <w:r>
        <w:t xml:space="preserve">also </w:t>
      </w:r>
      <w:r w:rsidR="00517133" w:rsidRPr="00517133">
        <w:t xml:space="preserve">be confusing </w:t>
      </w:r>
      <w:r w:rsidR="00517133">
        <w:t xml:space="preserve">and stressful for </w:t>
      </w:r>
      <w:r>
        <w:t xml:space="preserve">people who are </w:t>
      </w:r>
      <w:r w:rsidR="00517133">
        <w:t>accused</w:t>
      </w:r>
      <w:r>
        <w:t xml:space="preserve"> of committing an offence</w:t>
      </w:r>
      <w:r w:rsidR="00517133">
        <w:t xml:space="preserve">, </w:t>
      </w:r>
      <w:r w:rsidR="00B01AF9">
        <w:t>as demonstrated</w:t>
      </w:r>
      <w:r w:rsidR="00E44EC0">
        <w:t xml:space="preserve"> </w:t>
      </w:r>
      <w:r w:rsidR="00B01AF9">
        <w:t xml:space="preserve">by the </w:t>
      </w:r>
      <w:r w:rsidR="00E44EC0" w:rsidRPr="00E44EC0">
        <w:t>Coroners Court of Victoria</w:t>
      </w:r>
      <w:r w:rsidR="00B01AF9">
        <w:t>’s finding in 2014</w:t>
      </w:r>
      <w:r w:rsidR="00E44EC0" w:rsidRPr="00E44EC0">
        <w:t xml:space="preserve"> that the most common time when these deaths occur is either immediately following the suspect being charged or</w:t>
      </w:r>
      <w:r w:rsidR="00B01AF9">
        <w:t xml:space="preserve"> proximate to court proceedings.</w:t>
      </w:r>
      <w:r w:rsidR="00E44EC0">
        <w:t xml:space="preserve"> </w:t>
      </w:r>
      <w:r w:rsidR="00B01AF9">
        <w:t>People who are accused of a sexual offence with s</w:t>
      </w:r>
      <w:r w:rsidR="00517133" w:rsidRPr="00517133">
        <w:t>pe</w:t>
      </w:r>
      <w:r w:rsidR="000E2371">
        <w:t>cific vulnerabilities, such as</w:t>
      </w:r>
      <w:r w:rsidR="00517133" w:rsidRPr="00517133">
        <w:t xml:space="preserve"> children and adults with a cognitive impairment</w:t>
      </w:r>
      <w:r w:rsidR="00B01AF9">
        <w:t>,</w:t>
      </w:r>
      <w:r w:rsidR="00517133" w:rsidRPr="00517133">
        <w:t xml:space="preserve"> may not understand what has been asked</w:t>
      </w:r>
      <w:r w:rsidR="00517133">
        <w:t xml:space="preserve"> by the prosecution</w:t>
      </w:r>
      <w:r w:rsidR="00AC6A7A">
        <w:t xml:space="preserve"> and who</w:t>
      </w:r>
      <w:r w:rsidR="004535B0">
        <w:t xml:space="preserve"> feel intim</w:t>
      </w:r>
      <w:r w:rsidR="00AC6A7A">
        <w:t>id</w:t>
      </w:r>
      <w:r w:rsidR="004535B0">
        <w:t>ated by the cross-examination process</w:t>
      </w:r>
      <w:r w:rsidR="00517133">
        <w:t>.</w:t>
      </w:r>
      <w:r w:rsidR="00517133" w:rsidRPr="00517133">
        <w:t xml:space="preserve"> </w:t>
      </w:r>
      <w:r w:rsidR="00517133">
        <w:t xml:space="preserve">Therefore, VLA </w:t>
      </w:r>
      <w:r w:rsidR="004535B0">
        <w:t>recommends</w:t>
      </w:r>
      <w:r w:rsidR="007120BF">
        <w:t xml:space="preserve"> that</w:t>
      </w:r>
      <w:r w:rsidR="004535B0">
        <w:t xml:space="preserve"> </w:t>
      </w:r>
      <w:r w:rsidR="00AC6A7A">
        <w:t xml:space="preserve">any introduction of ‘ground rules’ hearings should </w:t>
      </w:r>
      <w:r w:rsidR="00940610">
        <w:t xml:space="preserve">also </w:t>
      </w:r>
      <w:r w:rsidR="00AC6A7A">
        <w:t>include rules for the</w:t>
      </w:r>
      <w:r w:rsidR="00940610">
        <w:t xml:space="preserve"> prosecution</w:t>
      </w:r>
      <w:r w:rsidR="00AC6A7A">
        <w:t xml:space="preserve"> questioning of </w:t>
      </w:r>
      <w:r w:rsidR="00517133">
        <w:t xml:space="preserve">vulnerable </w:t>
      </w:r>
      <w:r w:rsidR="007120BF">
        <w:t>accused</w:t>
      </w:r>
      <w:r w:rsidR="00940610">
        <w:t xml:space="preserve"> where the defence seeks to call their client</w:t>
      </w:r>
      <w:r w:rsidR="00AC6A7A">
        <w:t xml:space="preserve">, </w:t>
      </w:r>
      <w:r w:rsidR="00940610">
        <w:t>particularly those</w:t>
      </w:r>
      <w:r w:rsidR="00AC6A7A">
        <w:t xml:space="preserve"> with a cognitive impairment</w:t>
      </w:r>
      <w:r w:rsidR="00940610">
        <w:t>.</w:t>
      </w:r>
      <w:r w:rsidR="007120BF">
        <w:t xml:space="preserve">  </w:t>
      </w:r>
    </w:p>
    <w:p w14:paraId="4A306F23" w14:textId="1D3793A5" w:rsidR="00947A4E" w:rsidRDefault="00D5744D" w:rsidP="00160027">
      <w:r>
        <w:t xml:space="preserve">However, VLA considers that further careful consideration needs to be given to how </w:t>
      </w:r>
      <w:r w:rsidR="00AC6A7A">
        <w:t>‘</w:t>
      </w:r>
      <w:r>
        <w:t>ground rules hearings</w:t>
      </w:r>
      <w:r w:rsidR="00AC6A7A">
        <w:t>’</w:t>
      </w:r>
      <w:r>
        <w:t xml:space="preserve"> </w:t>
      </w:r>
      <w:r w:rsidRPr="00D5744D">
        <w:t xml:space="preserve">would operate in practice, particularly in conjunction with an intermediary scheme, before </w:t>
      </w:r>
      <w:r>
        <w:t xml:space="preserve">the Royal Commission recommends in favour of </w:t>
      </w:r>
      <w:r w:rsidR="008E0792">
        <w:t>introduction</w:t>
      </w:r>
      <w:r>
        <w:t xml:space="preserve"> or prior to any decision by </w:t>
      </w:r>
      <w:r w:rsidR="008E2A01">
        <w:t xml:space="preserve">the State Government </w:t>
      </w:r>
      <w:r w:rsidR="008E0792">
        <w:t>to implement</w:t>
      </w:r>
      <w:r>
        <w:t xml:space="preserve"> them</w:t>
      </w:r>
      <w:r w:rsidR="008E2A01">
        <w:t>. This would include, for instance, consideration of</w:t>
      </w:r>
      <w:r w:rsidR="00535D45">
        <w:t xml:space="preserve"> </w:t>
      </w:r>
      <w:r w:rsidR="00BC1A3F">
        <w:t>how defence can depart from the rules set where the evidence leads to further lines of inquiry relevant to the accused’s defence or the facts in issue.</w:t>
      </w:r>
    </w:p>
    <w:p w14:paraId="1476AF50" w14:textId="77777777" w:rsidR="00CA49AA" w:rsidRPr="00CA49AA" w:rsidRDefault="00CA49AA" w:rsidP="00CA49AA">
      <w:pPr>
        <w:pStyle w:val="Recommendation"/>
        <w:rPr>
          <w:b/>
        </w:rPr>
      </w:pPr>
      <w:r w:rsidRPr="00CA49AA">
        <w:rPr>
          <w:b/>
        </w:rPr>
        <w:t>Recommendation 8 – Ground rules to cover questioning of vulnerable accused</w:t>
      </w:r>
    </w:p>
    <w:p w14:paraId="1ABD1D1D" w14:textId="28304E41" w:rsidR="00CA49AA" w:rsidRDefault="00CA49AA" w:rsidP="00CA49AA">
      <w:pPr>
        <w:pStyle w:val="Recommendation"/>
      </w:pPr>
      <w:r>
        <w:t>A</w:t>
      </w:r>
      <w:r w:rsidRPr="00AC6A7A">
        <w:t xml:space="preserve">ny introduction of ‘ground rules’ at pre-trial directions hearings should </w:t>
      </w:r>
      <w:r>
        <w:t xml:space="preserve">also </w:t>
      </w:r>
      <w:r w:rsidRPr="00AC6A7A">
        <w:t xml:space="preserve">include </w:t>
      </w:r>
      <w:r>
        <w:t xml:space="preserve">ground </w:t>
      </w:r>
      <w:r w:rsidRPr="00AC6A7A">
        <w:t>rules for the questioning of vulnerable accused, such as children and adults with a cognitive impairment, by the prosecution</w:t>
      </w:r>
      <w:r>
        <w:t>.</w:t>
      </w:r>
    </w:p>
    <w:p w14:paraId="78DBEF95" w14:textId="77777777" w:rsidR="001E045D" w:rsidRPr="00606D29" w:rsidRDefault="001E045D" w:rsidP="001E045D">
      <w:pPr>
        <w:pStyle w:val="Heading1"/>
      </w:pPr>
      <w:bookmarkStart w:id="14" w:name="_Toc465704257"/>
      <w:r>
        <w:t>Tendency and coincidence evidence</w:t>
      </w:r>
      <w:bookmarkEnd w:id="14"/>
      <w:r>
        <w:t xml:space="preserve"> </w:t>
      </w:r>
    </w:p>
    <w:p w14:paraId="28832FF3" w14:textId="77777777" w:rsidR="006A350A" w:rsidRPr="006A350A" w:rsidRDefault="006A350A" w:rsidP="006A350A">
      <w:pPr>
        <w:rPr>
          <w:lang w:val="en-US"/>
        </w:rPr>
      </w:pPr>
      <w:r w:rsidRPr="006A350A">
        <w:rPr>
          <w:lang w:val="en-US"/>
        </w:rPr>
        <w:t xml:space="preserve">VLA agrees with </w:t>
      </w:r>
      <w:r>
        <w:rPr>
          <w:lang w:val="en-US"/>
        </w:rPr>
        <w:t xml:space="preserve">the observations of </w:t>
      </w:r>
      <w:r w:rsidRPr="006A350A">
        <w:rPr>
          <w:lang w:val="en-US"/>
        </w:rPr>
        <w:t xml:space="preserve">Counsel </w:t>
      </w:r>
      <w:r>
        <w:rPr>
          <w:lang w:val="en-US"/>
        </w:rPr>
        <w:t>A</w:t>
      </w:r>
      <w:r w:rsidRPr="006A350A">
        <w:rPr>
          <w:lang w:val="en-US"/>
        </w:rPr>
        <w:t xml:space="preserve">ssisting </w:t>
      </w:r>
      <w:r>
        <w:rPr>
          <w:lang w:val="en-US"/>
        </w:rPr>
        <w:t xml:space="preserve">the Royal Commission </w:t>
      </w:r>
      <w:r w:rsidRPr="006A350A">
        <w:rPr>
          <w:lang w:val="en-US"/>
        </w:rPr>
        <w:t>that</w:t>
      </w:r>
      <w:r>
        <w:rPr>
          <w:lang w:val="en-US"/>
        </w:rPr>
        <w:t xml:space="preserve"> </w:t>
      </w:r>
      <w:r w:rsidRPr="006A350A">
        <w:rPr>
          <w:lang w:val="en-US"/>
        </w:rPr>
        <w:t xml:space="preserve">there is </w:t>
      </w:r>
      <w:r>
        <w:rPr>
          <w:lang w:val="en-US"/>
        </w:rPr>
        <w:t>‘</w:t>
      </w:r>
      <w:r w:rsidRPr="006A350A">
        <w:rPr>
          <w:lang w:val="en-US"/>
        </w:rPr>
        <w:t>inherent overlap</w:t>
      </w:r>
      <w:r>
        <w:rPr>
          <w:lang w:val="en-US"/>
        </w:rPr>
        <w:t>’</w:t>
      </w:r>
      <w:r w:rsidRPr="006A350A">
        <w:rPr>
          <w:lang w:val="en-US"/>
        </w:rPr>
        <w:t xml:space="preserve"> between </w:t>
      </w:r>
      <w:r>
        <w:rPr>
          <w:lang w:val="en-US"/>
        </w:rPr>
        <w:t>tendency and coincidence evidence:</w:t>
      </w:r>
      <w:r w:rsidRPr="006A350A">
        <w:rPr>
          <w:lang w:val="en-US"/>
        </w:rPr>
        <w:t xml:space="preserve"> </w:t>
      </w:r>
    </w:p>
    <w:p w14:paraId="4BD34AD4" w14:textId="77777777" w:rsidR="006A350A" w:rsidRPr="006A350A" w:rsidRDefault="006A350A" w:rsidP="00CA49AA">
      <w:pPr>
        <w:pStyle w:val="VLAquotation"/>
        <w:rPr>
          <w:lang w:val="en-US"/>
        </w:rPr>
      </w:pPr>
      <w:r w:rsidRPr="006A350A">
        <w:rPr>
          <w:lang w:val="en-US"/>
        </w:rPr>
        <w:t>that, in institutional child sexual abuse cases, tendency evidence will often reveal conduct with a variety of common features, while coincidence evidence will reveal a tendency of the accused to act in a particular way; and that ‘In a sense, thus, coincidence evidence can be seen substantially as a subset of tendency evidence</w:t>
      </w:r>
      <w:r>
        <w:rPr>
          <w:lang w:val="en-US"/>
        </w:rPr>
        <w:t>’</w:t>
      </w:r>
      <w:r w:rsidRPr="006A350A">
        <w:rPr>
          <w:lang w:val="en-US"/>
        </w:rPr>
        <w:t>.</w:t>
      </w:r>
      <w:r>
        <w:rPr>
          <w:rStyle w:val="FootnoteReference"/>
          <w:lang w:val="en-US"/>
        </w:rPr>
        <w:footnoteReference w:id="10"/>
      </w:r>
    </w:p>
    <w:p w14:paraId="03EA80C9" w14:textId="5F3ABC1F" w:rsidR="00146775" w:rsidRDefault="006A350A" w:rsidP="006A350A">
      <w:pPr>
        <w:rPr>
          <w:lang w:val="en-US"/>
        </w:rPr>
      </w:pPr>
      <w:r w:rsidRPr="006A350A">
        <w:rPr>
          <w:lang w:val="en-US"/>
        </w:rPr>
        <w:t>However, VLA submits they should remain distinct forms of evidence under the U</w:t>
      </w:r>
      <w:r w:rsidR="00CE7876">
        <w:rPr>
          <w:lang w:val="en-US"/>
        </w:rPr>
        <w:t xml:space="preserve">niform </w:t>
      </w:r>
      <w:r w:rsidRPr="006A350A">
        <w:rPr>
          <w:lang w:val="en-US"/>
        </w:rPr>
        <w:t>E</w:t>
      </w:r>
      <w:r w:rsidR="00CE7876">
        <w:rPr>
          <w:lang w:val="en-US"/>
        </w:rPr>
        <w:t xml:space="preserve">vidence </w:t>
      </w:r>
      <w:r w:rsidRPr="006A350A">
        <w:rPr>
          <w:lang w:val="en-US"/>
        </w:rPr>
        <w:t>A</w:t>
      </w:r>
      <w:r w:rsidR="00CE7876">
        <w:rPr>
          <w:lang w:val="en-US"/>
        </w:rPr>
        <w:t>ct</w:t>
      </w:r>
      <w:r w:rsidR="00EA20B1">
        <w:rPr>
          <w:lang w:val="en-US"/>
        </w:rPr>
        <w:t xml:space="preserve"> (UEA)</w:t>
      </w:r>
      <w:r w:rsidRPr="006A350A">
        <w:rPr>
          <w:lang w:val="en-US"/>
        </w:rPr>
        <w:t>. Whilst the admissibility process is similar</w:t>
      </w:r>
      <w:r w:rsidR="00CE7876">
        <w:rPr>
          <w:lang w:val="en-US"/>
        </w:rPr>
        <w:t>,</w:t>
      </w:r>
      <w:r w:rsidRPr="006A350A">
        <w:rPr>
          <w:lang w:val="en-US"/>
        </w:rPr>
        <w:t xml:space="preserve"> they are conceptually two very different forms of evidence</w:t>
      </w:r>
      <w:r w:rsidR="00CE7876">
        <w:rPr>
          <w:lang w:val="en-US"/>
        </w:rPr>
        <w:t xml:space="preserve"> – </w:t>
      </w:r>
      <w:r w:rsidRPr="006A350A">
        <w:rPr>
          <w:lang w:val="en-US"/>
        </w:rPr>
        <w:t>one</w:t>
      </w:r>
      <w:r w:rsidR="00CE7876">
        <w:rPr>
          <w:lang w:val="en-US"/>
        </w:rPr>
        <w:t xml:space="preserve"> </w:t>
      </w:r>
      <w:r w:rsidRPr="006A350A">
        <w:rPr>
          <w:lang w:val="en-US"/>
        </w:rPr>
        <w:t>based purely on probabilities</w:t>
      </w:r>
      <w:r w:rsidR="00CE7876">
        <w:rPr>
          <w:lang w:val="en-US"/>
        </w:rPr>
        <w:t>,</w:t>
      </w:r>
      <w:r w:rsidRPr="006A350A">
        <w:rPr>
          <w:lang w:val="en-US"/>
        </w:rPr>
        <w:t xml:space="preserve"> the other propensity of human nature drawn from the jury’s life experiences. </w:t>
      </w:r>
    </w:p>
    <w:p w14:paraId="565B435C" w14:textId="77777777" w:rsidR="00CE7876" w:rsidRDefault="006A350A" w:rsidP="006A350A">
      <w:pPr>
        <w:rPr>
          <w:lang w:val="en-US"/>
        </w:rPr>
      </w:pPr>
      <w:r w:rsidRPr="006A350A">
        <w:rPr>
          <w:lang w:val="en-US"/>
        </w:rPr>
        <w:lastRenderedPageBreak/>
        <w:t>VLA agrees there is often considerable overlap, particularly in the institutional setting, to the extent that tendency evidence effectively encompasses coincidence. However, it may not always overlap so neatly</w:t>
      </w:r>
      <w:r w:rsidR="00CE7876">
        <w:rPr>
          <w:lang w:val="en-US"/>
        </w:rPr>
        <w:t>. F</w:t>
      </w:r>
      <w:r w:rsidRPr="006A350A">
        <w:rPr>
          <w:lang w:val="en-US"/>
        </w:rPr>
        <w:t>or</w:t>
      </w:r>
      <w:r w:rsidR="00CE7876">
        <w:rPr>
          <w:lang w:val="en-US"/>
        </w:rPr>
        <w:t xml:space="preserve"> instance,</w:t>
      </w:r>
      <w:r w:rsidRPr="006A350A">
        <w:rPr>
          <w:lang w:val="en-US"/>
        </w:rPr>
        <w:t xml:space="preserve"> offending where a teacher is moving between schools or at locations outside the institution where identity is in issue or where identity is not an issue but there is a particularly unusual feature to the conduct. The example provided </w:t>
      </w:r>
      <w:r w:rsidR="00CE7876">
        <w:rPr>
          <w:lang w:val="en-US"/>
        </w:rPr>
        <w:t xml:space="preserve">by the Royal Commission of the </w:t>
      </w:r>
      <w:r w:rsidRPr="006A350A">
        <w:rPr>
          <w:lang w:val="en-US"/>
        </w:rPr>
        <w:t>New Zealand</w:t>
      </w:r>
      <w:r w:rsidR="00CE7876">
        <w:rPr>
          <w:lang w:val="en-US"/>
        </w:rPr>
        <w:t xml:space="preserve"> case</w:t>
      </w:r>
      <w:r w:rsidRPr="006A350A">
        <w:rPr>
          <w:lang w:val="en-US"/>
        </w:rPr>
        <w:t xml:space="preserve"> </w:t>
      </w:r>
      <w:r w:rsidR="00CE7876">
        <w:rPr>
          <w:lang w:val="en-US"/>
        </w:rPr>
        <w:t xml:space="preserve">of </w:t>
      </w:r>
      <w:r w:rsidR="00CE7876" w:rsidRPr="00CE7876">
        <w:rPr>
          <w:i/>
          <w:lang w:val="en-US"/>
        </w:rPr>
        <w:t xml:space="preserve">N </w:t>
      </w:r>
      <w:proofErr w:type="gramStart"/>
      <w:r w:rsidR="00CE7876" w:rsidRPr="00CE7876">
        <w:rPr>
          <w:i/>
          <w:lang w:val="en-US"/>
        </w:rPr>
        <w:t>v</w:t>
      </w:r>
      <w:proofErr w:type="gramEnd"/>
      <w:r w:rsidR="00CE7876" w:rsidRPr="00CE7876">
        <w:rPr>
          <w:i/>
          <w:lang w:val="en-US"/>
        </w:rPr>
        <w:t xml:space="preserve"> R</w:t>
      </w:r>
      <w:r w:rsidR="00CE7876">
        <w:rPr>
          <w:lang w:val="en-US"/>
        </w:rPr>
        <w:t xml:space="preserve"> [2012] NZCA 99 </w:t>
      </w:r>
      <w:r w:rsidRPr="006A350A">
        <w:rPr>
          <w:lang w:val="en-US"/>
        </w:rPr>
        <w:t>illustrates a situation where this could arise</w:t>
      </w:r>
      <w:r w:rsidR="00CE7876">
        <w:rPr>
          <w:lang w:val="en-US"/>
        </w:rPr>
        <w:t>. In that case:</w:t>
      </w:r>
      <w:r w:rsidRPr="006A350A">
        <w:rPr>
          <w:lang w:val="en-US"/>
        </w:rPr>
        <w:t xml:space="preserve"> </w:t>
      </w:r>
    </w:p>
    <w:p w14:paraId="0633FDF0" w14:textId="77777777" w:rsidR="006A350A" w:rsidRPr="00CE7876" w:rsidRDefault="00CE7876" w:rsidP="00CA49AA">
      <w:pPr>
        <w:pStyle w:val="VLAquotation"/>
        <w:rPr>
          <w:lang w:val="en-US"/>
        </w:rPr>
      </w:pPr>
      <w:r>
        <w:rPr>
          <w:lang w:val="en-US"/>
        </w:rPr>
        <w:t>t</w:t>
      </w:r>
      <w:r w:rsidR="006A350A" w:rsidRPr="006A350A">
        <w:rPr>
          <w:lang w:val="en-US"/>
        </w:rPr>
        <w:t>he defendant faced charges of digitally penetrating a 12-year-old while she was asleep and intoxicated. The defendant had previously pleaded guilty to a charge of sexual intercourse with a 13-year-old girl on the basis it was consensual. The court held that the prior conviction would be admissible to demonstrate a sexual attraction to pubescent girls if the issue was the identity of the offender. However, if the defendant admitted the indecent assault but denied penetration, the prior conviction would be inadmissible.</w:t>
      </w:r>
      <w:r>
        <w:rPr>
          <w:rStyle w:val="FootnoteReference"/>
          <w:lang w:val="en-US"/>
        </w:rPr>
        <w:footnoteReference w:id="11"/>
      </w:r>
    </w:p>
    <w:p w14:paraId="13A187AE" w14:textId="77777777" w:rsidR="005C33E9" w:rsidRDefault="006A350A" w:rsidP="006A350A">
      <w:r w:rsidRPr="006A350A">
        <w:rPr>
          <w:lang w:val="en-US"/>
        </w:rPr>
        <w:t xml:space="preserve">Outside of the institutional setting, </w:t>
      </w:r>
      <w:r w:rsidR="00B74B24">
        <w:rPr>
          <w:lang w:val="en-US"/>
        </w:rPr>
        <w:t>or in relation to other</w:t>
      </w:r>
      <w:r w:rsidRPr="006A350A">
        <w:rPr>
          <w:lang w:val="en-US"/>
        </w:rPr>
        <w:t xml:space="preserve"> sexual offending, the dif</w:t>
      </w:r>
      <w:r w:rsidR="00B74B24">
        <w:rPr>
          <w:lang w:val="en-US"/>
        </w:rPr>
        <w:t>ferences are more apparent. I</w:t>
      </w:r>
      <w:r w:rsidRPr="006A350A">
        <w:rPr>
          <w:lang w:val="en-US"/>
        </w:rPr>
        <w:t xml:space="preserve">t would </w:t>
      </w:r>
      <w:r w:rsidR="00B74B24">
        <w:rPr>
          <w:lang w:val="en-US"/>
        </w:rPr>
        <w:t xml:space="preserve">therefore </w:t>
      </w:r>
      <w:r w:rsidRPr="006A350A">
        <w:rPr>
          <w:lang w:val="en-US"/>
        </w:rPr>
        <w:t>be undesirable to have two different approaches, particularly where there is little need</w:t>
      </w:r>
      <w:r w:rsidR="00FF7283">
        <w:rPr>
          <w:lang w:val="en-US"/>
        </w:rPr>
        <w:t>,</w:t>
      </w:r>
      <w:r w:rsidRPr="006A350A">
        <w:rPr>
          <w:lang w:val="en-US"/>
        </w:rPr>
        <w:t xml:space="preserve"> for instance if the restriction in </w:t>
      </w:r>
      <w:r w:rsidR="00B74B24">
        <w:rPr>
          <w:lang w:val="en-US"/>
        </w:rPr>
        <w:t xml:space="preserve">the </w:t>
      </w:r>
      <w:r w:rsidRPr="006A350A">
        <w:rPr>
          <w:lang w:val="en-US"/>
        </w:rPr>
        <w:t>Victoria</w:t>
      </w:r>
      <w:r w:rsidR="00B74B24">
        <w:rPr>
          <w:lang w:val="en-US"/>
        </w:rPr>
        <w:t>n case of</w:t>
      </w:r>
      <w:r w:rsidRPr="006A350A">
        <w:rPr>
          <w:lang w:val="en-US"/>
        </w:rPr>
        <w:t xml:space="preserve"> </w:t>
      </w:r>
      <w:r w:rsidRPr="006A350A">
        <w:rPr>
          <w:i/>
          <w:lang w:val="en-US"/>
        </w:rPr>
        <w:t>PNJ</w:t>
      </w:r>
      <w:r w:rsidRPr="006A350A">
        <w:rPr>
          <w:lang w:val="en-US"/>
        </w:rPr>
        <w:t xml:space="preserve"> </w:t>
      </w:r>
      <w:r w:rsidR="00B74B24" w:rsidRPr="00B74B24">
        <w:rPr>
          <w:i/>
          <w:lang w:val="en-US"/>
        </w:rPr>
        <w:t>v DPP</w:t>
      </w:r>
      <w:r w:rsidR="00B74B24">
        <w:rPr>
          <w:lang w:val="en-US"/>
        </w:rPr>
        <w:t xml:space="preserve"> </w:t>
      </w:r>
      <w:r w:rsidR="00FF7283">
        <w:rPr>
          <w:lang w:val="en-US"/>
        </w:rPr>
        <w:t>[2010] VSCA 88 was</w:t>
      </w:r>
      <w:r w:rsidRPr="006A350A">
        <w:rPr>
          <w:lang w:val="en-US"/>
        </w:rPr>
        <w:t xml:space="preserve"> not </w:t>
      </w:r>
      <w:r w:rsidR="00FF7283">
        <w:rPr>
          <w:lang w:val="en-US"/>
        </w:rPr>
        <w:t>operating</w:t>
      </w:r>
      <w:r w:rsidRPr="006A350A">
        <w:rPr>
          <w:lang w:val="en-US"/>
        </w:rPr>
        <w:t>.</w:t>
      </w:r>
      <w:r w:rsidR="005C33E9">
        <w:rPr>
          <w:lang w:val="en-US"/>
        </w:rPr>
        <w:t xml:space="preserve"> </w:t>
      </w:r>
      <w:r w:rsidRPr="006A350A">
        <w:rPr>
          <w:lang w:val="en-US"/>
        </w:rPr>
        <w:t>Without a clear delineation between these two different reasoning processes it is possible for the jury to become naturally and understandably confused</w:t>
      </w:r>
      <w:r w:rsidR="005C33E9">
        <w:rPr>
          <w:lang w:val="en-US"/>
        </w:rPr>
        <w:t xml:space="preserve"> and</w:t>
      </w:r>
      <w:r w:rsidRPr="006A350A">
        <w:rPr>
          <w:lang w:val="en-US"/>
        </w:rPr>
        <w:t xml:space="preserve"> impermissible cross reasoning may occur. </w:t>
      </w:r>
    </w:p>
    <w:p w14:paraId="36DEC71F" w14:textId="77777777" w:rsidR="006A350A" w:rsidRPr="006A350A" w:rsidRDefault="005C33E9" w:rsidP="006A350A">
      <w:pPr>
        <w:rPr>
          <w:lang w:val="en-US"/>
        </w:rPr>
      </w:pPr>
      <w:r>
        <w:rPr>
          <w:lang w:val="en-US"/>
        </w:rPr>
        <w:t>As we do not know how juries</w:t>
      </w:r>
      <w:r w:rsidR="006A350A" w:rsidRPr="006A350A">
        <w:rPr>
          <w:lang w:val="en-US"/>
        </w:rPr>
        <w:t xml:space="preserve"> reason with these two different concepts</w:t>
      </w:r>
      <w:r>
        <w:rPr>
          <w:lang w:val="en-US"/>
        </w:rPr>
        <w:t>,</w:t>
      </w:r>
      <w:r w:rsidR="006A350A" w:rsidRPr="006A350A">
        <w:rPr>
          <w:lang w:val="en-US"/>
        </w:rPr>
        <w:t xml:space="preserve"> </w:t>
      </w:r>
      <w:r>
        <w:rPr>
          <w:lang w:val="en-US"/>
        </w:rPr>
        <w:t xml:space="preserve">VLA considers that </w:t>
      </w:r>
      <w:r w:rsidR="006A350A" w:rsidRPr="006A350A">
        <w:rPr>
          <w:lang w:val="en-US"/>
        </w:rPr>
        <w:t xml:space="preserve">more jury research is required in this area before </w:t>
      </w:r>
      <w:r>
        <w:rPr>
          <w:lang w:val="en-US"/>
        </w:rPr>
        <w:t xml:space="preserve">any </w:t>
      </w:r>
      <w:r w:rsidR="00146775">
        <w:rPr>
          <w:lang w:val="en-US"/>
        </w:rPr>
        <w:t>changes are made, noting that this</w:t>
      </w:r>
      <w:r w:rsidR="006A350A" w:rsidRPr="006A350A">
        <w:rPr>
          <w:lang w:val="en-US"/>
        </w:rPr>
        <w:t xml:space="preserve"> appears </w:t>
      </w:r>
      <w:r w:rsidR="00146775">
        <w:rPr>
          <w:lang w:val="en-US"/>
        </w:rPr>
        <w:t>to have been</w:t>
      </w:r>
      <w:r w:rsidR="006A350A" w:rsidRPr="006A350A">
        <w:rPr>
          <w:lang w:val="en-US"/>
        </w:rPr>
        <w:t xml:space="preserve"> beyond the scope of the </w:t>
      </w:r>
      <w:r>
        <w:rPr>
          <w:lang w:val="en-US"/>
        </w:rPr>
        <w:t xml:space="preserve">Royal </w:t>
      </w:r>
      <w:r w:rsidR="006A350A" w:rsidRPr="006A350A">
        <w:rPr>
          <w:lang w:val="en-US"/>
        </w:rPr>
        <w:t>Commis</w:t>
      </w:r>
      <w:r w:rsidR="0019739A">
        <w:rPr>
          <w:lang w:val="en-US"/>
        </w:rPr>
        <w:t>sion’s Jury Reasoning Research</w:t>
      </w:r>
      <w:r w:rsidR="006A350A" w:rsidRPr="006A350A">
        <w:rPr>
          <w:lang w:val="en-US"/>
        </w:rPr>
        <w:t>.</w:t>
      </w:r>
    </w:p>
    <w:p w14:paraId="1B89D0D9" w14:textId="6B4FD24B" w:rsidR="006A350A" w:rsidRDefault="005C33E9" w:rsidP="006A350A">
      <w:pPr>
        <w:rPr>
          <w:lang w:val="en-US"/>
        </w:rPr>
      </w:pPr>
      <w:r>
        <w:rPr>
          <w:lang w:val="en-US"/>
        </w:rPr>
        <w:t xml:space="preserve">If </w:t>
      </w:r>
      <w:r w:rsidR="008A6880">
        <w:rPr>
          <w:lang w:val="en-US"/>
        </w:rPr>
        <w:t>further</w:t>
      </w:r>
      <w:r w:rsidR="006A350A" w:rsidRPr="006A350A">
        <w:rPr>
          <w:lang w:val="en-US"/>
        </w:rPr>
        <w:t xml:space="preserve"> relaxation of</w:t>
      </w:r>
      <w:r>
        <w:rPr>
          <w:lang w:val="en-US"/>
        </w:rPr>
        <w:t xml:space="preserve"> the </w:t>
      </w:r>
      <w:r w:rsidR="006A350A" w:rsidRPr="006A350A">
        <w:rPr>
          <w:lang w:val="en-US"/>
        </w:rPr>
        <w:t>statutory distinctions</w:t>
      </w:r>
      <w:r>
        <w:rPr>
          <w:lang w:val="en-US"/>
        </w:rPr>
        <w:t xml:space="preserve"> was contemplated</w:t>
      </w:r>
      <w:r w:rsidR="006A350A" w:rsidRPr="006A350A">
        <w:rPr>
          <w:lang w:val="en-US"/>
        </w:rPr>
        <w:t>,</w:t>
      </w:r>
      <w:r>
        <w:rPr>
          <w:lang w:val="en-US"/>
        </w:rPr>
        <w:t xml:space="preserve"> </w:t>
      </w:r>
      <w:r w:rsidR="006A350A" w:rsidRPr="006A350A">
        <w:rPr>
          <w:lang w:val="en-US"/>
        </w:rPr>
        <w:t xml:space="preserve">careful jury directions </w:t>
      </w:r>
      <w:r>
        <w:rPr>
          <w:lang w:val="en-US"/>
        </w:rPr>
        <w:t xml:space="preserve">would </w:t>
      </w:r>
      <w:r w:rsidR="006A350A" w:rsidRPr="006A350A">
        <w:rPr>
          <w:lang w:val="en-US"/>
        </w:rPr>
        <w:t>need to be provided to explain the different reasoning processes and when they c</w:t>
      </w:r>
      <w:r w:rsidR="0025363C">
        <w:rPr>
          <w:lang w:val="en-US"/>
        </w:rPr>
        <w:t xml:space="preserve">ould and could </w:t>
      </w:r>
      <w:r>
        <w:rPr>
          <w:lang w:val="en-US"/>
        </w:rPr>
        <w:t>not be used. This would</w:t>
      </w:r>
      <w:r w:rsidR="006A350A" w:rsidRPr="006A350A">
        <w:rPr>
          <w:lang w:val="en-US"/>
        </w:rPr>
        <w:t xml:space="preserve"> both enable the use and prevent the misuse of these two different reasoning processes.</w:t>
      </w:r>
    </w:p>
    <w:p w14:paraId="111DCD7B" w14:textId="77777777" w:rsidR="0019739A" w:rsidRDefault="0019739A" w:rsidP="00CA49AA">
      <w:pPr>
        <w:pStyle w:val="Heading2"/>
        <w:rPr>
          <w:lang w:val="en-US"/>
        </w:rPr>
      </w:pPr>
      <w:bookmarkStart w:id="15" w:name="_Toc465704258"/>
      <w:r>
        <w:rPr>
          <w:lang w:val="en-US"/>
        </w:rPr>
        <w:t>Admissibility of evidence</w:t>
      </w:r>
      <w:bookmarkEnd w:id="15"/>
    </w:p>
    <w:p w14:paraId="3F60A773" w14:textId="77777777" w:rsidR="00EA20B1" w:rsidRDefault="0019739A" w:rsidP="0019739A">
      <w:pPr>
        <w:rPr>
          <w:lang w:val="en-US"/>
        </w:rPr>
      </w:pPr>
      <w:r w:rsidRPr="0019739A">
        <w:rPr>
          <w:lang w:val="en-US"/>
        </w:rPr>
        <w:t>The R</w:t>
      </w:r>
      <w:r>
        <w:rPr>
          <w:lang w:val="en-US"/>
        </w:rPr>
        <w:t xml:space="preserve">oyal </w:t>
      </w:r>
      <w:r w:rsidRPr="0019739A">
        <w:rPr>
          <w:lang w:val="en-US"/>
        </w:rPr>
        <w:t>C</w:t>
      </w:r>
      <w:r>
        <w:rPr>
          <w:lang w:val="en-US"/>
        </w:rPr>
        <w:t>ommission</w:t>
      </w:r>
      <w:r w:rsidRPr="0019739A">
        <w:rPr>
          <w:lang w:val="en-US"/>
        </w:rPr>
        <w:t xml:space="preserve"> consider</w:t>
      </w:r>
      <w:r>
        <w:rPr>
          <w:lang w:val="en-US"/>
        </w:rPr>
        <w:t>s</w:t>
      </w:r>
      <w:r w:rsidRPr="0019739A">
        <w:rPr>
          <w:lang w:val="en-US"/>
        </w:rPr>
        <w:t xml:space="preserve"> that there is ‘significant merit’ in the approach adopted in England and Wales which allows more relevant evidence to be placed before juries, and that the best approach may be that if the evidence is of relevance to the offences charged then it should be capable of being considered by the </w:t>
      </w:r>
      <w:r w:rsidR="00EA20B1">
        <w:rPr>
          <w:lang w:val="en-US"/>
        </w:rPr>
        <w:t>jury as the triers of fact</w:t>
      </w:r>
      <w:r w:rsidRPr="0019739A">
        <w:rPr>
          <w:lang w:val="en-US"/>
        </w:rPr>
        <w:t xml:space="preserve">. </w:t>
      </w:r>
    </w:p>
    <w:p w14:paraId="7A04B05B" w14:textId="704369B3" w:rsidR="00FC6F29" w:rsidRDefault="0019739A" w:rsidP="0019739A">
      <w:pPr>
        <w:rPr>
          <w:lang w:val="en-US"/>
        </w:rPr>
      </w:pPr>
      <w:r w:rsidRPr="0019739A">
        <w:rPr>
          <w:lang w:val="en-US"/>
        </w:rPr>
        <w:t>VLA considers that the current thre</w:t>
      </w:r>
      <w:r w:rsidR="00104F4C">
        <w:rPr>
          <w:lang w:val="en-US"/>
        </w:rPr>
        <w:t>shold of ‘significant probative value’ in the UEA is appropriate. The Commission’s</w:t>
      </w:r>
      <w:r w:rsidRPr="0019739A">
        <w:rPr>
          <w:lang w:val="en-US"/>
        </w:rPr>
        <w:t xml:space="preserve"> research shows that tendency and coincidence evidence is a powerful form of evidence which significantly increases conviction rates</w:t>
      </w:r>
      <w:r w:rsidR="00104F4C">
        <w:rPr>
          <w:lang w:val="en-US"/>
        </w:rPr>
        <w:t>. Therefore,</w:t>
      </w:r>
      <w:r w:rsidRPr="0019739A">
        <w:rPr>
          <w:lang w:val="en-US"/>
        </w:rPr>
        <w:t xml:space="preserve"> in most cases it will reach the threshold o</w:t>
      </w:r>
      <w:r w:rsidR="00104F4C">
        <w:rPr>
          <w:lang w:val="en-US"/>
        </w:rPr>
        <w:t xml:space="preserve">f significant probative value. </w:t>
      </w:r>
      <w:r w:rsidR="00012235">
        <w:rPr>
          <w:lang w:val="en-US"/>
        </w:rPr>
        <w:t>This</w:t>
      </w:r>
      <w:r w:rsidRPr="0019739A">
        <w:rPr>
          <w:lang w:val="en-US"/>
        </w:rPr>
        <w:t xml:space="preserve"> research has </w:t>
      </w:r>
      <w:r w:rsidR="00012235">
        <w:rPr>
          <w:lang w:val="en-US"/>
        </w:rPr>
        <w:t xml:space="preserve">also shown the particularly powerful way </w:t>
      </w:r>
      <w:r w:rsidR="00012235" w:rsidRPr="00012235">
        <w:rPr>
          <w:lang w:val="en-US"/>
        </w:rPr>
        <w:t xml:space="preserve">that tendency and coincidence evidence </w:t>
      </w:r>
      <w:r w:rsidR="00012235">
        <w:rPr>
          <w:lang w:val="en-US"/>
        </w:rPr>
        <w:t>can</w:t>
      </w:r>
      <w:r w:rsidRPr="0019739A">
        <w:rPr>
          <w:lang w:val="en-US"/>
        </w:rPr>
        <w:t xml:space="preserve"> affect the jury’s assessment of guilt or innocence. </w:t>
      </w:r>
      <w:r w:rsidR="00A252AB" w:rsidRPr="00A252AB">
        <w:rPr>
          <w:lang w:val="en-US"/>
        </w:rPr>
        <w:t>Therefore, it is important that appropriate safeguards are in place to ensure that this evidence is used in an appropriately reasoned way</w:t>
      </w:r>
      <w:r w:rsidR="00BC1A3F">
        <w:rPr>
          <w:lang w:val="en-US"/>
        </w:rPr>
        <w:t xml:space="preserve"> given the presumption of innocence</w:t>
      </w:r>
      <w:r w:rsidR="00A252AB" w:rsidRPr="00A252AB">
        <w:rPr>
          <w:lang w:val="en-US"/>
        </w:rPr>
        <w:t xml:space="preserve">. </w:t>
      </w:r>
      <w:r w:rsidR="00C84EA2">
        <w:rPr>
          <w:lang w:val="en-US"/>
        </w:rPr>
        <w:t>In our view, t</w:t>
      </w:r>
      <w:r w:rsidR="0054455F">
        <w:rPr>
          <w:lang w:val="en-US"/>
        </w:rPr>
        <w:t xml:space="preserve">he current test for admitting </w:t>
      </w:r>
      <w:r w:rsidR="00A252AB">
        <w:rPr>
          <w:lang w:val="en-US"/>
        </w:rPr>
        <w:t>this</w:t>
      </w:r>
      <w:r w:rsidR="00012235" w:rsidRPr="00012235">
        <w:rPr>
          <w:lang w:val="en-US"/>
        </w:rPr>
        <w:t xml:space="preserve"> evidence </w:t>
      </w:r>
      <w:r w:rsidR="00012235">
        <w:rPr>
          <w:lang w:val="en-US"/>
        </w:rPr>
        <w:t>only where the ‘</w:t>
      </w:r>
      <w:r w:rsidR="00012235" w:rsidRPr="00012235">
        <w:rPr>
          <w:lang w:val="en-US"/>
        </w:rPr>
        <w:t xml:space="preserve">probative value of the evidence substantially </w:t>
      </w:r>
      <w:r w:rsidR="00012235" w:rsidRPr="00012235">
        <w:rPr>
          <w:lang w:val="en-US"/>
        </w:rPr>
        <w:lastRenderedPageBreak/>
        <w:t>outweighs the prejudicial effect it m</w:t>
      </w:r>
      <w:r w:rsidR="00012235">
        <w:rPr>
          <w:lang w:val="en-US"/>
        </w:rPr>
        <w:t>ay have on the defendant’</w:t>
      </w:r>
      <w:r w:rsidR="0054455F">
        <w:rPr>
          <w:lang w:val="en-US"/>
        </w:rPr>
        <w:t xml:space="preserve"> is considered to be an appropriate safeguard</w:t>
      </w:r>
      <w:r w:rsidR="00012235">
        <w:rPr>
          <w:lang w:val="en-US"/>
        </w:rPr>
        <w:t>.</w:t>
      </w:r>
      <w:r w:rsidR="00C84EA2">
        <w:rPr>
          <w:lang w:val="en-US"/>
        </w:rPr>
        <w:t xml:space="preserve"> </w:t>
      </w:r>
    </w:p>
    <w:p w14:paraId="20EE7B23" w14:textId="77777777" w:rsidR="0019739A" w:rsidRPr="0019739A" w:rsidRDefault="00FC6F29" w:rsidP="0019739A">
      <w:pPr>
        <w:rPr>
          <w:lang w:val="en-US"/>
        </w:rPr>
      </w:pPr>
      <w:r>
        <w:rPr>
          <w:lang w:val="en-US"/>
        </w:rPr>
        <w:t>There has also been significant reform of the UEA around context, relationship and tendency</w:t>
      </w:r>
      <w:r w:rsidR="000D32E8">
        <w:rPr>
          <w:lang w:val="en-US"/>
        </w:rPr>
        <w:t xml:space="preserve"> evidence with a lowering of the threshold for the admission of such evidence. Any further reduction of thresholds around the admission of such evidence risks imbalance that could lead to injustice and wrongful convictions.</w:t>
      </w:r>
      <w:r>
        <w:rPr>
          <w:lang w:val="en-US"/>
        </w:rPr>
        <w:t xml:space="preserve"> </w:t>
      </w:r>
      <w:r w:rsidR="00C84EA2">
        <w:rPr>
          <w:lang w:val="en-US"/>
        </w:rPr>
        <w:t xml:space="preserve">Therefore, VLA does not consider that </w:t>
      </w:r>
      <w:r w:rsidR="008A6880">
        <w:rPr>
          <w:lang w:val="en-US"/>
        </w:rPr>
        <w:t xml:space="preserve">further </w:t>
      </w:r>
      <w:r w:rsidR="00C84EA2">
        <w:rPr>
          <w:lang w:val="en-US"/>
        </w:rPr>
        <w:t xml:space="preserve">reform is warranted. </w:t>
      </w:r>
    </w:p>
    <w:p w14:paraId="2A64FC83" w14:textId="21E4A5D7" w:rsidR="008A6880" w:rsidRDefault="008A6880" w:rsidP="00A252AB">
      <w:pPr>
        <w:rPr>
          <w:lang w:val="en-US"/>
        </w:rPr>
      </w:pPr>
      <w:r>
        <w:rPr>
          <w:lang w:val="en-US"/>
        </w:rPr>
        <w:t xml:space="preserve">Any further reduction in the thresholds around admissibility of such evidence would </w:t>
      </w:r>
      <w:r w:rsidR="00A252AB">
        <w:rPr>
          <w:lang w:val="en-US"/>
        </w:rPr>
        <w:t>need to</w:t>
      </w:r>
      <w:r w:rsidR="0019739A" w:rsidRPr="0019739A">
        <w:rPr>
          <w:lang w:val="en-US"/>
        </w:rPr>
        <w:t xml:space="preserve"> be accompanied by </w:t>
      </w:r>
      <w:r w:rsidR="00A252AB">
        <w:rPr>
          <w:lang w:val="en-US"/>
        </w:rPr>
        <w:t>appropriate jury directions from the trial judge, with the assistance of counsel, to ensure that the jury</w:t>
      </w:r>
      <w:r w:rsidR="0019739A" w:rsidRPr="0019739A">
        <w:rPr>
          <w:lang w:val="en-US"/>
        </w:rPr>
        <w:t xml:space="preserve"> only engage</w:t>
      </w:r>
      <w:r w:rsidR="00A252AB">
        <w:rPr>
          <w:lang w:val="en-US"/>
        </w:rPr>
        <w:t>d</w:t>
      </w:r>
      <w:r w:rsidR="0019739A" w:rsidRPr="0019739A">
        <w:rPr>
          <w:lang w:val="en-US"/>
        </w:rPr>
        <w:t xml:space="preserve"> in permissible tendency and coincidence reasoning.</w:t>
      </w:r>
      <w:r w:rsidR="00BC1A3F">
        <w:rPr>
          <w:lang w:val="en-US"/>
        </w:rPr>
        <w:t xml:space="preserve">  </w:t>
      </w:r>
    </w:p>
    <w:p w14:paraId="7F37E8C8" w14:textId="5BBAEA5E" w:rsidR="0019739A" w:rsidRPr="00A252AB" w:rsidRDefault="00BC1A3F" w:rsidP="00A252AB">
      <w:pPr>
        <w:rPr>
          <w:i/>
          <w:lang w:val="en-US"/>
        </w:rPr>
      </w:pPr>
      <w:r>
        <w:rPr>
          <w:lang w:val="en-US"/>
        </w:rPr>
        <w:t>VLA notes</w:t>
      </w:r>
      <w:r w:rsidR="008A6880">
        <w:rPr>
          <w:lang w:val="en-US"/>
        </w:rPr>
        <w:t xml:space="preserve"> </w:t>
      </w:r>
      <w:r w:rsidR="00535D45">
        <w:rPr>
          <w:lang w:val="en-US"/>
        </w:rPr>
        <w:t xml:space="preserve">that </w:t>
      </w:r>
      <w:r w:rsidR="008A6880">
        <w:rPr>
          <w:lang w:val="en-US"/>
        </w:rPr>
        <w:t xml:space="preserve">extensive </w:t>
      </w:r>
      <w:r>
        <w:rPr>
          <w:lang w:val="en-US"/>
        </w:rPr>
        <w:t xml:space="preserve">jury direction reforms in Victoria </w:t>
      </w:r>
      <w:r w:rsidR="00535D45">
        <w:rPr>
          <w:lang w:val="en-US"/>
        </w:rPr>
        <w:t xml:space="preserve">were </w:t>
      </w:r>
      <w:r>
        <w:rPr>
          <w:lang w:val="en-US"/>
        </w:rPr>
        <w:t>designed to simplify and assist juries to undertake their deliberations more easily. Significant reform</w:t>
      </w:r>
      <w:r w:rsidR="008A6880">
        <w:rPr>
          <w:lang w:val="en-US"/>
        </w:rPr>
        <w:t>s</w:t>
      </w:r>
      <w:r>
        <w:rPr>
          <w:lang w:val="en-US"/>
        </w:rPr>
        <w:t xml:space="preserve"> around complex sexual offence directions have already sought to eliminate outdated or confusing directions that operate unfairly for victims in light of what we now know about the nature of sexual assault (for example around delay and reporting).</w:t>
      </w:r>
      <w:r w:rsidR="001D4E1A">
        <w:rPr>
          <w:rStyle w:val="FootnoteReference"/>
          <w:lang w:val="en-US"/>
        </w:rPr>
        <w:footnoteReference w:id="12"/>
      </w:r>
    </w:p>
    <w:p w14:paraId="1EEA2D88" w14:textId="77777777" w:rsidR="00E362FA" w:rsidRPr="00606D29" w:rsidRDefault="00E362FA" w:rsidP="00E362FA">
      <w:pPr>
        <w:pStyle w:val="Heading1"/>
      </w:pPr>
      <w:bookmarkStart w:id="16" w:name="_Toc465704259"/>
      <w:r>
        <w:t>Appeals</w:t>
      </w:r>
      <w:bookmarkEnd w:id="16"/>
    </w:p>
    <w:p w14:paraId="18E16B0A" w14:textId="77777777" w:rsidR="00E362FA" w:rsidRDefault="00D8778A" w:rsidP="00CA49AA">
      <w:pPr>
        <w:pStyle w:val="Heading2"/>
        <w:rPr>
          <w:lang w:val="en-US"/>
        </w:rPr>
      </w:pPr>
      <w:bookmarkStart w:id="17" w:name="_Toc465704260"/>
      <w:r>
        <w:rPr>
          <w:lang w:val="en-US"/>
        </w:rPr>
        <w:t>Inconsistent verdicts</w:t>
      </w:r>
      <w:bookmarkEnd w:id="17"/>
    </w:p>
    <w:p w14:paraId="1AD40DB1" w14:textId="46D097D2" w:rsidR="00C84EA2" w:rsidRDefault="00C84EA2" w:rsidP="00D8778A">
      <w:pPr>
        <w:rPr>
          <w:lang w:val="en-US"/>
        </w:rPr>
      </w:pPr>
      <w:r>
        <w:rPr>
          <w:lang w:val="en-US"/>
        </w:rPr>
        <w:t>In the Consultation Paper the Royal Commission examines some of the difficulties which have been identified in relation to ‘inconsistent verdicts’ as a ground of appeal that is commonly raised in child sexual abuse cases. As noted by the Commission, this ground may arise where the jury returns a guilty verdict on one or more coun</w:t>
      </w:r>
      <w:r w:rsidR="00862947">
        <w:rPr>
          <w:lang w:val="en-US"/>
        </w:rPr>
        <w:t xml:space="preserve">ts and a not guilty verdict on </w:t>
      </w:r>
      <w:r>
        <w:rPr>
          <w:lang w:val="en-US"/>
        </w:rPr>
        <w:t xml:space="preserve">one or more other counts in a trial involving multiple counts. </w:t>
      </w:r>
    </w:p>
    <w:p w14:paraId="541DF579" w14:textId="77777777" w:rsidR="00D8778A" w:rsidRPr="00D8778A" w:rsidRDefault="00D8778A" w:rsidP="00D8778A">
      <w:pPr>
        <w:rPr>
          <w:lang w:val="en-US"/>
        </w:rPr>
      </w:pPr>
      <w:r w:rsidRPr="00D8778A">
        <w:rPr>
          <w:lang w:val="en-US"/>
        </w:rPr>
        <w:t xml:space="preserve">The </w:t>
      </w:r>
      <w:r w:rsidR="00F104D5">
        <w:rPr>
          <w:lang w:val="en-US"/>
        </w:rPr>
        <w:t xml:space="preserve">Victorian </w:t>
      </w:r>
      <w:r w:rsidR="00862947">
        <w:rPr>
          <w:lang w:val="en-US"/>
        </w:rPr>
        <w:t xml:space="preserve">Supreme </w:t>
      </w:r>
      <w:r w:rsidRPr="00D8778A">
        <w:rPr>
          <w:lang w:val="en-US"/>
        </w:rPr>
        <w:t xml:space="preserve">Court of Appeal consistently follows </w:t>
      </w:r>
      <w:r w:rsidR="00F104D5">
        <w:rPr>
          <w:lang w:val="en-US"/>
        </w:rPr>
        <w:t xml:space="preserve">the </w:t>
      </w:r>
      <w:r w:rsidRPr="00D8778A">
        <w:rPr>
          <w:lang w:val="en-US"/>
        </w:rPr>
        <w:t xml:space="preserve">principles </w:t>
      </w:r>
      <w:r w:rsidR="00F104D5">
        <w:rPr>
          <w:lang w:val="en-US"/>
        </w:rPr>
        <w:t xml:space="preserve">in relation to </w:t>
      </w:r>
      <w:r w:rsidR="00FB4EA8">
        <w:rPr>
          <w:lang w:val="en-US"/>
        </w:rPr>
        <w:t xml:space="preserve">the ground of appeal of </w:t>
      </w:r>
      <w:r w:rsidR="00F104D5">
        <w:rPr>
          <w:lang w:val="en-US"/>
        </w:rPr>
        <w:t>‘inconsistent verdicts’</w:t>
      </w:r>
      <w:r w:rsidR="00FB4EA8">
        <w:rPr>
          <w:lang w:val="en-US"/>
        </w:rPr>
        <w:t xml:space="preserve"> </w:t>
      </w:r>
      <w:r w:rsidR="00F104D5">
        <w:rPr>
          <w:lang w:val="en-US"/>
        </w:rPr>
        <w:t xml:space="preserve">that are </w:t>
      </w:r>
      <w:r w:rsidRPr="00D8778A">
        <w:rPr>
          <w:lang w:val="en-US"/>
        </w:rPr>
        <w:t xml:space="preserve">set out </w:t>
      </w:r>
      <w:r w:rsidR="00D80BA7">
        <w:rPr>
          <w:lang w:val="en-US"/>
        </w:rPr>
        <w:t xml:space="preserve">by the High Court of Australia </w:t>
      </w:r>
      <w:r w:rsidRPr="00D8778A">
        <w:rPr>
          <w:lang w:val="en-US"/>
        </w:rPr>
        <w:t xml:space="preserve">in </w:t>
      </w:r>
      <w:r w:rsidRPr="00F104D5">
        <w:rPr>
          <w:i/>
          <w:lang w:val="en-US"/>
        </w:rPr>
        <w:t xml:space="preserve">Mackenzie </w:t>
      </w:r>
      <w:r w:rsidR="00F104D5" w:rsidRPr="00F104D5">
        <w:rPr>
          <w:i/>
          <w:lang w:val="en-US"/>
        </w:rPr>
        <w:t>v The Queen</w:t>
      </w:r>
      <w:r w:rsidR="00F104D5">
        <w:rPr>
          <w:lang w:val="en-US"/>
        </w:rPr>
        <w:t xml:space="preserve"> </w:t>
      </w:r>
      <w:r w:rsidR="00FB4EA8">
        <w:rPr>
          <w:lang w:val="en-US"/>
        </w:rPr>
        <w:t>(1996) 190 CLR 348</w:t>
      </w:r>
      <w:r w:rsidR="00F104D5">
        <w:rPr>
          <w:lang w:val="en-US"/>
        </w:rPr>
        <w:t xml:space="preserve"> </w:t>
      </w:r>
      <w:r w:rsidRPr="00D8778A">
        <w:rPr>
          <w:lang w:val="en-US"/>
        </w:rPr>
        <w:t xml:space="preserve">and </w:t>
      </w:r>
      <w:r w:rsidR="00D80BA7">
        <w:rPr>
          <w:lang w:val="en-US"/>
        </w:rPr>
        <w:t xml:space="preserve">reaffirmed in </w:t>
      </w:r>
      <w:r w:rsidRPr="00F104D5">
        <w:rPr>
          <w:i/>
          <w:lang w:val="en-US"/>
        </w:rPr>
        <w:t>MFA</w:t>
      </w:r>
      <w:r w:rsidR="00F104D5" w:rsidRPr="00F104D5">
        <w:rPr>
          <w:i/>
          <w:lang w:val="en-US"/>
        </w:rPr>
        <w:t xml:space="preserve"> v The Queen</w:t>
      </w:r>
      <w:r w:rsidR="00F104D5">
        <w:rPr>
          <w:lang w:val="en-US"/>
        </w:rPr>
        <w:t xml:space="preserve"> </w:t>
      </w:r>
      <w:r w:rsidR="00F104D5" w:rsidRPr="00F104D5">
        <w:rPr>
          <w:lang w:val="en-US"/>
        </w:rPr>
        <w:t>[2002] HCA 53</w:t>
      </w:r>
      <w:r w:rsidR="00397016">
        <w:rPr>
          <w:lang w:val="en-US"/>
        </w:rPr>
        <w:t xml:space="preserve">. </w:t>
      </w:r>
      <w:r w:rsidR="00866827">
        <w:rPr>
          <w:lang w:val="en-US"/>
        </w:rPr>
        <w:t xml:space="preserve">In </w:t>
      </w:r>
      <w:r w:rsidR="00866827" w:rsidRPr="00866827">
        <w:rPr>
          <w:i/>
          <w:lang w:val="en-US"/>
        </w:rPr>
        <w:t>Amato v The Queen</w:t>
      </w:r>
      <w:r w:rsidR="00866827">
        <w:rPr>
          <w:lang w:val="en-US"/>
        </w:rPr>
        <w:t xml:space="preserve"> [2013] VSCA 346, Maxwell P</w:t>
      </w:r>
      <w:r w:rsidRPr="00D8778A">
        <w:rPr>
          <w:lang w:val="en-US"/>
        </w:rPr>
        <w:t xml:space="preserve"> </w:t>
      </w:r>
      <w:r w:rsidR="00866827">
        <w:rPr>
          <w:lang w:val="en-US"/>
        </w:rPr>
        <w:t xml:space="preserve">acknowledged at [3] that complaints of inconsistent verdicts are frequently advanced in the Victorian </w:t>
      </w:r>
      <w:r w:rsidR="00862947">
        <w:rPr>
          <w:lang w:val="en-US"/>
        </w:rPr>
        <w:t xml:space="preserve">Supreme </w:t>
      </w:r>
      <w:r w:rsidR="00866827">
        <w:rPr>
          <w:lang w:val="en-US"/>
        </w:rPr>
        <w:t xml:space="preserve">Court of Appeal but that they rarely succeed. His </w:t>
      </w:r>
      <w:proofErr w:type="spellStart"/>
      <w:r w:rsidR="00866827">
        <w:rPr>
          <w:lang w:val="en-US"/>
        </w:rPr>
        <w:t>Honour</w:t>
      </w:r>
      <w:proofErr w:type="spellEnd"/>
      <w:r w:rsidR="00866827">
        <w:rPr>
          <w:lang w:val="en-US"/>
        </w:rPr>
        <w:t xml:space="preserve"> states (at [3] and </w:t>
      </w:r>
      <w:r w:rsidR="00397016">
        <w:rPr>
          <w:lang w:val="en-US"/>
        </w:rPr>
        <w:t>[5]</w:t>
      </w:r>
      <w:r w:rsidR="00866827">
        <w:rPr>
          <w:lang w:val="en-US"/>
        </w:rPr>
        <w:t xml:space="preserve"> respectively</w:t>
      </w:r>
      <w:r w:rsidR="00397016">
        <w:rPr>
          <w:lang w:val="en-US"/>
        </w:rPr>
        <w:t>)</w:t>
      </w:r>
      <w:r w:rsidRPr="00D8778A">
        <w:rPr>
          <w:lang w:val="en-US"/>
        </w:rPr>
        <w:t>:</w:t>
      </w:r>
    </w:p>
    <w:p w14:paraId="1C5F0950" w14:textId="77777777" w:rsidR="00D8778A" w:rsidRPr="00866827" w:rsidRDefault="00D8778A" w:rsidP="00CA49AA">
      <w:pPr>
        <w:pStyle w:val="VLAquotation"/>
        <w:rPr>
          <w:lang w:val="en-US"/>
        </w:rPr>
      </w:pPr>
      <w:r w:rsidRPr="00397016">
        <w:rPr>
          <w:lang w:val="en-US"/>
        </w:rPr>
        <w:t>This is hardly surprising, in my view, given that success on the inconsistency ground involves persuading the appellate court that no logical or rational basis can be found for reconciling the verdicts in question.</w:t>
      </w:r>
    </w:p>
    <w:p w14:paraId="04F4FA30" w14:textId="77777777" w:rsidR="00397016" w:rsidRDefault="00D8778A" w:rsidP="00CA49AA">
      <w:pPr>
        <w:pStyle w:val="VLAquotation"/>
      </w:pPr>
      <w:r w:rsidRPr="00397016">
        <w:t>As a result, if there is some evidence sufficient to sustain the difference in verdicts, the Court is not inclined to substitute its own view for that of the jury.</w:t>
      </w:r>
    </w:p>
    <w:p w14:paraId="452EB8C9" w14:textId="77777777" w:rsidR="00D8778A" w:rsidRPr="00397016" w:rsidRDefault="00397016" w:rsidP="00397016">
      <w:pPr>
        <w:rPr>
          <w:i/>
        </w:rPr>
      </w:pPr>
      <w:r>
        <w:t xml:space="preserve">VLA therefore does not consider that there are any </w:t>
      </w:r>
      <w:r w:rsidR="00CB15D0">
        <w:t xml:space="preserve">remaining </w:t>
      </w:r>
      <w:r>
        <w:t xml:space="preserve">difficulties in </w:t>
      </w:r>
      <w:r w:rsidR="00CB15D0">
        <w:t xml:space="preserve">relation to ‘inconsistent verdicts’ </w:t>
      </w:r>
      <w:r w:rsidR="008724C1">
        <w:t xml:space="preserve">in </w:t>
      </w:r>
      <w:r>
        <w:t xml:space="preserve">Victoria </w:t>
      </w:r>
      <w:r w:rsidR="00CB15D0">
        <w:t xml:space="preserve">which </w:t>
      </w:r>
      <w:r w:rsidR="00BA1041">
        <w:t>the Commission needs to address</w:t>
      </w:r>
      <w:r w:rsidR="008724C1">
        <w:t>.</w:t>
      </w:r>
      <w:r w:rsidR="00D8778A" w:rsidRPr="00397016">
        <w:rPr>
          <w:b/>
          <w:i/>
        </w:rPr>
        <w:t xml:space="preserve">  </w:t>
      </w:r>
    </w:p>
    <w:p w14:paraId="2C73DD73" w14:textId="77777777" w:rsidR="003B6501" w:rsidRPr="00606D29" w:rsidRDefault="003B6501" w:rsidP="008724C1">
      <w:pPr>
        <w:pStyle w:val="Heading1"/>
        <w:tabs>
          <w:tab w:val="left" w:pos="7088"/>
        </w:tabs>
      </w:pPr>
      <w:bookmarkStart w:id="18" w:name="_Toc465704261"/>
      <w:r>
        <w:lastRenderedPageBreak/>
        <w:t>Post-sentencing issues</w:t>
      </w:r>
      <w:bookmarkEnd w:id="18"/>
      <w:r w:rsidR="008724C1">
        <w:tab/>
      </w:r>
    </w:p>
    <w:p w14:paraId="740343DD" w14:textId="77777777" w:rsidR="00234FBC" w:rsidRPr="00234FBC" w:rsidRDefault="00234FBC" w:rsidP="00CA49AA">
      <w:pPr>
        <w:pStyle w:val="Heading2"/>
      </w:pPr>
      <w:bookmarkStart w:id="19" w:name="_Toc465704262"/>
      <w:r>
        <w:t>Supervision and detention orders</w:t>
      </w:r>
      <w:bookmarkEnd w:id="19"/>
    </w:p>
    <w:p w14:paraId="3C4F733D" w14:textId="4B5D233D" w:rsidR="00BF4EB6" w:rsidRDefault="006F72CF" w:rsidP="004877A2">
      <w:pPr>
        <w:shd w:val="clear" w:color="auto" w:fill="FFFFFF"/>
        <w:rPr>
          <w:rFonts w:cs="Arial"/>
          <w:szCs w:val="22"/>
        </w:rPr>
      </w:pPr>
      <w:r w:rsidRPr="006F72CF">
        <w:rPr>
          <w:rFonts w:cs="Arial"/>
          <w:szCs w:val="22"/>
        </w:rPr>
        <w:t xml:space="preserve">The successful reintegration of prisoners, aimed at reducing the risk of re-offending is in the interests of the whole community. </w:t>
      </w:r>
      <w:r w:rsidR="00234FBC">
        <w:rPr>
          <w:rFonts w:cs="Arial"/>
          <w:szCs w:val="22"/>
        </w:rPr>
        <w:t xml:space="preserve">The treatment and rehabilitation of offenders is one of the primary purposes of the detention and supervision scheme for serious sex offenders under </w:t>
      </w:r>
      <w:r w:rsidR="008A6880">
        <w:rPr>
          <w:rFonts w:cs="Arial"/>
          <w:szCs w:val="22"/>
        </w:rPr>
        <w:t>Victoria’s</w:t>
      </w:r>
      <w:r w:rsidR="00234FBC">
        <w:rPr>
          <w:rFonts w:cs="Arial"/>
          <w:szCs w:val="22"/>
        </w:rPr>
        <w:t xml:space="preserve"> </w:t>
      </w:r>
      <w:r w:rsidR="00234FBC">
        <w:rPr>
          <w:rFonts w:cs="Arial"/>
          <w:i/>
          <w:szCs w:val="22"/>
        </w:rPr>
        <w:t>Serious Sex Offenders (Detention and Supervision) Act 2009</w:t>
      </w:r>
      <w:r w:rsidR="00BA2574">
        <w:rPr>
          <w:rFonts w:cs="Arial"/>
          <w:szCs w:val="22"/>
        </w:rPr>
        <w:t xml:space="preserve"> (SSODSA)</w:t>
      </w:r>
      <w:r w:rsidR="00234FBC">
        <w:rPr>
          <w:rFonts w:cs="Arial"/>
          <w:szCs w:val="22"/>
        </w:rPr>
        <w:t>.</w:t>
      </w:r>
      <w:r w:rsidR="00234FBC">
        <w:rPr>
          <w:rStyle w:val="FootnoteReference"/>
          <w:rFonts w:cs="Arial"/>
          <w:szCs w:val="22"/>
        </w:rPr>
        <w:footnoteReference w:id="13"/>
      </w:r>
      <w:r w:rsidR="00234FBC">
        <w:rPr>
          <w:rFonts w:cs="Arial"/>
          <w:szCs w:val="22"/>
        </w:rPr>
        <w:t xml:space="preserve"> This assists in achieving the main purpose of the Act, that of enhancing the protection of the community. </w:t>
      </w:r>
    </w:p>
    <w:p w14:paraId="4F04D209" w14:textId="77777777" w:rsidR="00BA2574" w:rsidRDefault="00234FBC" w:rsidP="004877A2">
      <w:pPr>
        <w:shd w:val="clear" w:color="auto" w:fill="FFFFFF"/>
        <w:rPr>
          <w:rFonts w:cs="Arial"/>
          <w:szCs w:val="22"/>
        </w:rPr>
      </w:pPr>
      <w:r>
        <w:rPr>
          <w:rFonts w:cs="Arial"/>
          <w:szCs w:val="22"/>
        </w:rPr>
        <w:t xml:space="preserve">VLA considers that improvements could be made to the way people who are subject to supervision or detention orders are supported and managed. In our experience, the rehabilitation supports provided to people on orders are often limited and inadequate. </w:t>
      </w:r>
      <w:r w:rsidR="00BA2574">
        <w:rPr>
          <w:rFonts w:cs="Arial"/>
          <w:szCs w:val="22"/>
        </w:rPr>
        <w:t xml:space="preserve">Engagement with specific services are often not incorporated into the order and services are limited. Regular treatment supports and services do not deal in offence-specific treatment but rather provide support/social engagement for those people with cognitive impairments or other disorders. </w:t>
      </w:r>
    </w:p>
    <w:p w14:paraId="06FA8C2C" w14:textId="77777777" w:rsidR="00BF4EB6" w:rsidRDefault="00BA2574" w:rsidP="004877A2">
      <w:pPr>
        <w:shd w:val="clear" w:color="auto" w:fill="FFFFFF"/>
        <w:rPr>
          <w:rFonts w:cs="Arial"/>
          <w:szCs w:val="22"/>
        </w:rPr>
      </w:pPr>
      <w:r>
        <w:rPr>
          <w:rFonts w:cs="Arial"/>
          <w:szCs w:val="22"/>
        </w:rPr>
        <w:t xml:space="preserve">There has been a steady increase in the number of people subject to orders under the </w:t>
      </w:r>
      <w:r w:rsidRPr="00BA2574">
        <w:rPr>
          <w:rFonts w:cs="Arial"/>
          <w:szCs w:val="22"/>
        </w:rPr>
        <w:t>SSODSA</w:t>
      </w:r>
      <w:r>
        <w:rPr>
          <w:rFonts w:cs="Arial"/>
          <w:szCs w:val="22"/>
        </w:rPr>
        <w:t xml:space="preserve">. The majority pose a risk of further serious sexual reoffending and are rightly on orders under the </w:t>
      </w:r>
      <w:r w:rsidRPr="00BA2574">
        <w:rPr>
          <w:rFonts w:cs="Arial"/>
          <w:szCs w:val="22"/>
        </w:rPr>
        <w:t>SSODSA</w:t>
      </w:r>
      <w:r>
        <w:rPr>
          <w:rFonts w:cs="Arial"/>
          <w:szCs w:val="22"/>
        </w:rPr>
        <w:t>. However, in an increasing number of c</w:t>
      </w:r>
      <w:r w:rsidR="00D76C39">
        <w:rPr>
          <w:rFonts w:cs="Arial"/>
          <w:szCs w:val="22"/>
        </w:rPr>
        <w:t xml:space="preserve">ases we query if orders under this Act are the most appropriate way to treat and manage the risk. The complex personalities and impairments that are present in a majority of the people on these orders warrants consideration of whether alternative disability or mental health orders could be used to manage the risk. This would enable the post-sentence risk regime to operate in the least restrictive way possible, consistent with the requirements of the SSODSA and the </w:t>
      </w:r>
      <w:r w:rsidR="00D76C39">
        <w:rPr>
          <w:rFonts w:cs="Arial"/>
          <w:i/>
          <w:szCs w:val="22"/>
        </w:rPr>
        <w:t>Charter of Human Rights and Responsibilities Act 2006</w:t>
      </w:r>
      <w:r w:rsidR="00BF4EB6">
        <w:rPr>
          <w:rFonts w:cs="Arial"/>
          <w:szCs w:val="22"/>
        </w:rPr>
        <w:t xml:space="preserve"> (Vic)</w:t>
      </w:r>
      <w:r w:rsidR="00D76C39">
        <w:rPr>
          <w:rFonts w:cs="Arial"/>
          <w:szCs w:val="22"/>
        </w:rPr>
        <w:t xml:space="preserve">. </w:t>
      </w:r>
      <w:r w:rsidR="00BA1041">
        <w:rPr>
          <w:rFonts w:cs="Arial"/>
          <w:szCs w:val="22"/>
        </w:rPr>
        <w:t>VLA recommends in favour of</w:t>
      </w:r>
      <w:r w:rsidR="00D76C39">
        <w:rPr>
          <w:rFonts w:cs="Arial"/>
          <w:szCs w:val="22"/>
        </w:rPr>
        <w:t xml:space="preserve"> reforms that create more options and meaningful conditions that enable judges to tailor orders such that the supervision and treatment supports match the level of risk and the needs of the offender. </w:t>
      </w:r>
      <w:r w:rsidR="00677AD5">
        <w:rPr>
          <w:rFonts w:cs="Arial"/>
          <w:szCs w:val="22"/>
        </w:rPr>
        <w:t>The provision of such supports would better promote the purposes of the SSODSA</w:t>
      </w:r>
      <w:r w:rsidR="00BF4EB6">
        <w:rPr>
          <w:rFonts w:cs="Arial"/>
          <w:szCs w:val="22"/>
        </w:rPr>
        <w:t xml:space="preserve">. </w:t>
      </w:r>
    </w:p>
    <w:p w14:paraId="54E032D9" w14:textId="77777777" w:rsidR="00C54C83" w:rsidRDefault="003420AC" w:rsidP="004877A2">
      <w:pPr>
        <w:shd w:val="clear" w:color="auto" w:fill="FFFFFF"/>
        <w:rPr>
          <w:rFonts w:cs="Arial"/>
          <w:szCs w:val="22"/>
        </w:rPr>
      </w:pPr>
      <w:r>
        <w:rPr>
          <w:rFonts w:cs="Arial"/>
          <w:szCs w:val="22"/>
        </w:rPr>
        <w:t xml:space="preserve">VLA also recommends that </w:t>
      </w:r>
      <w:r w:rsidR="00677AD5">
        <w:rPr>
          <w:rFonts w:cs="Arial"/>
          <w:szCs w:val="22"/>
        </w:rPr>
        <w:t xml:space="preserve">graduated and properly supported pathways </w:t>
      </w:r>
      <w:r>
        <w:rPr>
          <w:rFonts w:cs="Arial"/>
          <w:szCs w:val="22"/>
        </w:rPr>
        <w:t xml:space="preserve">should be created </w:t>
      </w:r>
      <w:r w:rsidR="00677AD5">
        <w:rPr>
          <w:rFonts w:cs="Arial"/>
          <w:szCs w:val="22"/>
        </w:rPr>
        <w:t>that enable genuine re-integration back into the community</w:t>
      </w:r>
      <w:r>
        <w:rPr>
          <w:rFonts w:cs="Arial"/>
          <w:szCs w:val="22"/>
        </w:rPr>
        <w:t xml:space="preserve"> to prevent future reoffending</w:t>
      </w:r>
      <w:r w:rsidR="00C54C83">
        <w:rPr>
          <w:rFonts w:cs="Arial"/>
          <w:szCs w:val="22"/>
        </w:rPr>
        <w:t>.</w:t>
      </w:r>
      <w:r w:rsidR="00677AD5">
        <w:rPr>
          <w:rFonts w:cs="Arial"/>
          <w:szCs w:val="22"/>
        </w:rPr>
        <w:t xml:space="preserve"> </w:t>
      </w:r>
      <w:r w:rsidR="006F72CF" w:rsidRPr="006F72CF">
        <w:rPr>
          <w:rFonts w:cs="Arial"/>
          <w:szCs w:val="22"/>
        </w:rPr>
        <w:t xml:space="preserve">Key features of planning for reintegration should include release plans and accommodation support. While release plans are currently taken into account in the determination of the Parole Board, </w:t>
      </w:r>
      <w:r w:rsidR="006F72CF" w:rsidRPr="006F72CF">
        <w:rPr>
          <w:rFonts w:cs="Arial"/>
          <w:szCs w:val="22"/>
          <w:lang w:val="en"/>
        </w:rPr>
        <w:t>prisoners</w:t>
      </w:r>
      <w:r w:rsidR="006F72CF" w:rsidRPr="006F72CF">
        <w:rPr>
          <w:rFonts w:cs="Arial"/>
          <w:szCs w:val="22"/>
        </w:rPr>
        <w:t xml:space="preserve"> should have the opportunity to be more actively involved in their development, supported by integrated and intensive case management. </w:t>
      </w:r>
      <w:r w:rsidR="005C1A1A" w:rsidRPr="008733AD">
        <w:rPr>
          <w:rFonts w:cs="Arial"/>
          <w:szCs w:val="22"/>
        </w:rPr>
        <w:t xml:space="preserve">VLA supports the recommendation </w:t>
      </w:r>
      <w:r w:rsidR="008733AD" w:rsidRPr="008733AD">
        <w:rPr>
          <w:rFonts w:cs="Arial"/>
          <w:szCs w:val="22"/>
        </w:rPr>
        <w:t xml:space="preserve">of the Complex Adult Victim Sex Offender Management Review Panel (the Harper Review) </w:t>
      </w:r>
      <w:r w:rsidR="005C1A1A" w:rsidRPr="008733AD">
        <w:rPr>
          <w:rFonts w:cs="Arial"/>
          <w:szCs w:val="22"/>
        </w:rPr>
        <w:t>that sex offenders in prison should be provided with offence-specific clinical assessment and treatment early in their sentence in contrast to the existing process of delivering interventions in the last 30 months before an offender’</w:t>
      </w:r>
      <w:r w:rsidR="00F12D2F" w:rsidRPr="008733AD">
        <w:rPr>
          <w:rFonts w:cs="Arial"/>
          <w:szCs w:val="22"/>
        </w:rPr>
        <w:t>s earliest eligibility date.</w:t>
      </w:r>
      <w:r w:rsidR="008733AD">
        <w:rPr>
          <w:rStyle w:val="FootnoteReference"/>
          <w:rFonts w:cs="Arial"/>
          <w:szCs w:val="22"/>
        </w:rPr>
        <w:footnoteReference w:id="14"/>
      </w:r>
      <w:r w:rsidR="00F12D2F" w:rsidRPr="008733AD">
        <w:rPr>
          <w:rFonts w:cs="Arial"/>
          <w:szCs w:val="22"/>
        </w:rPr>
        <w:t xml:space="preserve"> It is considered that this should apply equally to child </w:t>
      </w:r>
      <w:r w:rsidR="00F420BB">
        <w:rPr>
          <w:rFonts w:cs="Arial"/>
          <w:szCs w:val="22"/>
        </w:rPr>
        <w:t xml:space="preserve">victim sex </w:t>
      </w:r>
      <w:r w:rsidR="00F12D2F" w:rsidRPr="008733AD">
        <w:rPr>
          <w:rFonts w:cs="Arial"/>
          <w:szCs w:val="22"/>
        </w:rPr>
        <w:t>offen</w:t>
      </w:r>
      <w:r w:rsidR="00F420BB">
        <w:rPr>
          <w:rFonts w:cs="Arial"/>
          <w:szCs w:val="22"/>
        </w:rPr>
        <w:t>ders</w:t>
      </w:r>
      <w:r w:rsidR="00F12D2F" w:rsidRPr="008733AD">
        <w:rPr>
          <w:rFonts w:cs="Arial"/>
          <w:szCs w:val="22"/>
        </w:rPr>
        <w:t xml:space="preserve">. </w:t>
      </w:r>
    </w:p>
    <w:p w14:paraId="380B97E2" w14:textId="77777777" w:rsidR="00B515C2" w:rsidRPr="00B515C2" w:rsidRDefault="00B515C2" w:rsidP="00B515C2">
      <w:pPr>
        <w:shd w:val="clear" w:color="auto" w:fill="FFFFFF"/>
        <w:rPr>
          <w:rFonts w:cs="Arial"/>
          <w:szCs w:val="22"/>
        </w:rPr>
      </w:pPr>
      <w:r w:rsidRPr="00B515C2">
        <w:rPr>
          <w:rFonts w:cs="Arial"/>
          <w:szCs w:val="22"/>
        </w:rPr>
        <w:lastRenderedPageBreak/>
        <w:t xml:space="preserve">VLA </w:t>
      </w:r>
      <w:r>
        <w:rPr>
          <w:rFonts w:cs="Arial"/>
          <w:szCs w:val="22"/>
        </w:rPr>
        <w:t xml:space="preserve">also </w:t>
      </w:r>
      <w:r w:rsidRPr="00B515C2">
        <w:rPr>
          <w:rFonts w:cs="Arial"/>
          <w:szCs w:val="22"/>
        </w:rPr>
        <w:t>supports the Harper Review’s recommendation for the development of flexible community accommodation options to cater to the complex needs of offenders on post-sentence orders, with placement options focused on community protection rather than punishment.</w:t>
      </w:r>
      <w:r w:rsidRPr="00B515C2">
        <w:rPr>
          <w:rFonts w:cs="Arial"/>
          <w:szCs w:val="22"/>
          <w:vertAlign w:val="superscript"/>
        </w:rPr>
        <w:footnoteReference w:id="15"/>
      </w:r>
      <w:r w:rsidRPr="00B515C2">
        <w:rPr>
          <w:rFonts w:cs="Arial"/>
          <w:szCs w:val="22"/>
        </w:rPr>
        <w:t xml:space="preserve">  </w:t>
      </w:r>
    </w:p>
    <w:p w14:paraId="2FCE85E8" w14:textId="4F1DADBB" w:rsidR="001F1D50" w:rsidRDefault="00465554" w:rsidP="00146775">
      <w:pPr>
        <w:shd w:val="clear" w:color="auto" w:fill="FFFFFF"/>
        <w:rPr>
          <w:rFonts w:cs="Arial"/>
          <w:szCs w:val="22"/>
        </w:rPr>
      </w:pPr>
      <w:r>
        <w:rPr>
          <w:rFonts w:cs="Arial"/>
          <w:szCs w:val="22"/>
        </w:rPr>
        <w:t xml:space="preserve">Targeted investment that goes towards increasing and improving treatment and support services, as well as the skill of staff tasked with the difficult job of managing these complex clients is key to improving the efficacy of any post-sentence regime. </w:t>
      </w:r>
      <w:r w:rsidR="00BD65FD">
        <w:rPr>
          <w:rFonts w:cs="Arial"/>
          <w:szCs w:val="22"/>
        </w:rPr>
        <w:t>We support the Harper Review’s recommendation that the Department of Jus</w:t>
      </w:r>
      <w:bookmarkStart w:id="20" w:name="_GoBack"/>
      <w:bookmarkEnd w:id="20"/>
      <w:r w:rsidR="00BD65FD">
        <w:rPr>
          <w:rFonts w:cs="Arial"/>
          <w:szCs w:val="22"/>
        </w:rPr>
        <w:t>tice and Regulation ensure that staff members working with sex offenders receive appropriate and timely training.</w:t>
      </w:r>
      <w:r w:rsidR="00BD65FD">
        <w:rPr>
          <w:rStyle w:val="FootnoteReference"/>
          <w:rFonts w:cs="Arial"/>
          <w:szCs w:val="22"/>
        </w:rPr>
        <w:footnoteReference w:id="16"/>
      </w:r>
      <w:r w:rsidR="00BD65FD">
        <w:rPr>
          <w:rFonts w:cs="Arial"/>
          <w:szCs w:val="22"/>
        </w:rPr>
        <w:t xml:space="preserve"> </w:t>
      </w:r>
    </w:p>
    <w:p w14:paraId="20F3CFBA" w14:textId="1ECADBF4" w:rsidR="00E362FA" w:rsidRDefault="001F1D50" w:rsidP="00146775">
      <w:pPr>
        <w:shd w:val="clear" w:color="auto" w:fill="FFFFFF"/>
        <w:rPr>
          <w:rFonts w:cs="Arial"/>
          <w:szCs w:val="22"/>
        </w:rPr>
      </w:pPr>
      <w:r>
        <w:rPr>
          <w:rFonts w:cs="Arial"/>
          <w:szCs w:val="22"/>
        </w:rPr>
        <w:t xml:space="preserve">It is essential that offenders are afforded every opportunity to participate in re-entry and re-integration programs and that the intensity of interventions is proportionate to the risk posed by a child sexual offender. </w:t>
      </w:r>
      <w:r w:rsidR="00465554">
        <w:rPr>
          <w:rFonts w:cs="Arial"/>
          <w:szCs w:val="22"/>
        </w:rPr>
        <w:t xml:space="preserve">When proper investment also sits alongside a more responsive legislative framework that provides additional options to better manage risks and those offenders who truly require post-sentence supervision, we will be able to deliver a greater level of protection to the community.  </w:t>
      </w:r>
    </w:p>
    <w:p w14:paraId="1433CEA5" w14:textId="77777777" w:rsidR="00CA49AA" w:rsidRPr="00CA49AA" w:rsidRDefault="00CA49AA" w:rsidP="00CA49AA">
      <w:pPr>
        <w:pStyle w:val="Recommendation"/>
        <w:rPr>
          <w:b/>
        </w:rPr>
      </w:pPr>
      <w:r w:rsidRPr="00CA49AA">
        <w:rPr>
          <w:b/>
        </w:rPr>
        <w:t>Recommendation 9 – Tailored detention and supervision orders to address risk</w:t>
      </w:r>
    </w:p>
    <w:p w14:paraId="228B58EC" w14:textId="77777777" w:rsidR="00CA49AA" w:rsidRPr="00CA49AA" w:rsidRDefault="00CA49AA" w:rsidP="00CA49AA">
      <w:pPr>
        <w:pStyle w:val="Recommendation"/>
      </w:pPr>
      <w:r w:rsidRPr="00CA49AA">
        <w:t>That the Commission consider providing guidance around the reform of post-sentence regimes to create more options and conditions that enable judges to tailor detention and supervision orders such that supervision and treatment supports match the level of risk and the needs of the offender.</w:t>
      </w:r>
    </w:p>
    <w:p w14:paraId="56DF2C6D" w14:textId="77777777" w:rsidR="00CA49AA" w:rsidRPr="00CA49AA" w:rsidRDefault="00CA49AA" w:rsidP="00CA49AA">
      <w:pPr>
        <w:pStyle w:val="Recommendation"/>
        <w:rPr>
          <w:b/>
        </w:rPr>
      </w:pPr>
      <w:r w:rsidRPr="00CA49AA">
        <w:rPr>
          <w:b/>
        </w:rPr>
        <w:t xml:space="preserve">Recommendation 10 – Graduated and supported pathways for reintegration </w:t>
      </w:r>
    </w:p>
    <w:p w14:paraId="6764D117" w14:textId="4AB83181" w:rsidR="00CA49AA" w:rsidRDefault="00CA49AA" w:rsidP="00CA49AA">
      <w:pPr>
        <w:pStyle w:val="Recommendation"/>
      </w:pPr>
      <w:r w:rsidRPr="00CA49AA">
        <w:t>Create graduated and properly supported re-entry programs and pathways, with the intensity of interventions proportionate to the risk posed by an offender, to enable offenders to genuinely re-integrate back into the community post prison release.</w:t>
      </w:r>
    </w:p>
    <w:p w14:paraId="1213118F" w14:textId="77777777" w:rsidR="00BA1041" w:rsidRPr="00146775" w:rsidRDefault="00BA1041" w:rsidP="00146775">
      <w:pPr>
        <w:shd w:val="clear" w:color="auto" w:fill="FFFFFF"/>
        <w:rPr>
          <w:rFonts w:cs="Arial"/>
          <w:szCs w:val="22"/>
        </w:rPr>
      </w:pPr>
    </w:p>
    <w:p w14:paraId="0095552C" w14:textId="77777777" w:rsidR="00E362FA" w:rsidRDefault="00E362FA" w:rsidP="00A755D9"/>
    <w:p w14:paraId="7BF131A0" w14:textId="77777777" w:rsidR="00E362FA" w:rsidRDefault="00E362FA" w:rsidP="00A755D9"/>
    <w:p w14:paraId="6F09D39D" w14:textId="77777777" w:rsidR="00481DAC" w:rsidRDefault="00481DAC" w:rsidP="00481DAC">
      <w:pPr>
        <w:pStyle w:val="VLADocumentText"/>
      </w:pPr>
    </w:p>
    <w:p w14:paraId="67082997" w14:textId="77777777" w:rsidR="009D0F76" w:rsidRPr="009D0F76" w:rsidRDefault="009D0F76" w:rsidP="00F43FD7"/>
    <w:sectPr w:rsidR="009D0F76" w:rsidRPr="009D0F76" w:rsidSect="00DA29C4">
      <w:headerReference w:type="even" r:id="rId21"/>
      <w:headerReference w:type="first" r:id="rId22"/>
      <w:footerReference w:type="first" r:id="rId23"/>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C7C0D" w14:textId="77777777" w:rsidR="00B6076D" w:rsidRDefault="00B6076D">
      <w:r>
        <w:separator/>
      </w:r>
    </w:p>
    <w:p w14:paraId="24DFF928" w14:textId="77777777" w:rsidR="00B6076D" w:rsidRDefault="00B6076D"/>
    <w:p w14:paraId="3F6645BA" w14:textId="77777777" w:rsidR="00B6076D" w:rsidRDefault="00B6076D"/>
  </w:endnote>
  <w:endnote w:type="continuationSeparator" w:id="0">
    <w:p w14:paraId="49193E9E" w14:textId="77777777" w:rsidR="00B6076D" w:rsidRDefault="00B6076D">
      <w:r>
        <w:continuationSeparator/>
      </w:r>
    </w:p>
    <w:p w14:paraId="688401C5" w14:textId="77777777" w:rsidR="00B6076D" w:rsidRDefault="00B6076D"/>
    <w:p w14:paraId="2B44E29F" w14:textId="77777777" w:rsidR="00B6076D" w:rsidRDefault="00B60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CBD2D" w14:textId="77777777" w:rsidR="008A6880" w:rsidRDefault="008A6880"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C2BA" w14:textId="77777777" w:rsidR="008A6880" w:rsidRPr="00C97428" w:rsidRDefault="008A6880" w:rsidP="005375A4">
    <w:pP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8101" w14:textId="77777777" w:rsidR="008A6880" w:rsidRDefault="008A6880" w:rsidP="00696B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C206" w14:textId="77777777" w:rsidR="008A6880" w:rsidRDefault="008A6880" w:rsidP="00161EEF">
    <w:pPr>
      <w:pStyle w:val="Filename"/>
      <w:tabs>
        <w:tab w:val="clear" w:pos="9240"/>
      </w:tabs>
    </w:pPr>
    <w:r>
      <w:t>Victoria Legal Aid – Royal Commission into Institutional Responses to Child Sexual Abuse – October 2016</w:t>
    </w:r>
  </w:p>
  <w:p w14:paraId="3FD43CA4" w14:textId="47EB549B" w:rsidR="008A6880" w:rsidRPr="002B4970" w:rsidRDefault="008A6880"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91929">
      <w:rPr>
        <w:rStyle w:val="PageNumber"/>
        <w:noProof/>
      </w:rPr>
      <w:t>14</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0824" w14:textId="77777777" w:rsidR="008A6880" w:rsidRDefault="008A6880" w:rsidP="00161EEF">
    <w:pPr>
      <w:pStyle w:val="Filename"/>
      <w:tabs>
        <w:tab w:val="clear" w:pos="9240"/>
      </w:tabs>
    </w:pPr>
    <w:r>
      <w:t>Victoria Legal Aid – Royal Commission into Institutional Responses to Child Sexual Abuse – October 2016</w:t>
    </w:r>
  </w:p>
  <w:p w14:paraId="26E51F20" w14:textId="3F232EF3" w:rsidR="008A6880" w:rsidRPr="002B4970" w:rsidRDefault="008A6880"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91929">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9282" w14:textId="77777777" w:rsidR="00B6076D" w:rsidRPr="00E9228F" w:rsidRDefault="00B6076D" w:rsidP="00E9228F">
      <w:pPr>
        <w:rPr>
          <w:sz w:val="18"/>
          <w:szCs w:val="18"/>
        </w:rPr>
      </w:pPr>
      <w:r w:rsidRPr="006831FC">
        <w:rPr>
          <w:sz w:val="18"/>
        </w:rPr>
        <w:separator/>
      </w:r>
    </w:p>
  </w:footnote>
  <w:footnote w:type="continuationSeparator" w:id="0">
    <w:p w14:paraId="1C422C8C" w14:textId="77777777" w:rsidR="00B6076D" w:rsidRDefault="00B6076D">
      <w:r>
        <w:continuationSeparator/>
      </w:r>
    </w:p>
    <w:p w14:paraId="31B3AF0F" w14:textId="77777777" w:rsidR="00B6076D" w:rsidRDefault="00B6076D"/>
    <w:p w14:paraId="554F8EC4" w14:textId="77777777" w:rsidR="00B6076D" w:rsidRDefault="00B6076D"/>
  </w:footnote>
  <w:footnote w:id="1">
    <w:p w14:paraId="45712B52" w14:textId="77777777" w:rsidR="008A6880" w:rsidRPr="00496BEB" w:rsidRDefault="008A6880">
      <w:pPr>
        <w:pStyle w:val="FootnoteText"/>
        <w:rPr>
          <w:lang w:val="en-US"/>
        </w:rPr>
      </w:pPr>
      <w:r>
        <w:rPr>
          <w:rStyle w:val="FootnoteReference"/>
        </w:rPr>
        <w:footnoteRef/>
      </w:r>
      <w:r>
        <w:t xml:space="preserve"> </w:t>
      </w:r>
      <w:r>
        <w:rPr>
          <w:lang w:val="en-US"/>
        </w:rPr>
        <w:t xml:space="preserve">Section 357 </w:t>
      </w:r>
      <w:r w:rsidRPr="00496BEB">
        <w:rPr>
          <w:i/>
          <w:lang w:val="en-US"/>
        </w:rPr>
        <w:t>Criminal Procedure Act 2009</w:t>
      </w:r>
      <w:r>
        <w:rPr>
          <w:lang w:val="en-US"/>
        </w:rPr>
        <w:t xml:space="preserve"> (Vic)</w:t>
      </w:r>
    </w:p>
  </w:footnote>
  <w:footnote w:id="2">
    <w:p w14:paraId="2197BBBD" w14:textId="77777777" w:rsidR="008A6880" w:rsidRDefault="008A6880" w:rsidP="00951E55">
      <w:pPr>
        <w:pStyle w:val="FootnoteText"/>
      </w:pPr>
      <w:r>
        <w:rPr>
          <w:rStyle w:val="FootnoteReference"/>
        </w:rPr>
        <w:footnoteRef/>
      </w:r>
      <w:r>
        <w:t xml:space="preserve"> Schedule 1</w:t>
      </w:r>
    </w:p>
  </w:footnote>
  <w:footnote w:id="3">
    <w:p w14:paraId="550A0672" w14:textId="77777777" w:rsidR="008A6880" w:rsidRPr="0041389B" w:rsidRDefault="008A6880">
      <w:pPr>
        <w:pStyle w:val="FootnoteText"/>
        <w:rPr>
          <w:lang w:val="en-US"/>
        </w:rPr>
      </w:pPr>
      <w:r>
        <w:rPr>
          <w:rStyle w:val="FootnoteReference"/>
        </w:rPr>
        <w:footnoteRef/>
      </w:r>
      <w:r>
        <w:t xml:space="preserve"> </w:t>
      </w:r>
      <w:r>
        <w:rPr>
          <w:lang w:val="en-US"/>
        </w:rPr>
        <w:t xml:space="preserve">The case of </w:t>
      </w:r>
      <w:proofErr w:type="spellStart"/>
      <w:r>
        <w:rPr>
          <w:i/>
          <w:lang w:val="en-US"/>
        </w:rPr>
        <w:t>Greensill</w:t>
      </w:r>
      <w:proofErr w:type="spellEnd"/>
      <w:r>
        <w:rPr>
          <w:i/>
          <w:lang w:val="en-US"/>
        </w:rPr>
        <w:t xml:space="preserve"> v The Queen</w:t>
      </w:r>
      <w:r>
        <w:rPr>
          <w:lang w:val="en-US"/>
        </w:rPr>
        <w:t xml:space="preserve"> [2012] VSCA 306 is an example of the importance of this balancing exercise. </w:t>
      </w:r>
      <w:proofErr w:type="spellStart"/>
      <w:r>
        <w:rPr>
          <w:lang w:val="en-US"/>
        </w:rPr>
        <w:t>Ms</w:t>
      </w:r>
      <w:proofErr w:type="spellEnd"/>
      <w:r>
        <w:rPr>
          <w:lang w:val="en-US"/>
        </w:rPr>
        <w:t xml:space="preserve"> </w:t>
      </w:r>
      <w:proofErr w:type="spellStart"/>
      <w:r>
        <w:rPr>
          <w:lang w:val="en-US"/>
        </w:rPr>
        <w:t>Greensill’s</w:t>
      </w:r>
      <w:proofErr w:type="spellEnd"/>
      <w:r>
        <w:rPr>
          <w:lang w:val="en-US"/>
        </w:rPr>
        <w:t xml:space="preserve"> conviction for sexual offending against two young boys was overturned by the Victorian Supreme Court of Appeal primarily on the basis that the evidence disclosed a real likelihood that the two complainants collaborated, and a real possibility of concoction. </w:t>
      </w:r>
    </w:p>
  </w:footnote>
  <w:footnote w:id="4">
    <w:p w14:paraId="7CA61382" w14:textId="4560BF31" w:rsidR="008A6880" w:rsidRPr="00764B48" w:rsidRDefault="008A6880">
      <w:pPr>
        <w:pStyle w:val="FootnoteText"/>
        <w:rPr>
          <w:lang w:val="en-US"/>
        </w:rPr>
      </w:pPr>
      <w:r>
        <w:rPr>
          <w:rStyle w:val="FootnoteReference"/>
        </w:rPr>
        <w:footnoteRef/>
      </w:r>
      <w:r>
        <w:t xml:space="preserve"> </w:t>
      </w:r>
      <w:r w:rsidRPr="00C57C36">
        <w:rPr>
          <w:lang w:val="en-US"/>
        </w:rPr>
        <w:t>Royal Commission into Family Violence</w:t>
      </w:r>
      <w:r>
        <w:rPr>
          <w:lang w:val="en-US"/>
        </w:rPr>
        <w:t xml:space="preserve">, Witness Statement of Helen Fatouros, Executive Director, Criminal Law Services, Victoria Legal Aid, </w:t>
      </w:r>
      <w:r w:rsidRPr="00543360">
        <w:rPr>
          <w:lang w:val="en-US"/>
        </w:rPr>
        <w:t xml:space="preserve">WIT.0111.001.0001, </w:t>
      </w:r>
      <w:r>
        <w:rPr>
          <w:lang w:val="en-US"/>
        </w:rPr>
        <w:t xml:space="preserve">6 August 2015 </w:t>
      </w:r>
    </w:p>
  </w:footnote>
  <w:footnote w:id="5">
    <w:p w14:paraId="41FEB665" w14:textId="07D5C5DB" w:rsidR="008302C3" w:rsidRDefault="008302C3">
      <w:pPr>
        <w:pStyle w:val="FootnoteText"/>
      </w:pPr>
      <w:r>
        <w:rPr>
          <w:rStyle w:val="FootnoteReference"/>
        </w:rPr>
        <w:footnoteRef/>
      </w:r>
      <w:r>
        <w:t xml:space="preserve"> </w:t>
      </w:r>
      <w:r w:rsidR="008F4A1D" w:rsidRPr="008F4A1D">
        <w:t xml:space="preserve">As recently as the filing of this contribution with the Commission, the Victorian Supreme Court of Appeal has determined on interlocutory appeal that a permanent stay was the appropriate outcome in a matter involving historical charges of sexual abuse. The case involved an </w:t>
      </w:r>
      <w:proofErr w:type="gramStart"/>
      <w:r w:rsidR="008F4A1D" w:rsidRPr="008F4A1D">
        <w:t>84 year old</w:t>
      </w:r>
      <w:proofErr w:type="gramEnd"/>
      <w:r w:rsidR="008F4A1D" w:rsidRPr="008F4A1D">
        <w:t xml:space="preserve"> with Alzheimer’s disease who was found to be unfit to stand trial, with the Court of Appeal finding a hearing of the matter to be irreparably unfair. The decision is not currently </w:t>
      </w:r>
      <w:proofErr w:type="gramStart"/>
      <w:r w:rsidR="008F4A1D" w:rsidRPr="008F4A1D">
        <w:t>available,</w:t>
      </w:r>
      <w:proofErr w:type="gramEnd"/>
      <w:r w:rsidR="008F4A1D" w:rsidRPr="008F4A1D">
        <w:t xml:space="preserve"> however it can</w:t>
      </w:r>
      <w:r w:rsidR="008F4A1D">
        <w:t xml:space="preserve"> be</w:t>
      </w:r>
      <w:r w:rsidR="008F4A1D" w:rsidRPr="008F4A1D">
        <w:t xml:space="preserve"> provided to the Commission upon its release.</w:t>
      </w:r>
    </w:p>
  </w:footnote>
  <w:footnote w:id="6">
    <w:p w14:paraId="0A47691A" w14:textId="1A121403" w:rsidR="008A6880" w:rsidRPr="002106CC" w:rsidRDefault="008A6880" w:rsidP="00F5001F">
      <w:pPr>
        <w:pStyle w:val="FootnoteText"/>
        <w:rPr>
          <w:lang w:val="en-US"/>
        </w:rPr>
      </w:pPr>
      <w:r>
        <w:rPr>
          <w:rStyle w:val="FootnoteReference"/>
        </w:rPr>
        <w:footnoteRef/>
      </w:r>
      <w:r>
        <w:t xml:space="preserve"> </w:t>
      </w:r>
      <w:r w:rsidR="001D4E1A" w:rsidRPr="001D4E1A">
        <w:t xml:space="preserve">VLA (January 2014), </w:t>
      </w:r>
      <w:r w:rsidR="001D4E1A" w:rsidRPr="001D4E1A">
        <w:rPr>
          <w:i/>
        </w:rPr>
        <w:t>Delivering High Quality Criminal Trials Consultation Paper</w:t>
      </w:r>
      <w:r w:rsidR="001D4E1A">
        <w:t>,</w:t>
      </w:r>
      <w:r>
        <w:t xml:space="preserve"> </w:t>
      </w:r>
      <w:r w:rsidRPr="002106CC">
        <w:t>p</w:t>
      </w:r>
      <w:r>
        <w:t>p. 34-5.</w:t>
      </w:r>
    </w:p>
  </w:footnote>
  <w:footnote w:id="7">
    <w:p w14:paraId="7097BC1F" w14:textId="77777777" w:rsidR="008A6880" w:rsidRDefault="008A6880">
      <w:pPr>
        <w:pStyle w:val="FootnoteText"/>
      </w:pPr>
      <w:r>
        <w:rPr>
          <w:rStyle w:val="FootnoteReference"/>
        </w:rPr>
        <w:footnoteRef/>
      </w:r>
      <w:r>
        <w:t xml:space="preserve"> </w:t>
      </w:r>
      <w:r w:rsidRPr="006D509F">
        <w:t xml:space="preserve">Royal Commission into Institutional Responses to Child Sexual Abuse (September 2016), </w:t>
      </w:r>
      <w:r w:rsidRPr="006D509F">
        <w:rPr>
          <w:i/>
        </w:rPr>
        <w:t>Criminal Justice</w:t>
      </w:r>
      <w:r w:rsidRPr="006D509F">
        <w:t>,</w:t>
      </w:r>
      <w:r w:rsidRPr="006D509F">
        <w:rPr>
          <w:i/>
        </w:rPr>
        <w:t xml:space="preserve"> </w:t>
      </w:r>
      <w:r w:rsidRPr="006D509F">
        <w:t xml:space="preserve">Consultation </w:t>
      </w:r>
      <w:r w:rsidRPr="006D509F">
        <w:rPr>
          <w:lang w:val="en-US"/>
        </w:rPr>
        <w:t>Paper,</w:t>
      </w:r>
      <w:r>
        <w:rPr>
          <w:lang w:val="en-US"/>
        </w:rPr>
        <w:t xml:space="preserve"> p. 383</w:t>
      </w:r>
    </w:p>
  </w:footnote>
  <w:footnote w:id="8">
    <w:p w14:paraId="0818DB84" w14:textId="77777777" w:rsidR="008A6880" w:rsidRDefault="008A6880">
      <w:pPr>
        <w:pStyle w:val="FootnoteText"/>
      </w:pPr>
      <w:r>
        <w:rPr>
          <w:rStyle w:val="FootnoteReference"/>
        </w:rPr>
        <w:footnoteRef/>
      </w:r>
      <w:r>
        <w:t xml:space="preserve"> </w:t>
      </w:r>
      <w:r w:rsidRPr="000E2371">
        <w:t xml:space="preserve">Royal Commission into Institutional Responses to Child Sexual Abuse (September 2016), </w:t>
      </w:r>
      <w:r>
        <w:t>op. cit.</w:t>
      </w:r>
      <w:r w:rsidRPr="000E2371">
        <w:rPr>
          <w:lang w:val="en-US"/>
        </w:rPr>
        <w:t>, p. 382</w:t>
      </w:r>
    </w:p>
  </w:footnote>
  <w:footnote w:id="9">
    <w:p w14:paraId="3CA9F9F2" w14:textId="77777777" w:rsidR="008A6880" w:rsidRPr="00213878" w:rsidRDefault="008A6880">
      <w:pPr>
        <w:pStyle w:val="FootnoteText"/>
        <w:rPr>
          <w:lang w:val="en-US"/>
        </w:rPr>
      </w:pPr>
      <w:r>
        <w:rPr>
          <w:rStyle w:val="FootnoteReference"/>
        </w:rPr>
        <w:footnoteRef/>
      </w:r>
      <w:r>
        <w:t xml:space="preserve"> Department of Justice (Victoria) (2013), </w:t>
      </w:r>
      <w:r w:rsidRPr="00D92F9C">
        <w:rPr>
          <w:i/>
          <w:lang w:val="en-US"/>
        </w:rPr>
        <w:t>Charter of Advocacy for prosecuting or defending sexual offence cases</w:t>
      </w:r>
      <w:r>
        <w:rPr>
          <w:lang w:val="en-US"/>
        </w:rPr>
        <w:t>, p. ii.</w:t>
      </w:r>
    </w:p>
  </w:footnote>
  <w:footnote w:id="10">
    <w:p w14:paraId="5FE68C15" w14:textId="77777777" w:rsidR="008A6880" w:rsidRPr="006A350A" w:rsidRDefault="008A6880" w:rsidP="006A350A">
      <w:pPr>
        <w:pStyle w:val="FootnoteText"/>
        <w:rPr>
          <w:lang w:val="en-US"/>
        </w:rPr>
      </w:pPr>
      <w:r>
        <w:rPr>
          <w:rStyle w:val="FootnoteReference"/>
        </w:rPr>
        <w:footnoteRef/>
      </w:r>
      <w:r>
        <w:t xml:space="preserve"> </w:t>
      </w:r>
      <w:r w:rsidRPr="006A350A">
        <w:rPr>
          <w:lang w:val="en-US"/>
        </w:rPr>
        <w:t xml:space="preserve">J Kirk and D Barrow, </w:t>
      </w:r>
      <w:r w:rsidRPr="006A350A">
        <w:rPr>
          <w:i/>
          <w:lang w:val="en-US"/>
        </w:rPr>
        <w:t>Opinion of Counsel Assisting the Royal Commission regarding Week 1 of Case</w:t>
      </w:r>
      <w:r>
        <w:rPr>
          <w:lang w:val="en-US"/>
        </w:rPr>
        <w:t xml:space="preserve"> </w:t>
      </w:r>
      <w:r w:rsidRPr="006A350A">
        <w:rPr>
          <w:i/>
          <w:lang w:val="en-US"/>
        </w:rPr>
        <w:t>Study 38</w:t>
      </w:r>
      <w:r w:rsidRPr="006A350A">
        <w:rPr>
          <w:lang w:val="en-US"/>
        </w:rPr>
        <w:t>, [8</w:t>
      </w:r>
      <w:r>
        <w:rPr>
          <w:lang w:val="en-US"/>
        </w:rPr>
        <w:t xml:space="preserve">8] in Royal </w:t>
      </w:r>
      <w:r w:rsidRPr="006A350A">
        <w:t>Commission into Institutional Responses to Child Sexual Abuse (September 2016)</w:t>
      </w:r>
      <w:r>
        <w:t>, op. cit., p. 449.</w:t>
      </w:r>
    </w:p>
  </w:footnote>
  <w:footnote w:id="11">
    <w:p w14:paraId="2A98F34C" w14:textId="77777777" w:rsidR="008A6880" w:rsidRPr="00CE7876" w:rsidRDefault="008A6880" w:rsidP="00CE7876">
      <w:pPr>
        <w:pStyle w:val="FootnoteText"/>
        <w:rPr>
          <w:lang w:val="en-US"/>
        </w:rPr>
      </w:pPr>
      <w:r>
        <w:rPr>
          <w:rStyle w:val="FootnoteReference"/>
        </w:rPr>
        <w:footnoteRef/>
      </w:r>
      <w:r>
        <w:t xml:space="preserve"> </w:t>
      </w:r>
      <w:r w:rsidRPr="00CE7876">
        <w:rPr>
          <w:lang w:val="en-US"/>
        </w:rPr>
        <w:t xml:space="preserve">Royal </w:t>
      </w:r>
      <w:r w:rsidRPr="00CE7876">
        <w:t xml:space="preserve">Commission into Institutional Responses to Child Sexual Abuse (September 2016), op. cit., p. </w:t>
      </w:r>
      <w:r>
        <w:t xml:space="preserve">431 referring to D Hamer, </w:t>
      </w:r>
      <w:proofErr w:type="gramStart"/>
      <w:r w:rsidRPr="00CE7876">
        <w:rPr>
          <w:i/>
          <w:lang w:val="en-US"/>
        </w:rPr>
        <w:t>The</w:t>
      </w:r>
      <w:proofErr w:type="gramEnd"/>
      <w:r w:rsidRPr="00CE7876">
        <w:rPr>
          <w:i/>
          <w:lang w:val="en-US"/>
        </w:rPr>
        <w:t xml:space="preserve"> admissibility and use of tendency, coincidence and relationship evidence in child</w:t>
      </w:r>
      <w:r>
        <w:rPr>
          <w:lang w:val="en-US"/>
        </w:rPr>
        <w:t xml:space="preserve"> </w:t>
      </w:r>
      <w:r w:rsidRPr="00CE7876">
        <w:rPr>
          <w:i/>
          <w:lang w:val="en-US"/>
        </w:rPr>
        <w:t>sexual assault prosecutions in a selection of foreign jurisdictions</w:t>
      </w:r>
      <w:r w:rsidRPr="00CE7876">
        <w:rPr>
          <w:lang w:val="en-US"/>
        </w:rPr>
        <w:t>, p</w:t>
      </w:r>
      <w:r>
        <w:rPr>
          <w:lang w:val="en-US"/>
        </w:rPr>
        <w:t>.</w:t>
      </w:r>
      <w:r w:rsidRPr="00CE7876">
        <w:rPr>
          <w:lang w:val="en-US"/>
        </w:rPr>
        <w:t xml:space="preserve"> 57.</w:t>
      </w:r>
    </w:p>
    <w:p w14:paraId="48BA7324" w14:textId="77777777" w:rsidR="008A6880" w:rsidRPr="00CE7876" w:rsidRDefault="008A6880">
      <w:pPr>
        <w:pStyle w:val="FootnoteText"/>
        <w:rPr>
          <w:lang w:val="en-US"/>
        </w:rPr>
      </w:pPr>
    </w:p>
  </w:footnote>
  <w:footnote w:id="12">
    <w:p w14:paraId="1BA6F047" w14:textId="49BC534E" w:rsidR="001D4E1A" w:rsidRDefault="001D4E1A">
      <w:pPr>
        <w:pStyle w:val="FootnoteText"/>
      </w:pPr>
      <w:r>
        <w:rPr>
          <w:rStyle w:val="FootnoteReference"/>
        </w:rPr>
        <w:footnoteRef/>
      </w:r>
      <w:r>
        <w:t xml:space="preserve"> Refer to section 1 of the </w:t>
      </w:r>
      <w:r w:rsidRPr="001D4E1A">
        <w:rPr>
          <w:i/>
          <w:lang w:val="en-US"/>
        </w:rPr>
        <w:t>Jury Directions Act 2015</w:t>
      </w:r>
      <w:r w:rsidRPr="001D4E1A">
        <w:rPr>
          <w:lang w:val="en-US"/>
        </w:rPr>
        <w:t xml:space="preserve"> (Vic)</w:t>
      </w:r>
      <w:r>
        <w:rPr>
          <w:lang w:val="en-US"/>
        </w:rPr>
        <w:t>.</w:t>
      </w:r>
    </w:p>
  </w:footnote>
  <w:footnote w:id="13">
    <w:p w14:paraId="3352E56D" w14:textId="37320F8A" w:rsidR="008A6880" w:rsidRPr="00234FBC" w:rsidRDefault="008A6880">
      <w:pPr>
        <w:pStyle w:val="FootnoteText"/>
        <w:rPr>
          <w:lang w:val="en-US"/>
        </w:rPr>
      </w:pPr>
      <w:r>
        <w:rPr>
          <w:rStyle w:val="FootnoteReference"/>
        </w:rPr>
        <w:footnoteRef/>
      </w:r>
      <w:r>
        <w:t xml:space="preserve"> </w:t>
      </w:r>
      <w:r>
        <w:rPr>
          <w:lang w:val="en-US"/>
        </w:rPr>
        <w:t>Section 1(1)</w:t>
      </w:r>
      <w:r w:rsidR="00121188">
        <w:rPr>
          <w:lang w:val="en-US"/>
        </w:rPr>
        <w:t>.</w:t>
      </w:r>
    </w:p>
  </w:footnote>
  <w:footnote w:id="14">
    <w:p w14:paraId="0E384B03" w14:textId="646C45AA" w:rsidR="008A6880" w:rsidRPr="008733AD" w:rsidRDefault="008A6880">
      <w:pPr>
        <w:pStyle w:val="FootnoteText"/>
        <w:rPr>
          <w:lang w:val="en-US"/>
        </w:rPr>
      </w:pPr>
      <w:r>
        <w:rPr>
          <w:rStyle w:val="FootnoteReference"/>
        </w:rPr>
        <w:footnoteRef/>
      </w:r>
      <w:r>
        <w:t xml:space="preserve"> </w:t>
      </w:r>
      <w:r>
        <w:rPr>
          <w:lang w:val="en-US"/>
        </w:rPr>
        <w:t xml:space="preserve">Recommendation 23, Complex Adult Victim Sex Offender Management Review Panel (November 2015, released April 2016), </w:t>
      </w:r>
      <w:r>
        <w:rPr>
          <w:i/>
          <w:lang w:val="en-US"/>
        </w:rPr>
        <w:t>Advice on the legislative and governance models under the Serious Sex Offenders (Detention and Supervision) Act 2009 (Vic)</w:t>
      </w:r>
      <w:r>
        <w:rPr>
          <w:lang w:val="en-US"/>
        </w:rPr>
        <w:t xml:space="preserve"> (Harper Review)</w:t>
      </w:r>
      <w:r w:rsidR="00121188">
        <w:rPr>
          <w:lang w:val="en-US"/>
        </w:rPr>
        <w:t>.</w:t>
      </w:r>
      <w:r>
        <w:rPr>
          <w:lang w:val="en-US"/>
        </w:rPr>
        <w:t xml:space="preserve"> </w:t>
      </w:r>
    </w:p>
  </w:footnote>
  <w:footnote w:id="15">
    <w:p w14:paraId="20A25F59" w14:textId="61FD3B4C" w:rsidR="008A6880" w:rsidRPr="004717C4" w:rsidRDefault="008A6880" w:rsidP="00B515C2">
      <w:pPr>
        <w:pStyle w:val="FootnoteText"/>
        <w:rPr>
          <w:lang w:val="en-US"/>
        </w:rPr>
      </w:pPr>
      <w:r>
        <w:rPr>
          <w:rStyle w:val="FootnoteReference"/>
        </w:rPr>
        <w:footnoteRef/>
      </w:r>
      <w:r>
        <w:t xml:space="preserve"> </w:t>
      </w:r>
      <w:r>
        <w:rPr>
          <w:lang w:val="en-US"/>
        </w:rPr>
        <w:t>Recommendation 30, Harper Review</w:t>
      </w:r>
      <w:r w:rsidR="00121188">
        <w:rPr>
          <w:lang w:val="en-US"/>
        </w:rPr>
        <w:t>.</w:t>
      </w:r>
    </w:p>
  </w:footnote>
  <w:footnote w:id="16">
    <w:p w14:paraId="1030A816" w14:textId="03F3953E" w:rsidR="008A6880" w:rsidRPr="00BD65FD" w:rsidRDefault="008A6880">
      <w:pPr>
        <w:pStyle w:val="FootnoteText"/>
        <w:rPr>
          <w:lang w:val="en-US"/>
        </w:rPr>
      </w:pPr>
      <w:r>
        <w:rPr>
          <w:rStyle w:val="FootnoteReference"/>
        </w:rPr>
        <w:footnoteRef/>
      </w:r>
      <w:r>
        <w:t xml:space="preserve"> </w:t>
      </w:r>
      <w:r>
        <w:rPr>
          <w:lang w:val="en-US"/>
        </w:rPr>
        <w:t>Recommendation 28, Harper Review</w:t>
      </w:r>
      <w:r w:rsidR="00121188">
        <w:rPr>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36C4" w14:textId="77777777" w:rsidR="008A6880" w:rsidRDefault="008A6880">
    <w:pPr>
      <w:pStyle w:val="Header"/>
    </w:pPr>
    <w:r>
      <w:rPr>
        <w:noProof/>
        <w:lang w:eastAsia="en-AU"/>
      </w:rPr>
      <mc:AlternateContent>
        <mc:Choice Requires="wps">
          <w:drawing>
            <wp:anchor distT="0" distB="0" distL="114300" distR="114300" simplePos="0" relativeHeight="251658752" behindDoc="1" locked="0" layoutInCell="0" allowOverlap="1" wp14:anchorId="5FBF011A" wp14:editId="3D9A232E">
              <wp:simplePos x="0" y="0"/>
              <wp:positionH relativeFrom="margin">
                <wp:align>center</wp:align>
              </wp:positionH>
              <wp:positionV relativeFrom="margin">
                <wp:align>center</wp:align>
              </wp:positionV>
              <wp:extent cx="1085850" cy="714375"/>
              <wp:effectExtent l="38100" t="200025" r="0" b="152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777E9A" w14:textId="77777777" w:rsidR="008A6880" w:rsidRDefault="008A6880" w:rsidP="00606D29">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BF011A" id="_x0000_t202" coordsize="21600,21600" o:spt="202" path="m,l,21600r21600,l21600,xe">
              <v:stroke joinstyle="miter"/>
              <v:path gradientshapeok="t" o:connecttype="rect"/>
            </v:shapetype>
            <v:shape id="Text Box 4"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DzPhSX&#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14:paraId="49777E9A" w14:textId="77777777" w:rsidR="008A6880" w:rsidRDefault="008A6880" w:rsidP="00606D29">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D91929">
      <w:rPr>
        <w:noProof/>
        <w:lang w:eastAsia="en-AU"/>
      </w:rPr>
      <w:pict w14:anchorId="5D446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05CB" w14:textId="77777777" w:rsidR="008A6880" w:rsidRPr="009F7B2D" w:rsidRDefault="008A6880" w:rsidP="004E0688">
    <w:pPr>
      <w:pStyle w:val="Header"/>
      <w:jc w:val="right"/>
    </w:pPr>
    <w:r>
      <w:rPr>
        <w:noProof/>
        <w:lang w:eastAsia="en-AU"/>
      </w:rPr>
      <w:drawing>
        <wp:inline distT="0" distB="0" distL="0" distR="0" wp14:anchorId="237BB522" wp14:editId="5BE0A3AE">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CEB9" w14:textId="77777777" w:rsidR="008A6880" w:rsidRDefault="008A6880" w:rsidP="006E2882">
    <w:pPr>
      <w:spacing w:before="400"/>
      <w:jc w:val="right"/>
    </w:pPr>
    <w:r>
      <w:rPr>
        <w:noProof/>
        <w:lang w:eastAsia="en-AU"/>
      </w:rPr>
      <w:drawing>
        <wp:inline distT="0" distB="0" distL="0" distR="0" wp14:anchorId="53F42B3E" wp14:editId="592BCBFA">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D91929">
      <w:rPr>
        <w:noProof/>
        <w:lang w:eastAsia="en-AU"/>
      </w:rPr>
      <w:pict w14:anchorId="003D2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B1A1" w14:textId="77777777" w:rsidR="008A6880" w:rsidRPr="009F7B2D" w:rsidRDefault="008A6880" w:rsidP="005375A4"/>
  <w:p w14:paraId="03C93E7D" w14:textId="77777777" w:rsidR="008A6880" w:rsidRDefault="008A68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10E3" w14:textId="77777777" w:rsidR="008A6880" w:rsidRPr="009F7B2D" w:rsidRDefault="008A6880"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42D8" w14:textId="77777777" w:rsidR="008A6880" w:rsidRPr="009F7B2D" w:rsidRDefault="008A6880"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45FA" w14:textId="77777777" w:rsidR="008A6880" w:rsidRDefault="008A688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21B2" w14:textId="77777777" w:rsidR="008A6880" w:rsidRPr="00665568" w:rsidRDefault="008A6880"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7AEE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580C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3863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BEEA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023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00E5246"/>
    <w:lvl w:ilvl="0">
      <w:start w:val="1"/>
      <w:numFmt w:val="decimal"/>
      <w:lvlText w:val="%1."/>
      <w:lvlJc w:val="left"/>
      <w:pPr>
        <w:tabs>
          <w:tab w:val="num" w:pos="360"/>
        </w:tabs>
        <w:ind w:left="360" w:hanging="360"/>
      </w:pPr>
    </w:lvl>
  </w:abstractNum>
  <w:abstractNum w:abstractNumId="7" w15:restartNumberingAfterBreak="0">
    <w:nsid w:val="071D143A"/>
    <w:multiLevelType w:val="hybridMultilevel"/>
    <w:tmpl w:val="5F50E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8526C45"/>
    <w:multiLevelType w:val="multilevel"/>
    <w:tmpl w:val="A36C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318385D"/>
    <w:multiLevelType w:val="hybridMultilevel"/>
    <w:tmpl w:val="FF1EB286"/>
    <w:lvl w:ilvl="0" w:tplc="3E441B04">
      <w:start w:val="1"/>
      <w:numFmt w:val="bullet"/>
      <w:lvlText w:val=""/>
      <w:lvlJc w:val="left"/>
      <w:pPr>
        <w:ind w:hanging="284"/>
      </w:pPr>
      <w:rPr>
        <w:rFonts w:ascii="Symbol" w:eastAsia="Times New Roman" w:hAnsi="Symbol" w:hint="default"/>
        <w:color w:val="0093D9"/>
        <w:sz w:val="22"/>
      </w:rPr>
    </w:lvl>
    <w:lvl w:ilvl="1" w:tplc="A718C918">
      <w:start w:val="1"/>
      <w:numFmt w:val="bullet"/>
      <w:lvlText w:val="o"/>
      <w:lvlJc w:val="left"/>
      <w:pPr>
        <w:ind w:hanging="286"/>
      </w:pPr>
      <w:rPr>
        <w:rFonts w:ascii="Courier New" w:eastAsia="Times New Roman" w:hAnsi="Courier New" w:hint="default"/>
        <w:color w:val="0093D9"/>
        <w:sz w:val="22"/>
      </w:rPr>
    </w:lvl>
    <w:lvl w:ilvl="2" w:tplc="38D46974">
      <w:start w:val="1"/>
      <w:numFmt w:val="bullet"/>
      <w:lvlText w:val="•"/>
      <w:lvlJc w:val="left"/>
      <w:rPr>
        <w:rFonts w:hint="default"/>
      </w:rPr>
    </w:lvl>
    <w:lvl w:ilvl="3" w:tplc="E10E83FA">
      <w:start w:val="1"/>
      <w:numFmt w:val="bullet"/>
      <w:lvlText w:val="•"/>
      <w:lvlJc w:val="left"/>
      <w:rPr>
        <w:rFonts w:hint="default"/>
      </w:rPr>
    </w:lvl>
    <w:lvl w:ilvl="4" w:tplc="B394E10A">
      <w:start w:val="1"/>
      <w:numFmt w:val="bullet"/>
      <w:lvlText w:val="•"/>
      <w:lvlJc w:val="left"/>
      <w:rPr>
        <w:rFonts w:hint="default"/>
      </w:rPr>
    </w:lvl>
    <w:lvl w:ilvl="5" w:tplc="C1B49D84">
      <w:start w:val="1"/>
      <w:numFmt w:val="bullet"/>
      <w:lvlText w:val="•"/>
      <w:lvlJc w:val="left"/>
      <w:rPr>
        <w:rFonts w:hint="default"/>
      </w:rPr>
    </w:lvl>
    <w:lvl w:ilvl="6" w:tplc="61903006">
      <w:start w:val="1"/>
      <w:numFmt w:val="bullet"/>
      <w:lvlText w:val="•"/>
      <w:lvlJc w:val="left"/>
      <w:rPr>
        <w:rFonts w:hint="default"/>
      </w:rPr>
    </w:lvl>
    <w:lvl w:ilvl="7" w:tplc="D2BE5D2A">
      <w:start w:val="1"/>
      <w:numFmt w:val="bullet"/>
      <w:lvlText w:val="•"/>
      <w:lvlJc w:val="left"/>
      <w:rPr>
        <w:rFonts w:hint="default"/>
      </w:rPr>
    </w:lvl>
    <w:lvl w:ilvl="8" w:tplc="A9268EEA">
      <w:start w:val="1"/>
      <w:numFmt w:val="bullet"/>
      <w:lvlText w:val="•"/>
      <w:lvlJc w:val="left"/>
      <w:rPr>
        <w:rFonts w:hint="default"/>
      </w:rPr>
    </w:lvl>
  </w:abstractNum>
  <w:abstractNum w:abstractNumId="11" w15:restartNumberingAfterBreak="0">
    <w:nsid w:val="17123AE9"/>
    <w:multiLevelType w:val="hybridMultilevel"/>
    <w:tmpl w:val="8F2AB0FC"/>
    <w:name w:val="VLA List Bullet5"/>
    <w:lvl w:ilvl="0" w:tplc="400EE314">
      <w:start w:val="1"/>
      <w:numFmt w:val="decimal"/>
      <w:lvlText w:val="%1."/>
      <w:lvlJc w:val="left"/>
      <w:pPr>
        <w:tabs>
          <w:tab w:val="num" w:pos="360"/>
        </w:tabs>
        <w:ind w:left="360" w:hanging="360"/>
      </w:pPr>
      <w:rPr>
        <w:rFonts w:cs="Times New Roman" w:hint="default"/>
        <w:b w:val="0"/>
        <w:i w:val="0"/>
        <w:color w:val="auto"/>
      </w:rPr>
    </w:lvl>
    <w:lvl w:ilvl="1" w:tplc="0C090019">
      <w:start w:val="1"/>
      <w:numFmt w:val="lowerLetter"/>
      <w:lvlText w:val="%2."/>
      <w:lvlJc w:val="left"/>
      <w:pPr>
        <w:tabs>
          <w:tab w:val="num" w:pos="1330"/>
        </w:tabs>
        <w:ind w:left="1330" w:hanging="360"/>
      </w:pPr>
      <w:rPr>
        <w:rFonts w:cs="Times New Roman"/>
      </w:rPr>
    </w:lvl>
    <w:lvl w:ilvl="2" w:tplc="0C09001B" w:tentative="1">
      <w:start w:val="1"/>
      <w:numFmt w:val="lowerRoman"/>
      <w:lvlText w:val="%3."/>
      <w:lvlJc w:val="right"/>
      <w:pPr>
        <w:tabs>
          <w:tab w:val="num" w:pos="2050"/>
        </w:tabs>
        <w:ind w:left="2050" w:hanging="180"/>
      </w:pPr>
      <w:rPr>
        <w:rFonts w:cs="Times New Roman"/>
      </w:rPr>
    </w:lvl>
    <w:lvl w:ilvl="3" w:tplc="0C09000F" w:tentative="1">
      <w:start w:val="1"/>
      <w:numFmt w:val="decimal"/>
      <w:lvlText w:val="%4."/>
      <w:lvlJc w:val="left"/>
      <w:pPr>
        <w:tabs>
          <w:tab w:val="num" w:pos="2770"/>
        </w:tabs>
        <w:ind w:left="2770" w:hanging="360"/>
      </w:pPr>
      <w:rPr>
        <w:rFonts w:cs="Times New Roman"/>
      </w:rPr>
    </w:lvl>
    <w:lvl w:ilvl="4" w:tplc="0C090019" w:tentative="1">
      <w:start w:val="1"/>
      <w:numFmt w:val="lowerLetter"/>
      <w:lvlText w:val="%5."/>
      <w:lvlJc w:val="left"/>
      <w:pPr>
        <w:tabs>
          <w:tab w:val="num" w:pos="3490"/>
        </w:tabs>
        <w:ind w:left="3490" w:hanging="360"/>
      </w:pPr>
      <w:rPr>
        <w:rFonts w:cs="Times New Roman"/>
      </w:rPr>
    </w:lvl>
    <w:lvl w:ilvl="5" w:tplc="0C09001B" w:tentative="1">
      <w:start w:val="1"/>
      <w:numFmt w:val="lowerRoman"/>
      <w:lvlText w:val="%6."/>
      <w:lvlJc w:val="right"/>
      <w:pPr>
        <w:tabs>
          <w:tab w:val="num" w:pos="4210"/>
        </w:tabs>
        <w:ind w:left="4210" w:hanging="180"/>
      </w:pPr>
      <w:rPr>
        <w:rFonts w:cs="Times New Roman"/>
      </w:rPr>
    </w:lvl>
    <w:lvl w:ilvl="6" w:tplc="0C09000F" w:tentative="1">
      <w:start w:val="1"/>
      <w:numFmt w:val="decimal"/>
      <w:lvlText w:val="%7."/>
      <w:lvlJc w:val="left"/>
      <w:pPr>
        <w:tabs>
          <w:tab w:val="num" w:pos="4930"/>
        </w:tabs>
        <w:ind w:left="4930" w:hanging="360"/>
      </w:pPr>
      <w:rPr>
        <w:rFonts w:cs="Times New Roman"/>
      </w:rPr>
    </w:lvl>
    <w:lvl w:ilvl="7" w:tplc="0C090019" w:tentative="1">
      <w:start w:val="1"/>
      <w:numFmt w:val="lowerLetter"/>
      <w:lvlText w:val="%8."/>
      <w:lvlJc w:val="left"/>
      <w:pPr>
        <w:tabs>
          <w:tab w:val="num" w:pos="5650"/>
        </w:tabs>
        <w:ind w:left="5650" w:hanging="360"/>
      </w:pPr>
      <w:rPr>
        <w:rFonts w:cs="Times New Roman"/>
      </w:rPr>
    </w:lvl>
    <w:lvl w:ilvl="8" w:tplc="0C09001B" w:tentative="1">
      <w:start w:val="1"/>
      <w:numFmt w:val="lowerRoman"/>
      <w:lvlText w:val="%9."/>
      <w:lvlJc w:val="right"/>
      <w:pPr>
        <w:tabs>
          <w:tab w:val="num" w:pos="6370"/>
        </w:tabs>
        <w:ind w:left="6370" w:hanging="180"/>
      </w:pPr>
      <w:rPr>
        <w:rFonts w:cs="Times New Roman"/>
      </w:rPr>
    </w:lvl>
  </w:abstractNum>
  <w:abstractNum w:abstractNumId="12"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392E9F"/>
    <w:multiLevelType w:val="hybridMultilevel"/>
    <w:tmpl w:val="73D2D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5" w15:restartNumberingAfterBreak="0">
    <w:nsid w:val="2E1220BD"/>
    <w:multiLevelType w:val="hybridMultilevel"/>
    <w:tmpl w:val="4B8A555A"/>
    <w:lvl w:ilvl="0" w:tplc="0C090001">
      <w:start w:val="1"/>
      <w:numFmt w:val="bullet"/>
      <w:lvlText w:val=""/>
      <w:lvlJc w:val="left"/>
      <w:pPr>
        <w:tabs>
          <w:tab w:val="num" w:pos="1440"/>
        </w:tabs>
        <w:ind w:left="1440" w:hanging="360"/>
      </w:pPr>
      <w:rPr>
        <w:rFonts w:ascii="Symbol" w:hAnsi="Symbol"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D712B2"/>
    <w:multiLevelType w:val="hybridMultilevel"/>
    <w:tmpl w:val="F57C5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E63916"/>
    <w:multiLevelType w:val="hybridMultilevel"/>
    <w:tmpl w:val="9B6CF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26151CF"/>
    <w:multiLevelType w:val="hybridMultilevel"/>
    <w:tmpl w:val="62D28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0F472C"/>
    <w:multiLevelType w:val="hybridMultilevel"/>
    <w:tmpl w:val="6826D1C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4EEE4D3A"/>
    <w:multiLevelType w:val="hybridMultilevel"/>
    <w:tmpl w:val="56EE4CD2"/>
    <w:lvl w:ilvl="0" w:tplc="ADB6B74C">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DA2008"/>
    <w:multiLevelType w:val="hybridMultilevel"/>
    <w:tmpl w:val="16EC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7"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0"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22"/>
  </w:num>
  <w:num w:numId="2">
    <w:abstractNumId w:val="12"/>
  </w:num>
  <w:num w:numId="3">
    <w:abstractNumId w:val="26"/>
  </w:num>
  <w:num w:numId="4">
    <w:abstractNumId w:val="23"/>
  </w:num>
  <w:num w:numId="5">
    <w:abstractNumId w:val="18"/>
  </w:num>
  <w:num w:numId="6">
    <w:abstractNumId w:val="26"/>
  </w:num>
  <w:num w:numId="7">
    <w:abstractNumId w:val="27"/>
  </w:num>
  <w:num w:numId="8">
    <w:abstractNumId w:val="26"/>
  </w:num>
  <w:num w:numId="9">
    <w:abstractNumId w:val="22"/>
  </w:num>
  <w:num w:numId="10">
    <w:abstractNumId w:val="18"/>
  </w:num>
  <w:num w:numId="11">
    <w:abstractNumId w:val="26"/>
  </w:num>
  <w:num w:numId="12">
    <w:abstractNumId w:val="26"/>
  </w:num>
  <w:num w:numId="13">
    <w:abstractNumId w:val="23"/>
  </w:num>
  <w:num w:numId="14">
    <w:abstractNumId w:val="23"/>
  </w:num>
  <w:num w:numId="15">
    <w:abstractNumId w:val="23"/>
  </w:num>
  <w:num w:numId="16">
    <w:abstractNumId w:val="22"/>
  </w:num>
  <w:num w:numId="17">
    <w:abstractNumId w:val="18"/>
  </w:num>
  <w:num w:numId="18">
    <w:abstractNumId w:val="26"/>
  </w:num>
  <w:num w:numId="19">
    <w:abstractNumId w:val="26"/>
  </w:num>
  <w:num w:numId="20">
    <w:abstractNumId w:val="23"/>
  </w:num>
  <w:num w:numId="21">
    <w:abstractNumId w:val="23"/>
  </w:num>
  <w:num w:numId="22">
    <w:abstractNumId w:val="23"/>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7"/>
  </w:num>
  <w:num w:numId="31">
    <w:abstractNumId w:val="17"/>
  </w:num>
  <w:num w:numId="32">
    <w:abstractNumId w:val="20"/>
  </w:num>
  <w:num w:numId="33">
    <w:abstractNumId w:val="25"/>
  </w:num>
  <w:num w:numId="34">
    <w:abstractNumId w:val="16"/>
  </w:num>
  <w:num w:numId="35">
    <w:abstractNumId w:val="11"/>
  </w:num>
  <w:num w:numId="36">
    <w:abstractNumId w:val="15"/>
  </w:num>
  <w:num w:numId="37">
    <w:abstractNumId w:val="13"/>
  </w:num>
  <w:num w:numId="38">
    <w:abstractNumId w:val="8"/>
  </w:num>
  <w:num w:numId="39">
    <w:abstractNumId w:val="21"/>
  </w:num>
  <w:num w:numId="40">
    <w:abstractNumId w:val="24"/>
  </w:num>
  <w:num w:numId="4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29"/>
    <w:rsid w:val="0000389D"/>
    <w:rsid w:val="00007914"/>
    <w:rsid w:val="00011591"/>
    <w:rsid w:val="00012235"/>
    <w:rsid w:val="000155A6"/>
    <w:rsid w:val="000200EE"/>
    <w:rsid w:val="00022C70"/>
    <w:rsid w:val="00022C83"/>
    <w:rsid w:val="00022F0E"/>
    <w:rsid w:val="00022F62"/>
    <w:rsid w:val="000240FD"/>
    <w:rsid w:val="00026E3B"/>
    <w:rsid w:val="00032AF3"/>
    <w:rsid w:val="000408CC"/>
    <w:rsid w:val="00044ED4"/>
    <w:rsid w:val="00045142"/>
    <w:rsid w:val="00046B1F"/>
    <w:rsid w:val="000539B3"/>
    <w:rsid w:val="00053ADE"/>
    <w:rsid w:val="0005492F"/>
    <w:rsid w:val="00055B69"/>
    <w:rsid w:val="000569B3"/>
    <w:rsid w:val="00056D16"/>
    <w:rsid w:val="000579AC"/>
    <w:rsid w:val="000610FC"/>
    <w:rsid w:val="00061235"/>
    <w:rsid w:val="00062699"/>
    <w:rsid w:val="00064B2A"/>
    <w:rsid w:val="00066B96"/>
    <w:rsid w:val="000701D0"/>
    <w:rsid w:val="00075590"/>
    <w:rsid w:val="00076C1D"/>
    <w:rsid w:val="00084C6C"/>
    <w:rsid w:val="0008509B"/>
    <w:rsid w:val="000958A5"/>
    <w:rsid w:val="000A264B"/>
    <w:rsid w:val="000A711A"/>
    <w:rsid w:val="000B02D8"/>
    <w:rsid w:val="000B0AB6"/>
    <w:rsid w:val="000B0AD6"/>
    <w:rsid w:val="000B1701"/>
    <w:rsid w:val="000B2309"/>
    <w:rsid w:val="000B278C"/>
    <w:rsid w:val="000C0B84"/>
    <w:rsid w:val="000C4E41"/>
    <w:rsid w:val="000D32E8"/>
    <w:rsid w:val="000D41D7"/>
    <w:rsid w:val="000D4F1E"/>
    <w:rsid w:val="000D4F97"/>
    <w:rsid w:val="000D6E09"/>
    <w:rsid w:val="000D78A0"/>
    <w:rsid w:val="000E0695"/>
    <w:rsid w:val="000E2371"/>
    <w:rsid w:val="000E2C6F"/>
    <w:rsid w:val="000E4B9B"/>
    <w:rsid w:val="000E628A"/>
    <w:rsid w:val="000E7142"/>
    <w:rsid w:val="000F4F0D"/>
    <w:rsid w:val="000F68CE"/>
    <w:rsid w:val="000F6FCE"/>
    <w:rsid w:val="00101CBD"/>
    <w:rsid w:val="00104F4C"/>
    <w:rsid w:val="001062CE"/>
    <w:rsid w:val="00107C11"/>
    <w:rsid w:val="0011056B"/>
    <w:rsid w:val="00110CF5"/>
    <w:rsid w:val="0011146E"/>
    <w:rsid w:val="00114C38"/>
    <w:rsid w:val="00114EE2"/>
    <w:rsid w:val="0011572E"/>
    <w:rsid w:val="00115BA8"/>
    <w:rsid w:val="00121188"/>
    <w:rsid w:val="00122B73"/>
    <w:rsid w:val="00124D25"/>
    <w:rsid w:val="00126224"/>
    <w:rsid w:val="00130286"/>
    <w:rsid w:val="001419C7"/>
    <w:rsid w:val="00141C81"/>
    <w:rsid w:val="0014270F"/>
    <w:rsid w:val="0014305C"/>
    <w:rsid w:val="00146775"/>
    <w:rsid w:val="001479F2"/>
    <w:rsid w:val="00154807"/>
    <w:rsid w:val="001553C0"/>
    <w:rsid w:val="00160027"/>
    <w:rsid w:val="00161EEF"/>
    <w:rsid w:val="00165B57"/>
    <w:rsid w:val="001674F9"/>
    <w:rsid w:val="00173FC1"/>
    <w:rsid w:val="00175D56"/>
    <w:rsid w:val="00180E53"/>
    <w:rsid w:val="00185416"/>
    <w:rsid w:val="0019739A"/>
    <w:rsid w:val="001A17AA"/>
    <w:rsid w:val="001A2FE9"/>
    <w:rsid w:val="001A6D60"/>
    <w:rsid w:val="001A7742"/>
    <w:rsid w:val="001A7E1D"/>
    <w:rsid w:val="001B270D"/>
    <w:rsid w:val="001B6978"/>
    <w:rsid w:val="001C0964"/>
    <w:rsid w:val="001C4BC6"/>
    <w:rsid w:val="001C64A2"/>
    <w:rsid w:val="001D4E1A"/>
    <w:rsid w:val="001D4EC5"/>
    <w:rsid w:val="001E045D"/>
    <w:rsid w:val="001E0A52"/>
    <w:rsid w:val="001E10B3"/>
    <w:rsid w:val="001E214B"/>
    <w:rsid w:val="001E5143"/>
    <w:rsid w:val="001E730B"/>
    <w:rsid w:val="001E73FD"/>
    <w:rsid w:val="001F1D50"/>
    <w:rsid w:val="001F5717"/>
    <w:rsid w:val="001F6FFA"/>
    <w:rsid w:val="001F7353"/>
    <w:rsid w:val="001F7AFD"/>
    <w:rsid w:val="002106CC"/>
    <w:rsid w:val="00210828"/>
    <w:rsid w:val="002108C2"/>
    <w:rsid w:val="00213878"/>
    <w:rsid w:val="0021561E"/>
    <w:rsid w:val="0021585A"/>
    <w:rsid w:val="00221DD6"/>
    <w:rsid w:val="002228E1"/>
    <w:rsid w:val="002240C2"/>
    <w:rsid w:val="002254A4"/>
    <w:rsid w:val="00234FBC"/>
    <w:rsid w:val="0023557A"/>
    <w:rsid w:val="00235DBD"/>
    <w:rsid w:val="00236A4E"/>
    <w:rsid w:val="00241904"/>
    <w:rsid w:val="002435C9"/>
    <w:rsid w:val="00251CDB"/>
    <w:rsid w:val="0025363C"/>
    <w:rsid w:val="002574E0"/>
    <w:rsid w:val="00260571"/>
    <w:rsid w:val="00262A51"/>
    <w:rsid w:val="00262D02"/>
    <w:rsid w:val="0026649B"/>
    <w:rsid w:val="002724A4"/>
    <w:rsid w:val="00275588"/>
    <w:rsid w:val="00275C0B"/>
    <w:rsid w:val="002769FB"/>
    <w:rsid w:val="00276CDB"/>
    <w:rsid w:val="002801C5"/>
    <w:rsid w:val="0028286E"/>
    <w:rsid w:val="00285AD4"/>
    <w:rsid w:val="002930F4"/>
    <w:rsid w:val="0029348C"/>
    <w:rsid w:val="00294136"/>
    <w:rsid w:val="0029727E"/>
    <w:rsid w:val="002A3CEF"/>
    <w:rsid w:val="002A3D1D"/>
    <w:rsid w:val="002A3F3E"/>
    <w:rsid w:val="002A7402"/>
    <w:rsid w:val="002B0923"/>
    <w:rsid w:val="002B4970"/>
    <w:rsid w:val="002C2E0A"/>
    <w:rsid w:val="002E0A6B"/>
    <w:rsid w:val="002E0C47"/>
    <w:rsid w:val="002E58AA"/>
    <w:rsid w:val="002E64B6"/>
    <w:rsid w:val="002F743F"/>
    <w:rsid w:val="0030098F"/>
    <w:rsid w:val="0030591D"/>
    <w:rsid w:val="00305D85"/>
    <w:rsid w:val="00305E5A"/>
    <w:rsid w:val="00307C02"/>
    <w:rsid w:val="00310AB6"/>
    <w:rsid w:val="003136D7"/>
    <w:rsid w:val="00332A14"/>
    <w:rsid w:val="00332D4A"/>
    <w:rsid w:val="003335B1"/>
    <w:rsid w:val="0034098E"/>
    <w:rsid w:val="003420AC"/>
    <w:rsid w:val="00343DAA"/>
    <w:rsid w:val="00344A97"/>
    <w:rsid w:val="0035211E"/>
    <w:rsid w:val="00353745"/>
    <w:rsid w:val="00354F37"/>
    <w:rsid w:val="00360914"/>
    <w:rsid w:val="0036511B"/>
    <w:rsid w:val="003661F1"/>
    <w:rsid w:val="0036730F"/>
    <w:rsid w:val="00367E18"/>
    <w:rsid w:val="00371282"/>
    <w:rsid w:val="00372327"/>
    <w:rsid w:val="00376112"/>
    <w:rsid w:val="00376FD1"/>
    <w:rsid w:val="003775EB"/>
    <w:rsid w:val="00383710"/>
    <w:rsid w:val="00384660"/>
    <w:rsid w:val="003859E1"/>
    <w:rsid w:val="00386382"/>
    <w:rsid w:val="00393620"/>
    <w:rsid w:val="00393EB1"/>
    <w:rsid w:val="00397016"/>
    <w:rsid w:val="003A13F2"/>
    <w:rsid w:val="003A2302"/>
    <w:rsid w:val="003A4425"/>
    <w:rsid w:val="003A4D99"/>
    <w:rsid w:val="003A5726"/>
    <w:rsid w:val="003B0E73"/>
    <w:rsid w:val="003B4D3E"/>
    <w:rsid w:val="003B6366"/>
    <w:rsid w:val="003B6501"/>
    <w:rsid w:val="003B7234"/>
    <w:rsid w:val="003C2F49"/>
    <w:rsid w:val="003C4A7F"/>
    <w:rsid w:val="003C74B8"/>
    <w:rsid w:val="003C7A7F"/>
    <w:rsid w:val="003D0FE7"/>
    <w:rsid w:val="003D29C2"/>
    <w:rsid w:val="003E17D1"/>
    <w:rsid w:val="003E1BBD"/>
    <w:rsid w:val="003E409C"/>
    <w:rsid w:val="003E5D82"/>
    <w:rsid w:val="003E7DEE"/>
    <w:rsid w:val="003F1970"/>
    <w:rsid w:val="003F1C1E"/>
    <w:rsid w:val="003F48A9"/>
    <w:rsid w:val="003F55A5"/>
    <w:rsid w:val="003F6005"/>
    <w:rsid w:val="003F6F2E"/>
    <w:rsid w:val="00401CBE"/>
    <w:rsid w:val="00401D09"/>
    <w:rsid w:val="00403A80"/>
    <w:rsid w:val="0041181E"/>
    <w:rsid w:val="0041389B"/>
    <w:rsid w:val="00413A0D"/>
    <w:rsid w:val="00414F0B"/>
    <w:rsid w:val="00423CC7"/>
    <w:rsid w:val="00423DE6"/>
    <w:rsid w:val="00425B99"/>
    <w:rsid w:val="00426BDE"/>
    <w:rsid w:val="004365C6"/>
    <w:rsid w:val="004405C8"/>
    <w:rsid w:val="00442077"/>
    <w:rsid w:val="00442DBC"/>
    <w:rsid w:val="00442F67"/>
    <w:rsid w:val="00444322"/>
    <w:rsid w:val="0045313E"/>
    <w:rsid w:val="004535B0"/>
    <w:rsid w:val="0045435F"/>
    <w:rsid w:val="0045439B"/>
    <w:rsid w:val="00455272"/>
    <w:rsid w:val="00461AE2"/>
    <w:rsid w:val="00462BA5"/>
    <w:rsid w:val="00462C13"/>
    <w:rsid w:val="004637BC"/>
    <w:rsid w:val="00464C33"/>
    <w:rsid w:val="0046548B"/>
    <w:rsid w:val="00465554"/>
    <w:rsid w:val="00471264"/>
    <w:rsid w:val="004717C4"/>
    <w:rsid w:val="004746B7"/>
    <w:rsid w:val="0048037C"/>
    <w:rsid w:val="00480D97"/>
    <w:rsid w:val="00481371"/>
    <w:rsid w:val="00481DAC"/>
    <w:rsid w:val="00486454"/>
    <w:rsid w:val="004877A2"/>
    <w:rsid w:val="00493B23"/>
    <w:rsid w:val="00495490"/>
    <w:rsid w:val="00496242"/>
    <w:rsid w:val="00496A0A"/>
    <w:rsid w:val="00496BEB"/>
    <w:rsid w:val="004B0C0C"/>
    <w:rsid w:val="004B12B4"/>
    <w:rsid w:val="004B1594"/>
    <w:rsid w:val="004B55BA"/>
    <w:rsid w:val="004B671E"/>
    <w:rsid w:val="004C13D3"/>
    <w:rsid w:val="004D0AAB"/>
    <w:rsid w:val="004D0D75"/>
    <w:rsid w:val="004D3B12"/>
    <w:rsid w:val="004D64C1"/>
    <w:rsid w:val="004D7E23"/>
    <w:rsid w:val="004E0688"/>
    <w:rsid w:val="004E0691"/>
    <w:rsid w:val="004E2C5B"/>
    <w:rsid w:val="004E511B"/>
    <w:rsid w:val="004F1880"/>
    <w:rsid w:val="004F2CD9"/>
    <w:rsid w:val="004F5A10"/>
    <w:rsid w:val="004F5FF2"/>
    <w:rsid w:val="00502111"/>
    <w:rsid w:val="00514D20"/>
    <w:rsid w:val="00517133"/>
    <w:rsid w:val="00520FB3"/>
    <w:rsid w:val="00521801"/>
    <w:rsid w:val="00523C21"/>
    <w:rsid w:val="005248D5"/>
    <w:rsid w:val="005272D5"/>
    <w:rsid w:val="005314CA"/>
    <w:rsid w:val="00531912"/>
    <w:rsid w:val="00533E22"/>
    <w:rsid w:val="00535D45"/>
    <w:rsid w:val="005375A4"/>
    <w:rsid w:val="00543360"/>
    <w:rsid w:val="0054455F"/>
    <w:rsid w:val="0054738D"/>
    <w:rsid w:val="005554F1"/>
    <w:rsid w:val="00560357"/>
    <w:rsid w:val="0056148F"/>
    <w:rsid w:val="0056464E"/>
    <w:rsid w:val="00564C91"/>
    <w:rsid w:val="00566DDE"/>
    <w:rsid w:val="00567614"/>
    <w:rsid w:val="005731B6"/>
    <w:rsid w:val="005843FA"/>
    <w:rsid w:val="005A01BE"/>
    <w:rsid w:val="005A2094"/>
    <w:rsid w:val="005A3300"/>
    <w:rsid w:val="005A7F72"/>
    <w:rsid w:val="005B2676"/>
    <w:rsid w:val="005B3C14"/>
    <w:rsid w:val="005B4BAD"/>
    <w:rsid w:val="005C0D45"/>
    <w:rsid w:val="005C1A1A"/>
    <w:rsid w:val="005C33E9"/>
    <w:rsid w:val="005D09AC"/>
    <w:rsid w:val="005D103A"/>
    <w:rsid w:val="005D1354"/>
    <w:rsid w:val="005D32DF"/>
    <w:rsid w:val="005D3C55"/>
    <w:rsid w:val="005D5637"/>
    <w:rsid w:val="005D732E"/>
    <w:rsid w:val="005E248A"/>
    <w:rsid w:val="005E3CA0"/>
    <w:rsid w:val="005F193F"/>
    <w:rsid w:val="005F7D8E"/>
    <w:rsid w:val="0060449D"/>
    <w:rsid w:val="00604558"/>
    <w:rsid w:val="00605C95"/>
    <w:rsid w:val="00606D29"/>
    <w:rsid w:val="00610A9D"/>
    <w:rsid w:val="006115E1"/>
    <w:rsid w:val="00612973"/>
    <w:rsid w:val="006151E7"/>
    <w:rsid w:val="00620A4C"/>
    <w:rsid w:val="00620B13"/>
    <w:rsid w:val="006260BB"/>
    <w:rsid w:val="00640994"/>
    <w:rsid w:val="006416F7"/>
    <w:rsid w:val="00652CEB"/>
    <w:rsid w:val="00653753"/>
    <w:rsid w:val="00653D29"/>
    <w:rsid w:val="00653DD4"/>
    <w:rsid w:val="006555AC"/>
    <w:rsid w:val="00656411"/>
    <w:rsid w:val="00657BC3"/>
    <w:rsid w:val="006614AB"/>
    <w:rsid w:val="0066180F"/>
    <w:rsid w:val="00665568"/>
    <w:rsid w:val="0066791B"/>
    <w:rsid w:val="00671387"/>
    <w:rsid w:val="00673258"/>
    <w:rsid w:val="00675BF8"/>
    <w:rsid w:val="00677AD5"/>
    <w:rsid w:val="006819A3"/>
    <w:rsid w:val="006831FC"/>
    <w:rsid w:val="00683F81"/>
    <w:rsid w:val="0068516E"/>
    <w:rsid w:val="00687605"/>
    <w:rsid w:val="00690D4B"/>
    <w:rsid w:val="0069189F"/>
    <w:rsid w:val="0069268C"/>
    <w:rsid w:val="00693EBA"/>
    <w:rsid w:val="00693ECC"/>
    <w:rsid w:val="00696BAC"/>
    <w:rsid w:val="006A1D5C"/>
    <w:rsid w:val="006A350A"/>
    <w:rsid w:val="006A5F7D"/>
    <w:rsid w:val="006A6A7D"/>
    <w:rsid w:val="006B089E"/>
    <w:rsid w:val="006B18D2"/>
    <w:rsid w:val="006B2384"/>
    <w:rsid w:val="006B32F9"/>
    <w:rsid w:val="006B7DD2"/>
    <w:rsid w:val="006C05FE"/>
    <w:rsid w:val="006C3D4C"/>
    <w:rsid w:val="006C4CA7"/>
    <w:rsid w:val="006D509F"/>
    <w:rsid w:val="006E2882"/>
    <w:rsid w:val="006E2AD6"/>
    <w:rsid w:val="006E2FA2"/>
    <w:rsid w:val="006E3195"/>
    <w:rsid w:val="006F1ADC"/>
    <w:rsid w:val="006F72CF"/>
    <w:rsid w:val="00702BF5"/>
    <w:rsid w:val="00707B1D"/>
    <w:rsid w:val="007120BF"/>
    <w:rsid w:val="0071324F"/>
    <w:rsid w:val="00714771"/>
    <w:rsid w:val="0071570A"/>
    <w:rsid w:val="00716188"/>
    <w:rsid w:val="0072508D"/>
    <w:rsid w:val="0072720C"/>
    <w:rsid w:val="00733602"/>
    <w:rsid w:val="00735FB6"/>
    <w:rsid w:val="00736267"/>
    <w:rsid w:val="00737C61"/>
    <w:rsid w:val="007418D9"/>
    <w:rsid w:val="0075285A"/>
    <w:rsid w:val="007538CC"/>
    <w:rsid w:val="007550FB"/>
    <w:rsid w:val="00755FCD"/>
    <w:rsid w:val="00756788"/>
    <w:rsid w:val="007600C3"/>
    <w:rsid w:val="00764B48"/>
    <w:rsid w:val="00765D16"/>
    <w:rsid w:val="0077114C"/>
    <w:rsid w:val="0077491E"/>
    <w:rsid w:val="00774F94"/>
    <w:rsid w:val="007767BD"/>
    <w:rsid w:val="0078022B"/>
    <w:rsid w:val="0078244B"/>
    <w:rsid w:val="007825F3"/>
    <w:rsid w:val="00783185"/>
    <w:rsid w:val="007843DB"/>
    <w:rsid w:val="00785372"/>
    <w:rsid w:val="007933F4"/>
    <w:rsid w:val="0079652D"/>
    <w:rsid w:val="007966A5"/>
    <w:rsid w:val="00797FA2"/>
    <w:rsid w:val="007A1402"/>
    <w:rsid w:val="007B4EF8"/>
    <w:rsid w:val="007B6D12"/>
    <w:rsid w:val="007B6F30"/>
    <w:rsid w:val="007D08B2"/>
    <w:rsid w:val="007D21D2"/>
    <w:rsid w:val="007D7535"/>
    <w:rsid w:val="007E4CB8"/>
    <w:rsid w:val="007E54F6"/>
    <w:rsid w:val="007E6E46"/>
    <w:rsid w:val="007E76DB"/>
    <w:rsid w:val="007F03BB"/>
    <w:rsid w:val="007F52A9"/>
    <w:rsid w:val="00800301"/>
    <w:rsid w:val="008078C5"/>
    <w:rsid w:val="00811FE7"/>
    <w:rsid w:val="008156A5"/>
    <w:rsid w:val="00815848"/>
    <w:rsid w:val="00820EF9"/>
    <w:rsid w:val="0083009F"/>
    <w:rsid w:val="008302C3"/>
    <w:rsid w:val="00833899"/>
    <w:rsid w:val="00835477"/>
    <w:rsid w:val="00835928"/>
    <w:rsid w:val="00835DCC"/>
    <w:rsid w:val="00836239"/>
    <w:rsid w:val="0083671B"/>
    <w:rsid w:val="008377A1"/>
    <w:rsid w:val="00840034"/>
    <w:rsid w:val="008425B2"/>
    <w:rsid w:val="008429B4"/>
    <w:rsid w:val="0084319B"/>
    <w:rsid w:val="00843264"/>
    <w:rsid w:val="008450E7"/>
    <w:rsid w:val="00850401"/>
    <w:rsid w:val="00852FA1"/>
    <w:rsid w:val="00853BDA"/>
    <w:rsid w:val="00855D9B"/>
    <w:rsid w:val="00856258"/>
    <w:rsid w:val="0085710F"/>
    <w:rsid w:val="00862947"/>
    <w:rsid w:val="008636CA"/>
    <w:rsid w:val="00866827"/>
    <w:rsid w:val="008724C1"/>
    <w:rsid w:val="008733AD"/>
    <w:rsid w:val="00885238"/>
    <w:rsid w:val="00891BCB"/>
    <w:rsid w:val="0089224F"/>
    <w:rsid w:val="008953A4"/>
    <w:rsid w:val="008963A4"/>
    <w:rsid w:val="008A067C"/>
    <w:rsid w:val="008A4691"/>
    <w:rsid w:val="008A6880"/>
    <w:rsid w:val="008B6283"/>
    <w:rsid w:val="008B6507"/>
    <w:rsid w:val="008B6EEB"/>
    <w:rsid w:val="008C072E"/>
    <w:rsid w:val="008C2FCB"/>
    <w:rsid w:val="008C4E01"/>
    <w:rsid w:val="008D5CF6"/>
    <w:rsid w:val="008E0792"/>
    <w:rsid w:val="008E2A01"/>
    <w:rsid w:val="008E474E"/>
    <w:rsid w:val="008F0579"/>
    <w:rsid w:val="008F057C"/>
    <w:rsid w:val="008F1F0B"/>
    <w:rsid w:val="008F34D3"/>
    <w:rsid w:val="008F36EC"/>
    <w:rsid w:val="008F4A1D"/>
    <w:rsid w:val="008F726E"/>
    <w:rsid w:val="0090083C"/>
    <w:rsid w:val="009021B2"/>
    <w:rsid w:val="00911151"/>
    <w:rsid w:val="00915001"/>
    <w:rsid w:val="00917DE9"/>
    <w:rsid w:val="00923F51"/>
    <w:rsid w:val="00925672"/>
    <w:rsid w:val="00931ECE"/>
    <w:rsid w:val="0093361D"/>
    <w:rsid w:val="00933CD1"/>
    <w:rsid w:val="00934B9D"/>
    <w:rsid w:val="00940610"/>
    <w:rsid w:val="0094252E"/>
    <w:rsid w:val="00945E43"/>
    <w:rsid w:val="00946548"/>
    <w:rsid w:val="0094759F"/>
    <w:rsid w:val="00947A4E"/>
    <w:rsid w:val="00951E55"/>
    <w:rsid w:val="009528F4"/>
    <w:rsid w:val="00953ADC"/>
    <w:rsid w:val="0095636C"/>
    <w:rsid w:val="00957221"/>
    <w:rsid w:val="009642AF"/>
    <w:rsid w:val="00966C70"/>
    <w:rsid w:val="0097486C"/>
    <w:rsid w:val="00981817"/>
    <w:rsid w:val="009922E5"/>
    <w:rsid w:val="00992757"/>
    <w:rsid w:val="009A133A"/>
    <w:rsid w:val="009A227B"/>
    <w:rsid w:val="009A23DB"/>
    <w:rsid w:val="009A2930"/>
    <w:rsid w:val="009B20CA"/>
    <w:rsid w:val="009C1230"/>
    <w:rsid w:val="009C12DD"/>
    <w:rsid w:val="009C308E"/>
    <w:rsid w:val="009C3C2F"/>
    <w:rsid w:val="009C5E49"/>
    <w:rsid w:val="009D0F76"/>
    <w:rsid w:val="009D3968"/>
    <w:rsid w:val="009D5819"/>
    <w:rsid w:val="009F2795"/>
    <w:rsid w:val="009F2F9E"/>
    <w:rsid w:val="009F49E7"/>
    <w:rsid w:val="009F7A4E"/>
    <w:rsid w:val="009F7A60"/>
    <w:rsid w:val="00A009A2"/>
    <w:rsid w:val="00A00EBD"/>
    <w:rsid w:val="00A02BDB"/>
    <w:rsid w:val="00A108E4"/>
    <w:rsid w:val="00A134FD"/>
    <w:rsid w:val="00A150F0"/>
    <w:rsid w:val="00A171DA"/>
    <w:rsid w:val="00A21237"/>
    <w:rsid w:val="00A21B11"/>
    <w:rsid w:val="00A25146"/>
    <w:rsid w:val="00A25235"/>
    <w:rsid w:val="00A252AB"/>
    <w:rsid w:val="00A274A9"/>
    <w:rsid w:val="00A30C8A"/>
    <w:rsid w:val="00A3446B"/>
    <w:rsid w:val="00A448DA"/>
    <w:rsid w:val="00A477D5"/>
    <w:rsid w:val="00A551BE"/>
    <w:rsid w:val="00A5586B"/>
    <w:rsid w:val="00A55B04"/>
    <w:rsid w:val="00A60E4D"/>
    <w:rsid w:val="00A63371"/>
    <w:rsid w:val="00A66553"/>
    <w:rsid w:val="00A673AA"/>
    <w:rsid w:val="00A712DE"/>
    <w:rsid w:val="00A7183D"/>
    <w:rsid w:val="00A755D9"/>
    <w:rsid w:val="00A80FFC"/>
    <w:rsid w:val="00A824A2"/>
    <w:rsid w:val="00A82893"/>
    <w:rsid w:val="00A840F8"/>
    <w:rsid w:val="00A940C0"/>
    <w:rsid w:val="00A94752"/>
    <w:rsid w:val="00AA2CCE"/>
    <w:rsid w:val="00AA5335"/>
    <w:rsid w:val="00AA5A4D"/>
    <w:rsid w:val="00AB20D4"/>
    <w:rsid w:val="00AB4AEA"/>
    <w:rsid w:val="00AB6BFF"/>
    <w:rsid w:val="00AC1D04"/>
    <w:rsid w:val="00AC1EBE"/>
    <w:rsid w:val="00AC2B72"/>
    <w:rsid w:val="00AC464A"/>
    <w:rsid w:val="00AC6A7A"/>
    <w:rsid w:val="00AC7CFB"/>
    <w:rsid w:val="00AD0F97"/>
    <w:rsid w:val="00AD3C2B"/>
    <w:rsid w:val="00AE146B"/>
    <w:rsid w:val="00AE1B1B"/>
    <w:rsid w:val="00AE1D8D"/>
    <w:rsid w:val="00AF337E"/>
    <w:rsid w:val="00AF5436"/>
    <w:rsid w:val="00AF56AB"/>
    <w:rsid w:val="00AF5D4C"/>
    <w:rsid w:val="00B0000B"/>
    <w:rsid w:val="00B01019"/>
    <w:rsid w:val="00B01519"/>
    <w:rsid w:val="00B01AF9"/>
    <w:rsid w:val="00B069E6"/>
    <w:rsid w:val="00B07747"/>
    <w:rsid w:val="00B07946"/>
    <w:rsid w:val="00B10A7F"/>
    <w:rsid w:val="00B14A7B"/>
    <w:rsid w:val="00B1619F"/>
    <w:rsid w:val="00B22672"/>
    <w:rsid w:val="00B23F19"/>
    <w:rsid w:val="00B2430C"/>
    <w:rsid w:val="00B27A5C"/>
    <w:rsid w:val="00B3125C"/>
    <w:rsid w:val="00B34900"/>
    <w:rsid w:val="00B34D64"/>
    <w:rsid w:val="00B3588B"/>
    <w:rsid w:val="00B37955"/>
    <w:rsid w:val="00B41378"/>
    <w:rsid w:val="00B45146"/>
    <w:rsid w:val="00B515C2"/>
    <w:rsid w:val="00B526C5"/>
    <w:rsid w:val="00B54065"/>
    <w:rsid w:val="00B556D7"/>
    <w:rsid w:val="00B5674E"/>
    <w:rsid w:val="00B56F07"/>
    <w:rsid w:val="00B6076D"/>
    <w:rsid w:val="00B60A4B"/>
    <w:rsid w:val="00B62286"/>
    <w:rsid w:val="00B647BB"/>
    <w:rsid w:val="00B651CD"/>
    <w:rsid w:val="00B70E99"/>
    <w:rsid w:val="00B728AE"/>
    <w:rsid w:val="00B74B24"/>
    <w:rsid w:val="00B8316F"/>
    <w:rsid w:val="00B921BF"/>
    <w:rsid w:val="00B9248C"/>
    <w:rsid w:val="00B93DDD"/>
    <w:rsid w:val="00B96CB5"/>
    <w:rsid w:val="00B97EFB"/>
    <w:rsid w:val="00B97EFF"/>
    <w:rsid w:val="00BA1041"/>
    <w:rsid w:val="00BA1B9A"/>
    <w:rsid w:val="00BA222F"/>
    <w:rsid w:val="00BA2574"/>
    <w:rsid w:val="00BA6D49"/>
    <w:rsid w:val="00BB1F72"/>
    <w:rsid w:val="00BB2E00"/>
    <w:rsid w:val="00BB352E"/>
    <w:rsid w:val="00BC1A3F"/>
    <w:rsid w:val="00BC2E61"/>
    <w:rsid w:val="00BC48DB"/>
    <w:rsid w:val="00BC4D4B"/>
    <w:rsid w:val="00BD0D94"/>
    <w:rsid w:val="00BD1123"/>
    <w:rsid w:val="00BD65FD"/>
    <w:rsid w:val="00BE0E09"/>
    <w:rsid w:val="00BE0E40"/>
    <w:rsid w:val="00BE25A1"/>
    <w:rsid w:val="00BE2D29"/>
    <w:rsid w:val="00BE377A"/>
    <w:rsid w:val="00BE63A6"/>
    <w:rsid w:val="00BE7FD7"/>
    <w:rsid w:val="00BF073A"/>
    <w:rsid w:val="00BF1BDA"/>
    <w:rsid w:val="00BF4EB6"/>
    <w:rsid w:val="00C01D35"/>
    <w:rsid w:val="00C148F9"/>
    <w:rsid w:val="00C15EB9"/>
    <w:rsid w:val="00C16A13"/>
    <w:rsid w:val="00C16A43"/>
    <w:rsid w:val="00C171FB"/>
    <w:rsid w:val="00C20338"/>
    <w:rsid w:val="00C21471"/>
    <w:rsid w:val="00C2190B"/>
    <w:rsid w:val="00C22BFA"/>
    <w:rsid w:val="00C22FC4"/>
    <w:rsid w:val="00C245E0"/>
    <w:rsid w:val="00C27D47"/>
    <w:rsid w:val="00C3110A"/>
    <w:rsid w:val="00C33D4B"/>
    <w:rsid w:val="00C349DD"/>
    <w:rsid w:val="00C4614D"/>
    <w:rsid w:val="00C524A6"/>
    <w:rsid w:val="00C5490E"/>
    <w:rsid w:val="00C54C83"/>
    <w:rsid w:val="00C564C2"/>
    <w:rsid w:val="00C568E5"/>
    <w:rsid w:val="00C578A3"/>
    <w:rsid w:val="00C57C36"/>
    <w:rsid w:val="00C627F5"/>
    <w:rsid w:val="00C66CF6"/>
    <w:rsid w:val="00C70818"/>
    <w:rsid w:val="00C73EF1"/>
    <w:rsid w:val="00C74608"/>
    <w:rsid w:val="00C74806"/>
    <w:rsid w:val="00C76860"/>
    <w:rsid w:val="00C76ACB"/>
    <w:rsid w:val="00C84EA2"/>
    <w:rsid w:val="00C85211"/>
    <w:rsid w:val="00C86715"/>
    <w:rsid w:val="00C90FE2"/>
    <w:rsid w:val="00C915FE"/>
    <w:rsid w:val="00C96789"/>
    <w:rsid w:val="00C97644"/>
    <w:rsid w:val="00CA228A"/>
    <w:rsid w:val="00CA49AA"/>
    <w:rsid w:val="00CA4F9B"/>
    <w:rsid w:val="00CA5BC6"/>
    <w:rsid w:val="00CA7422"/>
    <w:rsid w:val="00CA7499"/>
    <w:rsid w:val="00CB15D0"/>
    <w:rsid w:val="00CB1D9D"/>
    <w:rsid w:val="00CB38AD"/>
    <w:rsid w:val="00CB4F16"/>
    <w:rsid w:val="00CB5042"/>
    <w:rsid w:val="00CB6506"/>
    <w:rsid w:val="00CC0C03"/>
    <w:rsid w:val="00CC14E8"/>
    <w:rsid w:val="00CC3001"/>
    <w:rsid w:val="00CC6131"/>
    <w:rsid w:val="00CC77B0"/>
    <w:rsid w:val="00CE29C1"/>
    <w:rsid w:val="00CE4C2F"/>
    <w:rsid w:val="00CE52ED"/>
    <w:rsid w:val="00CE7289"/>
    <w:rsid w:val="00CE7876"/>
    <w:rsid w:val="00CF1809"/>
    <w:rsid w:val="00CF6456"/>
    <w:rsid w:val="00CF7865"/>
    <w:rsid w:val="00D023B2"/>
    <w:rsid w:val="00D04239"/>
    <w:rsid w:val="00D06B2E"/>
    <w:rsid w:val="00D13D9C"/>
    <w:rsid w:val="00D2112B"/>
    <w:rsid w:val="00D2224C"/>
    <w:rsid w:val="00D26122"/>
    <w:rsid w:val="00D27AC7"/>
    <w:rsid w:val="00D30BAB"/>
    <w:rsid w:val="00D40B66"/>
    <w:rsid w:val="00D43920"/>
    <w:rsid w:val="00D47575"/>
    <w:rsid w:val="00D47B4C"/>
    <w:rsid w:val="00D51B10"/>
    <w:rsid w:val="00D540C1"/>
    <w:rsid w:val="00D5744D"/>
    <w:rsid w:val="00D60A46"/>
    <w:rsid w:val="00D619BC"/>
    <w:rsid w:val="00D622EF"/>
    <w:rsid w:val="00D623FC"/>
    <w:rsid w:val="00D64351"/>
    <w:rsid w:val="00D7143E"/>
    <w:rsid w:val="00D76C39"/>
    <w:rsid w:val="00D77FC5"/>
    <w:rsid w:val="00D80BA7"/>
    <w:rsid w:val="00D86BA1"/>
    <w:rsid w:val="00D86C2C"/>
    <w:rsid w:val="00D86CF5"/>
    <w:rsid w:val="00D87556"/>
    <w:rsid w:val="00D8778A"/>
    <w:rsid w:val="00D90E9B"/>
    <w:rsid w:val="00D917C3"/>
    <w:rsid w:val="00D91929"/>
    <w:rsid w:val="00D92F9C"/>
    <w:rsid w:val="00D95636"/>
    <w:rsid w:val="00DA0493"/>
    <w:rsid w:val="00DA29C4"/>
    <w:rsid w:val="00DA3D4D"/>
    <w:rsid w:val="00DA51B1"/>
    <w:rsid w:val="00DA7AB8"/>
    <w:rsid w:val="00DB22C7"/>
    <w:rsid w:val="00DB3599"/>
    <w:rsid w:val="00DB51EF"/>
    <w:rsid w:val="00DB7046"/>
    <w:rsid w:val="00DB7701"/>
    <w:rsid w:val="00DC2052"/>
    <w:rsid w:val="00DC3C22"/>
    <w:rsid w:val="00DD46A7"/>
    <w:rsid w:val="00DD69CE"/>
    <w:rsid w:val="00DD6C7D"/>
    <w:rsid w:val="00DD721D"/>
    <w:rsid w:val="00DE6602"/>
    <w:rsid w:val="00DF0953"/>
    <w:rsid w:val="00DF2052"/>
    <w:rsid w:val="00DF4036"/>
    <w:rsid w:val="00DF533E"/>
    <w:rsid w:val="00E004C5"/>
    <w:rsid w:val="00E00F9A"/>
    <w:rsid w:val="00E01D51"/>
    <w:rsid w:val="00E039EC"/>
    <w:rsid w:val="00E03CB6"/>
    <w:rsid w:val="00E107D3"/>
    <w:rsid w:val="00E115E0"/>
    <w:rsid w:val="00E1488D"/>
    <w:rsid w:val="00E15C73"/>
    <w:rsid w:val="00E15F96"/>
    <w:rsid w:val="00E24A08"/>
    <w:rsid w:val="00E31D4F"/>
    <w:rsid w:val="00E362FA"/>
    <w:rsid w:val="00E36631"/>
    <w:rsid w:val="00E36CAF"/>
    <w:rsid w:val="00E4228E"/>
    <w:rsid w:val="00E42BB4"/>
    <w:rsid w:val="00E44965"/>
    <w:rsid w:val="00E44EC0"/>
    <w:rsid w:val="00E46E4C"/>
    <w:rsid w:val="00E52D83"/>
    <w:rsid w:val="00E53A06"/>
    <w:rsid w:val="00E53E8A"/>
    <w:rsid w:val="00E56FF7"/>
    <w:rsid w:val="00E605F6"/>
    <w:rsid w:val="00E61A54"/>
    <w:rsid w:val="00E6688C"/>
    <w:rsid w:val="00E6799C"/>
    <w:rsid w:val="00E72E37"/>
    <w:rsid w:val="00E80380"/>
    <w:rsid w:val="00E8219F"/>
    <w:rsid w:val="00E83C75"/>
    <w:rsid w:val="00E8483F"/>
    <w:rsid w:val="00E9228F"/>
    <w:rsid w:val="00E96F91"/>
    <w:rsid w:val="00E97733"/>
    <w:rsid w:val="00EA048C"/>
    <w:rsid w:val="00EA1560"/>
    <w:rsid w:val="00EA20B1"/>
    <w:rsid w:val="00EB1B22"/>
    <w:rsid w:val="00EB7C1B"/>
    <w:rsid w:val="00EC1FF1"/>
    <w:rsid w:val="00EC3306"/>
    <w:rsid w:val="00EC6B29"/>
    <w:rsid w:val="00ED5FF7"/>
    <w:rsid w:val="00EE1259"/>
    <w:rsid w:val="00EE5DC2"/>
    <w:rsid w:val="00EE685D"/>
    <w:rsid w:val="00EF0EE1"/>
    <w:rsid w:val="00EF5205"/>
    <w:rsid w:val="00EF7DDD"/>
    <w:rsid w:val="00F015AF"/>
    <w:rsid w:val="00F026A5"/>
    <w:rsid w:val="00F02E00"/>
    <w:rsid w:val="00F03063"/>
    <w:rsid w:val="00F06B61"/>
    <w:rsid w:val="00F0729C"/>
    <w:rsid w:val="00F104D5"/>
    <w:rsid w:val="00F116E5"/>
    <w:rsid w:val="00F125E0"/>
    <w:rsid w:val="00F12D2F"/>
    <w:rsid w:val="00F244BF"/>
    <w:rsid w:val="00F2554F"/>
    <w:rsid w:val="00F25B9E"/>
    <w:rsid w:val="00F31F4C"/>
    <w:rsid w:val="00F320FD"/>
    <w:rsid w:val="00F3505A"/>
    <w:rsid w:val="00F355ED"/>
    <w:rsid w:val="00F37803"/>
    <w:rsid w:val="00F37B10"/>
    <w:rsid w:val="00F420BB"/>
    <w:rsid w:val="00F43FD7"/>
    <w:rsid w:val="00F45C20"/>
    <w:rsid w:val="00F470AF"/>
    <w:rsid w:val="00F47C24"/>
    <w:rsid w:val="00F5001F"/>
    <w:rsid w:val="00F52276"/>
    <w:rsid w:val="00F526FE"/>
    <w:rsid w:val="00F60A19"/>
    <w:rsid w:val="00F62E2A"/>
    <w:rsid w:val="00F667C0"/>
    <w:rsid w:val="00F72EBA"/>
    <w:rsid w:val="00F773E8"/>
    <w:rsid w:val="00F80210"/>
    <w:rsid w:val="00F82AB6"/>
    <w:rsid w:val="00F8381F"/>
    <w:rsid w:val="00F8390F"/>
    <w:rsid w:val="00F83EC1"/>
    <w:rsid w:val="00F84688"/>
    <w:rsid w:val="00F84ECD"/>
    <w:rsid w:val="00F87793"/>
    <w:rsid w:val="00F91973"/>
    <w:rsid w:val="00F92EA5"/>
    <w:rsid w:val="00F96C67"/>
    <w:rsid w:val="00FB1B55"/>
    <w:rsid w:val="00FB403B"/>
    <w:rsid w:val="00FB4EA8"/>
    <w:rsid w:val="00FB7C15"/>
    <w:rsid w:val="00FC2237"/>
    <w:rsid w:val="00FC6F29"/>
    <w:rsid w:val="00FC700D"/>
    <w:rsid w:val="00FC7073"/>
    <w:rsid w:val="00FC7C2A"/>
    <w:rsid w:val="00FC7F92"/>
    <w:rsid w:val="00FD19A1"/>
    <w:rsid w:val="00FD3AF2"/>
    <w:rsid w:val="00FD7760"/>
    <w:rsid w:val="00FE1A50"/>
    <w:rsid w:val="00FE24F9"/>
    <w:rsid w:val="00FE5E31"/>
    <w:rsid w:val="00FE6C3A"/>
    <w:rsid w:val="00FF3439"/>
    <w:rsid w:val="00FF487C"/>
    <w:rsid w:val="00FF4A17"/>
    <w:rsid w:val="00FF6253"/>
    <w:rsid w:val="00FF7283"/>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00530AF"/>
  <w15:chartTrackingRefBased/>
  <w15:docId w15:val="{69AED9C8-0B24-4228-8A78-83889512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C1EBE"/>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0C4E41"/>
    <w:pPr>
      <w:numPr>
        <w:numId w:val="17"/>
      </w:numPr>
      <w:spacing w:after="120" w:line="300" w:lineRule="atLeast"/>
      <w:ind w:left="794" w:hanging="340"/>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uiPriority w:val="39"/>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NormalWeb">
    <w:name w:val="Normal (Web)"/>
    <w:basedOn w:val="Normal"/>
    <w:uiPriority w:val="99"/>
    <w:unhideWhenUsed/>
    <w:rsid w:val="00606D29"/>
    <w:pPr>
      <w:spacing w:before="100" w:beforeAutospacing="1" w:after="100" w:afterAutospacing="1" w:line="240" w:lineRule="auto"/>
    </w:pPr>
    <w:rPr>
      <w:rFonts w:ascii="Times New Roman" w:eastAsiaTheme="minorEastAsia" w:hAnsi="Times New Roman"/>
      <w:sz w:val="24"/>
      <w:lang w:eastAsia="en-AU"/>
    </w:rPr>
  </w:style>
  <w:style w:type="paragraph" w:customStyle="1" w:styleId="VLALetterText">
    <w:name w:val="VLA Letter Text"/>
    <w:uiPriority w:val="1"/>
    <w:qFormat/>
    <w:rsid w:val="00606D29"/>
    <w:pPr>
      <w:spacing w:after="120" w:line="300" w:lineRule="atLeast"/>
    </w:pPr>
    <w:rPr>
      <w:rFonts w:ascii="Arial" w:hAnsi="Arial"/>
      <w:sz w:val="22"/>
      <w:szCs w:val="24"/>
      <w:lang w:eastAsia="en-US"/>
    </w:rPr>
  </w:style>
  <w:style w:type="character" w:customStyle="1" w:styleId="FootnoteTextChar">
    <w:name w:val="Footnote Text Char"/>
    <w:basedOn w:val="DefaultParagraphFont"/>
    <w:link w:val="FootnoteText"/>
    <w:uiPriority w:val="99"/>
    <w:rsid w:val="00606D29"/>
    <w:rPr>
      <w:rFonts w:ascii="Arial" w:hAnsi="Arial"/>
      <w:sz w:val="18"/>
      <w:lang w:eastAsia="en-US"/>
    </w:rPr>
  </w:style>
  <w:style w:type="paragraph" w:customStyle="1" w:styleId="VLALetterHeading">
    <w:name w:val="VLA Letter Heading"/>
    <w:next w:val="VLALetterText"/>
    <w:qFormat/>
    <w:rsid w:val="00606D29"/>
    <w:pPr>
      <w:keepNext/>
      <w:spacing w:after="200" w:line="300" w:lineRule="atLeast"/>
    </w:pPr>
    <w:rPr>
      <w:rFonts w:ascii="Arial" w:hAnsi="Arial"/>
      <w:b/>
      <w:sz w:val="22"/>
      <w:szCs w:val="24"/>
      <w:lang w:eastAsia="en-US"/>
    </w:rPr>
  </w:style>
  <w:style w:type="paragraph" w:customStyle="1" w:styleId="VLADocumentText">
    <w:name w:val="VLA Document Text"/>
    <w:link w:val="VLADocumentTextChar"/>
    <w:uiPriority w:val="99"/>
    <w:qFormat/>
    <w:rsid w:val="00481DAC"/>
    <w:pPr>
      <w:spacing w:after="120" w:line="300" w:lineRule="atLeast"/>
    </w:pPr>
    <w:rPr>
      <w:rFonts w:ascii="Arial" w:hAnsi="Arial"/>
      <w:sz w:val="22"/>
      <w:szCs w:val="24"/>
      <w:lang w:eastAsia="en-US"/>
    </w:rPr>
  </w:style>
  <w:style w:type="character" w:customStyle="1" w:styleId="VLADocumentTextChar">
    <w:name w:val="VLA Document Text Char"/>
    <w:basedOn w:val="DefaultParagraphFont"/>
    <w:link w:val="VLADocumentText"/>
    <w:uiPriority w:val="99"/>
    <w:locked/>
    <w:rsid w:val="00481DAC"/>
    <w:rPr>
      <w:rFonts w:ascii="Arial" w:hAnsi="Arial"/>
      <w:sz w:val="22"/>
      <w:szCs w:val="24"/>
      <w:lang w:eastAsia="en-US"/>
    </w:rPr>
  </w:style>
  <w:style w:type="paragraph" w:styleId="ListParagraph">
    <w:name w:val="List Paragraph"/>
    <w:basedOn w:val="Normal"/>
    <w:uiPriority w:val="34"/>
    <w:qFormat/>
    <w:rsid w:val="002E0C47"/>
    <w:pPr>
      <w:spacing w:after="160" w:line="259"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rsid w:val="00A7183D"/>
    <w:rPr>
      <w:rFonts w:ascii="Arial" w:hAnsi="Arial" w:cs="Arial"/>
      <w:b/>
      <w:bCs/>
      <w:color w:val="971A4B"/>
      <w:kern w:val="32"/>
      <w:sz w:val="32"/>
      <w:szCs w:val="32"/>
    </w:rPr>
  </w:style>
  <w:style w:type="character" w:styleId="CommentReference">
    <w:name w:val="annotation reference"/>
    <w:basedOn w:val="DefaultParagraphFont"/>
    <w:rsid w:val="008D5CF6"/>
    <w:rPr>
      <w:sz w:val="16"/>
      <w:szCs w:val="16"/>
    </w:rPr>
  </w:style>
  <w:style w:type="paragraph" w:styleId="CommentText">
    <w:name w:val="annotation text"/>
    <w:basedOn w:val="Normal"/>
    <w:link w:val="CommentTextChar"/>
    <w:rsid w:val="008D5CF6"/>
    <w:pPr>
      <w:spacing w:line="240" w:lineRule="auto"/>
    </w:pPr>
    <w:rPr>
      <w:sz w:val="20"/>
      <w:szCs w:val="20"/>
    </w:rPr>
  </w:style>
  <w:style w:type="character" w:customStyle="1" w:styleId="CommentTextChar">
    <w:name w:val="Comment Text Char"/>
    <w:basedOn w:val="DefaultParagraphFont"/>
    <w:link w:val="CommentText"/>
    <w:rsid w:val="008D5CF6"/>
    <w:rPr>
      <w:rFonts w:ascii="Arial" w:hAnsi="Arial"/>
      <w:lang w:eastAsia="en-US"/>
    </w:rPr>
  </w:style>
  <w:style w:type="paragraph" w:styleId="CommentSubject">
    <w:name w:val="annotation subject"/>
    <w:basedOn w:val="CommentText"/>
    <w:next w:val="CommentText"/>
    <w:link w:val="CommentSubjectChar"/>
    <w:rsid w:val="008D5CF6"/>
    <w:rPr>
      <w:b/>
      <w:bCs/>
    </w:rPr>
  </w:style>
  <w:style w:type="character" w:customStyle="1" w:styleId="CommentSubjectChar">
    <w:name w:val="Comment Subject Char"/>
    <w:basedOn w:val="CommentTextChar"/>
    <w:link w:val="CommentSubject"/>
    <w:rsid w:val="008D5CF6"/>
    <w:rPr>
      <w:rFonts w:ascii="Arial" w:hAnsi="Arial"/>
      <w:b/>
      <w:bCs/>
      <w:lang w:eastAsia="en-US"/>
    </w:rPr>
  </w:style>
  <w:style w:type="paragraph" w:styleId="BalloonText">
    <w:name w:val="Balloon Text"/>
    <w:basedOn w:val="Normal"/>
    <w:link w:val="BalloonTextChar"/>
    <w:semiHidden/>
    <w:unhideWhenUsed/>
    <w:rsid w:val="008D5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D5CF6"/>
    <w:rPr>
      <w:rFonts w:ascii="Segoe UI" w:hAnsi="Segoe UI" w:cs="Segoe UI"/>
      <w:sz w:val="18"/>
      <w:szCs w:val="18"/>
      <w:lang w:eastAsia="en-US"/>
    </w:rPr>
  </w:style>
  <w:style w:type="character" w:styleId="FollowedHyperlink">
    <w:name w:val="FollowedHyperlink"/>
    <w:basedOn w:val="DefaultParagraphFont"/>
    <w:rsid w:val="00276CDB"/>
    <w:rPr>
      <w:color w:val="954F72" w:themeColor="followedHyperlink"/>
      <w:u w:val="single"/>
    </w:rPr>
  </w:style>
  <w:style w:type="character" w:customStyle="1" w:styleId="Heading3Char">
    <w:name w:val="Heading 3 Char"/>
    <w:basedOn w:val="DefaultParagraphFont"/>
    <w:link w:val="Heading3"/>
    <w:rsid w:val="005C33E9"/>
    <w:rPr>
      <w:rFonts w:ascii="Arial" w:hAnsi="Arial" w:cs="Arial"/>
      <w:b/>
      <w:bCs/>
      <w:sz w:val="26"/>
      <w:szCs w:val="26"/>
    </w:rPr>
  </w:style>
  <w:style w:type="paragraph" w:customStyle="1" w:styleId="Recommendation">
    <w:name w:val="Recommendation"/>
    <w:basedOn w:val="Normal"/>
    <w:qFormat/>
    <w:rsid w:val="00CE7289"/>
    <w:pPr>
      <w:shd w:val="pct15" w:color="auto" w:fil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4673">
      <w:bodyDiv w:val="1"/>
      <w:marLeft w:val="0"/>
      <w:marRight w:val="0"/>
      <w:marTop w:val="0"/>
      <w:marBottom w:val="0"/>
      <w:divBdr>
        <w:top w:val="none" w:sz="0" w:space="0" w:color="auto"/>
        <w:left w:val="none" w:sz="0" w:space="0" w:color="auto"/>
        <w:bottom w:val="none" w:sz="0" w:space="0" w:color="auto"/>
        <w:right w:val="none" w:sz="0" w:space="0" w:color="auto"/>
      </w:divBdr>
      <w:divsChild>
        <w:div w:id="10031693">
          <w:marLeft w:val="0"/>
          <w:marRight w:val="0"/>
          <w:marTop w:val="0"/>
          <w:marBottom w:val="0"/>
          <w:divBdr>
            <w:top w:val="none" w:sz="0" w:space="0" w:color="auto"/>
            <w:left w:val="none" w:sz="0" w:space="0" w:color="auto"/>
            <w:bottom w:val="none" w:sz="0" w:space="0" w:color="auto"/>
            <w:right w:val="none" w:sz="0" w:space="0" w:color="auto"/>
          </w:divBdr>
          <w:divsChild>
            <w:div w:id="1809584826">
              <w:marLeft w:val="0"/>
              <w:marRight w:val="0"/>
              <w:marTop w:val="0"/>
              <w:marBottom w:val="0"/>
              <w:divBdr>
                <w:top w:val="none" w:sz="0" w:space="0" w:color="auto"/>
                <w:left w:val="none" w:sz="0" w:space="0" w:color="auto"/>
                <w:bottom w:val="none" w:sz="0" w:space="0" w:color="auto"/>
                <w:right w:val="none" w:sz="0" w:space="0" w:color="auto"/>
              </w:divBdr>
              <w:divsChild>
                <w:div w:id="1205338121">
                  <w:marLeft w:val="0"/>
                  <w:marRight w:val="0"/>
                  <w:marTop w:val="0"/>
                  <w:marBottom w:val="0"/>
                  <w:divBdr>
                    <w:top w:val="none" w:sz="0" w:space="0" w:color="auto"/>
                    <w:left w:val="none" w:sz="0" w:space="0" w:color="auto"/>
                    <w:bottom w:val="none" w:sz="0" w:space="0" w:color="auto"/>
                    <w:right w:val="none" w:sz="0" w:space="0" w:color="auto"/>
                  </w:divBdr>
                  <w:divsChild>
                    <w:div w:id="1831477345">
                      <w:marLeft w:val="150"/>
                      <w:marRight w:val="150"/>
                      <w:marTop w:val="0"/>
                      <w:marBottom w:val="0"/>
                      <w:divBdr>
                        <w:top w:val="none" w:sz="0" w:space="0" w:color="auto"/>
                        <w:left w:val="none" w:sz="0" w:space="0" w:color="auto"/>
                        <w:bottom w:val="none" w:sz="0" w:space="0" w:color="auto"/>
                        <w:right w:val="none" w:sz="0" w:space="0" w:color="auto"/>
                      </w:divBdr>
                      <w:divsChild>
                        <w:div w:id="1477256224">
                          <w:marLeft w:val="0"/>
                          <w:marRight w:val="0"/>
                          <w:marTop w:val="0"/>
                          <w:marBottom w:val="0"/>
                          <w:divBdr>
                            <w:top w:val="none" w:sz="0" w:space="0" w:color="auto"/>
                            <w:left w:val="none" w:sz="0" w:space="0" w:color="auto"/>
                            <w:bottom w:val="none" w:sz="0" w:space="0" w:color="auto"/>
                            <w:right w:val="none" w:sz="0" w:space="0" w:color="auto"/>
                          </w:divBdr>
                          <w:divsChild>
                            <w:div w:id="1710449907">
                              <w:marLeft w:val="0"/>
                              <w:marRight w:val="0"/>
                              <w:marTop w:val="0"/>
                              <w:marBottom w:val="0"/>
                              <w:divBdr>
                                <w:top w:val="none" w:sz="0" w:space="0" w:color="auto"/>
                                <w:left w:val="none" w:sz="0" w:space="0" w:color="auto"/>
                                <w:bottom w:val="none" w:sz="0" w:space="0" w:color="auto"/>
                                <w:right w:val="none" w:sz="0" w:space="0" w:color="auto"/>
                              </w:divBdr>
                              <w:divsChild>
                                <w:div w:id="1237667207">
                                  <w:marLeft w:val="0"/>
                                  <w:marRight w:val="0"/>
                                  <w:marTop w:val="0"/>
                                  <w:marBottom w:val="0"/>
                                  <w:divBdr>
                                    <w:top w:val="none" w:sz="0" w:space="0" w:color="auto"/>
                                    <w:left w:val="none" w:sz="0" w:space="0" w:color="auto"/>
                                    <w:bottom w:val="none" w:sz="0" w:space="0" w:color="auto"/>
                                    <w:right w:val="none" w:sz="0" w:space="0" w:color="auto"/>
                                  </w:divBdr>
                                  <w:divsChild>
                                    <w:div w:id="995374653">
                                      <w:marLeft w:val="0"/>
                                      <w:marRight w:val="0"/>
                                      <w:marTop w:val="0"/>
                                      <w:marBottom w:val="0"/>
                                      <w:divBdr>
                                        <w:top w:val="none" w:sz="0" w:space="0" w:color="auto"/>
                                        <w:left w:val="none" w:sz="0" w:space="0" w:color="auto"/>
                                        <w:bottom w:val="none" w:sz="0" w:space="0" w:color="auto"/>
                                        <w:right w:val="none" w:sz="0" w:space="0" w:color="auto"/>
                                      </w:divBdr>
                                      <w:divsChild>
                                        <w:div w:id="10558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835964">
      <w:bodyDiv w:val="1"/>
      <w:marLeft w:val="0"/>
      <w:marRight w:val="0"/>
      <w:marTop w:val="0"/>
      <w:marBottom w:val="0"/>
      <w:divBdr>
        <w:top w:val="none" w:sz="0" w:space="0" w:color="auto"/>
        <w:left w:val="none" w:sz="0" w:space="0" w:color="auto"/>
        <w:bottom w:val="none" w:sz="0" w:space="0" w:color="auto"/>
        <w:right w:val="none" w:sz="0" w:space="0" w:color="auto"/>
      </w:divBdr>
      <w:divsChild>
        <w:div w:id="547449949">
          <w:marLeft w:val="0"/>
          <w:marRight w:val="0"/>
          <w:marTop w:val="0"/>
          <w:marBottom w:val="0"/>
          <w:divBdr>
            <w:top w:val="none" w:sz="0" w:space="0" w:color="auto"/>
            <w:left w:val="none" w:sz="0" w:space="0" w:color="auto"/>
            <w:bottom w:val="none" w:sz="0" w:space="0" w:color="auto"/>
            <w:right w:val="none" w:sz="0" w:space="0" w:color="auto"/>
          </w:divBdr>
          <w:divsChild>
            <w:div w:id="1418286927">
              <w:marLeft w:val="0"/>
              <w:marRight w:val="0"/>
              <w:marTop w:val="0"/>
              <w:marBottom w:val="0"/>
              <w:divBdr>
                <w:top w:val="none" w:sz="0" w:space="0" w:color="auto"/>
                <w:left w:val="none" w:sz="0" w:space="0" w:color="auto"/>
                <w:bottom w:val="none" w:sz="0" w:space="0" w:color="auto"/>
                <w:right w:val="none" w:sz="0" w:space="0" w:color="auto"/>
              </w:divBdr>
              <w:divsChild>
                <w:div w:id="1537505581">
                  <w:marLeft w:val="0"/>
                  <w:marRight w:val="0"/>
                  <w:marTop w:val="0"/>
                  <w:marBottom w:val="0"/>
                  <w:divBdr>
                    <w:top w:val="none" w:sz="0" w:space="0" w:color="auto"/>
                    <w:left w:val="none" w:sz="0" w:space="0" w:color="auto"/>
                    <w:bottom w:val="none" w:sz="0" w:space="0" w:color="auto"/>
                    <w:right w:val="none" w:sz="0" w:space="0" w:color="auto"/>
                  </w:divBdr>
                  <w:divsChild>
                    <w:div w:id="793717922">
                      <w:marLeft w:val="150"/>
                      <w:marRight w:val="150"/>
                      <w:marTop w:val="0"/>
                      <w:marBottom w:val="0"/>
                      <w:divBdr>
                        <w:top w:val="none" w:sz="0" w:space="0" w:color="auto"/>
                        <w:left w:val="none" w:sz="0" w:space="0" w:color="auto"/>
                        <w:bottom w:val="none" w:sz="0" w:space="0" w:color="auto"/>
                        <w:right w:val="none" w:sz="0" w:space="0" w:color="auto"/>
                      </w:divBdr>
                      <w:divsChild>
                        <w:div w:id="1597975960">
                          <w:marLeft w:val="0"/>
                          <w:marRight w:val="0"/>
                          <w:marTop w:val="0"/>
                          <w:marBottom w:val="0"/>
                          <w:divBdr>
                            <w:top w:val="none" w:sz="0" w:space="0" w:color="auto"/>
                            <w:left w:val="none" w:sz="0" w:space="0" w:color="auto"/>
                            <w:bottom w:val="none" w:sz="0" w:space="0" w:color="auto"/>
                            <w:right w:val="none" w:sz="0" w:space="0" w:color="auto"/>
                          </w:divBdr>
                          <w:divsChild>
                            <w:div w:id="1142575099">
                              <w:marLeft w:val="0"/>
                              <w:marRight w:val="0"/>
                              <w:marTop w:val="0"/>
                              <w:marBottom w:val="0"/>
                              <w:divBdr>
                                <w:top w:val="none" w:sz="0" w:space="0" w:color="auto"/>
                                <w:left w:val="none" w:sz="0" w:space="0" w:color="auto"/>
                                <w:bottom w:val="none" w:sz="0" w:space="0" w:color="auto"/>
                                <w:right w:val="none" w:sz="0" w:space="0" w:color="auto"/>
                              </w:divBdr>
                              <w:divsChild>
                                <w:div w:id="475730106">
                                  <w:marLeft w:val="0"/>
                                  <w:marRight w:val="0"/>
                                  <w:marTop w:val="0"/>
                                  <w:marBottom w:val="0"/>
                                  <w:divBdr>
                                    <w:top w:val="none" w:sz="0" w:space="0" w:color="auto"/>
                                    <w:left w:val="none" w:sz="0" w:space="0" w:color="auto"/>
                                    <w:bottom w:val="none" w:sz="0" w:space="0" w:color="auto"/>
                                    <w:right w:val="none" w:sz="0" w:space="0" w:color="auto"/>
                                  </w:divBdr>
                                  <w:divsChild>
                                    <w:div w:id="126557884">
                                      <w:marLeft w:val="0"/>
                                      <w:marRight w:val="0"/>
                                      <w:marTop w:val="0"/>
                                      <w:marBottom w:val="0"/>
                                      <w:divBdr>
                                        <w:top w:val="none" w:sz="0" w:space="0" w:color="auto"/>
                                        <w:left w:val="none" w:sz="0" w:space="0" w:color="auto"/>
                                        <w:bottom w:val="none" w:sz="0" w:space="0" w:color="auto"/>
                                        <w:right w:val="none" w:sz="0" w:space="0" w:color="auto"/>
                                      </w:divBdr>
                                      <w:divsChild>
                                        <w:div w:id="17710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legalaid.vic.gov.au/information-for-lawyers/doing-legal-aid-work/delivering-high-quality-criminal-trials/consultation-process/consultation-paper-and-submissions"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assets.justice.vic.gov.au/justice/resources/8696cc06-41f9-4297-9e44-92b2e42a2f8d/charterofadvocacyprosecutingordefendingsexualoffenceca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legalaid.vic.gov.au/information-for-lawyers/doing-legal-aid-work/criminal-appeals-revie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2329-510D-434E-9319-CD5A8C5D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7298</Words>
  <Characters>41695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Child Sexual Abuse and Criminal Justice – Response to Royal Commission into Institutional Responses to Child Sexual Abuse Consultation Paper on Criminal Justice</vt:lpstr>
    </vt:vector>
  </TitlesOfParts>
  <Company>Victoria Legal Aid</Company>
  <LinksUpToDate>false</LinksUpToDate>
  <CharactersWithSpaces>48896</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Sexual Abuse and Criminal Justice – Response to Royal Commission into Institutional Responses to Child Sexual Abuse Consultation Paper on Criminal Justice</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