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E7EF" w14:textId="77777777" w:rsidR="00E6688C" w:rsidRDefault="00EE42A2" w:rsidP="00E6688C">
      <w:pPr>
        <w:pStyle w:val="VLAtitle"/>
      </w:pPr>
      <w:r>
        <w:t>Families with Complex Needs</w:t>
      </w:r>
    </w:p>
    <w:p w14:paraId="73138553" w14:textId="77777777" w:rsidR="00E6688C" w:rsidRDefault="00EE42A2" w:rsidP="00E6688C">
      <w:pPr>
        <w:pStyle w:val="VLAsubtitle"/>
      </w:pPr>
      <w:r>
        <w:t>Submission to the Family Law Council’s Terms of Reference</w:t>
      </w:r>
    </w:p>
    <w:p w14:paraId="4EEEC89F" w14:textId="77777777" w:rsidR="00EE42A2" w:rsidRDefault="00EE42A2" w:rsidP="00E6688C">
      <w:pPr>
        <w:pStyle w:val="VLAsubtitle"/>
      </w:pPr>
      <w:r>
        <w:t xml:space="preserve">Number 2 </w:t>
      </w:r>
    </w:p>
    <w:p w14:paraId="39936530" w14:textId="7B23DB4A" w:rsidR="00E6688C" w:rsidRDefault="00FB1E03" w:rsidP="00E6688C">
      <w:pPr>
        <w:pStyle w:val="VLAdate"/>
      </w:pPr>
      <w:r>
        <w:t>October</w:t>
      </w:r>
      <w:r w:rsidR="00EE42A2">
        <w:t xml:space="preserve"> 2015 </w:t>
      </w:r>
    </w:p>
    <w:p w14:paraId="669DABB7" w14:textId="77777777" w:rsidR="00CC0C03" w:rsidRDefault="00CC0C03" w:rsidP="00CC0C03"/>
    <w:p w14:paraId="49D17E0C" w14:textId="77777777"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14:paraId="04DD61CA" w14:textId="77777777"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4B1F01">
        <w:rPr>
          <w:noProof/>
          <w:color w:val="971A4B"/>
        </w:rPr>
        <w:t>2015</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3BFD242D" w14:textId="77777777" w:rsidR="00022C83" w:rsidRPr="006E2882" w:rsidRDefault="006E2882" w:rsidP="00CE4C2F">
      <w:pPr>
        <w:pStyle w:val="Confidentialityclause"/>
        <w:rPr>
          <w:bCs w:val="0"/>
        </w:rPr>
      </w:pPr>
      <w:r w:rsidRPr="006E2882">
        <w:rPr>
          <w:bCs w:val="0"/>
        </w:rPr>
        <w:t>Written requests should be directed to Victoria Legal Aid, Research and Communications, 350 Queen Street, Melbourne Vic</w:t>
      </w:r>
      <w:r w:rsidR="00C74608">
        <w:rPr>
          <w:bCs w:val="0"/>
        </w:rPr>
        <w:t xml:space="preserve"> </w:t>
      </w:r>
      <w:r w:rsidRPr="006E2882">
        <w:rPr>
          <w:bCs w:val="0"/>
        </w:rPr>
        <w:t>3000.</w:t>
      </w:r>
    </w:p>
    <w:p w14:paraId="7961A91D" w14:textId="77777777" w:rsidR="00696BAC" w:rsidRPr="00E24A08" w:rsidRDefault="00696BAC" w:rsidP="002A7402">
      <w:pPr>
        <w:pStyle w:val="Confidentialityclause"/>
        <w:rPr>
          <w:bCs w:val="0"/>
        </w:rPr>
      </w:pPr>
    </w:p>
    <w:p w14:paraId="32A1A46A" w14:textId="77777777" w:rsidR="00CE4C2F" w:rsidRPr="00CC0C03" w:rsidRDefault="00CE4C2F" w:rsidP="00CC0C03">
      <w:pPr>
        <w:sectPr w:rsidR="00CE4C2F" w:rsidRPr="00CC0C03" w:rsidSect="007538CC">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14:paraId="7E2D391E" w14:textId="77777777" w:rsidR="002B4970" w:rsidRPr="0056464E" w:rsidRDefault="002B4970" w:rsidP="0056464E">
      <w:pPr>
        <w:pStyle w:val="Contents"/>
      </w:pPr>
      <w:r w:rsidRPr="0056464E">
        <w:lastRenderedPageBreak/>
        <w:t>Contents</w:t>
      </w:r>
    </w:p>
    <w:p w14:paraId="290E64AA" w14:textId="77777777" w:rsidR="005E7296" w:rsidRPr="005E7296" w:rsidRDefault="004E0688" w:rsidP="005E7296">
      <w:pPr>
        <w:pStyle w:val="TOC1"/>
        <w:ind w:right="566"/>
        <w:rPr>
          <w:rFonts w:asciiTheme="minorHAnsi" w:eastAsiaTheme="minorEastAsia" w:hAnsiTheme="minorHAnsi" w:cstheme="minorBidi"/>
          <w:b w:val="0"/>
          <w:noProof/>
          <w:sz w:val="22"/>
          <w:szCs w:val="22"/>
          <w:lang w:eastAsia="en-AU"/>
        </w:rPr>
      </w:pPr>
      <w:r w:rsidRPr="005E7296">
        <w:rPr>
          <w:sz w:val="22"/>
          <w:szCs w:val="22"/>
        </w:rPr>
        <w:fldChar w:fldCharType="begin"/>
      </w:r>
      <w:r w:rsidRPr="005E7296">
        <w:rPr>
          <w:sz w:val="22"/>
          <w:szCs w:val="22"/>
        </w:rPr>
        <w:instrText xml:space="preserve"> TOC \h \z \t "Heading 1,1,Heading 2,2,Heading 3,3,Appendix,1" </w:instrText>
      </w:r>
      <w:r w:rsidRPr="005E7296">
        <w:rPr>
          <w:sz w:val="22"/>
          <w:szCs w:val="22"/>
        </w:rPr>
        <w:fldChar w:fldCharType="separate"/>
      </w:r>
      <w:hyperlink w:anchor="_Toc433612260" w:history="1">
        <w:r w:rsidR="005E7296" w:rsidRPr="005E7296">
          <w:rPr>
            <w:rStyle w:val="Hyperlink"/>
            <w:noProof/>
            <w:sz w:val="22"/>
            <w:szCs w:val="22"/>
          </w:rPr>
          <w:t>About Victoria Legal Aid</w:t>
        </w:r>
        <w:r w:rsidR="005E7296" w:rsidRPr="005E7296">
          <w:rPr>
            <w:noProof/>
            <w:webHidden/>
            <w:sz w:val="22"/>
            <w:szCs w:val="22"/>
          </w:rPr>
          <w:tab/>
        </w:r>
        <w:r w:rsidR="005E7296" w:rsidRPr="005E7296">
          <w:rPr>
            <w:noProof/>
            <w:webHidden/>
            <w:sz w:val="22"/>
            <w:szCs w:val="22"/>
          </w:rPr>
          <w:fldChar w:fldCharType="begin"/>
        </w:r>
        <w:r w:rsidR="005E7296" w:rsidRPr="005E7296">
          <w:rPr>
            <w:noProof/>
            <w:webHidden/>
            <w:sz w:val="22"/>
            <w:szCs w:val="22"/>
          </w:rPr>
          <w:instrText xml:space="preserve"> PAGEREF _Toc433612260 \h </w:instrText>
        </w:r>
        <w:r w:rsidR="005E7296" w:rsidRPr="005E7296">
          <w:rPr>
            <w:noProof/>
            <w:webHidden/>
            <w:sz w:val="22"/>
            <w:szCs w:val="22"/>
          </w:rPr>
        </w:r>
        <w:r w:rsidR="005E7296" w:rsidRPr="005E7296">
          <w:rPr>
            <w:noProof/>
            <w:webHidden/>
            <w:sz w:val="22"/>
            <w:szCs w:val="22"/>
          </w:rPr>
          <w:fldChar w:fldCharType="separate"/>
        </w:r>
        <w:r w:rsidR="00E46A3A">
          <w:rPr>
            <w:noProof/>
            <w:webHidden/>
            <w:sz w:val="22"/>
            <w:szCs w:val="22"/>
          </w:rPr>
          <w:t>1</w:t>
        </w:r>
        <w:r w:rsidR="005E7296" w:rsidRPr="005E7296">
          <w:rPr>
            <w:noProof/>
            <w:webHidden/>
            <w:sz w:val="22"/>
            <w:szCs w:val="22"/>
          </w:rPr>
          <w:fldChar w:fldCharType="end"/>
        </w:r>
      </w:hyperlink>
    </w:p>
    <w:p w14:paraId="28388774" w14:textId="77777777" w:rsidR="005E7296" w:rsidRPr="005E7296" w:rsidRDefault="004B1F01" w:rsidP="005E7296">
      <w:pPr>
        <w:pStyle w:val="TOC2"/>
        <w:ind w:right="566"/>
        <w:rPr>
          <w:rFonts w:asciiTheme="minorHAnsi" w:eastAsiaTheme="minorEastAsia" w:hAnsiTheme="minorHAnsi" w:cstheme="minorBidi"/>
          <w:sz w:val="22"/>
          <w:szCs w:val="22"/>
          <w:lang w:eastAsia="en-AU"/>
        </w:rPr>
      </w:pPr>
      <w:hyperlink w:anchor="_Toc433612261" w:history="1">
        <w:r w:rsidR="005E7296" w:rsidRPr="005E7296">
          <w:rPr>
            <w:rStyle w:val="Hyperlink"/>
            <w:sz w:val="22"/>
            <w:szCs w:val="22"/>
          </w:rPr>
          <w:t>VLA’s Family, Youth and Children’s Law Program</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_Toc433612261 \h </w:instrText>
        </w:r>
        <w:r w:rsidR="005E7296" w:rsidRPr="005E7296">
          <w:rPr>
            <w:webHidden/>
            <w:sz w:val="22"/>
            <w:szCs w:val="22"/>
          </w:rPr>
        </w:r>
        <w:r w:rsidR="005E7296" w:rsidRPr="005E7296">
          <w:rPr>
            <w:webHidden/>
            <w:sz w:val="22"/>
            <w:szCs w:val="22"/>
          </w:rPr>
          <w:fldChar w:fldCharType="separate"/>
        </w:r>
        <w:r w:rsidR="00E46A3A">
          <w:rPr>
            <w:webHidden/>
            <w:sz w:val="22"/>
            <w:szCs w:val="22"/>
          </w:rPr>
          <w:t>1</w:t>
        </w:r>
        <w:r w:rsidR="005E7296" w:rsidRPr="005E7296">
          <w:rPr>
            <w:webHidden/>
            <w:sz w:val="22"/>
            <w:szCs w:val="22"/>
          </w:rPr>
          <w:fldChar w:fldCharType="end"/>
        </w:r>
      </w:hyperlink>
    </w:p>
    <w:p w14:paraId="1BB141BD" w14:textId="77777777" w:rsidR="005E7296" w:rsidRPr="005E7296" w:rsidRDefault="004B1F01" w:rsidP="005E7296">
      <w:pPr>
        <w:pStyle w:val="TOC1"/>
        <w:ind w:right="566"/>
        <w:rPr>
          <w:rFonts w:asciiTheme="minorHAnsi" w:eastAsiaTheme="minorEastAsia" w:hAnsiTheme="minorHAnsi" w:cstheme="minorBidi"/>
          <w:b w:val="0"/>
          <w:noProof/>
          <w:sz w:val="22"/>
          <w:szCs w:val="22"/>
          <w:lang w:eastAsia="en-AU"/>
        </w:rPr>
      </w:pPr>
      <w:hyperlink w:anchor="_Toc433612262" w:history="1">
        <w:r w:rsidR="005E7296" w:rsidRPr="005E7296">
          <w:rPr>
            <w:rStyle w:val="Hyperlink"/>
            <w:noProof/>
            <w:sz w:val="22"/>
            <w:szCs w:val="22"/>
          </w:rPr>
          <w:t>Executive Summary</w:t>
        </w:r>
        <w:r w:rsidR="005E7296" w:rsidRPr="005E7296">
          <w:rPr>
            <w:noProof/>
            <w:webHidden/>
            <w:sz w:val="22"/>
            <w:szCs w:val="22"/>
          </w:rPr>
          <w:tab/>
        </w:r>
        <w:r w:rsidR="005E7296" w:rsidRPr="005E7296">
          <w:rPr>
            <w:noProof/>
            <w:webHidden/>
            <w:sz w:val="22"/>
            <w:szCs w:val="22"/>
          </w:rPr>
          <w:fldChar w:fldCharType="begin"/>
        </w:r>
        <w:r w:rsidR="005E7296" w:rsidRPr="005E7296">
          <w:rPr>
            <w:noProof/>
            <w:webHidden/>
            <w:sz w:val="22"/>
            <w:szCs w:val="22"/>
          </w:rPr>
          <w:instrText xml:space="preserve"> PAGEREF _Toc433612262 \h </w:instrText>
        </w:r>
        <w:r w:rsidR="005E7296" w:rsidRPr="005E7296">
          <w:rPr>
            <w:noProof/>
            <w:webHidden/>
            <w:sz w:val="22"/>
            <w:szCs w:val="22"/>
          </w:rPr>
        </w:r>
        <w:r w:rsidR="005E7296" w:rsidRPr="005E7296">
          <w:rPr>
            <w:noProof/>
            <w:webHidden/>
            <w:sz w:val="22"/>
            <w:szCs w:val="22"/>
          </w:rPr>
          <w:fldChar w:fldCharType="separate"/>
        </w:r>
        <w:r w:rsidR="00E46A3A">
          <w:rPr>
            <w:noProof/>
            <w:webHidden/>
            <w:sz w:val="22"/>
            <w:szCs w:val="22"/>
          </w:rPr>
          <w:t>2</w:t>
        </w:r>
        <w:r w:rsidR="005E7296" w:rsidRPr="005E7296">
          <w:rPr>
            <w:noProof/>
            <w:webHidden/>
            <w:sz w:val="22"/>
            <w:szCs w:val="22"/>
          </w:rPr>
          <w:fldChar w:fldCharType="end"/>
        </w:r>
      </w:hyperlink>
    </w:p>
    <w:p w14:paraId="7A33A5E8"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63" w:history="1">
        <w:r w:rsidR="005E7296" w:rsidRPr="005E7296">
          <w:rPr>
            <w:rStyle w:val="Hyperlink"/>
            <w:sz w:val="22"/>
            <w:szCs w:val="22"/>
          </w:rPr>
          <w:t>The Interface between Family Dispute Resolution and the Family Law Courts</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_Toc433612263 \h </w:instrText>
        </w:r>
        <w:r w:rsidR="005E7296" w:rsidRPr="005E7296">
          <w:rPr>
            <w:webHidden/>
            <w:sz w:val="22"/>
            <w:szCs w:val="22"/>
          </w:rPr>
        </w:r>
        <w:r w:rsidR="005E7296" w:rsidRPr="005E7296">
          <w:rPr>
            <w:webHidden/>
            <w:sz w:val="22"/>
            <w:szCs w:val="22"/>
          </w:rPr>
          <w:fldChar w:fldCharType="separate"/>
        </w:r>
        <w:r w:rsidR="00E46A3A">
          <w:rPr>
            <w:webHidden/>
            <w:sz w:val="22"/>
            <w:szCs w:val="22"/>
          </w:rPr>
          <w:t>2</w:t>
        </w:r>
        <w:r w:rsidR="005E7296" w:rsidRPr="005E7296">
          <w:rPr>
            <w:webHidden/>
            <w:sz w:val="22"/>
            <w:szCs w:val="22"/>
          </w:rPr>
          <w:fldChar w:fldCharType="end"/>
        </w:r>
      </w:hyperlink>
    </w:p>
    <w:p w14:paraId="2A70A29A"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64" w:history="1">
        <w:r w:rsidR="005E7296" w:rsidRPr="005E7296">
          <w:rPr>
            <w:rStyle w:val="Hyperlink"/>
            <w:sz w:val="22"/>
            <w:szCs w:val="22"/>
          </w:rPr>
          <w:t>Ongoing and Timely Assessment of Risk</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_Toc433612264 \h </w:instrText>
        </w:r>
        <w:r w:rsidR="005E7296" w:rsidRPr="005E7296">
          <w:rPr>
            <w:webHidden/>
            <w:sz w:val="22"/>
            <w:szCs w:val="22"/>
          </w:rPr>
        </w:r>
        <w:r w:rsidR="005E7296" w:rsidRPr="005E7296">
          <w:rPr>
            <w:webHidden/>
            <w:sz w:val="22"/>
            <w:szCs w:val="22"/>
          </w:rPr>
          <w:fldChar w:fldCharType="separate"/>
        </w:r>
        <w:r w:rsidR="00E46A3A">
          <w:rPr>
            <w:webHidden/>
            <w:sz w:val="22"/>
            <w:szCs w:val="22"/>
          </w:rPr>
          <w:t>2</w:t>
        </w:r>
        <w:r w:rsidR="005E7296" w:rsidRPr="005E7296">
          <w:rPr>
            <w:webHidden/>
            <w:sz w:val="22"/>
            <w:szCs w:val="22"/>
          </w:rPr>
          <w:fldChar w:fldCharType="end"/>
        </w:r>
      </w:hyperlink>
    </w:p>
    <w:p w14:paraId="3E1AC862"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65" w:history="1">
        <w:r w:rsidR="005E7296" w:rsidRPr="005E7296">
          <w:rPr>
            <w:rStyle w:val="Hyperlink"/>
            <w:sz w:val="22"/>
            <w:szCs w:val="22"/>
          </w:rPr>
          <w:t>Supporting Parents to Address Risk Factors</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_Toc433612265 \h </w:instrText>
        </w:r>
        <w:r w:rsidR="005E7296" w:rsidRPr="005E7296">
          <w:rPr>
            <w:webHidden/>
            <w:sz w:val="22"/>
            <w:szCs w:val="22"/>
          </w:rPr>
        </w:r>
        <w:r w:rsidR="005E7296" w:rsidRPr="005E7296">
          <w:rPr>
            <w:webHidden/>
            <w:sz w:val="22"/>
            <w:szCs w:val="22"/>
          </w:rPr>
          <w:fldChar w:fldCharType="separate"/>
        </w:r>
        <w:r w:rsidR="00E46A3A">
          <w:rPr>
            <w:webHidden/>
            <w:sz w:val="22"/>
            <w:szCs w:val="22"/>
          </w:rPr>
          <w:t>3</w:t>
        </w:r>
        <w:r w:rsidR="005E7296" w:rsidRPr="005E7296">
          <w:rPr>
            <w:webHidden/>
            <w:sz w:val="22"/>
            <w:szCs w:val="22"/>
          </w:rPr>
          <w:fldChar w:fldCharType="end"/>
        </w:r>
      </w:hyperlink>
    </w:p>
    <w:p w14:paraId="24863AA9" w14:textId="77777777" w:rsidR="005E7296" w:rsidRPr="005E7296" w:rsidRDefault="004B1F01" w:rsidP="005E7296">
      <w:pPr>
        <w:pStyle w:val="TOC1"/>
        <w:ind w:right="566"/>
        <w:rPr>
          <w:rFonts w:asciiTheme="minorHAnsi" w:eastAsiaTheme="minorEastAsia" w:hAnsiTheme="minorHAnsi" w:cstheme="minorBidi"/>
          <w:b w:val="0"/>
          <w:noProof/>
          <w:sz w:val="22"/>
          <w:szCs w:val="22"/>
          <w:lang w:eastAsia="en-AU"/>
        </w:rPr>
      </w:pPr>
      <w:hyperlink w:anchor="_Toc433612266" w:history="1">
        <w:r w:rsidR="005E7296" w:rsidRPr="005E7296">
          <w:rPr>
            <w:rStyle w:val="Hyperlink"/>
            <w:noProof/>
            <w:sz w:val="22"/>
            <w:szCs w:val="22"/>
          </w:rPr>
          <w:t>Summary of Recommendations</w:t>
        </w:r>
        <w:r w:rsidR="005E7296" w:rsidRPr="005E7296">
          <w:rPr>
            <w:noProof/>
            <w:webHidden/>
            <w:sz w:val="22"/>
            <w:szCs w:val="22"/>
          </w:rPr>
          <w:tab/>
        </w:r>
        <w:r w:rsidR="005E7296" w:rsidRPr="005E7296">
          <w:rPr>
            <w:noProof/>
            <w:webHidden/>
            <w:sz w:val="22"/>
            <w:szCs w:val="22"/>
          </w:rPr>
          <w:fldChar w:fldCharType="begin"/>
        </w:r>
        <w:r w:rsidR="005E7296" w:rsidRPr="005E7296">
          <w:rPr>
            <w:noProof/>
            <w:webHidden/>
            <w:sz w:val="22"/>
            <w:szCs w:val="22"/>
          </w:rPr>
          <w:instrText xml:space="preserve"> PAGEREF _Toc433612266 \h </w:instrText>
        </w:r>
        <w:r w:rsidR="005E7296" w:rsidRPr="005E7296">
          <w:rPr>
            <w:noProof/>
            <w:webHidden/>
            <w:sz w:val="22"/>
            <w:szCs w:val="22"/>
          </w:rPr>
        </w:r>
        <w:r w:rsidR="005E7296" w:rsidRPr="005E7296">
          <w:rPr>
            <w:noProof/>
            <w:webHidden/>
            <w:sz w:val="22"/>
            <w:szCs w:val="22"/>
          </w:rPr>
          <w:fldChar w:fldCharType="separate"/>
        </w:r>
        <w:r w:rsidR="00E46A3A">
          <w:rPr>
            <w:noProof/>
            <w:webHidden/>
            <w:sz w:val="22"/>
            <w:szCs w:val="22"/>
          </w:rPr>
          <w:t>4</w:t>
        </w:r>
        <w:r w:rsidR="005E7296" w:rsidRPr="005E7296">
          <w:rPr>
            <w:noProof/>
            <w:webHidden/>
            <w:sz w:val="22"/>
            <w:szCs w:val="22"/>
          </w:rPr>
          <w:fldChar w:fldCharType="end"/>
        </w:r>
      </w:hyperlink>
    </w:p>
    <w:p w14:paraId="4C851DD1" w14:textId="77777777" w:rsidR="005E7296" w:rsidRPr="005E7296" w:rsidRDefault="004B1F01" w:rsidP="005E7296">
      <w:pPr>
        <w:pStyle w:val="TOC1"/>
        <w:ind w:right="566"/>
        <w:rPr>
          <w:rFonts w:asciiTheme="minorHAnsi" w:eastAsiaTheme="minorEastAsia" w:hAnsiTheme="minorHAnsi" w:cstheme="minorBidi"/>
          <w:b w:val="0"/>
          <w:noProof/>
          <w:sz w:val="22"/>
          <w:szCs w:val="22"/>
          <w:lang w:eastAsia="en-AU"/>
        </w:rPr>
      </w:pPr>
      <w:hyperlink w:anchor="_Toc433612267" w:history="1">
        <w:r w:rsidR="005E7296" w:rsidRPr="005E7296">
          <w:rPr>
            <w:rStyle w:val="Hyperlink"/>
            <w:noProof/>
            <w:sz w:val="22"/>
            <w:szCs w:val="22"/>
          </w:rPr>
          <w:t>Introduction</w:t>
        </w:r>
        <w:r w:rsidR="005E7296" w:rsidRPr="005E7296">
          <w:rPr>
            <w:noProof/>
            <w:webHidden/>
            <w:sz w:val="22"/>
            <w:szCs w:val="22"/>
          </w:rPr>
          <w:tab/>
        </w:r>
        <w:r w:rsidR="005E7296" w:rsidRPr="005E7296">
          <w:rPr>
            <w:noProof/>
            <w:webHidden/>
            <w:sz w:val="22"/>
            <w:szCs w:val="22"/>
          </w:rPr>
          <w:fldChar w:fldCharType="begin"/>
        </w:r>
        <w:r w:rsidR="005E7296" w:rsidRPr="005E7296">
          <w:rPr>
            <w:noProof/>
            <w:webHidden/>
            <w:sz w:val="22"/>
            <w:szCs w:val="22"/>
          </w:rPr>
          <w:instrText xml:space="preserve"> PAGEREF _Toc433612267 \h </w:instrText>
        </w:r>
        <w:r w:rsidR="005E7296" w:rsidRPr="005E7296">
          <w:rPr>
            <w:noProof/>
            <w:webHidden/>
            <w:sz w:val="22"/>
            <w:szCs w:val="22"/>
          </w:rPr>
        </w:r>
        <w:r w:rsidR="005E7296" w:rsidRPr="005E7296">
          <w:rPr>
            <w:noProof/>
            <w:webHidden/>
            <w:sz w:val="22"/>
            <w:szCs w:val="22"/>
          </w:rPr>
          <w:fldChar w:fldCharType="separate"/>
        </w:r>
        <w:r w:rsidR="00E46A3A">
          <w:rPr>
            <w:noProof/>
            <w:webHidden/>
            <w:sz w:val="22"/>
            <w:szCs w:val="22"/>
          </w:rPr>
          <w:t>5</w:t>
        </w:r>
        <w:r w:rsidR="005E7296" w:rsidRPr="005E7296">
          <w:rPr>
            <w:noProof/>
            <w:webHidden/>
            <w:sz w:val="22"/>
            <w:szCs w:val="22"/>
          </w:rPr>
          <w:fldChar w:fldCharType="end"/>
        </w:r>
      </w:hyperlink>
    </w:p>
    <w:p w14:paraId="29D5AC26" w14:textId="77777777" w:rsidR="005E7296" w:rsidRPr="005E7296" w:rsidRDefault="004B1F01" w:rsidP="005E7296">
      <w:pPr>
        <w:pStyle w:val="TOC1"/>
        <w:ind w:right="566"/>
        <w:rPr>
          <w:rFonts w:asciiTheme="minorHAnsi" w:eastAsiaTheme="minorEastAsia" w:hAnsiTheme="minorHAnsi" w:cstheme="minorBidi"/>
          <w:b w:val="0"/>
          <w:noProof/>
          <w:sz w:val="22"/>
          <w:szCs w:val="22"/>
          <w:lang w:eastAsia="en-AU"/>
        </w:rPr>
      </w:pPr>
      <w:hyperlink w:anchor="_Toc433612268" w:history="1">
        <w:r w:rsidR="005E7296" w:rsidRPr="005E7296">
          <w:rPr>
            <w:rStyle w:val="Hyperlink"/>
            <w:noProof/>
            <w:sz w:val="22"/>
            <w:szCs w:val="22"/>
          </w:rPr>
          <w:t>The Interface between Family Dispute Resolution and the Family Law Courts</w:t>
        </w:r>
        <w:r w:rsidR="005E7296" w:rsidRPr="005E7296">
          <w:rPr>
            <w:noProof/>
            <w:webHidden/>
            <w:sz w:val="22"/>
            <w:szCs w:val="22"/>
          </w:rPr>
          <w:tab/>
        </w:r>
        <w:r w:rsidR="005E7296" w:rsidRPr="005E7296">
          <w:rPr>
            <w:noProof/>
            <w:webHidden/>
            <w:sz w:val="22"/>
            <w:szCs w:val="22"/>
          </w:rPr>
          <w:fldChar w:fldCharType="begin"/>
        </w:r>
        <w:r w:rsidR="005E7296" w:rsidRPr="005E7296">
          <w:rPr>
            <w:noProof/>
            <w:webHidden/>
            <w:sz w:val="22"/>
            <w:szCs w:val="22"/>
          </w:rPr>
          <w:instrText xml:space="preserve"> PAGEREF _Toc433612268 \h </w:instrText>
        </w:r>
        <w:r w:rsidR="005E7296" w:rsidRPr="005E7296">
          <w:rPr>
            <w:noProof/>
            <w:webHidden/>
            <w:sz w:val="22"/>
            <w:szCs w:val="22"/>
          </w:rPr>
        </w:r>
        <w:r w:rsidR="005E7296" w:rsidRPr="005E7296">
          <w:rPr>
            <w:noProof/>
            <w:webHidden/>
            <w:sz w:val="22"/>
            <w:szCs w:val="22"/>
          </w:rPr>
          <w:fldChar w:fldCharType="separate"/>
        </w:r>
        <w:r w:rsidR="00E46A3A">
          <w:rPr>
            <w:noProof/>
            <w:webHidden/>
            <w:sz w:val="22"/>
            <w:szCs w:val="22"/>
          </w:rPr>
          <w:t>6</w:t>
        </w:r>
        <w:r w:rsidR="005E7296" w:rsidRPr="005E7296">
          <w:rPr>
            <w:noProof/>
            <w:webHidden/>
            <w:sz w:val="22"/>
            <w:szCs w:val="22"/>
          </w:rPr>
          <w:fldChar w:fldCharType="end"/>
        </w:r>
      </w:hyperlink>
    </w:p>
    <w:p w14:paraId="053A03C0"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69" w:history="1">
        <w:r w:rsidR="005E7296" w:rsidRPr="005E7296">
          <w:rPr>
            <w:rStyle w:val="Hyperlink"/>
            <w:sz w:val="22"/>
            <w:szCs w:val="22"/>
          </w:rPr>
          <w:t>Family Dispute Resolution</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_Toc433612269 \h </w:instrText>
        </w:r>
        <w:r w:rsidR="005E7296" w:rsidRPr="005E7296">
          <w:rPr>
            <w:webHidden/>
            <w:sz w:val="22"/>
            <w:szCs w:val="22"/>
          </w:rPr>
        </w:r>
        <w:r w:rsidR="005E7296" w:rsidRPr="005E7296">
          <w:rPr>
            <w:webHidden/>
            <w:sz w:val="22"/>
            <w:szCs w:val="22"/>
          </w:rPr>
          <w:fldChar w:fldCharType="separate"/>
        </w:r>
        <w:r w:rsidR="00E46A3A">
          <w:rPr>
            <w:webHidden/>
            <w:sz w:val="22"/>
            <w:szCs w:val="22"/>
          </w:rPr>
          <w:t>7</w:t>
        </w:r>
        <w:r w:rsidR="005E7296" w:rsidRPr="005E7296">
          <w:rPr>
            <w:webHidden/>
            <w:sz w:val="22"/>
            <w:szCs w:val="22"/>
          </w:rPr>
          <w:fldChar w:fldCharType="end"/>
        </w:r>
      </w:hyperlink>
    </w:p>
    <w:p w14:paraId="1DAE9D57"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70" w:history="1">
        <w:r w:rsidR="005E7296" w:rsidRPr="005E7296">
          <w:rPr>
            <w:rStyle w:val="Hyperlink"/>
            <w:sz w:val="22"/>
            <w:szCs w:val="22"/>
          </w:rPr>
          <w:t>Assessing the Suitability of Family Dispute Resolution</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_Toc433612270 \h </w:instrText>
        </w:r>
        <w:r w:rsidR="005E7296" w:rsidRPr="005E7296">
          <w:rPr>
            <w:webHidden/>
            <w:sz w:val="22"/>
            <w:szCs w:val="22"/>
          </w:rPr>
        </w:r>
        <w:r w:rsidR="005E7296" w:rsidRPr="005E7296">
          <w:rPr>
            <w:webHidden/>
            <w:sz w:val="22"/>
            <w:szCs w:val="22"/>
          </w:rPr>
          <w:fldChar w:fldCharType="separate"/>
        </w:r>
        <w:r w:rsidR="00E46A3A">
          <w:rPr>
            <w:webHidden/>
            <w:sz w:val="22"/>
            <w:szCs w:val="22"/>
          </w:rPr>
          <w:t>8</w:t>
        </w:r>
        <w:r w:rsidR="005E7296" w:rsidRPr="005E7296">
          <w:rPr>
            <w:webHidden/>
            <w:sz w:val="22"/>
            <w:szCs w:val="22"/>
          </w:rPr>
          <w:fldChar w:fldCharType="end"/>
        </w:r>
      </w:hyperlink>
    </w:p>
    <w:p w14:paraId="4ED6DC1C"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71" w:history="1">
        <w:r w:rsidR="005E7296" w:rsidRPr="005E7296">
          <w:rPr>
            <w:rStyle w:val="Hyperlink"/>
            <w:sz w:val="22"/>
            <w:szCs w:val="22"/>
          </w:rPr>
          <w:t>Confidentiality and Inadmissibility</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_Toc433612271 \h </w:instrText>
        </w:r>
        <w:r w:rsidR="005E7296" w:rsidRPr="005E7296">
          <w:rPr>
            <w:webHidden/>
            <w:sz w:val="22"/>
            <w:szCs w:val="22"/>
          </w:rPr>
        </w:r>
        <w:r w:rsidR="005E7296" w:rsidRPr="005E7296">
          <w:rPr>
            <w:webHidden/>
            <w:sz w:val="22"/>
            <w:szCs w:val="22"/>
          </w:rPr>
          <w:fldChar w:fldCharType="separate"/>
        </w:r>
        <w:r w:rsidR="00E46A3A">
          <w:rPr>
            <w:webHidden/>
            <w:sz w:val="22"/>
            <w:szCs w:val="22"/>
          </w:rPr>
          <w:t>8</w:t>
        </w:r>
        <w:r w:rsidR="005E7296" w:rsidRPr="005E7296">
          <w:rPr>
            <w:webHidden/>
            <w:sz w:val="22"/>
            <w:szCs w:val="22"/>
          </w:rPr>
          <w:fldChar w:fldCharType="end"/>
        </w:r>
      </w:hyperlink>
    </w:p>
    <w:p w14:paraId="23C6FF48"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72" w:history="1">
        <w:r w:rsidR="005E7296" w:rsidRPr="005E7296">
          <w:rPr>
            <w:rStyle w:val="Hyperlink"/>
            <w:sz w:val="22"/>
            <w:szCs w:val="22"/>
          </w:rPr>
          <w:t>Current Use of Exemptions to Confidentiality and Inadmissibility of FDR</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_Toc433612272 \h </w:instrText>
        </w:r>
        <w:r w:rsidR="005E7296" w:rsidRPr="005E7296">
          <w:rPr>
            <w:webHidden/>
            <w:sz w:val="22"/>
            <w:szCs w:val="22"/>
          </w:rPr>
        </w:r>
        <w:r w:rsidR="005E7296" w:rsidRPr="005E7296">
          <w:rPr>
            <w:webHidden/>
            <w:sz w:val="22"/>
            <w:szCs w:val="22"/>
          </w:rPr>
          <w:fldChar w:fldCharType="separate"/>
        </w:r>
        <w:r w:rsidR="00E46A3A">
          <w:rPr>
            <w:webHidden/>
            <w:sz w:val="22"/>
            <w:szCs w:val="22"/>
          </w:rPr>
          <w:t>9</w:t>
        </w:r>
        <w:r w:rsidR="005E7296" w:rsidRPr="005E7296">
          <w:rPr>
            <w:webHidden/>
            <w:sz w:val="22"/>
            <w:szCs w:val="22"/>
          </w:rPr>
          <w:fldChar w:fldCharType="end"/>
        </w:r>
      </w:hyperlink>
    </w:p>
    <w:p w14:paraId="243C3038"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73" w:history="1">
        <w:r w:rsidR="005E7296" w:rsidRPr="005E7296">
          <w:rPr>
            <w:rStyle w:val="Hyperlink"/>
            <w:sz w:val="22"/>
            <w:szCs w:val="22"/>
          </w:rPr>
          <w:t>Other access to information disclosed at FDR</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_Toc433612273 \h </w:instrText>
        </w:r>
        <w:r w:rsidR="005E7296" w:rsidRPr="005E7296">
          <w:rPr>
            <w:webHidden/>
            <w:sz w:val="22"/>
            <w:szCs w:val="22"/>
          </w:rPr>
        </w:r>
        <w:r w:rsidR="005E7296" w:rsidRPr="005E7296">
          <w:rPr>
            <w:webHidden/>
            <w:sz w:val="22"/>
            <w:szCs w:val="22"/>
          </w:rPr>
          <w:fldChar w:fldCharType="separate"/>
        </w:r>
        <w:r w:rsidR="00E46A3A">
          <w:rPr>
            <w:webHidden/>
            <w:sz w:val="22"/>
            <w:szCs w:val="22"/>
          </w:rPr>
          <w:t>11</w:t>
        </w:r>
        <w:r w:rsidR="005E7296" w:rsidRPr="005E7296">
          <w:rPr>
            <w:webHidden/>
            <w:sz w:val="22"/>
            <w:szCs w:val="22"/>
          </w:rPr>
          <w:fldChar w:fldCharType="end"/>
        </w:r>
      </w:hyperlink>
    </w:p>
    <w:p w14:paraId="34129DA0" w14:textId="77777777" w:rsidR="005E7296" w:rsidRPr="005E7296" w:rsidRDefault="004B1F01" w:rsidP="005E7296">
      <w:pPr>
        <w:pStyle w:val="TOC1"/>
        <w:ind w:right="566"/>
        <w:rPr>
          <w:rFonts w:asciiTheme="minorHAnsi" w:eastAsiaTheme="minorEastAsia" w:hAnsiTheme="minorHAnsi" w:cstheme="minorBidi"/>
          <w:b w:val="0"/>
          <w:noProof/>
          <w:sz w:val="22"/>
          <w:szCs w:val="22"/>
          <w:lang w:eastAsia="en-AU"/>
        </w:rPr>
      </w:pPr>
      <w:hyperlink w:anchor="_Toc433612274" w:history="1">
        <w:r w:rsidR="005E7296" w:rsidRPr="005E7296">
          <w:rPr>
            <w:rStyle w:val="Hyperlink"/>
            <w:noProof/>
            <w:sz w:val="22"/>
            <w:szCs w:val="22"/>
          </w:rPr>
          <w:t>Ongoing and Timely Assessment of Risk</w:t>
        </w:r>
        <w:r w:rsidR="005E7296" w:rsidRPr="005E7296">
          <w:rPr>
            <w:noProof/>
            <w:webHidden/>
            <w:sz w:val="22"/>
            <w:szCs w:val="22"/>
          </w:rPr>
          <w:tab/>
        </w:r>
        <w:r w:rsidR="005E7296" w:rsidRPr="005E7296">
          <w:rPr>
            <w:noProof/>
            <w:webHidden/>
            <w:sz w:val="22"/>
            <w:szCs w:val="22"/>
          </w:rPr>
          <w:fldChar w:fldCharType="begin"/>
        </w:r>
        <w:r w:rsidR="005E7296" w:rsidRPr="005E7296">
          <w:rPr>
            <w:noProof/>
            <w:webHidden/>
            <w:sz w:val="22"/>
            <w:szCs w:val="22"/>
          </w:rPr>
          <w:instrText xml:space="preserve"> PAGEREF _Toc433612274 \h </w:instrText>
        </w:r>
        <w:r w:rsidR="005E7296" w:rsidRPr="005E7296">
          <w:rPr>
            <w:noProof/>
            <w:webHidden/>
            <w:sz w:val="22"/>
            <w:szCs w:val="22"/>
          </w:rPr>
        </w:r>
        <w:r w:rsidR="005E7296" w:rsidRPr="005E7296">
          <w:rPr>
            <w:noProof/>
            <w:webHidden/>
            <w:sz w:val="22"/>
            <w:szCs w:val="22"/>
          </w:rPr>
          <w:fldChar w:fldCharType="separate"/>
        </w:r>
        <w:r w:rsidR="00E46A3A">
          <w:rPr>
            <w:noProof/>
            <w:webHidden/>
            <w:sz w:val="22"/>
            <w:szCs w:val="22"/>
          </w:rPr>
          <w:t>13</w:t>
        </w:r>
        <w:r w:rsidR="005E7296" w:rsidRPr="005E7296">
          <w:rPr>
            <w:noProof/>
            <w:webHidden/>
            <w:sz w:val="22"/>
            <w:szCs w:val="22"/>
          </w:rPr>
          <w:fldChar w:fldCharType="end"/>
        </w:r>
      </w:hyperlink>
    </w:p>
    <w:p w14:paraId="4935CF54"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75" w:history="1">
        <w:r w:rsidR="005E7296" w:rsidRPr="005E7296">
          <w:rPr>
            <w:rStyle w:val="Hyperlink"/>
            <w:sz w:val="22"/>
            <w:szCs w:val="22"/>
          </w:rPr>
          <w:t>Independent Children’s Lawyers</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_Toc433612275 \h </w:instrText>
        </w:r>
        <w:r w:rsidR="005E7296" w:rsidRPr="005E7296">
          <w:rPr>
            <w:webHidden/>
            <w:sz w:val="22"/>
            <w:szCs w:val="22"/>
          </w:rPr>
        </w:r>
        <w:r w:rsidR="005E7296" w:rsidRPr="005E7296">
          <w:rPr>
            <w:webHidden/>
            <w:sz w:val="22"/>
            <w:szCs w:val="22"/>
          </w:rPr>
          <w:fldChar w:fldCharType="separate"/>
        </w:r>
        <w:r w:rsidR="00E46A3A">
          <w:rPr>
            <w:webHidden/>
            <w:sz w:val="22"/>
            <w:szCs w:val="22"/>
          </w:rPr>
          <w:t>14</w:t>
        </w:r>
        <w:r w:rsidR="005E7296" w:rsidRPr="005E7296">
          <w:rPr>
            <w:webHidden/>
            <w:sz w:val="22"/>
            <w:szCs w:val="22"/>
          </w:rPr>
          <w:fldChar w:fldCharType="end"/>
        </w:r>
      </w:hyperlink>
    </w:p>
    <w:p w14:paraId="305F98F1"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76" w:history="1">
        <w:r w:rsidR="005E7296" w:rsidRPr="005E7296">
          <w:rPr>
            <w:rStyle w:val="Hyperlink"/>
            <w:sz w:val="22"/>
            <w:szCs w:val="22"/>
          </w:rPr>
          <w:t>Section 11F (Family Consultant) Reports</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_Toc433612276 \h </w:instrText>
        </w:r>
        <w:r w:rsidR="005E7296" w:rsidRPr="005E7296">
          <w:rPr>
            <w:webHidden/>
            <w:sz w:val="22"/>
            <w:szCs w:val="22"/>
          </w:rPr>
        </w:r>
        <w:r w:rsidR="005E7296" w:rsidRPr="005E7296">
          <w:rPr>
            <w:webHidden/>
            <w:sz w:val="22"/>
            <w:szCs w:val="22"/>
          </w:rPr>
          <w:fldChar w:fldCharType="separate"/>
        </w:r>
        <w:r w:rsidR="00E46A3A">
          <w:rPr>
            <w:webHidden/>
            <w:sz w:val="22"/>
            <w:szCs w:val="22"/>
          </w:rPr>
          <w:t>15</w:t>
        </w:r>
        <w:r w:rsidR="005E7296" w:rsidRPr="005E7296">
          <w:rPr>
            <w:webHidden/>
            <w:sz w:val="22"/>
            <w:szCs w:val="22"/>
          </w:rPr>
          <w:fldChar w:fldCharType="end"/>
        </w:r>
      </w:hyperlink>
    </w:p>
    <w:p w14:paraId="5E7B1DB5"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77" w:history="1">
        <w:r w:rsidR="005E7296" w:rsidRPr="005E7296">
          <w:rPr>
            <w:rStyle w:val="Hyperlink"/>
            <w:sz w:val="22"/>
            <w:szCs w:val="22"/>
          </w:rPr>
          <w:t>Subpoena Powers</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_Toc433612277 \h </w:instrText>
        </w:r>
        <w:r w:rsidR="005E7296" w:rsidRPr="005E7296">
          <w:rPr>
            <w:webHidden/>
            <w:sz w:val="22"/>
            <w:szCs w:val="22"/>
          </w:rPr>
        </w:r>
        <w:r w:rsidR="005E7296" w:rsidRPr="005E7296">
          <w:rPr>
            <w:webHidden/>
            <w:sz w:val="22"/>
            <w:szCs w:val="22"/>
          </w:rPr>
          <w:fldChar w:fldCharType="separate"/>
        </w:r>
        <w:r w:rsidR="00E46A3A">
          <w:rPr>
            <w:webHidden/>
            <w:sz w:val="22"/>
            <w:szCs w:val="22"/>
          </w:rPr>
          <w:t>16</w:t>
        </w:r>
        <w:r w:rsidR="005E7296" w:rsidRPr="005E7296">
          <w:rPr>
            <w:webHidden/>
            <w:sz w:val="22"/>
            <w:szCs w:val="22"/>
          </w:rPr>
          <w:fldChar w:fldCharType="end"/>
        </w:r>
      </w:hyperlink>
    </w:p>
    <w:p w14:paraId="342F7F86" w14:textId="77777777" w:rsidR="005E7296" w:rsidRPr="005E7296" w:rsidRDefault="004B1F01" w:rsidP="005E7296">
      <w:pPr>
        <w:pStyle w:val="TOC1"/>
        <w:ind w:right="566"/>
        <w:rPr>
          <w:rFonts w:asciiTheme="minorHAnsi" w:eastAsiaTheme="minorEastAsia" w:hAnsiTheme="minorHAnsi" w:cstheme="minorBidi"/>
          <w:b w:val="0"/>
          <w:noProof/>
          <w:sz w:val="22"/>
          <w:szCs w:val="22"/>
          <w:lang w:eastAsia="en-AU"/>
        </w:rPr>
      </w:pPr>
      <w:hyperlink w:anchor="_Toc433612278" w:history="1">
        <w:r w:rsidR="005E7296" w:rsidRPr="005E7296">
          <w:rPr>
            <w:rStyle w:val="Hyperlink"/>
            <w:noProof/>
            <w:sz w:val="22"/>
            <w:szCs w:val="22"/>
          </w:rPr>
          <w:t>Supporting Parents to Address Risk Factors</w:t>
        </w:r>
        <w:r w:rsidR="005E7296" w:rsidRPr="005E7296">
          <w:rPr>
            <w:noProof/>
            <w:webHidden/>
            <w:sz w:val="22"/>
            <w:szCs w:val="22"/>
          </w:rPr>
          <w:tab/>
        </w:r>
        <w:r w:rsidR="005E7296" w:rsidRPr="005E7296">
          <w:rPr>
            <w:noProof/>
            <w:webHidden/>
            <w:sz w:val="22"/>
            <w:szCs w:val="22"/>
          </w:rPr>
          <w:fldChar w:fldCharType="begin"/>
        </w:r>
        <w:r w:rsidR="005E7296" w:rsidRPr="005E7296">
          <w:rPr>
            <w:noProof/>
            <w:webHidden/>
            <w:sz w:val="22"/>
            <w:szCs w:val="22"/>
          </w:rPr>
          <w:instrText xml:space="preserve"> PAGEREF _Toc433612278 \h </w:instrText>
        </w:r>
        <w:r w:rsidR="005E7296" w:rsidRPr="005E7296">
          <w:rPr>
            <w:noProof/>
            <w:webHidden/>
            <w:sz w:val="22"/>
            <w:szCs w:val="22"/>
          </w:rPr>
        </w:r>
        <w:r w:rsidR="005E7296" w:rsidRPr="005E7296">
          <w:rPr>
            <w:noProof/>
            <w:webHidden/>
            <w:sz w:val="22"/>
            <w:szCs w:val="22"/>
          </w:rPr>
          <w:fldChar w:fldCharType="separate"/>
        </w:r>
        <w:r w:rsidR="00E46A3A">
          <w:rPr>
            <w:noProof/>
            <w:webHidden/>
            <w:sz w:val="22"/>
            <w:szCs w:val="22"/>
          </w:rPr>
          <w:t>17</w:t>
        </w:r>
        <w:r w:rsidR="005E7296" w:rsidRPr="005E7296">
          <w:rPr>
            <w:noProof/>
            <w:webHidden/>
            <w:sz w:val="22"/>
            <w:szCs w:val="22"/>
          </w:rPr>
          <w:fldChar w:fldCharType="end"/>
        </w:r>
      </w:hyperlink>
    </w:p>
    <w:p w14:paraId="1D3BF832"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79" w:history="1">
        <w:r w:rsidR="005E7296" w:rsidRPr="005E7296">
          <w:rPr>
            <w:rStyle w:val="Hyperlink"/>
            <w:sz w:val="22"/>
            <w:szCs w:val="22"/>
          </w:rPr>
          <w:t>Models for coordinating non-legal services in the family law system</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_Toc433612279 \h </w:instrText>
        </w:r>
        <w:r w:rsidR="005E7296" w:rsidRPr="005E7296">
          <w:rPr>
            <w:webHidden/>
            <w:sz w:val="22"/>
            <w:szCs w:val="22"/>
          </w:rPr>
        </w:r>
        <w:r w:rsidR="005E7296" w:rsidRPr="005E7296">
          <w:rPr>
            <w:webHidden/>
            <w:sz w:val="22"/>
            <w:szCs w:val="22"/>
          </w:rPr>
          <w:fldChar w:fldCharType="separate"/>
        </w:r>
        <w:r w:rsidR="00E46A3A">
          <w:rPr>
            <w:webHidden/>
            <w:sz w:val="22"/>
            <w:szCs w:val="22"/>
          </w:rPr>
          <w:t>18</w:t>
        </w:r>
        <w:r w:rsidR="005E7296" w:rsidRPr="005E7296">
          <w:rPr>
            <w:webHidden/>
            <w:sz w:val="22"/>
            <w:szCs w:val="22"/>
          </w:rPr>
          <w:fldChar w:fldCharType="end"/>
        </w:r>
      </w:hyperlink>
    </w:p>
    <w:p w14:paraId="20AD58B4" w14:textId="77777777" w:rsidR="005E7296" w:rsidRPr="005E7296" w:rsidRDefault="004B1F01" w:rsidP="005E7296">
      <w:pPr>
        <w:pStyle w:val="TOC3"/>
        <w:ind w:right="566"/>
        <w:rPr>
          <w:rFonts w:asciiTheme="minorHAnsi" w:eastAsiaTheme="minorEastAsia" w:hAnsiTheme="minorHAnsi" w:cstheme="minorBidi"/>
          <w:sz w:val="22"/>
          <w:szCs w:val="22"/>
          <w:lang w:eastAsia="en-AU"/>
        </w:rPr>
      </w:pPr>
      <w:hyperlink w:anchor="_Toc433612280" w:history="1">
        <w:r w:rsidR="005E7296" w:rsidRPr="005E7296">
          <w:rPr>
            <w:rStyle w:val="Hyperlink"/>
            <w:sz w:val="22"/>
            <w:szCs w:val="22"/>
          </w:rPr>
          <w:t>Timely Access to Appropriate Non-Legal Support Services</w:t>
        </w:r>
        <w:r w:rsidR="005E7296" w:rsidRPr="005E7296">
          <w:rPr>
            <w:webHidden/>
            <w:sz w:val="22"/>
            <w:szCs w:val="22"/>
          </w:rPr>
          <w:tab/>
        </w:r>
        <w:r w:rsidR="005E7296" w:rsidRPr="005E7296">
          <w:rPr>
            <w:webHidden/>
            <w:sz w:val="22"/>
            <w:szCs w:val="22"/>
          </w:rPr>
          <w:fldChar w:fldCharType="begin"/>
        </w:r>
        <w:r w:rsidR="005E7296" w:rsidRPr="005E7296">
          <w:rPr>
            <w:webHidden/>
            <w:sz w:val="22"/>
            <w:szCs w:val="22"/>
          </w:rPr>
          <w:instrText xml:space="preserve"> PAGEREF _Toc433612280 \h </w:instrText>
        </w:r>
        <w:r w:rsidR="005E7296" w:rsidRPr="005E7296">
          <w:rPr>
            <w:webHidden/>
            <w:sz w:val="22"/>
            <w:szCs w:val="22"/>
          </w:rPr>
        </w:r>
        <w:r w:rsidR="005E7296" w:rsidRPr="005E7296">
          <w:rPr>
            <w:webHidden/>
            <w:sz w:val="22"/>
            <w:szCs w:val="22"/>
          </w:rPr>
          <w:fldChar w:fldCharType="separate"/>
        </w:r>
        <w:r w:rsidR="00E46A3A">
          <w:rPr>
            <w:webHidden/>
            <w:sz w:val="22"/>
            <w:szCs w:val="22"/>
          </w:rPr>
          <w:t>19</w:t>
        </w:r>
        <w:r w:rsidR="005E7296" w:rsidRPr="005E7296">
          <w:rPr>
            <w:webHidden/>
            <w:sz w:val="22"/>
            <w:szCs w:val="22"/>
          </w:rPr>
          <w:fldChar w:fldCharType="end"/>
        </w:r>
      </w:hyperlink>
    </w:p>
    <w:p w14:paraId="1CCEC6C4" w14:textId="4620BEA3" w:rsidR="00F92EA5" w:rsidRDefault="004E0688" w:rsidP="004B1F01">
      <w:pPr>
        <w:tabs>
          <w:tab w:val="right" w:leader="dot" w:pos="8931"/>
        </w:tabs>
        <w:ind w:right="566"/>
      </w:pPr>
      <w:r w:rsidRPr="005E7296">
        <w:rPr>
          <w:szCs w:val="22"/>
        </w:rPr>
        <w:fldChar w:fldCharType="end"/>
      </w:r>
    </w:p>
    <w:p w14:paraId="43AC18E1" w14:textId="77777777" w:rsidR="002B4970" w:rsidRPr="00A37C6E" w:rsidRDefault="002B4970" w:rsidP="00AA2CCE">
      <w:pPr>
        <w:rPr>
          <w:lang w:eastAsia="en-AU"/>
        </w:rPr>
        <w:sectPr w:rsidR="002B4970" w:rsidRPr="00A37C6E"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p>
    <w:p w14:paraId="3C435B1C" w14:textId="147A8DA1" w:rsidR="007550FB" w:rsidRPr="00FB1E03" w:rsidRDefault="007825F3" w:rsidP="00FB1E03">
      <w:pPr>
        <w:pStyle w:val="Heading1"/>
      </w:pPr>
      <w:bookmarkStart w:id="0" w:name="_Toc433612260"/>
      <w:r w:rsidRPr="00FB1E03">
        <w:lastRenderedPageBreak/>
        <w:t xml:space="preserve">About Victoria </w:t>
      </w:r>
      <w:r w:rsidR="00C1508F" w:rsidRPr="00FB1E03">
        <w:t>L</w:t>
      </w:r>
      <w:r w:rsidRPr="00FB1E03">
        <w:t>egal Aid</w:t>
      </w:r>
      <w:bookmarkEnd w:id="0"/>
    </w:p>
    <w:p w14:paraId="7F0B262C" w14:textId="77777777" w:rsidR="00EE42A2" w:rsidRDefault="00EE42A2" w:rsidP="00EE42A2">
      <w:pPr>
        <w:rPr>
          <w:szCs w:val="22"/>
        </w:rPr>
      </w:pPr>
      <w:r>
        <w:rPr>
          <w:szCs w:val="22"/>
        </w:rPr>
        <w:t xml:space="preserve">Victoria Legal Aid (VLA) is an independent statutory authority set up to provide legal aid in the most effective, economic and efficient manner. </w:t>
      </w:r>
    </w:p>
    <w:p w14:paraId="2DB69B04" w14:textId="46007EEC" w:rsidR="00EE42A2" w:rsidRDefault="00EE42A2" w:rsidP="00EE42A2">
      <w:pPr>
        <w:rPr>
          <w:szCs w:val="22"/>
        </w:rPr>
      </w:pPr>
      <w:r>
        <w:rPr>
          <w:szCs w:val="22"/>
        </w:rPr>
        <w:t xml:space="preserve">VLA </w:t>
      </w:r>
      <w:r w:rsidR="00C917FD">
        <w:rPr>
          <w:szCs w:val="22"/>
        </w:rPr>
        <w:t xml:space="preserve">provides </w:t>
      </w:r>
      <w:r>
        <w:rPr>
          <w:szCs w:val="22"/>
        </w:rPr>
        <w:t xml:space="preserve">legal information, education and advice for Victorians. We fund legal representation for people who meet eligibility criteria based on their financial situation, the nature and seriousness of their problem and their individual circumstances. We provide lawyers on duty in most courts and tribunals in Victoria. </w:t>
      </w:r>
    </w:p>
    <w:p w14:paraId="5165A8BE" w14:textId="0ADA1F18" w:rsidR="00EE42A2" w:rsidRDefault="00EE42A2" w:rsidP="00EE42A2">
      <w:pPr>
        <w:rPr>
          <w:szCs w:val="22"/>
        </w:rPr>
      </w:pPr>
      <w:r>
        <w:rPr>
          <w:szCs w:val="22"/>
        </w:rPr>
        <w:t xml:space="preserve">Our clients </w:t>
      </w:r>
      <w:r w:rsidR="008E2E2D">
        <w:rPr>
          <w:szCs w:val="22"/>
        </w:rPr>
        <w:t>include</w:t>
      </w:r>
      <w:r>
        <w:rPr>
          <w:szCs w:val="22"/>
        </w:rPr>
        <w:t xml:space="preserve"> people who are socially and economically </w:t>
      </w:r>
      <w:r w:rsidR="008E2E2D">
        <w:rPr>
          <w:szCs w:val="22"/>
        </w:rPr>
        <w:t>disadvantaged</w:t>
      </w:r>
      <w:r>
        <w:rPr>
          <w:szCs w:val="22"/>
        </w:rPr>
        <w:t>; people with a disability or mental illness</w:t>
      </w:r>
      <w:r w:rsidR="008E2E2D">
        <w:rPr>
          <w:szCs w:val="22"/>
        </w:rPr>
        <w:t>;</w:t>
      </w:r>
      <w:r>
        <w:rPr>
          <w:szCs w:val="22"/>
        </w:rPr>
        <w:t xml:space="preserve"> children</w:t>
      </w:r>
      <w:r w:rsidR="008E2E2D">
        <w:rPr>
          <w:szCs w:val="22"/>
        </w:rPr>
        <w:t>;</w:t>
      </w:r>
      <w:r>
        <w:rPr>
          <w:szCs w:val="22"/>
        </w:rPr>
        <w:t xml:space="preserve"> the elderly</w:t>
      </w:r>
      <w:r w:rsidR="008E2E2D">
        <w:rPr>
          <w:szCs w:val="22"/>
        </w:rPr>
        <w:t>;</w:t>
      </w:r>
      <w:r>
        <w:rPr>
          <w:szCs w:val="22"/>
        </w:rPr>
        <w:t xml:space="preserve"> people from culturally and linguistically diverse backgrounds</w:t>
      </w:r>
      <w:r w:rsidR="008E2E2D">
        <w:rPr>
          <w:szCs w:val="22"/>
        </w:rPr>
        <w:t>,</w:t>
      </w:r>
      <w:r>
        <w:rPr>
          <w:szCs w:val="22"/>
        </w:rPr>
        <w:t xml:space="preserve"> and those who live in</w:t>
      </w:r>
      <w:r w:rsidR="008E2E2D">
        <w:rPr>
          <w:szCs w:val="22"/>
        </w:rPr>
        <w:t xml:space="preserve"> regional or</w:t>
      </w:r>
      <w:r>
        <w:rPr>
          <w:szCs w:val="22"/>
        </w:rPr>
        <w:t xml:space="preserve"> remote areas. VLA can help people with legal problems </w:t>
      </w:r>
      <w:r w:rsidR="008E2E2D">
        <w:rPr>
          <w:szCs w:val="22"/>
        </w:rPr>
        <w:t xml:space="preserve">relating to </w:t>
      </w:r>
      <w:r>
        <w:rPr>
          <w:szCs w:val="22"/>
        </w:rPr>
        <w:t xml:space="preserve">criminal matters, </w:t>
      </w:r>
      <w:r w:rsidR="00955C61">
        <w:rPr>
          <w:szCs w:val="22"/>
        </w:rPr>
        <w:t>parenting disputes</w:t>
      </w:r>
      <w:r>
        <w:rPr>
          <w:szCs w:val="22"/>
        </w:rPr>
        <w:t xml:space="preserve">, child protection and family violence, immigration, social security, mental health, discrimination, guardianship and administration, tenancy and debt. </w:t>
      </w:r>
    </w:p>
    <w:p w14:paraId="44075505" w14:textId="77777777" w:rsidR="00EE42A2" w:rsidRDefault="00EE42A2" w:rsidP="00EE42A2">
      <w:pPr>
        <w:rPr>
          <w:szCs w:val="22"/>
        </w:rPr>
      </w:pPr>
      <w:r w:rsidRPr="008C7417">
        <w:rPr>
          <w:szCs w:val="22"/>
        </w:rPr>
        <w:t xml:space="preserve">We provide: </w:t>
      </w:r>
    </w:p>
    <w:p w14:paraId="68556C0B" w14:textId="2CC64861" w:rsidR="00EE42A2" w:rsidRPr="00D6539E" w:rsidRDefault="00EE42A2" w:rsidP="00C917FD">
      <w:pPr>
        <w:pStyle w:val="ListParagraph"/>
        <w:numPr>
          <w:ilvl w:val="0"/>
          <w:numId w:val="30"/>
        </w:numPr>
        <w:autoSpaceDE w:val="0"/>
        <w:autoSpaceDN w:val="0"/>
        <w:adjustRightInd w:val="0"/>
        <w:spacing w:after="120" w:line="300" w:lineRule="exact"/>
        <w:rPr>
          <w:rFonts w:cs="Arial"/>
          <w:lang w:eastAsia="en-AU"/>
        </w:rPr>
      </w:pPr>
      <w:r w:rsidRPr="00D6539E">
        <w:rPr>
          <w:rFonts w:ascii="Arial" w:hAnsi="Arial" w:cs="Arial"/>
          <w:lang w:eastAsia="en-AU"/>
        </w:rPr>
        <w:t xml:space="preserve">Free legal information through our website, our Legal Help </w:t>
      </w:r>
      <w:r w:rsidR="00EE6548">
        <w:rPr>
          <w:rFonts w:ascii="Arial" w:hAnsi="Arial" w:cs="Arial"/>
          <w:lang w:eastAsia="en-AU"/>
        </w:rPr>
        <w:t xml:space="preserve">phone </w:t>
      </w:r>
      <w:r w:rsidRPr="00D6539E">
        <w:rPr>
          <w:rFonts w:ascii="Arial" w:hAnsi="Arial" w:cs="Arial"/>
          <w:lang w:eastAsia="en-AU"/>
        </w:rPr>
        <w:t xml:space="preserve">line, community legal education, publications and other resources </w:t>
      </w:r>
    </w:p>
    <w:p w14:paraId="301EC9EC" w14:textId="2944D697" w:rsidR="00EE42A2" w:rsidRPr="00D6539E" w:rsidRDefault="00EE42A2" w:rsidP="00C917FD">
      <w:pPr>
        <w:pStyle w:val="ListParagraph"/>
        <w:numPr>
          <w:ilvl w:val="0"/>
          <w:numId w:val="30"/>
        </w:numPr>
        <w:autoSpaceDE w:val="0"/>
        <w:autoSpaceDN w:val="0"/>
        <w:adjustRightInd w:val="0"/>
        <w:spacing w:after="120" w:line="300" w:lineRule="exact"/>
        <w:rPr>
          <w:rFonts w:cs="Arial"/>
          <w:lang w:eastAsia="en-AU"/>
        </w:rPr>
      </w:pPr>
      <w:r w:rsidRPr="00D6539E">
        <w:rPr>
          <w:rFonts w:ascii="Arial" w:hAnsi="Arial" w:cs="Arial"/>
          <w:lang w:eastAsia="en-AU"/>
        </w:rPr>
        <w:t xml:space="preserve">Legal advice through our </w:t>
      </w:r>
      <w:bookmarkStart w:id="1" w:name="OLE_LINK1"/>
      <w:r w:rsidRPr="00D6539E">
        <w:rPr>
          <w:rFonts w:ascii="Arial" w:hAnsi="Arial" w:cs="Arial"/>
          <w:lang w:eastAsia="en-AU"/>
        </w:rPr>
        <w:t xml:space="preserve">Legal Help </w:t>
      </w:r>
      <w:r w:rsidR="008E2E2D">
        <w:rPr>
          <w:rFonts w:ascii="Arial" w:hAnsi="Arial" w:cs="Arial"/>
          <w:lang w:eastAsia="en-AU"/>
        </w:rPr>
        <w:t xml:space="preserve">phone </w:t>
      </w:r>
      <w:r w:rsidRPr="00D6539E">
        <w:rPr>
          <w:rFonts w:ascii="Arial" w:hAnsi="Arial" w:cs="Arial"/>
          <w:lang w:eastAsia="en-AU"/>
        </w:rPr>
        <w:t xml:space="preserve">line </w:t>
      </w:r>
      <w:bookmarkEnd w:id="1"/>
      <w:r w:rsidRPr="00D6539E">
        <w:rPr>
          <w:rFonts w:ascii="Arial" w:hAnsi="Arial" w:cs="Arial"/>
          <w:lang w:eastAsia="en-AU"/>
        </w:rPr>
        <w:t xml:space="preserve">and free clinics on specific legal issues </w:t>
      </w:r>
    </w:p>
    <w:p w14:paraId="28353A1A" w14:textId="77777777" w:rsidR="00EE42A2" w:rsidRPr="0070363D" w:rsidRDefault="00EE42A2" w:rsidP="00C917FD">
      <w:pPr>
        <w:pStyle w:val="ListParagraph"/>
        <w:numPr>
          <w:ilvl w:val="0"/>
          <w:numId w:val="30"/>
        </w:numPr>
        <w:autoSpaceDE w:val="0"/>
        <w:autoSpaceDN w:val="0"/>
        <w:adjustRightInd w:val="0"/>
        <w:spacing w:after="120" w:line="300" w:lineRule="exact"/>
        <w:rPr>
          <w:rFonts w:ascii="Arial" w:hAnsi="Arial" w:cs="Arial"/>
          <w:lang w:eastAsia="en-AU"/>
        </w:rPr>
      </w:pPr>
      <w:r w:rsidRPr="00D6539E">
        <w:rPr>
          <w:rFonts w:ascii="Arial" w:hAnsi="Arial" w:cs="Arial"/>
          <w:lang w:eastAsia="en-AU"/>
        </w:rPr>
        <w:t xml:space="preserve">Minor assistance to help clients negotiate, write letters, draft documents or prepare to represent themselves in court </w:t>
      </w:r>
    </w:p>
    <w:p w14:paraId="1D02C958" w14:textId="7CE10FF6" w:rsidR="00EE42A2" w:rsidRPr="0070363D" w:rsidRDefault="00EE42A2" w:rsidP="0070363D">
      <w:pPr>
        <w:pStyle w:val="ListParagraph"/>
        <w:numPr>
          <w:ilvl w:val="0"/>
          <w:numId w:val="30"/>
        </w:numPr>
        <w:autoSpaceDE w:val="0"/>
        <w:autoSpaceDN w:val="0"/>
        <w:adjustRightInd w:val="0"/>
        <w:spacing w:after="120" w:line="300" w:lineRule="exact"/>
        <w:rPr>
          <w:rFonts w:cs="Arial"/>
          <w:lang w:eastAsia="en-AU"/>
        </w:rPr>
      </w:pPr>
      <w:r w:rsidRPr="0070363D">
        <w:rPr>
          <w:rFonts w:ascii="Arial" w:hAnsi="Arial" w:cs="Arial"/>
          <w:lang w:eastAsia="en-AU"/>
        </w:rPr>
        <w:t xml:space="preserve">Grants of legal aid to pay for legal representation by a lawyer in private practice or a VLA staff lawyer </w:t>
      </w:r>
    </w:p>
    <w:p w14:paraId="0EF2FCE7" w14:textId="40E162A1" w:rsidR="00EE42A2" w:rsidRPr="00D6539E" w:rsidRDefault="00EE42A2" w:rsidP="00C917FD">
      <w:pPr>
        <w:pStyle w:val="ListParagraph"/>
        <w:numPr>
          <w:ilvl w:val="0"/>
          <w:numId w:val="30"/>
        </w:numPr>
        <w:autoSpaceDE w:val="0"/>
        <w:autoSpaceDN w:val="0"/>
        <w:adjustRightInd w:val="0"/>
        <w:spacing w:after="120" w:line="300" w:lineRule="exact"/>
        <w:rPr>
          <w:rFonts w:cs="Arial"/>
          <w:lang w:eastAsia="en-AU"/>
        </w:rPr>
      </w:pPr>
      <w:r w:rsidRPr="00D6539E">
        <w:rPr>
          <w:rFonts w:ascii="Arial" w:hAnsi="Arial" w:cs="Arial"/>
          <w:lang w:eastAsia="en-AU"/>
        </w:rPr>
        <w:t xml:space="preserve">A family </w:t>
      </w:r>
      <w:r w:rsidR="00955C61" w:rsidRPr="00D6539E">
        <w:rPr>
          <w:rFonts w:ascii="Arial" w:hAnsi="Arial" w:cs="Arial"/>
          <w:lang w:eastAsia="en-AU"/>
        </w:rPr>
        <w:t>dispute resolution</w:t>
      </w:r>
      <w:r w:rsidRPr="00D6539E">
        <w:rPr>
          <w:rFonts w:ascii="Arial" w:hAnsi="Arial" w:cs="Arial"/>
          <w:lang w:eastAsia="en-AU"/>
        </w:rPr>
        <w:t xml:space="preserve"> service for disadvantaged separated families</w:t>
      </w:r>
    </w:p>
    <w:p w14:paraId="1ADCEBC8" w14:textId="77777777" w:rsidR="00EE42A2" w:rsidRPr="00D6539E" w:rsidRDefault="00EE42A2" w:rsidP="00C917FD">
      <w:pPr>
        <w:pStyle w:val="ListParagraph"/>
        <w:numPr>
          <w:ilvl w:val="0"/>
          <w:numId w:val="30"/>
        </w:numPr>
        <w:autoSpaceDE w:val="0"/>
        <w:autoSpaceDN w:val="0"/>
        <w:adjustRightInd w:val="0"/>
        <w:spacing w:after="120" w:line="300" w:lineRule="exact"/>
        <w:rPr>
          <w:rFonts w:cs="Arial"/>
          <w:lang w:eastAsia="en-AU"/>
        </w:rPr>
      </w:pPr>
      <w:r w:rsidRPr="00D6539E">
        <w:rPr>
          <w:rFonts w:ascii="Arial" w:hAnsi="Arial" w:cs="Arial"/>
          <w:lang w:eastAsia="en-AU"/>
        </w:rPr>
        <w:t xml:space="preserve">Funding to 40 community legal centres and support for the operation of the community legal sector. </w:t>
      </w:r>
    </w:p>
    <w:p w14:paraId="284E2489" w14:textId="1A24917D" w:rsidR="00EE42A2" w:rsidRDefault="00EE42A2" w:rsidP="00EE42A2">
      <w:pPr>
        <w:pStyle w:val="Heading2"/>
      </w:pPr>
      <w:bookmarkStart w:id="2" w:name="_Toc418076745"/>
      <w:bookmarkStart w:id="3" w:name="_Toc433612261"/>
      <w:r>
        <w:t>VLA’s Family</w:t>
      </w:r>
      <w:r w:rsidR="00FB1E03">
        <w:t>,</w:t>
      </w:r>
      <w:r>
        <w:t xml:space="preserve"> Youth and Children’s Law Program</w:t>
      </w:r>
      <w:bookmarkEnd w:id="2"/>
      <w:bookmarkEnd w:id="3"/>
      <w:r>
        <w:t xml:space="preserve">  </w:t>
      </w:r>
    </w:p>
    <w:p w14:paraId="58DC5D2E" w14:textId="043E8B23" w:rsidR="00EE42A2" w:rsidRPr="00F93CBB" w:rsidRDefault="00EE42A2" w:rsidP="00EE42A2">
      <w:pPr>
        <w:spacing w:line="300" w:lineRule="exact"/>
        <w:rPr>
          <w:rFonts w:cs="Arial"/>
          <w:szCs w:val="22"/>
          <w:lang w:val="en-US"/>
        </w:rPr>
      </w:pPr>
      <w:r>
        <w:rPr>
          <w:lang w:val="en-US"/>
        </w:rPr>
        <w:t>VLA’s Family, Youth and Children’s Law Program</w:t>
      </w:r>
      <w:r w:rsidRPr="001B0B76">
        <w:rPr>
          <w:lang w:val="en-US"/>
        </w:rPr>
        <w:t xml:space="preserve"> aims to help people resolve family disputes </w:t>
      </w:r>
      <w:r w:rsidR="00C1508F">
        <w:rPr>
          <w:lang w:val="en-US"/>
        </w:rPr>
        <w:t>to</w:t>
      </w:r>
      <w:r w:rsidRPr="001B0B76">
        <w:rPr>
          <w:lang w:val="en-US"/>
        </w:rPr>
        <w:t xml:space="preserve"> </w:t>
      </w:r>
      <w:r w:rsidRPr="00F93CBB">
        <w:rPr>
          <w:rFonts w:cs="Arial"/>
          <w:szCs w:val="22"/>
          <w:lang w:val="en-US"/>
        </w:rPr>
        <w:t xml:space="preserve">achieve safe, workable and </w:t>
      </w:r>
      <w:r w:rsidR="00C1508F">
        <w:rPr>
          <w:rFonts w:cs="Arial"/>
          <w:szCs w:val="22"/>
          <w:lang w:val="en-US"/>
        </w:rPr>
        <w:t>child-focused</w:t>
      </w:r>
      <w:r w:rsidR="00C1508F" w:rsidRPr="00F93CBB">
        <w:rPr>
          <w:rFonts w:cs="Arial"/>
          <w:szCs w:val="22"/>
          <w:lang w:val="en-US"/>
        </w:rPr>
        <w:t xml:space="preserve"> </w:t>
      </w:r>
      <w:r w:rsidR="00C1508F">
        <w:rPr>
          <w:rFonts w:cs="Arial"/>
          <w:szCs w:val="22"/>
          <w:lang w:val="en-US"/>
        </w:rPr>
        <w:t xml:space="preserve">parenting and </w:t>
      </w:r>
      <w:r w:rsidRPr="00F93CBB">
        <w:rPr>
          <w:rFonts w:cs="Arial"/>
          <w:szCs w:val="22"/>
          <w:lang w:val="en-US"/>
        </w:rPr>
        <w:t>care arrangements. This also involves helping parents to build the</w:t>
      </w:r>
      <w:r w:rsidR="00C1508F">
        <w:rPr>
          <w:rFonts w:cs="Arial"/>
          <w:szCs w:val="22"/>
          <w:lang w:val="en-US"/>
        </w:rPr>
        <w:t>ir</w:t>
      </w:r>
      <w:r w:rsidRPr="00F93CBB">
        <w:rPr>
          <w:rFonts w:cs="Arial"/>
          <w:szCs w:val="22"/>
          <w:lang w:val="en-US"/>
        </w:rPr>
        <w:t xml:space="preserve"> capacity to resolve future disputes without legal assistance.</w:t>
      </w:r>
    </w:p>
    <w:p w14:paraId="18EF9D82" w14:textId="53449F31" w:rsidR="00EE42A2" w:rsidRPr="00F93CBB" w:rsidRDefault="00EE42A2" w:rsidP="00EE42A2">
      <w:pPr>
        <w:autoSpaceDE w:val="0"/>
        <w:autoSpaceDN w:val="0"/>
        <w:adjustRightInd w:val="0"/>
        <w:spacing w:line="300" w:lineRule="exact"/>
        <w:rPr>
          <w:rFonts w:cs="Arial"/>
          <w:szCs w:val="22"/>
          <w:lang w:eastAsia="en-AU"/>
        </w:rPr>
      </w:pPr>
      <w:r w:rsidRPr="00F93CBB">
        <w:rPr>
          <w:rFonts w:cs="Arial"/>
          <w:szCs w:val="22"/>
          <w:lang w:eastAsia="en-AU"/>
        </w:rPr>
        <w:t xml:space="preserve">The </w:t>
      </w:r>
      <w:r>
        <w:rPr>
          <w:rFonts w:cs="Arial"/>
          <w:szCs w:val="22"/>
          <w:lang w:eastAsia="en-AU"/>
        </w:rPr>
        <w:t>P</w:t>
      </w:r>
      <w:r w:rsidRPr="00F93CBB">
        <w:rPr>
          <w:rFonts w:cs="Arial"/>
          <w:szCs w:val="22"/>
          <w:lang w:eastAsia="en-AU"/>
        </w:rPr>
        <w:t xml:space="preserve">rogram’s core </w:t>
      </w:r>
      <w:r w:rsidR="00C1508F">
        <w:rPr>
          <w:rFonts w:cs="Arial"/>
          <w:szCs w:val="22"/>
          <w:lang w:eastAsia="en-AU"/>
        </w:rPr>
        <w:t>services include</w:t>
      </w:r>
      <w:r w:rsidRPr="00F93CBB">
        <w:rPr>
          <w:rFonts w:cs="Arial"/>
          <w:szCs w:val="22"/>
          <w:lang w:eastAsia="en-AU"/>
        </w:rPr>
        <w:t>:</w:t>
      </w:r>
    </w:p>
    <w:p w14:paraId="3B7A3801" w14:textId="0DA7BF0E" w:rsidR="00EE42A2" w:rsidRPr="00F93CBB" w:rsidRDefault="00EE42A2" w:rsidP="00EE42A2">
      <w:pPr>
        <w:pStyle w:val="ListParagraph"/>
        <w:numPr>
          <w:ilvl w:val="0"/>
          <w:numId w:val="30"/>
        </w:numPr>
        <w:autoSpaceDE w:val="0"/>
        <w:autoSpaceDN w:val="0"/>
        <w:adjustRightInd w:val="0"/>
        <w:spacing w:after="120" w:line="300" w:lineRule="exact"/>
        <w:ind w:left="714" w:hanging="357"/>
        <w:rPr>
          <w:rFonts w:ascii="Arial" w:hAnsi="Arial" w:cs="Arial"/>
          <w:lang w:eastAsia="en-AU"/>
        </w:rPr>
      </w:pPr>
      <w:r w:rsidRPr="00F93CBB">
        <w:rPr>
          <w:rFonts w:ascii="Arial" w:hAnsi="Arial" w:cs="Arial"/>
          <w:lang w:eastAsia="en-AU"/>
        </w:rPr>
        <w:t xml:space="preserve">Duty lawyer, legal advice, representation and information services </w:t>
      </w:r>
      <w:r w:rsidR="00C1508F">
        <w:rPr>
          <w:rFonts w:ascii="Arial" w:hAnsi="Arial" w:cs="Arial"/>
          <w:lang w:eastAsia="en-AU"/>
        </w:rPr>
        <w:t xml:space="preserve">in </w:t>
      </w:r>
      <w:r w:rsidR="00C1508F" w:rsidRPr="00C1508F">
        <w:rPr>
          <w:rFonts w:ascii="Arial" w:hAnsi="Arial" w:cs="Arial"/>
          <w:lang w:eastAsia="en-AU"/>
        </w:rPr>
        <w:t>Commonwealth family law matters and at the Family Law Courts,</w:t>
      </w:r>
      <w:r w:rsidR="00C1508F" w:rsidRPr="00F93CBB">
        <w:rPr>
          <w:rFonts w:ascii="Arial" w:hAnsi="Arial" w:cs="Arial"/>
          <w:lang w:eastAsia="en-AU"/>
        </w:rPr>
        <w:t xml:space="preserve"> </w:t>
      </w:r>
      <w:r w:rsidRPr="00F93CBB">
        <w:rPr>
          <w:rFonts w:ascii="Arial" w:hAnsi="Arial" w:cs="Arial"/>
          <w:lang w:eastAsia="en-AU"/>
        </w:rPr>
        <w:t xml:space="preserve">including </w:t>
      </w:r>
      <w:r w:rsidR="001D06D9">
        <w:rPr>
          <w:rFonts w:ascii="Arial" w:hAnsi="Arial" w:cs="Arial"/>
          <w:lang w:eastAsia="en-AU"/>
        </w:rPr>
        <w:t xml:space="preserve">child support matters, </w:t>
      </w:r>
      <w:r w:rsidRPr="00F93CBB">
        <w:rPr>
          <w:rFonts w:ascii="Arial" w:hAnsi="Arial" w:cs="Arial"/>
          <w:lang w:eastAsia="en-AU"/>
        </w:rPr>
        <w:t>parenting disputes and family violence matters</w:t>
      </w:r>
    </w:p>
    <w:p w14:paraId="5AC3458B" w14:textId="77777777" w:rsidR="00EE42A2" w:rsidRPr="00F93CBB" w:rsidRDefault="00EE42A2" w:rsidP="00EE42A2">
      <w:pPr>
        <w:pStyle w:val="ListParagraph"/>
        <w:numPr>
          <w:ilvl w:val="0"/>
          <w:numId w:val="30"/>
        </w:numPr>
        <w:autoSpaceDE w:val="0"/>
        <w:autoSpaceDN w:val="0"/>
        <w:adjustRightInd w:val="0"/>
        <w:spacing w:after="120" w:line="300" w:lineRule="exact"/>
        <w:ind w:left="714" w:hanging="357"/>
        <w:rPr>
          <w:rFonts w:ascii="Arial" w:hAnsi="Arial" w:cs="Arial"/>
          <w:lang w:eastAsia="en-AU"/>
        </w:rPr>
      </w:pPr>
      <w:r w:rsidRPr="00F93CBB">
        <w:rPr>
          <w:rFonts w:ascii="Arial" w:hAnsi="Arial" w:cs="Arial"/>
          <w:lang w:eastAsia="en-AU"/>
        </w:rPr>
        <w:t>Lawyer-assisted and child-inclusive family dispute resolution to help settle disputes without going to court</w:t>
      </w:r>
    </w:p>
    <w:p w14:paraId="104FD4C5" w14:textId="687CEE2A" w:rsidR="00EE42A2" w:rsidRPr="00F93CBB" w:rsidRDefault="00EE42A2" w:rsidP="00EE42A2">
      <w:pPr>
        <w:pStyle w:val="ListParagraph"/>
        <w:numPr>
          <w:ilvl w:val="0"/>
          <w:numId w:val="30"/>
        </w:numPr>
        <w:autoSpaceDE w:val="0"/>
        <w:autoSpaceDN w:val="0"/>
        <w:adjustRightInd w:val="0"/>
        <w:spacing w:after="120" w:line="300" w:lineRule="exact"/>
        <w:ind w:left="714" w:hanging="357"/>
        <w:rPr>
          <w:rFonts w:ascii="Arial" w:hAnsi="Arial" w:cs="Arial"/>
          <w:lang w:eastAsia="en-AU"/>
        </w:rPr>
      </w:pPr>
      <w:r w:rsidRPr="00F93CBB">
        <w:rPr>
          <w:rFonts w:ascii="Arial" w:hAnsi="Arial" w:cs="Arial"/>
          <w:lang w:eastAsia="en-AU"/>
        </w:rPr>
        <w:t xml:space="preserve">Independent </w:t>
      </w:r>
      <w:r w:rsidR="00B724D3">
        <w:rPr>
          <w:rFonts w:ascii="Arial" w:hAnsi="Arial" w:cs="Arial"/>
          <w:lang w:eastAsia="en-AU"/>
        </w:rPr>
        <w:t>c</w:t>
      </w:r>
      <w:r w:rsidRPr="00F93CBB">
        <w:rPr>
          <w:rFonts w:ascii="Arial" w:hAnsi="Arial" w:cs="Arial"/>
          <w:lang w:eastAsia="en-AU"/>
        </w:rPr>
        <w:t xml:space="preserve">hildren’s </w:t>
      </w:r>
      <w:r w:rsidR="00B724D3">
        <w:rPr>
          <w:rFonts w:ascii="Arial" w:hAnsi="Arial" w:cs="Arial"/>
          <w:lang w:eastAsia="en-AU"/>
        </w:rPr>
        <w:t>l</w:t>
      </w:r>
      <w:r w:rsidRPr="00F93CBB">
        <w:rPr>
          <w:rFonts w:ascii="Arial" w:hAnsi="Arial" w:cs="Arial"/>
          <w:lang w:eastAsia="en-AU"/>
        </w:rPr>
        <w:t>awyers who promote the interests of children at risk and help judicial officers make good decisions</w:t>
      </w:r>
    </w:p>
    <w:p w14:paraId="61A232ED" w14:textId="0A100299" w:rsidR="00EE42A2" w:rsidRPr="00F93CBB" w:rsidRDefault="00EE42A2" w:rsidP="00EE42A2">
      <w:pPr>
        <w:pStyle w:val="ListParagraph"/>
        <w:numPr>
          <w:ilvl w:val="0"/>
          <w:numId w:val="30"/>
        </w:numPr>
        <w:autoSpaceDE w:val="0"/>
        <w:autoSpaceDN w:val="0"/>
        <w:adjustRightInd w:val="0"/>
        <w:spacing w:after="120" w:line="300" w:lineRule="exact"/>
        <w:ind w:left="714" w:hanging="357"/>
        <w:rPr>
          <w:rFonts w:ascii="Arial" w:hAnsi="Arial" w:cs="Arial"/>
          <w:lang w:eastAsia="en-AU"/>
        </w:rPr>
      </w:pPr>
      <w:r w:rsidRPr="00F93CBB">
        <w:rPr>
          <w:rFonts w:ascii="Arial" w:hAnsi="Arial" w:cs="Arial"/>
          <w:lang w:eastAsia="en-AU"/>
        </w:rPr>
        <w:t xml:space="preserve">Duty lawyer, legal advice, representation and information services to children and parents in the Children's and Magistrates' </w:t>
      </w:r>
      <w:r>
        <w:rPr>
          <w:rFonts w:ascii="Arial" w:hAnsi="Arial" w:cs="Arial"/>
          <w:lang w:eastAsia="en-AU"/>
        </w:rPr>
        <w:t>C</w:t>
      </w:r>
      <w:r w:rsidRPr="00F93CBB">
        <w:rPr>
          <w:rFonts w:ascii="Arial" w:hAnsi="Arial" w:cs="Arial"/>
          <w:lang w:eastAsia="en-AU"/>
        </w:rPr>
        <w:t>ourts of Victoria, including in child protection and family violence matters</w:t>
      </w:r>
      <w:r w:rsidR="008E2E2D">
        <w:rPr>
          <w:rFonts w:ascii="Arial" w:hAnsi="Arial" w:cs="Arial"/>
          <w:lang w:eastAsia="en-AU"/>
        </w:rPr>
        <w:t>,</w:t>
      </w:r>
      <w:r w:rsidRPr="00F93CBB">
        <w:rPr>
          <w:rFonts w:ascii="Arial" w:hAnsi="Arial" w:cs="Arial"/>
          <w:lang w:eastAsia="en-AU"/>
        </w:rPr>
        <w:t xml:space="preserve"> and</w:t>
      </w:r>
    </w:p>
    <w:p w14:paraId="605AC245" w14:textId="159238A2" w:rsidR="007825F3" w:rsidRPr="00BC5C72" w:rsidRDefault="00EE42A2" w:rsidP="00A940C0">
      <w:pPr>
        <w:pStyle w:val="ListParagraph"/>
        <w:numPr>
          <w:ilvl w:val="0"/>
          <w:numId w:val="30"/>
        </w:numPr>
        <w:autoSpaceDE w:val="0"/>
        <w:autoSpaceDN w:val="0"/>
        <w:adjustRightInd w:val="0"/>
        <w:spacing w:after="120" w:line="300" w:lineRule="exact"/>
        <w:ind w:left="714" w:hanging="357"/>
        <w:rPr>
          <w:rFonts w:ascii="Arial" w:hAnsi="Arial" w:cs="Arial"/>
          <w:lang w:eastAsia="en-AU"/>
        </w:rPr>
      </w:pPr>
      <w:r w:rsidRPr="00F93CBB">
        <w:rPr>
          <w:rFonts w:ascii="Arial" w:hAnsi="Arial" w:cs="Arial"/>
          <w:lang w:eastAsia="en-AU"/>
        </w:rPr>
        <w:t>Legal advice and education in the community.</w:t>
      </w:r>
    </w:p>
    <w:p w14:paraId="14DBB972" w14:textId="77777777" w:rsidR="007825F3" w:rsidRDefault="007D7535" w:rsidP="00161EEF">
      <w:pPr>
        <w:pStyle w:val="Heading1"/>
      </w:pPr>
      <w:r>
        <w:br w:type="page"/>
      </w:r>
      <w:bookmarkStart w:id="4" w:name="_Toc433612262"/>
      <w:r w:rsidR="007825F3">
        <w:lastRenderedPageBreak/>
        <w:t>Executive Summary</w:t>
      </w:r>
      <w:bookmarkEnd w:id="4"/>
    </w:p>
    <w:p w14:paraId="79540FEF" w14:textId="55E041B3" w:rsidR="00621967" w:rsidRDefault="00621967" w:rsidP="001B1D94">
      <w:pPr>
        <w:spacing w:line="300" w:lineRule="exact"/>
        <w:rPr>
          <w:rFonts w:cs="Arial"/>
          <w:szCs w:val="22"/>
        </w:rPr>
      </w:pPr>
      <w:r w:rsidRPr="00FB1E03">
        <w:rPr>
          <w:rFonts w:cs="Arial"/>
          <w:szCs w:val="22"/>
        </w:rPr>
        <w:t xml:space="preserve">This submission seeks to build on the recommendations in Victoria Legal Aid’s (VLA) first submission to the Family Law Council’s Terms of Reference. We propose an additional suite of recommendations informed by VLA’s </w:t>
      </w:r>
      <w:r>
        <w:rPr>
          <w:rFonts w:cs="Arial"/>
          <w:szCs w:val="22"/>
        </w:rPr>
        <w:t xml:space="preserve">expertise and </w:t>
      </w:r>
      <w:r w:rsidRPr="00FB1E03">
        <w:rPr>
          <w:rFonts w:cs="Arial"/>
          <w:szCs w:val="22"/>
        </w:rPr>
        <w:t>experience providing family dispute resolution services and representing clients throughout their family violence, child protection and/or family law matter</w:t>
      </w:r>
      <w:r>
        <w:rPr>
          <w:rFonts w:cs="Arial"/>
          <w:szCs w:val="22"/>
        </w:rPr>
        <w:t>s</w:t>
      </w:r>
      <w:r w:rsidRPr="00FB1E03">
        <w:rPr>
          <w:rFonts w:cs="Arial"/>
          <w:szCs w:val="22"/>
        </w:rPr>
        <w:t>. VLA’s clients present with complex legal and non-legal needs. As such</w:t>
      </w:r>
      <w:r w:rsidR="00EE6548">
        <w:rPr>
          <w:rFonts w:cs="Arial"/>
          <w:szCs w:val="22"/>
        </w:rPr>
        <w:t>,</w:t>
      </w:r>
      <w:r w:rsidRPr="00FB1E03">
        <w:rPr>
          <w:rFonts w:cs="Arial"/>
          <w:szCs w:val="22"/>
        </w:rPr>
        <w:t xml:space="preserve"> we are well placed to comment on how the family law system </w:t>
      </w:r>
      <w:r>
        <w:rPr>
          <w:rFonts w:cs="Arial"/>
          <w:szCs w:val="22"/>
        </w:rPr>
        <w:t xml:space="preserve">assesses and responds to risk as a family progresses through the court, </w:t>
      </w:r>
      <w:r w:rsidR="00EE6548">
        <w:rPr>
          <w:rFonts w:cs="Arial"/>
          <w:szCs w:val="22"/>
        </w:rPr>
        <w:t xml:space="preserve">and </w:t>
      </w:r>
      <w:r>
        <w:rPr>
          <w:rFonts w:cs="Arial"/>
          <w:szCs w:val="22"/>
        </w:rPr>
        <w:t xml:space="preserve">how the family law system can better coordinate with non-legal service </w:t>
      </w:r>
      <w:r w:rsidRPr="00FB1E03">
        <w:rPr>
          <w:rFonts w:cs="Arial"/>
          <w:szCs w:val="22"/>
        </w:rPr>
        <w:t>providers to assist parties seeking to address the underlying issues that impact on a child’s safety.</w:t>
      </w:r>
    </w:p>
    <w:p w14:paraId="18D9F982" w14:textId="77777777" w:rsidR="00F325D5" w:rsidRDefault="00F325D5" w:rsidP="00F325D5">
      <w:pPr>
        <w:pStyle w:val="Heading3"/>
      </w:pPr>
      <w:bookmarkStart w:id="5" w:name="_Toc433612263"/>
      <w:r w:rsidRPr="00CF466A">
        <w:t>The Interface between Family Dispute Resolution and the Family Law Courts</w:t>
      </w:r>
      <w:bookmarkEnd w:id="5"/>
      <w:r>
        <w:t xml:space="preserve"> </w:t>
      </w:r>
    </w:p>
    <w:p w14:paraId="28F4315F" w14:textId="1C1201D9" w:rsidR="00621967" w:rsidRDefault="00621967" w:rsidP="001B1D94">
      <w:pPr>
        <w:spacing w:line="300" w:lineRule="exact"/>
        <w:rPr>
          <w:rFonts w:cs="Arial"/>
          <w:szCs w:val="22"/>
        </w:rPr>
      </w:pPr>
      <w:r w:rsidRPr="002D5F74">
        <w:rPr>
          <w:rFonts w:cs="Arial"/>
          <w:szCs w:val="22"/>
        </w:rPr>
        <w:t xml:space="preserve">The exchange of information between the Family Law Courts and family relationship services, </w:t>
      </w:r>
      <w:r>
        <w:rPr>
          <w:rFonts w:cs="Arial"/>
          <w:szCs w:val="22"/>
        </w:rPr>
        <w:t>including</w:t>
      </w:r>
      <w:r w:rsidRPr="002D5F74">
        <w:rPr>
          <w:rFonts w:cs="Arial"/>
          <w:szCs w:val="22"/>
        </w:rPr>
        <w:t xml:space="preserve"> family</w:t>
      </w:r>
      <w:r>
        <w:rPr>
          <w:rFonts w:cs="Arial"/>
          <w:szCs w:val="22"/>
        </w:rPr>
        <w:t xml:space="preserve"> dispute resolution services, is a key consideration under the Family Law Council’s Terms of Reference. </w:t>
      </w:r>
    </w:p>
    <w:p w14:paraId="3B16D291" w14:textId="79DD9AB3" w:rsidR="00621967" w:rsidRDefault="00621967" w:rsidP="001B1D94">
      <w:pPr>
        <w:spacing w:line="300" w:lineRule="exact"/>
        <w:rPr>
          <w:szCs w:val="22"/>
        </w:rPr>
      </w:pPr>
      <w:r>
        <w:rPr>
          <w:rFonts w:cs="Arial"/>
          <w:szCs w:val="22"/>
        </w:rPr>
        <w:t xml:space="preserve">Currently, disclosures at family dispute resolution (FDR) are confidential and inadmissible </w:t>
      </w:r>
      <w:r w:rsidR="00EE6548">
        <w:rPr>
          <w:rFonts w:cs="Arial"/>
          <w:szCs w:val="22"/>
        </w:rPr>
        <w:t xml:space="preserve">except </w:t>
      </w:r>
      <w:r>
        <w:rPr>
          <w:rFonts w:cs="Arial"/>
          <w:szCs w:val="22"/>
        </w:rPr>
        <w:t xml:space="preserve">in certain situations which are provided for under the </w:t>
      </w:r>
      <w:r>
        <w:rPr>
          <w:rFonts w:cs="Arial"/>
          <w:i/>
          <w:szCs w:val="22"/>
        </w:rPr>
        <w:t xml:space="preserve">Family Law Act 1975 </w:t>
      </w:r>
      <w:r>
        <w:rPr>
          <w:rFonts w:cs="Arial"/>
          <w:szCs w:val="22"/>
        </w:rPr>
        <w:t xml:space="preserve">(Cth). </w:t>
      </w:r>
      <w:r>
        <w:rPr>
          <w:szCs w:val="22"/>
        </w:rPr>
        <w:t xml:space="preserve">It is VLA’s experience that the confidentiality of the FDR process may encourage parties to disclose information they have not previously felt comfortable disclosing. </w:t>
      </w:r>
    </w:p>
    <w:p w14:paraId="7598E255" w14:textId="0EA331BC" w:rsidR="00621967" w:rsidRPr="002D5F74" w:rsidRDefault="00621967" w:rsidP="001B1D94">
      <w:pPr>
        <w:spacing w:line="300" w:lineRule="exact"/>
        <w:rPr>
          <w:rFonts w:cs="Arial"/>
          <w:szCs w:val="22"/>
        </w:rPr>
      </w:pPr>
      <w:r w:rsidRPr="00320B7B">
        <w:rPr>
          <w:szCs w:val="22"/>
        </w:rPr>
        <w:t>These discl</w:t>
      </w:r>
      <w:r>
        <w:rPr>
          <w:szCs w:val="22"/>
        </w:rPr>
        <w:t>osures are essential to the FDR</w:t>
      </w:r>
      <w:r w:rsidRPr="00320B7B">
        <w:rPr>
          <w:szCs w:val="22"/>
        </w:rPr>
        <w:t xml:space="preserve"> risk assessment process</w:t>
      </w:r>
      <w:r>
        <w:rPr>
          <w:szCs w:val="22"/>
        </w:rPr>
        <w:t>. T</w:t>
      </w:r>
      <w:r w:rsidRPr="005F6D0B">
        <w:rPr>
          <w:szCs w:val="22"/>
        </w:rPr>
        <w:t>he information obtained determines the appropriateness of progressing with FDR and if so, the safety planning required to enable FDR to progress safely.</w:t>
      </w:r>
      <w:r w:rsidRPr="002D5F74">
        <w:rPr>
          <w:szCs w:val="22"/>
        </w:rPr>
        <w:t xml:space="preserve"> </w:t>
      </w:r>
      <w:r>
        <w:rPr>
          <w:szCs w:val="22"/>
        </w:rPr>
        <w:t xml:space="preserve">Changes </w:t>
      </w:r>
      <w:r w:rsidR="00EE6548">
        <w:rPr>
          <w:szCs w:val="22"/>
        </w:rPr>
        <w:t xml:space="preserve">to confidentiality provisions </w:t>
      </w:r>
      <w:r w:rsidRPr="00320B7B">
        <w:rPr>
          <w:szCs w:val="22"/>
        </w:rPr>
        <w:t>may result in parties failing to raise safety concerns</w:t>
      </w:r>
      <w:r>
        <w:rPr>
          <w:szCs w:val="22"/>
        </w:rPr>
        <w:t>. This</w:t>
      </w:r>
      <w:r w:rsidRPr="00320B7B">
        <w:rPr>
          <w:szCs w:val="22"/>
        </w:rPr>
        <w:t xml:space="preserve"> could expose </w:t>
      </w:r>
      <w:r>
        <w:rPr>
          <w:szCs w:val="22"/>
        </w:rPr>
        <w:t>parties</w:t>
      </w:r>
      <w:r w:rsidRPr="00320B7B">
        <w:rPr>
          <w:szCs w:val="22"/>
        </w:rPr>
        <w:t xml:space="preserve"> and their children to further risk of harm if the matter progresses to FDR when it is unsafe or otherwise inappropriate to do so.  </w:t>
      </w:r>
    </w:p>
    <w:p w14:paraId="052FD909" w14:textId="212210D6" w:rsidR="00621967" w:rsidRDefault="00552E18" w:rsidP="001B1D94">
      <w:pPr>
        <w:spacing w:line="300" w:lineRule="exact"/>
        <w:rPr>
          <w:szCs w:val="22"/>
        </w:rPr>
      </w:pPr>
      <w:r>
        <w:rPr>
          <w:szCs w:val="22"/>
        </w:rPr>
        <w:t>E</w:t>
      </w:r>
      <w:r w:rsidR="000844C2">
        <w:rPr>
          <w:szCs w:val="22"/>
        </w:rPr>
        <w:t xml:space="preserve">xemptions to the confidentiality and inadmissibility of FDR </w:t>
      </w:r>
      <w:r>
        <w:rPr>
          <w:szCs w:val="22"/>
        </w:rPr>
        <w:t xml:space="preserve">already exist and </w:t>
      </w:r>
      <w:r w:rsidR="000844C2">
        <w:rPr>
          <w:szCs w:val="22"/>
        </w:rPr>
        <w:t>are actively</w:t>
      </w:r>
      <w:r>
        <w:rPr>
          <w:szCs w:val="22"/>
        </w:rPr>
        <w:t xml:space="preserve"> used, including by</w:t>
      </w:r>
      <w:r w:rsidR="000844C2">
        <w:rPr>
          <w:szCs w:val="22"/>
        </w:rPr>
        <w:t xml:space="preserve"> </w:t>
      </w:r>
      <w:r w:rsidR="00621967">
        <w:rPr>
          <w:szCs w:val="22"/>
        </w:rPr>
        <w:t>VLA’s Family Dispute Resolution Service. These existing exemptions</w:t>
      </w:r>
      <w:r>
        <w:rPr>
          <w:szCs w:val="22"/>
        </w:rPr>
        <w:t>, together with</w:t>
      </w:r>
      <w:r w:rsidR="00621967">
        <w:rPr>
          <w:szCs w:val="22"/>
        </w:rPr>
        <w:t xml:space="preserve"> </w:t>
      </w:r>
      <w:r>
        <w:rPr>
          <w:szCs w:val="22"/>
        </w:rPr>
        <w:t xml:space="preserve">the </w:t>
      </w:r>
      <w:r w:rsidR="00EE6548" w:rsidRPr="00320B7B">
        <w:rPr>
          <w:szCs w:val="22"/>
        </w:rPr>
        <w:t>adopt</w:t>
      </w:r>
      <w:r>
        <w:rPr>
          <w:szCs w:val="22"/>
        </w:rPr>
        <w:t>ion</w:t>
      </w:r>
      <w:r w:rsidR="00EE6548" w:rsidRPr="00320B7B">
        <w:rPr>
          <w:szCs w:val="22"/>
        </w:rPr>
        <w:t xml:space="preserve"> </w:t>
      </w:r>
      <w:r>
        <w:rPr>
          <w:szCs w:val="22"/>
        </w:rPr>
        <w:t xml:space="preserve">of </w:t>
      </w:r>
      <w:r w:rsidR="00621967">
        <w:rPr>
          <w:szCs w:val="22"/>
        </w:rPr>
        <w:t>a suite of alternative measures</w:t>
      </w:r>
      <w:r>
        <w:rPr>
          <w:szCs w:val="22"/>
        </w:rPr>
        <w:t>,</w:t>
      </w:r>
      <w:r w:rsidR="00621967">
        <w:rPr>
          <w:szCs w:val="22"/>
        </w:rPr>
        <w:t xml:space="preserve"> </w:t>
      </w:r>
      <w:r>
        <w:rPr>
          <w:szCs w:val="22"/>
        </w:rPr>
        <w:t>could</w:t>
      </w:r>
      <w:r w:rsidR="00621967" w:rsidRPr="00320B7B">
        <w:rPr>
          <w:szCs w:val="22"/>
        </w:rPr>
        <w:t xml:space="preserve"> ensure relevant information comes to the early attention of the </w:t>
      </w:r>
      <w:r w:rsidR="00621967">
        <w:rPr>
          <w:szCs w:val="22"/>
        </w:rPr>
        <w:t>court, without</w:t>
      </w:r>
      <w:r w:rsidR="00621967" w:rsidRPr="00320B7B">
        <w:rPr>
          <w:szCs w:val="22"/>
        </w:rPr>
        <w:t xml:space="preserve"> </w:t>
      </w:r>
      <w:r w:rsidR="00621967" w:rsidRPr="00FA1416">
        <w:rPr>
          <w:szCs w:val="22"/>
        </w:rPr>
        <w:t xml:space="preserve">undermining the ability of FDR service providers to assess risk and </w:t>
      </w:r>
      <w:r>
        <w:rPr>
          <w:szCs w:val="22"/>
        </w:rPr>
        <w:t xml:space="preserve">ensure </w:t>
      </w:r>
      <w:r w:rsidR="00621967" w:rsidRPr="00FA1416">
        <w:rPr>
          <w:szCs w:val="22"/>
        </w:rPr>
        <w:t>safety plan</w:t>
      </w:r>
      <w:r>
        <w:rPr>
          <w:szCs w:val="22"/>
        </w:rPr>
        <w:t>ning</w:t>
      </w:r>
      <w:r w:rsidR="00621967" w:rsidRPr="00FA1416">
        <w:rPr>
          <w:szCs w:val="22"/>
        </w:rPr>
        <w:t xml:space="preserve"> so that parties are not participating in FDR where it is not appropriate or safe to do so</w:t>
      </w:r>
      <w:r w:rsidR="00621967">
        <w:rPr>
          <w:szCs w:val="22"/>
        </w:rPr>
        <w:t xml:space="preserve">. </w:t>
      </w:r>
    </w:p>
    <w:p w14:paraId="17A5CF04" w14:textId="51080874" w:rsidR="00621967" w:rsidRDefault="00621967" w:rsidP="001B1D94">
      <w:pPr>
        <w:spacing w:line="300" w:lineRule="exact"/>
        <w:rPr>
          <w:szCs w:val="22"/>
        </w:rPr>
      </w:pPr>
      <w:r>
        <w:rPr>
          <w:szCs w:val="22"/>
        </w:rPr>
        <w:t xml:space="preserve">Alternative </w:t>
      </w:r>
      <w:r w:rsidR="004A1316">
        <w:rPr>
          <w:szCs w:val="22"/>
        </w:rPr>
        <w:t xml:space="preserve">information sharing </w:t>
      </w:r>
      <w:r>
        <w:rPr>
          <w:szCs w:val="22"/>
        </w:rPr>
        <w:t>measures</w:t>
      </w:r>
      <w:r w:rsidR="00D130A8">
        <w:rPr>
          <w:szCs w:val="22"/>
        </w:rPr>
        <w:t xml:space="preserve">, such as greater use of the </w:t>
      </w:r>
      <w:r w:rsidR="00B83645">
        <w:rPr>
          <w:szCs w:val="22"/>
        </w:rPr>
        <w:t>C</w:t>
      </w:r>
      <w:r w:rsidR="00D130A8">
        <w:rPr>
          <w:szCs w:val="22"/>
        </w:rPr>
        <w:t xml:space="preserve">o-located DHHS Liaison Officers and </w:t>
      </w:r>
      <w:r w:rsidR="00B83645">
        <w:rPr>
          <w:szCs w:val="22"/>
        </w:rPr>
        <w:t xml:space="preserve">establishment of </w:t>
      </w:r>
      <w:r w:rsidR="00D130A8">
        <w:rPr>
          <w:szCs w:val="22"/>
        </w:rPr>
        <w:t>a database of family court, family violence and child protection orders,</w:t>
      </w:r>
      <w:r>
        <w:rPr>
          <w:szCs w:val="22"/>
        </w:rPr>
        <w:t xml:space="preserve"> would improve </w:t>
      </w:r>
      <w:r w:rsidR="004A1316">
        <w:rPr>
          <w:szCs w:val="22"/>
        </w:rPr>
        <w:t>the information available to</w:t>
      </w:r>
      <w:r>
        <w:rPr>
          <w:szCs w:val="22"/>
        </w:rPr>
        <w:t xml:space="preserve"> the Family Law Courts where </w:t>
      </w:r>
      <w:r w:rsidRPr="00320B7B">
        <w:rPr>
          <w:szCs w:val="22"/>
        </w:rPr>
        <w:t>the DHHS has had some involvement wi</w:t>
      </w:r>
      <w:r>
        <w:rPr>
          <w:szCs w:val="22"/>
        </w:rPr>
        <w:t xml:space="preserve">th a particular family or child </w:t>
      </w:r>
      <w:r w:rsidR="004A1316">
        <w:rPr>
          <w:szCs w:val="22"/>
        </w:rPr>
        <w:t xml:space="preserve">(including where there has been child protection proceedings) </w:t>
      </w:r>
      <w:r>
        <w:rPr>
          <w:szCs w:val="22"/>
        </w:rPr>
        <w:t xml:space="preserve">or where there is a history of family violence that has led to the making of a family violence intervention order in the </w:t>
      </w:r>
      <w:r w:rsidR="00EE6548">
        <w:rPr>
          <w:szCs w:val="22"/>
        </w:rPr>
        <w:t xml:space="preserve">State </w:t>
      </w:r>
      <w:r>
        <w:rPr>
          <w:szCs w:val="22"/>
        </w:rPr>
        <w:t xml:space="preserve">family violence jurisdiction. </w:t>
      </w:r>
    </w:p>
    <w:p w14:paraId="6288166A" w14:textId="3D89EDA2" w:rsidR="004A1316" w:rsidRDefault="00621967" w:rsidP="001B1D94">
      <w:pPr>
        <w:spacing w:line="300" w:lineRule="exact"/>
        <w:jc w:val="both"/>
        <w:rPr>
          <w:szCs w:val="22"/>
        </w:rPr>
      </w:pPr>
      <w:r>
        <w:rPr>
          <w:szCs w:val="22"/>
        </w:rPr>
        <w:t>Increased resourcing to the Family Law Courts</w:t>
      </w:r>
      <w:r w:rsidR="004A1316">
        <w:rPr>
          <w:szCs w:val="22"/>
        </w:rPr>
        <w:t xml:space="preserve"> so that judicial officers can adequately prepare for the first return date and interim hearings</w:t>
      </w:r>
      <w:r>
        <w:rPr>
          <w:szCs w:val="22"/>
        </w:rPr>
        <w:t>, ongoing training of judicial officers in identifying risk factors and changes to court practices</w:t>
      </w:r>
      <w:r w:rsidRPr="00FA1416">
        <w:rPr>
          <w:szCs w:val="22"/>
        </w:rPr>
        <w:t xml:space="preserve"> could </w:t>
      </w:r>
      <w:r>
        <w:rPr>
          <w:szCs w:val="22"/>
        </w:rPr>
        <w:t>also assist the</w:t>
      </w:r>
      <w:r w:rsidRPr="00FA1416">
        <w:rPr>
          <w:szCs w:val="22"/>
        </w:rPr>
        <w:t xml:space="preserve"> Family Law Courts to elicit relevant information earlier</w:t>
      </w:r>
      <w:r>
        <w:rPr>
          <w:szCs w:val="22"/>
        </w:rPr>
        <w:t xml:space="preserve"> in court proceedings. </w:t>
      </w:r>
    </w:p>
    <w:p w14:paraId="737AE400" w14:textId="5C543B05" w:rsidR="00F325D5" w:rsidRPr="00F325D5" w:rsidRDefault="00F325D5" w:rsidP="00F325D5">
      <w:pPr>
        <w:pStyle w:val="Heading3"/>
        <w:rPr>
          <w:szCs w:val="32"/>
        </w:rPr>
      </w:pPr>
      <w:bookmarkStart w:id="6" w:name="_Toc433612264"/>
      <w:r w:rsidRPr="00FA1416">
        <w:t>Ongoing</w:t>
      </w:r>
      <w:r w:rsidRPr="00E801EA">
        <w:t xml:space="preserve"> and Timely Assessment of Risk</w:t>
      </w:r>
      <w:bookmarkEnd w:id="6"/>
      <w:r w:rsidRPr="00E801EA">
        <w:t xml:space="preserve"> </w:t>
      </w:r>
    </w:p>
    <w:p w14:paraId="567A662C" w14:textId="77777777" w:rsidR="00621967" w:rsidRDefault="00621967" w:rsidP="001B1D94">
      <w:pPr>
        <w:autoSpaceDE w:val="0"/>
        <w:autoSpaceDN w:val="0"/>
        <w:adjustRightInd w:val="0"/>
        <w:spacing w:line="300" w:lineRule="exact"/>
      </w:pPr>
      <w:r>
        <w:t xml:space="preserve">As a matter proceeds through the court, it is essential that judicial officers in parenting disputes are making evidence-based decisions based on all the relevant and available </w:t>
      </w:r>
      <w:r w:rsidRPr="00C517A5">
        <w:t>informatio</w:t>
      </w:r>
      <w:r>
        <w:t xml:space="preserve">n regarding the best interests of a child. </w:t>
      </w:r>
    </w:p>
    <w:p w14:paraId="30AE89A4" w14:textId="77777777" w:rsidR="00621967" w:rsidRDefault="00621967" w:rsidP="001B1D94">
      <w:pPr>
        <w:autoSpaceDE w:val="0"/>
        <w:autoSpaceDN w:val="0"/>
        <w:adjustRightInd w:val="0"/>
        <w:spacing w:line="300" w:lineRule="exact"/>
      </w:pPr>
      <w:r>
        <w:lastRenderedPageBreak/>
        <w:t xml:space="preserve">This policy objective would be assisted by an increased investment in the independent children’s lawyer (ICL) function – which </w:t>
      </w:r>
      <w:r w:rsidRPr="00FA1416">
        <w:rPr>
          <w:rFonts w:cs="Arial"/>
          <w:szCs w:val="22"/>
          <w:lang w:eastAsia="en-AU"/>
        </w:rPr>
        <w:t>already provide</w:t>
      </w:r>
      <w:r>
        <w:rPr>
          <w:rFonts w:cs="Arial"/>
          <w:szCs w:val="22"/>
          <w:lang w:eastAsia="en-AU"/>
        </w:rPr>
        <w:t>s</w:t>
      </w:r>
      <w:r w:rsidRPr="00FA1416">
        <w:rPr>
          <w:rFonts w:cs="Arial"/>
          <w:szCs w:val="22"/>
          <w:lang w:eastAsia="en-AU"/>
        </w:rPr>
        <w:t xml:space="preserve"> a service to the court akin to an investigatory body</w:t>
      </w:r>
      <w:r>
        <w:rPr>
          <w:rFonts w:cs="Arial"/>
          <w:szCs w:val="22"/>
          <w:lang w:eastAsia="en-AU"/>
        </w:rPr>
        <w:t xml:space="preserve"> –</w:t>
      </w:r>
      <w:r w:rsidRPr="00FA1416">
        <w:rPr>
          <w:rFonts w:cs="Arial"/>
          <w:szCs w:val="22"/>
          <w:lang w:eastAsia="en-AU"/>
        </w:rPr>
        <w:t xml:space="preserve"> </w:t>
      </w:r>
      <w:r>
        <w:t xml:space="preserve">so that an ICL can be appointed in all matters in which it would be beneficial to the child to do so. </w:t>
      </w:r>
    </w:p>
    <w:p w14:paraId="32E32262" w14:textId="3877638B" w:rsidR="00621967" w:rsidRPr="0093517F" w:rsidRDefault="00621967" w:rsidP="001B1D94">
      <w:pPr>
        <w:spacing w:line="300" w:lineRule="exact"/>
        <w:rPr>
          <w:rFonts w:cs="Arial"/>
          <w:szCs w:val="22"/>
          <w:lang w:eastAsia="en-AU"/>
        </w:rPr>
      </w:pPr>
      <w:r>
        <w:rPr>
          <w:rFonts w:cs="Arial"/>
          <w:szCs w:val="22"/>
          <w:lang w:eastAsia="en-AU"/>
        </w:rPr>
        <w:t xml:space="preserve">There would also be benefit in reviewing, with the intention of updating and legislating, the matters in which an ICL will be appointed. Currently, ICL appointments are guided by a decision of the Family Court of Australia </w:t>
      </w:r>
      <w:r w:rsidR="00EE6548">
        <w:rPr>
          <w:rFonts w:cs="Arial"/>
          <w:szCs w:val="22"/>
          <w:lang w:eastAsia="en-AU"/>
        </w:rPr>
        <w:t xml:space="preserve">that dates back to </w:t>
      </w:r>
      <w:r>
        <w:rPr>
          <w:rFonts w:cs="Arial"/>
          <w:szCs w:val="22"/>
          <w:lang w:eastAsia="en-AU"/>
        </w:rPr>
        <w:t>1994. A review will</w:t>
      </w:r>
      <w:r w:rsidRPr="00AF5B64">
        <w:rPr>
          <w:rFonts w:cs="Arial"/>
          <w:szCs w:val="22"/>
          <w:lang w:eastAsia="en-AU"/>
        </w:rPr>
        <w:t xml:space="preserve"> ensure that ICLs are appointed in the matters that would benefit most from an independent source of information on which to base decisions. </w:t>
      </w:r>
    </w:p>
    <w:p w14:paraId="4EAAE038" w14:textId="35E5F62A" w:rsidR="00621967" w:rsidRPr="0093517F" w:rsidRDefault="00621967" w:rsidP="001B1D94">
      <w:pPr>
        <w:autoSpaceDE w:val="0"/>
        <w:autoSpaceDN w:val="0"/>
        <w:adjustRightInd w:val="0"/>
        <w:spacing w:line="300" w:lineRule="exact"/>
        <w:rPr>
          <w:rFonts w:cs="Arial"/>
          <w:szCs w:val="22"/>
          <w:lang w:eastAsia="en-AU"/>
        </w:rPr>
      </w:pPr>
      <w:r>
        <w:rPr>
          <w:rFonts w:cs="Arial"/>
          <w:szCs w:val="22"/>
          <w:lang w:eastAsia="en-AU"/>
        </w:rPr>
        <w:t>The section 11F (family consultant) report is also a valuable source of information in judicial decision-making. At present, not all matters that would benefit from a report are able to access the section 11F (family consultant) report process. We recommend i</w:t>
      </w:r>
      <w:r w:rsidRPr="0093517F">
        <w:rPr>
          <w:rFonts w:cs="Arial"/>
        </w:rPr>
        <w:t>ncrease</w:t>
      </w:r>
      <w:r>
        <w:rPr>
          <w:rFonts w:cs="Arial"/>
        </w:rPr>
        <w:t>d</w:t>
      </w:r>
      <w:r w:rsidRPr="0093517F">
        <w:rPr>
          <w:rFonts w:cs="Arial"/>
        </w:rPr>
        <w:t xml:space="preserve"> resourcing of </w:t>
      </w:r>
      <w:r w:rsidR="0070363D">
        <w:rPr>
          <w:rFonts w:cs="Arial"/>
        </w:rPr>
        <w:t xml:space="preserve">the </w:t>
      </w:r>
      <w:r w:rsidRPr="0093517F">
        <w:rPr>
          <w:rFonts w:cs="Arial"/>
        </w:rPr>
        <w:t xml:space="preserve">report process to enable timelier and better targeted use of </w:t>
      </w:r>
      <w:r w:rsidR="00EE6548">
        <w:rPr>
          <w:rFonts w:cs="Arial"/>
        </w:rPr>
        <w:t>these</w:t>
      </w:r>
      <w:r w:rsidRPr="0093517F">
        <w:rPr>
          <w:rFonts w:cs="Arial"/>
        </w:rPr>
        <w:t xml:space="preserve"> reports.</w:t>
      </w:r>
    </w:p>
    <w:p w14:paraId="0C689D49" w14:textId="77777777" w:rsidR="00621967" w:rsidRDefault="00621967" w:rsidP="001B1D94">
      <w:pPr>
        <w:spacing w:line="300" w:lineRule="exact"/>
        <w:rPr>
          <w:rFonts w:cs="Arial"/>
        </w:rPr>
      </w:pPr>
      <w:r w:rsidRPr="0093517F">
        <w:rPr>
          <w:rFonts w:cs="Arial"/>
          <w:szCs w:val="22"/>
          <w:lang w:eastAsia="en-AU"/>
        </w:rPr>
        <w:t xml:space="preserve">Finally, the court may, on its own initiative issue a subpoena for production, to give evidence, or for production and to give evidence. This is an additional tool that is available to the court to ensure all the relevant information is available when making a decision.  </w:t>
      </w:r>
      <w:r w:rsidRPr="0093517F">
        <w:rPr>
          <w:rFonts w:cs="Arial"/>
        </w:rPr>
        <w:t xml:space="preserve">A practice direction </w:t>
      </w:r>
      <w:r>
        <w:rPr>
          <w:rFonts w:cs="Arial"/>
        </w:rPr>
        <w:t>would support</w:t>
      </w:r>
      <w:r w:rsidRPr="0093517F">
        <w:rPr>
          <w:rFonts w:cs="Arial"/>
        </w:rPr>
        <w:t xml:space="preserve"> greater use of the subpoena power to access information that may be of benefit in the decision-making process when neither party nor the ICL have provided or subpoenaed the information themselves.  </w:t>
      </w:r>
    </w:p>
    <w:p w14:paraId="26F98125" w14:textId="35471F9A" w:rsidR="00F325D5" w:rsidRPr="0093517F" w:rsidRDefault="00F325D5" w:rsidP="00F325D5">
      <w:pPr>
        <w:pStyle w:val="Heading3"/>
      </w:pPr>
      <w:bookmarkStart w:id="7" w:name="_Toc433612265"/>
      <w:r w:rsidRPr="00B129EC">
        <w:t>Supporting Parents to Address Risk Factors</w:t>
      </w:r>
      <w:bookmarkEnd w:id="7"/>
      <w:r w:rsidRPr="00B129EC">
        <w:t xml:space="preserve"> </w:t>
      </w:r>
    </w:p>
    <w:p w14:paraId="2466C44D" w14:textId="688D0053" w:rsidR="00621967" w:rsidRDefault="00621967" w:rsidP="001B1D94">
      <w:pPr>
        <w:spacing w:line="300" w:lineRule="exact"/>
        <w:rPr>
          <w:rFonts w:cs="Arial"/>
        </w:rPr>
      </w:pPr>
      <w:r>
        <w:rPr>
          <w:rFonts w:cs="Arial"/>
          <w:szCs w:val="22"/>
          <w:lang w:eastAsia="en-AU"/>
        </w:rPr>
        <w:t>In VLA’s experience, f</w:t>
      </w:r>
      <w:r w:rsidRPr="009518F6">
        <w:rPr>
          <w:rFonts w:cs="Arial"/>
          <w:szCs w:val="22"/>
          <w:lang w:eastAsia="en-AU"/>
        </w:rPr>
        <w:t>amilies with complex needs are presenti</w:t>
      </w:r>
      <w:r>
        <w:rPr>
          <w:rFonts w:cs="Arial"/>
          <w:szCs w:val="22"/>
          <w:lang w:eastAsia="en-AU"/>
        </w:rPr>
        <w:t xml:space="preserve">ng to the Family Law Courts with a cluster of legal and non-legal problems. The non-legal issues are a factor in the court’s assessment of a child’s safety. </w:t>
      </w:r>
      <w:r>
        <w:rPr>
          <w:rFonts w:cs="Arial"/>
        </w:rPr>
        <w:t xml:space="preserve">If parents are supported to address both legal and non-legal issues, our experience </w:t>
      </w:r>
      <w:r w:rsidR="00EE6548">
        <w:rPr>
          <w:rFonts w:cs="Arial"/>
        </w:rPr>
        <w:t xml:space="preserve">is that a </w:t>
      </w:r>
      <w:r>
        <w:rPr>
          <w:rFonts w:cs="Arial"/>
        </w:rPr>
        <w:t>family’s interaction with the family law system is more likely to lead to a lasting and meaningful difference in the lives of the children.</w:t>
      </w:r>
    </w:p>
    <w:p w14:paraId="15857C17" w14:textId="04525948" w:rsidR="00621967" w:rsidRDefault="00621967" w:rsidP="001B1D94">
      <w:pPr>
        <w:autoSpaceDE w:val="0"/>
        <w:autoSpaceDN w:val="0"/>
        <w:adjustRightInd w:val="0"/>
        <w:spacing w:line="300" w:lineRule="exact"/>
        <w:rPr>
          <w:rFonts w:cs="Arial"/>
          <w:szCs w:val="22"/>
        </w:rPr>
      </w:pPr>
      <w:r w:rsidRPr="00515B00">
        <w:rPr>
          <w:rFonts w:cs="Arial"/>
          <w:szCs w:val="22"/>
        </w:rPr>
        <w:t xml:space="preserve">There is benefit in examining which programs are currently working well (and as such could benefit from further investment to expand access) and initiatives that have been tried </w:t>
      </w:r>
      <w:r w:rsidR="00EE6548">
        <w:rPr>
          <w:rFonts w:cs="Arial"/>
          <w:szCs w:val="22"/>
        </w:rPr>
        <w:t>in the past</w:t>
      </w:r>
      <w:r w:rsidRPr="00515B00">
        <w:rPr>
          <w:rFonts w:cs="Arial"/>
          <w:szCs w:val="22"/>
        </w:rPr>
        <w:t>, and exploring new ways in which the family law system can better coordinate with non-legal service providers to assist more families to engage with such services</w:t>
      </w:r>
      <w:r>
        <w:rPr>
          <w:rFonts w:cs="Arial"/>
          <w:szCs w:val="22"/>
        </w:rPr>
        <w:t xml:space="preserve">. </w:t>
      </w:r>
    </w:p>
    <w:p w14:paraId="3CF64816" w14:textId="32EC9F7C" w:rsidR="00621967" w:rsidRDefault="00621967" w:rsidP="001B1D94">
      <w:pPr>
        <w:autoSpaceDE w:val="0"/>
        <w:autoSpaceDN w:val="0"/>
        <w:adjustRightInd w:val="0"/>
        <w:spacing w:line="300" w:lineRule="exact"/>
        <w:rPr>
          <w:rFonts w:cs="Arial"/>
          <w:szCs w:val="22"/>
          <w:lang w:eastAsia="en-AU"/>
        </w:rPr>
      </w:pPr>
      <w:r w:rsidRPr="00515B00">
        <w:rPr>
          <w:rFonts w:cs="Arial"/>
          <w:szCs w:val="22"/>
          <w:lang w:eastAsia="en-AU"/>
        </w:rPr>
        <w:t>A co-location model at the Family Law Courts could assist with both the early identif</w:t>
      </w:r>
      <w:r>
        <w:rPr>
          <w:rFonts w:cs="Arial"/>
          <w:szCs w:val="22"/>
          <w:lang w:eastAsia="en-AU"/>
        </w:rPr>
        <w:t xml:space="preserve">ication of non-legal issues </w:t>
      </w:r>
      <w:r w:rsidRPr="00515B00">
        <w:rPr>
          <w:rFonts w:cs="Arial"/>
          <w:szCs w:val="22"/>
          <w:lang w:eastAsia="en-AU"/>
        </w:rPr>
        <w:t xml:space="preserve">and </w:t>
      </w:r>
      <w:r>
        <w:rPr>
          <w:rFonts w:cs="Arial"/>
          <w:szCs w:val="22"/>
          <w:lang w:eastAsia="en-AU"/>
        </w:rPr>
        <w:t xml:space="preserve">appropriate referrals to non-legal support services. Our experience with the Family Violence Court Division in Victoria suggests this is </w:t>
      </w:r>
      <w:r w:rsidR="00EE6548">
        <w:rPr>
          <w:rFonts w:cs="Arial"/>
          <w:szCs w:val="22"/>
          <w:lang w:eastAsia="en-AU"/>
        </w:rPr>
        <w:t xml:space="preserve">a </w:t>
      </w:r>
      <w:r>
        <w:rPr>
          <w:rFonts w:cs="Arial"/>
          <w:szCs w:val="22"/>
          <w:lang w:eastAsia="en-AU"/>
        </w:rPr>
        <w:t xml:space="preserve">model worthy of consideration. </w:t>
      </w:r>
    </w:p>
    <w:p w14:paraId="4F3843A4" w14:textId="33CF2FC6" w:rsidR="00621967" w:rsidRPr="00D02F18" w:rsidRDefault="00E36B0B" w:rsidP="001B1D94">
      <w:pPr>
        <w:autoSpaceDE w:val="0"/>
        <w:autoSpaceDN w:val="0"/>
        <w:adjustRightInd w:val="0"/>
        <w:spacing w:line="300" w:lineRule="exact"/>
        <w:rPr>
          <w:rFonts w:cs="Arial"/>
          <w:szCs w:val="22"/>
          <w:lang w:eastAsia="en-AU"/>
        </w:rPr>
      </w:pPr>
      <w:r>
        <w:rPr>
          <w:rFonts w:cs="Arial"/>
          <w:szCs w:val="22"/>
          <w:lang w:eastAsia="en-AU"/>
        </w:rPr>
        <w:t>Greater case management through c</w:t>
      </w:r>
      <w:r w:rsidR="00621967">
        <w:rPr>
          <w:rFonts w:cs="Arial"/>
          <w:szCs w:val="22"/>
          <w:lang w:eastAsia="en-AU"/>
        </w:rPr>
        <w:t>ase coordinators – to assist families to continue engaging with non-legal support services once family law orders are made and</w:t>
      </w:r>
      <w:r w:rsidR="00EE6548">
        <w:rPr>
          <w:rFonts w:cs="Arial"/>
          <w:szCs w:val="22"/>
          <w:lang w:eastAsia="en-AU"/>
        </w:rPr>
        <w:t xml:space="preserve"> to</w:t>
      </w:r>
      <w:r w:rsidR="00621967">
        <w:rPr>
          <w:rFonts w:cs="Arial"/>
          <w:szCs w:val="22"/>
          <w:lang w:eastAsia="en-AU"/>
        </w:rPr>
        <w:t xml:space="preserve"> coordinate the multiple service providers assisting the family – </w:t>
      </w:r>
      <w:r>
        <w:rPr>
          <w:rFonts w:cs="Arial"/>
          <w:szCs w:val="22"/>
          <w:lang w:eastAsia="en-AU"/>
        </w:rPr>
        <w:t>is</w:t>
      </w:r>
      <w:r w:rsidR="00621967">
        <w:rPr>
          <w:rFonts w:cs="Arial"/>
          <w:szCs w:val="22"/>
          <w:lang w:eastAsia="en-AU"/>
        </w:rPr>
        <w:t xml:space="preserve"> also an option </w:t>
      </w:r>
      <w:r>
        <w:rPr>
          <w:rFonts w:cs="Arial"/>
          <w:szCs w:val="22"/>
          <w:lang w:eastAsia="en-AU"/>
        </w:rPr>
        <w:t>to consider piloting</w:t>
      </w:r>
      <w:r w:rsidR="00F715F0">
        <w:rPr>
          <w:rFonts w:cs="Arial"/>
          <w:szCs w:val="22"/>
          <w:lang w:eastAsia="en-AU"/>
        </w:rPr>
        <w:t xml:space="preserve"> and evaluating</w:t>
      </w:r>
      <w:r>
        <w:rPr>
          <w:rFonts w:cs="Arial"/>
          <w:szCs w:val="22"/>
          <w:lang w:eastAsia="en-AU"/>
        </w:rPr>
        <w:t xml:space="preserve">. </w:t>
      </w:r>
      <w:r w:rsidR="00621967">
        <w:rPr>
          <w:rFonts w:cs="Arial"/>
          <w:szCs w:val="22"/>
          <w:lang w:eastAsia="en-AU"/>
        </w:rPr>
        <w:t xml:space="preserve"> </w:t>
      </w:r>
    </w:p>
    <w:p w14:paraId="3C87C7A4" w14:textId="77777777" w:rsidR="00621967" w:rsidRDefault="00621967" w:rsidP="001B1D94">
      <w:pPr>
        <w:autoSpaceDE w:val="0"/>
        <w:autoSpaceDN w:val="0"/>
        <w:adjustRightInd w:val="0"/>
        <w:spacing w:line="300" w:lineRule="exact"/>
      </w:pPr>
      <w:r>
        <w:rPr>
          <w:rFonts w:cs="Arial"/>
          <w:szCs w:val="22"/>
          <w:lang w:eastAsia="en-AU"/>
        </w:rPr>
        <w:t>Finally, timely engagement with non-legal support services is reliant on the availability of places to meet demand. In VLA’s experience, demand for non-legal support services exceeds the places available.</w:t>
      </w:r>
      <w:r w:rsidRPr="00D02F18">
        <w:rPr>
          <w:rFonts w:cs="Arial"/>
          <w:szCs w:val="22"/>
          <w:lang w:eastAsia="en-AU"/>
        </w:rPr>
        <w:t xml:space="preserve"> </w:t>
      </w:r>
      <w:r>
        <w:rPr>
          <w:rFonts w:cs="Arial"/>
          <w:szCs w:val="22"/>
          <w:lang w:eastAsia="en-AU"/>
        </w:rPr>
        <w:t xml:space="preserve">A particular issue is the lack of suitable non-legal services to persons from culturally and linguistically diverse communities and non-English speaking backgrounds as well as parents with special needs. </w:t>
      </w:r>
    </w:p>
    <w:p w14:paraId="7FEF43D1" w14:textId="5FBC5DCB" w:rsidR="007825F3" w:rsidRDefault="007D7535" w:rsidP="00161EEF">
      <w:pPr>
        <w:pStyle w:val="Heading1"/>
      </w:pPr>
      <w:r>
        <w:br w:type="page"/>
      </w:r>
      <w:bookmarkStart w:id="8" w:name="_Toc433612266"/>
      <w:r w:rsidR="002C56CD">
        <w:lastRenderedPageBreak/>
        <w:t>Summary of R</w:t>
      </w:r>
      <w:r w:rsidR="007825F3">
        <w:t>ecommendations</w:t>
      </w:r>
      <w:bookmarkEnd w:id="8"/>
    </w:p>
    <w:p w14:paraId="76CC00C1" w14:textId="46D2DDD2" w:rsidR="00515B00"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Establish a database of orders that provides a single repository of family law, family violence and child protection orders that can be accessed by each of the relevant courts (the Family Law Courts, Magistrates’ Courts and Children’s Court) and by state child protection authorities</w:t>
      </w:r>
      <w:r w:rsidR="0003107D">
        <w:rPr>
          <w:rFonts w:ascii="Arial" w:hAnsi="Arial" w:cs="Arial"/>
        </w:rPr>
        <w:t>.</w:t>
      </w:r>
    </w:p>
    <w:p w14:paraId="0B45EBB8" w14:textId="4B00584E" w:rsidR="00515B00"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 xml:space="preserve">Consider expansion of the Co-Located </w:t>
      </w:r>
      <w:r w:rsidR="0003107D">
        <w:rPr>
          <w:rFonts w:ascii="Arial" w:hAnsi="Arial" w:cs="Arial"/>
        </w:rPr>
        <w:t>Department of Health and Human Services (DHHS)</w:t>
      </w:r>
      <w:r w:rsidR="0003107D" w:rsidRPr="008233D5">
        <w:rPr>
          <w:rFonts w:ascii="Arial" w:hAnsi="Arial" w:cs="Arial"/>
        </w:rPr>
        <w:t xml:space="preserve"> </w:t>
      </w:r>
      <w:r w:rsidRPr="008233D5">
        <w:rPr>
          <w:rFonts w:ascii="Arial" w:hAnsi="Arial" w:cs="Arial"/>
        </w:rPr>
        <w:t>Liaison Officers program.</w:t>
      </w:r>
    </w:p>
    <w:p w14:paraId="1470B236" w14:textId="119FED0A" w:rsidR="00515B00"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 xml:space="preserve">Conduct further research to examine the existence of information gaps between a party’s affidavit material and disclosures at </w:t>
      </w:r>
      <w:r w:rsidR="00C45E91">
        <w:rPr>
          <w:rFonts w:ascii="Arial" w:hAnsi="Arial" w:cs="Arial"/>
        </w:rPr>
        <w:t>Family Dispute Resolution (</w:t>
      </w:r>
      <w:r w:rsidRPr="008233D5">
        <w:rPr>
          <w:rFonts w:ascii="Arial" w:hAnsi="Arial" w:cs="Arial"/>
        </w:rPr>
        <w:t>FDR</w:t>
      </w:r>
      <w:r w:rsidR="00C45E91">
        <w:rPr>
          <w:rFonts w:ascii="Arial" w:hAnsi="Arial" w:cs="Arial"/>
        </w:rPr>
        <w:t>)</w:t>
      </w:r>
      <w:r w:rsidRPr="008233D5">
        <w:rPr>
          <w:rFonts w:ascii="Arial" w:hAnsi="Arial" w:cs="Arial"/>
        </w:rPr>
        <w:t>.</w:t>
      </w:r>
    </w:p>
    <w:p w14:paraId="42717638" w14:textId="51B3F07F" w:rsidR="00515B00"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 xml:space="preserve">If changes to the section 60I certificate are to be explored, </w:t>
      </w:r>
      <w:r w:rsidR="00C45E91">
        <w:rPr>
          <w:rFonts w:ascii="Arial" w:hAnsi="Arial" w:cs="Arial"/>
        </w:rPr>
        <w:t xml:space="preserve">that </w:t>
      </w:r>
      <w:r w:rsidRPr="008233D5">
        <w:rPr>
          <w:rFonts w:ascii="Arial" w:hAnsi="Arial" w:cs="Arial"/>
        </w:rPr>
        <w:t>consideration be given to how any changes may inadvertently elevate the risk for a party to a matter and the children.</w:t>
      </w:r>
    </w:p>
    <w:p w14:paraId="15D10974" w14:textId="77777777" w:rsidR="00515B00"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Further and ongoing training for judicial officers in identifying risk factors to be considered at the early stages of a parenting dispute matter.</w:t>
      </w:r>
    </w:p>
    <w:p w14:paraId="0F646915" w14:textId="77777777" w:rsidR="00515B00"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A change in court practices so that parties may be questioned at an earlier stage about risk factors that may inform the making of an interim family law order.</w:t>
      </w:r>
    </w:p>
    <w:p w14:paraId="1A1FF81D" w14:textId="67487C67" w:rsidR="00515B00"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 xml:space="preserve">Increase resourcing to the Family Law Courts so that judicial officers are provided with adequate time to prepare for the first return date and interim hearings. </w:t>
      </w:r>
    </w:p>
    <w:p w14:paraId="577E2DD3" w14:textId="6EA89799" w:rsidR="00515B00"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 xml:space="preserve">Increase investment in the </w:t>
      </w:r>
      <w:r w:rsidR="00B724D3">
        <w:rPr>
          <w:rFonts w:ascii="Arial" w:hAnsi="Arial" w:cs="Arial"/>
        </w:rPr>
        <w:t>i</w:t>
      </w:r>
      <w:r w:rsidR="00421174">
        <w:rPr>
          <w:rFonts w:ascii="Arial" w:hAnsi="Arial" w:cs="Arial"/>
        </w:rPr>
        <w:t xml:space="preserve">ndependent </w:t>
      </w:r>
      <w:r w:rsidR="00B724D3">
        <w:rPr>
          <w:rFonts w:ascii="Arial" w:hAnsi="Arial" w:cs="Arial"/>
        </w:rPr>
        <w:t>c</w:t>
      </w:r>
      <w:r w:rsidR="00421174">
        <w:rPr>
          <w:rFonts w:ascii="Arial" w:hAnsi="Arial" w:cs="Arial"/>
        </w:rPr>
        <w:t xml:space="preserve">hildren’s </w:t>
      </w:r>
      <w:r w:rsidR="00B724D3">
        <w:rPr>
          <w:rFonts w:ascii="Arial" w:hAnsi="Arial" w:cs="Arial"/>
        </w:rPr>
        <w:t>l</w:t>
      </w:r>
      <w:r w:rsidR="00421174">
        <w:rPr>
          <w:rFonts w:ascii="Arial" w:hAnsi="Arial" w:cs="Arial"/>
        </w:rPr>
        <w:t>awyers (ICL)</w:t>
      </w:r>
      <w:r w:rsidR="00421174" w:rsidRPr="008233D5">
        <w:rPr>
          <w:rFonts w:ascii="Arial" w:hAnsi="Arial" w:cs="Arial"/>
        </w:rPr>
        <w:t xml:space="preserve"> </w:t>
      </w:r>
      <w:r w:rsidRPr="008233D5">
        <w:rPr>
          <w:rFonts w:ascii="Arial" w:hAnsi="Arial" w:cs="Arial"/>
        </w:rPr>
        <w:t xml:space="preserve">function so that an ICL can be appointed in all matters in which it would be beneficial to the child to do so. </w:t>
      </w:r>
    </w:p>
    <w:p w14:paraId="1EB0E7D3" w14:textId="77777777" w:rsidR="00515B00"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 xml:space="preserve">Review, with the intention of updating and legislating, the framework for the appointment of ICLs. </w:t>
      </w:r>
    </w:p>
    <w:p w14:paraId="31C76340" w14:textId="08B25D20" w:rsidR="0070363D"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 xml:space="preserve">Increase resourcing of the section 11F </w:t>
      </w:r>
      <w:r w:rsidR="00173ED0">
        <w:rPr>
          <w:rFonts w:ascii="Arial" w:hAnsi="Arial" w:cs="Arial"/>
        </w:rPr>
        <w:t xml:space="preserve">(family consultant) report </w:t>
      </w:r>
      <w:r w:rsidRPr="008233D5">
        <w:rPr>
          <w:rFonts w:ascii="Arial" w:hAnsi="Arial" w:cs="Arial"/>
        </w:rPr>
        <w:t>process to enable timelier and targeted use of section 11F</w:t>
      </w:r>
      <w:r w:rsidR="00DD08F8">
        <w:rPr>
          <w:rFonts w:ascii="Arial" w:hAnsi="Arial" w:cs="Arial"/>
        </w:rPr>
        <w:t xml:space="preserve"> (family consultant)</w:t>
      </w:r>
      <w:r w:rsidRPr="008233D5">
        <w:rPr>
          <w:rFonts w:ascii="Arial" w:hAnsi="Arial" w:cs="Arial"/>
        </w:rPr>
        <w:t xml:space="preserve"> reports.</w:t>
      </w:r>
    </w:p>
    <w:p w14:paraId="1A4C5239" w14:textId="3DAB3A17" w:rsidR="00515B00" w:rsidRPr="008233D5" w:rsidRDefault="00EE6548" w:rsidP="00515B00">
      <w:pPr>
        <w:pStyle w:val="ListParagraph"/>
        <w:numPr>
          <w:ilvl w:val="0"/>
          <w:numId w:val="46"/>
        </w:numPr>
        <w:spacing w:after="120" w:line="300" w:lineRule="exact"/>
        <w:ind w:left="714" w:hanging="357"/>
        <w:rPr>
          <w:rFonts w:ascii="Arial" w:hAnsi="Arial" w:cs="Arial"/>
        </w:rPr>
      </w:pPr>
      <w:r>
        <w:rPr>
          <w:rFonts w:ascii="Arial" w:hAnsi="Arial" w:cs="Arial"/>
        </w:rPr>
        <w:t>Issue a</w:t>
      </w:r>
      <w:r w:rsidRPr="008233D5">
        <w:rPr>
          <w:rFonts w:ascii="Arial" w:hAnsi="Arial" w:cs="Arial"/>
        </w:rPr>
        <w:t xml:space="preserve"> </w:t>
      </w:r>
      <w:r w:rsidR="00515B00" w:rsidRPr="008233D5">
        <w:rPr>
          <w:rFonts w:ascii="Arial" w:hAnsi="Arial" w:cs="Arial"/>
        </w:rPr>
        <w:t xml:space="preserve">practice direction that supports greater use of the subpoena power to access information that may be of benefit in the decision-making process </w:t>
      </w:r>
      <w:r w:rsidR="0066578D">
        <w:rPr>
          <w:rFonts w:ascii="Arial" w:hAnsi="Arial" w:cs="Arial"/>
        </w:rPr>
        <w:t>when</w:t>
      </w:r>
      <w:r w:rsidR="0066578D" w:rsidRPr="008233D5">
        <w:rPr>
          <w:rFonts w:ascii="Arial" w:hAnsi="Arial" w:cs="Arial"/>
        </w:rPr>
        <w:t xml:space="preserve"> </w:t>
      </w:r>
      <w:r w:rsidR="00515B00" w:rsidRPr="008233D5">
        <w:rPr>
          <w:rFonts w:ascii="Arial" w:hAnsi="Arial" w:cs="Arial"/>
        </w:rPr>
        <w:t xml:space="preserve">neither </w:t>
      </w:r>
      <w:r w:rsidR="00C917FD">
        <w:rPr>
          <w:rFonts w:ascii="Arial" w:hAnsi="Arial" w:cs="Arial"/>
        </w:rPr>
        <w:t>party</w:t>
      </w:r>
      <w:r w:rsidR="00C917FD" w:rsidRPr="008233D5">
        <w:rPr>
          <w:rFonts w:ascii="Arial" w:hAnsi="Arial" w:cs="Arial"/>
        </w:rPr>
        <w:t xml:space="preserve"> </w:t>
      </w:r>
      <w:r w:rsidR="00515B00" w:rsidRPr="008233D5">
        <w:rPr>
          <w:rFonts w:ascii="Arial" w:hAnsi="Arial" w:cs="Arial"/>
        </w:rPr>
        <w:t xml:space="preserve">nor the ICL have provided or subpoenaed the information themselves.  </w:t>
      </w:r>
    </w:p>
    <w:p w14:paraId="7CFB1F7B" w14:textId="758201BB" w:rsidR="00515B00"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Assess the non-legal support programs that currently assist families in the family law system</w:t>
      </w:r>
      <w:r w:rsidR="008B5A7B">
        <w:rPr>
          <w:rFonts w:ascii="Arial" w:hAnsi="Arial" w:cs="Arial"/>
        </w:rPr>
        <w:t>,</w:t>
      </w:r>
      <w:r w:rsidRPr="008233D5">
        <w:rPr>
          <w:rFonts w:ascii="Arial" w:hAnsi="Arial" w:cs="Arial"/>
        </w:rPr>
        <w:t xml:space="preserve"> and</w:t>
      </w:r>
      <w:r w:rsidR="0066578D">
        <w:rPr>
          <w:rFonts w:ascii="Arial" w:hAnsi="Arial" w:cs="Arial"/>
        </w:rPr>
        <w:t xml:space="preserve"> </w:t>
      </w:r>
      <w:r w:rsidR="00EE6548">
        <w:rPr>
          <w:rFonts w:ascii="Arial" w:hAnsi="Arial" w:cs="Arial"/>
        </w:rPr>
        <w:t>past</w:t>
      </w:r>
      <w:r w:rsidR="00EE6548" w:rsidRPr="008233D5">
        <w:rPr>
          <w:rFonts w:ascii="Arial" w:hAnsi="Arial" w:cs="Arial"/>
        </w:rPr>
        <w:t xml:space="preserve"> </w:t>
      </w:r>
      <w:r w:rsidRPr="008233D5">
        <w:rPr>
          <w:rFonts w:ascii="Arial" w:hAnsi="Arial" w:cs="Arial"/>
        </w:rPr>
        <w:t xml:space="preserve">initiatives, with the view to supporting further investment in successful programs in order to expand access. </w:t>
      </w:r>
    </w:p>
    <w:p w14:paraId="48F3BC87" w14:textId="17587371" w:rsidR="00515B00"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 xml:space="preserve">Explore a co-location model for non-legal service providers at the Family Law Courts, to assist more families to engage with </w:t>
      </w:r>
      <w:r w:rsidR="0066578D">
        <w:rPr>
          <w:rFonts w:ascii="Arial" w:hAnsi="Arial" w:cs="Arial"/>
        </w:rPr>
        <w:t xml:space="preserve">these </w:t>
      </w:r>
      <w:r w:rsidRPr="008233D5">
        <w:rPr>
          <w:rFonts w:ascii="Arial" w:hAnsi="Arial" w:cs="Arial"/>
        </w:rPr>
        <w:t xml:space="preserve">services. </w:t>
      </w:r>
    </w:p>
    <w:p w14:paraId="499450D9" w14:textId="77777777" w:rsidR="00515B00" w:rsidRPr="008233D5" w:rsidRDefault="00515B00" w:rsidP="00515B00">
      <w:pPr>
        <w:pStyle w:val="ListParagraph"/>
        <w:numPr>
          <w:ilvl w:val="0"/>
          <w:numId w:val="46"/>
        </w:numPr>
        <w:spacing w:after="120" w:line="300" w:lineRule="exact"/>
        <w:ind w:left="714" w:hanging="357"/>
        <w:rPr>
          <w:rFonts w:ascii="Arial" w:hAnsi="Arial" w:cs="Arial"/>
        </w:rPr>
      </w:pPr>
      <w:r w:rsidRPr="008233D5">
        <w:rPr>
          <w:rFonts w:ascii="Arial" w:hAnsi="Arial" w:cs="Arial"/>
        </w:rPr>
        <w:t xml:space="preserve">Consider piloting and evaluating a case coordinator model of non-legal service delivery at the Family Law Courts. </w:t>
      </w:r>
    </w:p>
    <w:p w14:paraId="19099979" w14:textId="36F1C970" w:rsidR="00EE42A2" w:rsidRPr="004B1F01" w:rsidRDefault="00515B00" w:rsidP="00EE42A2">
      <w:pPr>
        <w:pStyle w:val="ListParagraph"/>
        <w:numPr>
          <w:ilvl w:val="0"/>
          <w:numId w:val="46"/>
        </w:numPr>
        <w:spacing w:after="120" w:line="300" w:lineRule="exact"/>
        <w:ind w:left="714" w:hanging="357"/>
        <w:rPr>
          <w:rFonts w:ascii="Arial" w:hAnsi="Arial" w:cs="Arial"/>
        </w:rPr>
      </w:pPr>
      <w:r w:rsidRPr="008233D5">
        <w:rPr>
          <w:rFonts w:ascii="Arial" w:hAnsi="Arial" w:cs="Arial"/>
        </w:rPr>
        <w:t>Examine the accessibility of non-legal support services regularly used by families presenting with complex needs and the timeliness</w:t>
      </w:r>
      <w:r w:rsidR="0066578D">
        <w:rPr>
          <w:rFonts w:ascii="Arial" w:hAnsi="Arial" w:cs="Arial"/>
        </w:rPr>
        <w:t xml:space="preserve"> with</w:t>
      </w:r>
      <w:r w:rsidRPr="008233D5">
        <w:rPr>
          <w:rFonts w:ascii="Arial" w:hAnsi="Arial" w:cs="Arial"/>
        </w:rPr>
        <w:t xml:space="preserve"> which parents can engage with services. </w:t>
      </w:r>
    </w:p>
    <w:p w14:paraId="205163D7" w14:textId="77777777" w:rsidR="00EE42A2" w:rsidRDefault="00EE42A2">
      <w:pPr>
        <w:spacing w:after="0" w:line="240" w:lineRule="auto"/>
        <w:rPr>
          <w:lang w:eastAsia="en-AU"/>
        </w:rPr>
      </w:pPr>
      <w:r>
        <w:rPr>
          <w:lang w:eastAsia="en-AU"/>
        </w:rPr>
        <w:br w:type="page"/>
      </w:r>
    </w:p>
    <w:p w14:paraId="6D700160" w14:textId="77777777" w:rsidR="00EE42A2" w:rsidRPr="00C72ADF" w:rsidRDefault="00EE42A2" w:rsidP="00EE42A2">
      <w:pPr>
        <w:pStyle w:val="Heading1"/>
      </w:pPr>
      <w:bookmarkStart w:id="9" w:name="_Toc418076748"/>
      <w:bookmarkStart w:id="10" w:name="_Toc433612267"/>
      <w:r w:rsidRPr="00C72ADF">
        <w:lastRenderedPageBreak/>
        <w:t>Introduction</w:t>
      </w:r>
      <w:bookmarkEnd w:id="9"/>
      <w:bookmarkEnd w:id="10"/>
      <w:r w:rsidRPr="00C72ADF">
        <w:t xml:space="preserve"> </w:t>
      </w:r>
    </w:p>
    <w:p w14:paraId="7CF1AAA5" w14:textId="452350A1" w:rsidR="00EE42A2" w:rsidRPr="00DC3A13" w:rsidRDefault="00EE42A2" w:rsidP="00DC3A13">
      <w:pPr>
        <w:spacing w:line="300" w:lineRule="exact"/>
        <w:rPr>
          <w:rFonts w:cs="Arial"/>
          <w:szCs w:val="22"/>
        </w:rPr>
      </w:pPr>
      <w:r w:rsidRPr="00DC3A13">
        <w:rPr>
          <w:rFonts w:cs="Arial"/>
          <w:szCs w:val="22"/>
        </w:rPr>
        <w:t>Victoria Legal Aid</w:t>
      </w:r>
      <w:r w:rsidR="00EC778E" w:rsidRPr="00DC3A13">
        <w:rPr>
          <w:rFonts w:cs="Arial"/>
          <w:szCs w:val="22"/>
        </w:rPr>
        <w:t>’s</w:t>
      </w:r>
      <w:r w:rsidRPr="00DC3A13">
        <w:rPr>
          <w:rFonts w:cs="Arial"/>
          <w:szCs w:val="22"/>
        </w:rPr>
        <w:t xml:space="preserve"> (VLA) first submission </w:t>
      </w:r>
      <w:r w:rsidR="00EC778E" w:rsidRPr="00DC3A13">
        <w:rPr>
          <w:rFonts w:cs="Arial"/>
          <w:szCs w:val="22"/>
        </w:rPr>
        <w:t>to</w:t>
      </w:r>
      <w:r w:rsidR="005338AF" w:rsidRPr="00DC3A13">
        <w:rPr>
          <w:rFonts w:cs="Arial"/>
          <w:szCs w:val="22"/>
        </w:rPr>
        <w:t xml:space="preserve"> the </w:t>
      </w:r>
      <w:r w:rsidR="00EC778E" w:rsidRPr="00DC3A13">
        <w:rPr>
          <w:rFonts w:cs="Arial"/>
          <w:szCs w:val="22"/>
        </w:rPr>
        <w:t xml:space="preserve">Family Law Council welcomed </w:t>
      </w:r>
      <w:r w:rsidR="00FC2AFD" w:rsidRPr="00DC3A13">
        <w:rPr>
          <w:rFonts w:cs="Arial"/>
          <w:szCs w:val="22"/>
        </w:rPr>
        <w:t>the Council’s</w:t>
      </w:r>
      <w:r w:rsidR="00EC778E" w:rsidRPr="00DC3A13">
        <w:rPr>
          <w:rFonts w:cs="Arial"/>
          <w:szCs w:val="22"/>
        </w:rPr>
        <w:t xml:space="preserve"> </w:t>
      </w:r>
      <w:r w:rsidRPr="00DC3A13">
        <w:rPr>
          <w:rFonts w:cs="Arial"/>
          <w:szCs w:val="22"/>
        </w:rPr>
        <w:t>investigation into ways in which the family law system can better suppo</w:t>
      </w:r>
      <w:r w:rsidR="005338AF" w:rsidRPr="00DC3A13">
        <w:rPr>
          <w:rFonts w:cs="Arial"/>
          <w:szCs w:val="22"/>
        </w:rPr>
        <w:t xml:space="preserve">rt families with complex needs. </w:t>
      </w:r>
      <w:r w:rsidR="00044165" w:rsidRPr="00DC3A13">
        <w:rPr>
          <w:rFonts w:cs="Arial"/>
          <w:szCs w:val="22"/>
        </w:rPr>
        <w:t xml:space="preserve">The Terms of Reference are an important recognition of the persistent challenges </w:t>
      </w:r>
      <w:r w:rsidR="00412AD8" w:rsidRPr="00DC3A13">
        <w:rPr>
          <w:rFonts w:cs="Arial"/>
          <w:szCs w:val="22"/>
        </w:rPr>
        <w:t xml:space="preserve">for families </w:t>
      </w:r>
      <w:r w:rsidR="00044165" w:rsidRPr="00DC3A13">
        <w:rPr>
          <w:rFonts w:cs="Arial"/>
          <w:szCs w:val="22"/>
        </w:rPr>
        <w:t>arising from the intersection of the family law, family violence and child protection jurisdictions.</w:t>
      </w:r>
    </w:p>
    <w:p w14:paraId="5E2C7600" w14:textId="022B6AA3" w:rsidR="00044165" w:rsidRPr="00DC3A13" w:rsidRDefault="00EC778E" w:rsidP="00DC3A13">
      <w:pPr>
        <w:autoSpaceDE w:val="0"/>
        <w:autoSpaceDN w:val="0"/>
        <w:adjustRightInd w:val="0"/>
        <w:spacing w:line="300" w:lineRule="exact"/>
        <w:rPr>
          <w:rFonts w:cs="Arial"/>
          <w:szCs w:val="22"/>
          <w:lang w:eastAsia="en-AU"/>
        </w:rPr>
      </w:pPr>
      <w:r w:rsidRPr="00DC3A13">
        <w:rPr>
          <w:rFonts w:cs="Arial"/>
          <w:szCs w:val="22"/>
        </w:rPr>
        <w:t xml:space="preserve">As noted in our first submission, improving the role of the legal system in protecting children in families with complex </w:t>
      </w:r>
      <w:r w:rsidR="00FB1E03" w:rsidRPr="00DC3A13">
        <w:rPr>
          <w:rFonts w:cs="Arial"/>
          <w:szCs w:val="22"/>
        </w:rPr>
        <w:t>needs</w:t>
      </w:r>
      <w:r w:rsidRPr="00DC3A13">
        <w:rPr>
          <w:rFonts w:cs="Arial"/>
          <w:szCs w:val="22"/>
        </w:rPr>
        <w:t xml:space="preserve"> is not a new issue. </w:t>
      </w:r>
      <w:r w:rsidR="00044165" w:rsidRPr="00DC3A13">
        <w:rPr>
          <w:rFonts w:cs="Arial"/>
          <w:szCs w:val="22"/>
        </w:rPr>
        <w:t xml:space="preserve">Previous research has suggested </w:t>
      </w:r>
      <w:r w:rsidR="00044165" w:rsidRPr="00DC3A13">
        <w:rPr>
          <w:rFonts w:cs="Arial"/>
          <w:szCs w:val="22"/>
          <w:lang w:eastAsia="en-AU"/>
        </w:rPr>
        <w:t>that if policy makers were to re-imagine the legal system in Australia</w:t>
      </w:r>
      <w:r w:rsidR="0066578D">
        <w:rPr>
          <w:rFonts w:cs="Arial"/>
          <w:szCs w:val="22"/>
          <w:lang w:eastAsia="en-AU"/>
        </w:rPr>
        <w:t>,</w:t>
      </w:r>
      <w:r w:rsidR="00044165" w:rsidRPr="00DC3A13">
        <w:rPr>
          <w:rFonts w:cs="Arial"/>
          <w:szCs w:val="22"/>
          <w:lang w:eastAsia="en-AU"/>
        </w:rPr>
        <w:t xml:space="preserve"> it would be in the best interest</w:t>
      </w:r>
      <w:r w:rsidR="00AB1754" w:rsidRPr="00DC3A13">
        <w:rPr>
          <w:rFonts w:cs="Arial"/>
          <w:szCs w:val="22"/>
          <w:lang w:eastAsia="en-AU"/>
        </w:rPr>
        <w:t>s</w:t>
      </w:r>
      <w:r w:rsidR="00044165" w:rsidRPr="00DC3A13">
        <w:rPr>
          <w:rFonts w:cs="Arial"/>
          <w:szCs w:val="22"/>
          <w:lang w:eastAsia="en-AU"/>
        </w:rPr>
        <w:t xml:space="preserve"> of </w:t>
      </w:r>
      <w:r w:rsidR="00AB1754" w:rsidRPr="00DC3A13">
        <w:rPr>
          <w:rFonts w:cs="Arial"/>
          <w:szCs w:val="22"/>
          <w:lang w:eastAsia="en-AU"/>
        </w:rPr>
        <w:t xml:space="preserve">children and </w:t>
      </w:r>
      <w:r w:rsidR="00044165" w:rsidRPr="00DC3A13">
        <w:rPr>
          <w:rFonts w:cs="Arial"/>
          <w:szCs w:val="22"/>
          <w:lang w:eastAsia="en-AU"/>
        </w:rPr>
        <w:t xml:space="preserve">families, and more resource efficient, to establish a unified court that </w:t>
      </w:r>
      <w:r w:rsidR="0066578D">
        <w:rPr>
          <w:rFonts w:cs="Arial"/>
          <w:szCs w:val="22"/>
          <w:lang w:eastAsia="en-AU"/>
        </w:rPr>
        <w:t>could</w:t>
      </w:r>
      <w:r w:rsidR="00044165" w:rsidRPr="00DC3A13">
        <w:rPr>
          <w:rFonts w:cs="Arial"/>
          <w:szCs w:val="22"/>
          <w:lang w:eastAsia="en-AU"/>
        </w:rPr>
        <w:t xml:space="preserve"> address family law, family violence and child protection matters. </w:t>
      </w:r>
    </w:p>
    <w:p w14:paraId="6AB7B3CA" w14:textId="6637CC90" w:rsidR="00044165" w:rsidRPr="00DC3A13" w:rsidRDefault="00044165" w:rsidP="00DC3A13">
      <w:pPr>
        <w:autoSpaceDE w:val="0"/>
        <w:autoSpaceDN w:val="0"/>
        <w:adjustRightInd w:val="0"/>
        <w:spacing w:line="300" w:lineRule="exact"/>
        <w:rPr>
          <w:rFonts w:cs="Arial"/>
          <w:szCs w:val="22"/>
          <w:lang w:eastAsia="en-AU"/>
        </w:rPr>
      </w:pPr>
      <w:r w:rsidRPr="00DC3A13">
        <w:rPr>
          <w:rFonts w:cs="Arial"/>
          <w:szCs w:val="22"/>
          <w:lang w:eastAsia="en-AU"/>
        </w:rPr>
        <w:t>VLA’s practice experience suggest</w:t>
      </w:r>
      <w:r w:rsidR="00DC3A13" w:rsidRPr="00DC3A13">
        <w:rPr>
          <w:rFonts w:cs="Arial"/>
          <w:szCs w:val="22"/>
          <w:lang w:eastAsia="en-AU"/>
        </w:rPr>
        <w:t>s</w:t>
      </w:r>
      <w:r w:rsidRPr="00DC3A13">
        <w:rPr>
          <w:rFonts w:cs="Arial"/>
          <w:szCs w:val="22"/>
          <w:lang w:eastAsia="en-AU"/>
        </w:rPr>
        <w:t xml:space="preserve"> that </w:t>
      </w:r>
      <w:r w:rsidR="0066578D">
        <w:rPr>
          <w:rFonts w:cs="Arial"/>
          <w:szCs w:val="22"/>
          <w:lang w:eastAsia="en-AU"/>
        </w:rPr>
        <w:t xml:space="preserve">while </w:t>
      </w:r>
      <w:r w:rsidRPr="00DC3A13">
        <w:rPr>
          <w:rFonts w:cs="Arial"/>
          <w:szCs w:val="22"/>
          <w:lang w:eastAsia="en-AU"/>
        </w:rPr>
        <w:t>most families do not experience legal problems that cut across the jurisdictions</w:t>
      </w:r>
      <w:r w:rsidR="0066578D">
        <w:rPr>
          <w:rFonts w:cs="Arial"/>
          <w:szCs w:val="22"/>
          <w:lang w:eastAsia="en-AU"/>
        </w:rPr>
        <w:t>,</w:t>
      </w:r>
      <w:r w:rsidRPr="00DC3A13">
        <w:rPr>
          <w:rFonts w:cs="Arial"/>
          <w:szCs w:val="22"/>
          <w:lang w:eastAsia="en-AU"/>
        </w:rPr>
        <w:t xml:space="preserve"> a significant </w:t>
      </w:r>
      <w:r w:rsidR="0066578D">
        <w:rPr>
          <w:rFonts w:cs="Arial"/>
          <w:szCs w:val="22"/>
          <w:lang w:eastAsia="en-AU"/>
        </w:rPr>
        <w:t>number</w:t>
      </w:r>
      <w:r w:rsidR="0066578D" w:rsidRPr="00DC3A13">
        <w:rPr>
          <w:rFonts w:cs="Arial"/>
          <w:szCs w:val="22"/>
          <w:lang w:eastAsia="en-AU"/>
        </w:rPr>
        <w:t xml:space="preserve"> </w:t>
      </w:r>
      <w:r w:rsidRPr="00DC3A13">
        <w:rPr>
          <w:rFonts w:cs="Arial"/>
          <w:szCs w:val="22"/>
          <w:lang w:eastAsia="en-AU"/>
        </w:rPr>
        <w:t>do, and these are often families with complex needs and vulnerable children. For this reason, VLA supports the principle of a unified court to comprehensively address the challenges experienced by families with complex needs. Recognising the constitutional challenges in establishing a unified court</w:t>
      </w:r>
      <w:r w:rsidR="00F30775">
        <w:rPr>
          <w:rFonts w:cs="Arial"/>
          <w:szCs w:val="22"/>
          <w:lang w:eastAsia="en-AU"/>
        </w:rPr>
        <w:t>,</w:t>
      </w:r>
      <w:r w:rsidRPr="00DC3A13">
        <w:rPr>
          <w:rFonts w:cs="Arial"/>
          <w:szCs w:val="22"/>
          <w:lang w:eastAsia="en-AU"/>
        </w:rPr>
        <w:t xml:space="preserve"> the significant change that this would encompass, and absent a reform agenda to deliver a unified court, VLA</w:t>
      </w:r>
      <w:r w:rsidR="00FC2AFD" w:rsidRPr="00DC3A13">
        <w:rPr>
          <w:rFonts w:cs="Arial"/>
          <w:szCs w:val="22"/>
          <w:lang w:eastAsia="en-AU"/>
        </w:rPr>
        <w:t xml:space="preserve"> continues to recommend</w:t>
      </w:r>
      <w:r w:rsidRPr="00DC3A13">
        <w:rPr>
          <w:rFonts w:cs="Arial"/>
          <w:szCs w:val="22"/>
          <w:lang w:eastAsia="en-AU"/>
        </w:rPr>
        <w:t xml:space="preserve"> a strategy to drive changes that improve the system for families with complex needs short of establishing a unified court.</w:t>
      </w:r>
    </w:p>
    <w:p w14:paraId="24794BC3" w14:textId="77777777" w:rsidR="00EC778E" w:rsidRPr="00DC3A13" w:rsidRDefault="00FC2AFD" w:rsidP="00DC3A13">
      <w:pPr>
        <w:autoSpaceDE w:val="0"/>
        <w:autoSpaceDN w:val="0"/>
        <w:adjustRightInd w:val="0"/>
        <w:spacing w:line="300" w:lineRule="exact"/>
        <w:rPr>
          <w:rFonts w:cs="Arial"/>
          <w:szCs w:val="22"/>
        </w:rPr>
      </w:pPr>
      <w:r w:rsidRPr="00DC3A13">
        <w:rPr>
          <w:rFonts w:cs="Arial"/>
          <w:szCs w:val="22"/>
          <w:lang w:eastAsia="en-AU"/>
        </w:rPr>
        <w:t>Similar to the approach taken in</w:t>
      </w:r>
      <w:r w:rsidR="00044165" w:rsidRPr="00DC3A13">
        <w:rPr>
          <w:rFonts w:cs="Arial"/>
          <w:szCs w:val="22"/>
          <w:lang w:eastAsia="en-AU"/>
        </w:rPr>
        <w:t xml:space="preserve"> previous law reform and policy development</w:t>
      </w:r>
      <w:r w:rsidRPr="00DC3A13">
        <w:rPr>
          <w:rFonts w:cs="Arial"/>
          <w:szCs w:val="22"/>
          <w:lang w:eastAsia="en-AU"/>
        </w:rPr>
        <w:t>s</w:t>
      </w:r>
      <w:r w:rsidR="00EC778E" w:rsidRPr="00DC3A13">
        <w:rPr>
          <w:rFonts w:cs="Arial"/>
          <w:szCs w:val="22"/>
        </w:rPr>
        <w:t xml:space="preserve"> </w:t>
      </w:r>
      <w:r w:rsidRPr="00DC3A13">
        <w:rPr>
          <w:rFonts w:cs="Arial"/>
          <w:szCs w:val="22"/>
        </w:rPr>
        <w:t xml:space="preserve">designed to improve </w:t>
      </w:r>
      <w:r w:rsidR="00EC778E" w:rsidRPr="00DC3A13">
        <w:rPr>
          <w:rFonts w:cs="Arial"/>
          <w:szCs w:val="22"/>
        </w:rPr>
        <w:t>the interface between the multiple jurisdictions, VLA’s experience suggests that more can be done to consistently support families with complex needs</w:t>
      </w:r>
      <w:r w:rsidR="00044165" w:rsidRPr="00DC3A13">
        <w:rPr>
          <w:rFonts w:cs="Arial"/>
          <w:szCs w:val="22"/>
        </w:rPr>
        <w:t xml:space="preserve"> short of establishing a unified court. </w:t>
      </w:r>
    </w:p>
    <w:p w14:paraId="5C5C4996" w14:textId="6A44BC2A" w:rsidR="005338AF" w:rsidRPr="00DC3A13" w:rsidRDefault="00EE42A2" w:rsidP="00DC3A13">
      <w:pPr>
        <w:spacing w:line="300" w:lineRule="exact"/>
        <w:rPr>
          <w:rFonts w:cs="Arial"/>
          <w:szCs w:val="22"/>
        </w:rPr>
      </w:pPr>
      <w:r w:rsidRPr="00DC3A13">
        <w:rPr>
          <w:rFonts w:cs="Arial"/>
          <w:szCs w:val="22"/>
        </w:rPr>
        <w:t xml:space="preserve">This submission </w:t>
      </w:r>
      <w:r w:rsidR="00044165" w:rsidRPr="00DC3A13">
        <w:rPr>
          <w:rFonts w:cs="Arial"/>
          <w:szCs w:val="22"/>
        </w:rPr>
        <w:t>seeks to build</w:t>
      </w:r>
      <w:r w:rsidRPr="00DC3A13">
        <w:rPr>
          <w:rFonts w:cs="Arial"/>
          <w:szCs w:val="22"/>
        </w:rPr>
        <w:t xml:space="preserve"> on</w:t>
      </w:r>
      <w:r w:rsidR="00044165" w:rsidRPr="00DC3A13">
        <w:rPr>
          <w:rFonts w:cs="Arial"/>
          <w:szCs w:val="22"/>
        </w:rPr>
        <w:t xml:space="preserve"> the</w:t>
      </w:r>
      <w:r w:rsidRPr="00DC3A13">
        <w:rPr>
          <w:rFonts w:cs="Arial"/>
          <w:szCs w:val="22"/>
        </w:rPr>
        <w:t xml:space="preserve"> recommendations</w:t>
      </w:r>
      <w:r w:rsidR="00EC778E" w:rsidRPr="00DC3A13">
        <w:rPr>
          <w:rFonts w:cs="Arial"/>
          <w:szCs w:val="22"/>
        </w:rPr>
        <w:t xml:space="preserve"> in our first submission</w:t>
      </w:r>
      <w:r w:rsidR="00044165" w:rsidRPr="00DC3A13">
        <w:rPr>
          <w:rFonts w:cs="Arial"/>
          <w:szCs w:val="22"/>
        </w:rPr>
        <w:t>. We propose an</w:t>
      </w:r>
      <w:r w:rsidR="005338AF" w:rsidRPr="00DC3A13">
        <w:rPr>
          <w:rFonts w:cs="Arial"/>
          <w:szCs w:val="22"/>
        </w:rPr>
        <w:t xml:space="preserve"> additional suite of recommendations informed by VLA’s experience assisting </w:t>
      </w:r>
      <w:r w:rsidRPr="00DC3A13">
        <w:rPr>
          <w:rFonts w:cs="Arial"/>
          <w:szCs w:val="22"/>
        </w:rPr>
        <w:t>clients with p</w:t>
      </w:r>
      <w:r w:rsidR="00FC2AFD" w:rsidRPr="00DC3A13">
        <w:rPr>
          <w:rFonts w:cs="Arial"/>
          <w:szCs w:val="22"/>
        </w:rPr>
        <w:t xml:space="preserve">arenting disputes where family dispute resolution is attempted and additional non-legal supports would assist families presenting with complex needs.  </w:t>
      </w:r>
    </w:p>
    <w:p w14:paraId="5B7FDFD9" w14:textId="3AC106ED" w:rsidR="005338AF" w:rsidRPr="00DC3A13" w:rsidRDefault="00044165" w:rsidP="00DC3A13">
      <w:pPr>
        <w:spacing w:line="300" w:lineRule="exact"/>
        <w:rPr>
          <w:rFonts w:cs="Arial"/>
          <w:szCs w:val="22"/>
        </w:rPr>
      </w:pPr>
      <w:r w:rsidRPr="00DC3A13">
        <w:rPr>
          <w:rFonts w:cs="Arial"/>
          <w:szCs w:val="22"/>
        </w:rPr>
        <w:t xml:space="preserve">These recommendations take into account the tension within family law. </w:t>
      </w:r>
      <w:r w:rsidR="005338AF" w:rsidRPr="00DC3A13">
        <w:rPr>
          <w:rFonts w:cs="Arial"/>
          <w:szCs w:val="22"/>
        </w:rPr>
        <w:t xml:space="preserve">The </w:t>
      </w:r>
      <w:r w:rsidR="005338AF" w:rsidRPr="00DC3A13">
        <w:rPr>
          <w:rFonts w:cs="Arial"/>
          <w:i/>
          <w:szCs w:val="22"/>
        </w:rPr>
        <w:t>Family Law Act</w:t>
      </w:r>
      <w:r w:rsidR="005338AF" w:rsidRPr="00DC3A13">
        <w:rPr>
          <w:rFonts w:cs="Arial"/>
          <w:szCs w:val="22"/>
        </w:rPr>
        <w:t xml:space="preserve"> </w:t>
      </w:r>
      <w:r w:rsidRPr="00DC3A13">
        <w:rPr>
          <w:rFonts w:cs="Arial"/>
          <w:i/>
          <w:szCs w:val="22"/>
        </w:rPr>
        <w:t xml:space="preserve">1975 </w:t>
      </w:r>
      <w:r w:rsidR="002F4995" w:rsidRPr="00DC3A13">
        <w:rPr>
          <w:rFonts w:cs="Arial"/>
          <w:szCs w:val="22"/>
        </w:rPr>
        <w:t xml:space="preserve">(Cth) (the Act) </w:t>
      </w:r>
      <w:r w:rsidR="005338AF" w:rsidRPr="00DC3A13">
        <w:rPr>
          <w:rFonts w:cs="Arial"/>
          <w:szCs w:val="22"/>
        </w:rPr>
        <w:t xml:space="preserve">regulates private disputes which traditionally rely on parties to provide the ‘relevant’ information to judicial officers to make </w:t>
      </w:r>
      <w:r w:rsidR="002F4995" w:rsidRPr="00DC3A13">
        <w:rPr>
          <w:rFonts w:cs="Arial"/>
          <w:szCs w:val="22"/>
        </w:rPr>
        <w:t>decisions</w:t>
      </w:r>
      <w:r w:rsidR="005338AF" w:rsidRPr="00DC3A13">
        <w:rPr>
          <w:rFonts w:cs="Arial"/>
          <w:szCs w:val="22"/>
        </w:rPr>
        <w:t xml:space="preserve"> about the care arrangements for children. </w:t>
      </w:r>
    </w:p>
    <w:p w14:paraId="6234737F" w14:textId="08871B63" w:rsidR="00F97BCC" w:rsidRPr="00DC3A13" w:rsidRDefault="00715774" w:rsidP="00DC3A13">
      <w:pPr>
        <w:spacing w:line="300" w:lineRule="exact"/>
        <w:rPr>
          <w:rFonts w:cs="Arial"/>
          <w:szCs w:val="22"/>
        </w:rPr>
      </w:pPr>
      <w:r w:rsidRPr="00DC3A13">
        <w:rPr>
          <w:rFonts w:cs="Arial"/>
          <w:szCs w:val="22"/>
        </w:rPr>
        <w:t>Yet, the legislative framework overlays private law with a requirement that the Family Law Courts make decisions with regard to the best interest</w:t>
      </w:r>
      <w:r w:rsidR="00F97BCC" w:rsidRPr="00DC3A13">
        <w:rPr>
          <w:rFonts w:cs="Arial"/>
          <w:szCs w:val="22"/>
        </w:rPr>
        <w:t>s</w:t>
      </w:r>
      <w:r w:rsidRPr="00DC3A13">
        <w:rPr>
          <w:rFonts w:cs="Arial"/>
          <w:szCs w:val="22"/>
        </w:rPr>
        <w:t xml:space="preserve"> of the child as the paramount consideration.</w:t>
      </w:r>
      <w:r w:rsidRPr="00DC3A13">
        <w:rPr>
          <w:rStyle w:val="FootnoteReference"/>
          <w:rFonts w:cs="Arial"/>
          <w:sz w:val="22"/>
          <w:szCs w:val="22"/>
        </w:rPr>
        <w:footnoteReference w:id="1"/>
      </w:r>
      <w:r w:rsidRPr="00DC3A13">
        <w:rPr>
          <w:rFonts w:cs="Arial"/>
          <w:szCs w:val="22"/>
        </w:rPr>
        <w:t xml:space="preserve"> There may be a challenge in doing so when relying on the parties to provide the best available information. </w:t>
      </w:r>
    </w:p>
    <w:p w14:paraId="30DEF3EF" w14:textId="20525A68" w:rsidR="00715774" w:rsidRPr="00DC3A13" w:rsidRDefault="00715774" w:rsidP="00DC3A13">
      <w:pPr>
        <w:spacing w:line="300" w:lineRule="exact"/>
        <w:rPr>
          <w:rFonts w:cs="Arial"/>
          <w:szCs w:val="22"/>
        </w:rPr>
      </w:pPr>
      <w:r w:rsidRPr="00DC3A13">
        <w:rPr>
          <w:rFonts w:cs="Arial"/>
          <w:szCs w:val="22"/>
        </w:rPr>
        <w:t>Th</w:t>
      </w:r>
      <w:r w:rsidR="00F97BCC" w:rsidRPr="00DC3A13">
        <w:rPr>
          <w:rFonts w:cs="Arial"/>
          <w:szCs w:val="22"/>
        </w:rPr>
        <w:t>is</w:t>
      </w:r>
      <w:r w:rsidRPr="00DC3A13">
        <w:rPr>
          <w:rFonts w:cs="Arial"/>
          <w:szCs w:val="22"/>
        </w:rPr>
        <w:t xml:space="preserve"> submission considers the assessment and response to risk as a family progresses through court. It then considers how the family law system can better coordinate with non-legal service providers to assist parties seeking to address the underlying issues that impact on a child’s safety. </w:t>
      </w:r>
    </w:p>
    <w:p w14:paraId="51EF2132" w14:textId="77777777" w:rsidR="005338AF" w:rsidRPr="00DC3A13" w:rsidRDefault="005338AF" w:rsidP="00DC3A13">
      <w:pPr>
        <w:spacing w:line="300" w:lineRule="exact"/>
        <w:rPr>
          <w:szCs w:val="22"/>
          <w:lang w:eastAsia="en-AU"/>
        </w:rPr>
      </w:pPr>
      <w:r w:rsidRPr="00DC3A13">
        <w:rPr>
          <w:szCs w:val="22"/>
          <w:lang w:eastAsia="en-AU"/>
        </w:rPr>
        <w:br w:type="page"/>
      </w:r>
    </w:p>
    <w:p w14:paraId="5DD9518E" w14:textId="77777777" w:rsidR="009D0F76" w:rsidRDefault="00CF466A" w:rsidP="00F86F0C">
      <w:pPr>
        <w:pStyle w:val="Heading1"/>
      </w:pPr>
      <w:bookmarkStart w:id="11" w:name="_Toc433612268"/>
      <w:r w:rsidRPr="00CF466A">
        <w:lastRenderedPageBreak/>
        <w:t>The Interface between Family Dispute Resolution and the Family Law Courts</w:t>
      </w:r>
      <w:bookmarkEnd w:id="11"/>
      <w:r w:rsidR="00337F01">
        <w:t xml:space="preserve"> </w:t>
      </w:r>
    </w:p>
    <w:p w14:paraId="751A9EFB" w14:textId="75790A27" w:rsidR="0052067A" w:rsidRPr="00DC3A13" w:rsidRDefault="00EB4351" w:rsidP="00DC3A13">
      <w:pPr>
        <w:autoSpaceDE w:val="0"/>
        <w:autoSpaceDN w:val="0"/>
        <w:adjustRightInd w:val="0"/>
        <w:spacing w:line="300" w:lineRule="exact"/>
        <w:rPr>
          <w:szCs w:val="22"/>
        </w:rPr>
      </w:pPr>
      <w:r w:rsidRPr="00DC3A13">
        <w:rPr>
          <w:szCs w:val="22"/>
        </w:rPr>
        <w:t xml:space="preserve">Section 60I of the </w:t>
      </w:r>
      <w:r w:rsidR="00AB390D" w:rsidRPr="00DC3A13">
        <w:rPr>
          <w:szCs w:val="22"/>
        </w:rPr>
        <w:t>Act</w:t>
      </w:r>
      <w:r w:rsidRPr="00DC3A13">
        <w:rPr>
          <w:i/>
          <w:szCs w:val="22"/>
        </w:rPr>
        <w:t xml:space="preserve"> </w:t>
      </w:r>
      <w:r w:rsidRPr="00DC3A13">
        <w:rPr>
          <w:szCs w:val="22"/>
        </w:rPr>
        <w:t xml:space="preserve">requires parties to a parenting dispute to make a genuine effort to resolve </w:t>
      </w:r>
      <w:r w:rsidR="00F30775">
        <w:rPr>
          <w:szCs w:val="22"/>
        </w:rPr>
        <w:t>a</w:t>
      </w:r>
      <w:r w:rsidR="00F30775" w:rsidRPr="00DC3A13">
        <w:rPr>
          <w:szCs w:val="22"/>
        </w:rPr>
        <w:t xml:space="preserve"> </w:t>
      </w:r>
      <w:r w:rsidRPr="00DC3A13">
        <w:rPr>
          <w:szCs w:val="22"/>
        </w:rPr>
        <w:t xml:space="preserve">dispute by family dispute resolution </w:t>
      </w:r>
      <w:r w:rsidR="00F91AC2" w:rsidRPr="00DC3A13">
        <w:rPr>
          <w:szCs w:val="22"/>
        </w:rPr>
        <w:t xml:space="preserve">(FDR) </w:t>
      </w:r>
      <w:r w:rsidRPr="00DC3A13">
        <w:rPr>
          <w:szCs w:val="22"/>
        </w:rPr>
        <w:t xml:space="preserve">before seeking recourse before the Family Law Courts. </w:t>
      </w:r>
    </w:p>
    <w:p w14:paraId="195200B1" w14:textId="30C41A6B" w:rsidR="0052067A" w:rsidRPr="00DC3A13" w:rsidRDefault="0052067A" w:rsidP="00DC3A13">
      <w:pPr>
        <w:autoSpaceDE w:val="0"/>
        <w:autoSpaceDN w:val="0"/>
        <w:adjustRightInd w:val="0"/>
        <w:spacing w:line="300" w:lineRule="exact"/>
        <w:rPr>
          <w:szCs w:val="22"/>
        </w:rPr>
      </w:pPr>
      <w:r w:rsidRPr="00DC3A13">
        <w:rPr>
          <w:szCs w:val="22"/>
        </w:rPr>
        <w:t>VLA established Roundtable Dispute Management, now VLA’s Family Dispute Resolution Service</w:t>
      </w:r>
      <w:r w:rsidR="004E7B38" w:rsidRPr="00DC3A13">
        <w:rPr>
          <w:szCs w:val="22"/>
        </w:rPr>
        <w:t xml:space="preserve"> (FDRS)</w:t>
      </w:r>
      <w:r w:rsidR="00F30775">
        <w:rPr>
          <w:szCs w:val="22"/>
        </w:rPr>
        <w:t>,</w:t>
      </w:r>
      <w:r w:rsidR="00ED400E" w:rsidRPr="00DC3A13">
        <w:rPr>
          <w:szCs w:val="22"/>
        </w:rPr>
        <w:t xml:space="preserve"> </w:t>
      </w:r>
      <w:r w:rsidR="00C6217E" w:rsidRPr="00DC3A13">
        <w:rPr>
          <w:szCs w:val="22"/>
        </w:rPr>
        <w:t>in 2004, before</w:t>
      </w:r>
      <w:r w:rsidR="00ED400E" w:rsidRPr="00DC3A13">
        <w:rPr>
          <w:szCs w:val="22"/>
        </w:rPr>
        <w:t xml:space="preserve"> the introduction of this </w:t>
      </w:r>
      <w:r w:rsidR="00F30775" w:rsidRPr="00DC3A13">
        <w:rPr>
          <w:szCs w:val="22"/>
        </w:rPr>
        <w:t>legislat</w:t>
      </w:r>
      <w:r w:rsidR="00F30775">
        <w:rPr>
          <w:szCs w:val="22"/>
        </w:rPr>
        <w:t xml:space="preserve">ive </w:t>
      </w:r>
      <w:r w:rsidR="00ED400E" w:rsidRPr="00DC3A13">
        <w:rPr>
          <w:szCs w:val="22"/>
        </w:rPr>
        <w:t>requirement</w:t>
      </w:r>
      <w:r w:rsidRPr="00DC3A13">
        <w:rPr>
          <w:szCs w:val="22"/>
        </w:rPr>
        <w:t>. FDRS provides timely, legally</w:t>
      </w:r>
      <w:r w:rsidR="00F30775">
        <w:rPr>
          <w:szCs w:val="22"/>
        </w:rPr>
        <w:t>-</w:t>
      </w:r>
      <w:r w:rsidRPr="00DC3A13">
        <w:rPr>
          <w:szCs w:val="22"/>
        </w:rPr>
        <w:t>assisted family dispute resolution services to vulnerable people. It assists separated families to</w:t>
      </w:r>
      <w:r w:rsidR="00F30775">
        <w:rPr>
          <w:szCs w:val="22"/>
        </w:rPr>
        <w:t xml:space="preserve"> act in</w:t>
      </w:r>
      <w:r w:rsidRPr="00DC3A13">
        <w:rPr>
          <w:szCs w:val="22"/>
        </w:rPr>
        <w:t xml:space="preserve"> the best interests of their children by providing case management, </w:t>
      </w:r>
      <w:r w:rsidR="00955C61" w:rsidRPr="00DC3A13">
        <w:rPr>
          <w:szCs w:val="22"/>
        </w:rPr>
        <w:t xml:space="preserve">which involves risk </w:t>
      </w:r>
      <w:r w:rsidRPr="00DC3A13">
        <w:rPr>
          <w:szCs w:val="22"/>
        </w:rPr>
        <w:t>assess</w:t>
      </w:r>
      <w:r w:rsidR="00E91E42" w:rsidRPr="00DC3A13">
        <w:rPr>
          <w:szCs w:val="22"/>
        </w:rPr>
        <w:t>ment</w:t>
      </w:r>
      <w:r w:rsidR="00F30775">
        <w:rPr>
          <w:szCs w:val="22"/>
        </w:rPr>
        <w:t>;</w:t>
      </w:r>
      <w:r w:rsidR="00E91E42" w:rsidRPr="00DC3A13">
        <w:rPr>
          <w:szCs w:val="22"/>
        </w:rPr>
        <w:t xml:space="preserve"> preparation and referrals to </w:t>
      </w:r>
      <w:r w:rsidR="00C6217E" w:rsidRPr="00DC3A13">
        <w:rPr>
          <w:szCs w:val="22"/>
        </w:rPr>
        <w:t xml:space="preserve">legal and </w:t>
      </w:r>
      <w:r w:rsidR="00C46C62" w:rsidRPr="00DC3A13">
        <w:rPr>
          <w:szCs w:val="22"/>
        </w:rPr>
        <w:t>non-legal support services;</w:t>
      </w:r>
      <w:r w:rsidR="00E91E42" w:rsidRPr="00DC3A13">
        <w:rPr>
          <w:szCs w:val="22"/>
        </w:rPr>
        <w:t xml:space="preserve"> </w:t>
      </w:r>
      <w:r w:rsidRPr="00DC3A13">
        <w:rPr>
          <w:szCs w:val="22"/>
        </w:rPr>
        <w:t>and</w:t>
      </w:r>
      <w:r w:rsidR="00C46C62" w:rsidRPr="00DC3A13">
        <w:rPr>
          <w:szCs w:val="22"/>
        </w:rPr>
        <w:t>, if assessed appropriate,</w:t>
      </w:r>
      <w:r w:rsidRPr="00DC3A13">
        <w:rPr>
          <w:szCs w:val="22"/>
        </w:rPr>
        <w:t xml:space="preserve"> by holding conferences facilitated by experienced chairpersons. </w:t>
      </w:r>
    </w:p>
    <w:p w14:paraId="0D514686" w14:textId="46024E11" w:rsidR="00C46C62" w:rsidRPr="00DC3A13" w:rsidRDefault="006B4068" w:rsidP="00DC3A13">
      <w:pPr>
        <w:autoSpaceDE w:val="0"/>
        <w:autoSpaceDN w:val="0"/>
        <w:adjustRightInd w:val="0"/>
        <w:spacing w:line="300" w:lineRule="exact"/>
        <w:rPr>
          <w:szCs w:val="22"/>
        </w:rPr>
      </w:pPr>
      <w:r w:rsidRPr="00DC3A13">
        <w:rPr>
          <w:szCs w:val="22"/>
        </w:rPr>
        <w:t xml:space="preserve">The FDRS case management and conferencing procedures are well regarded. </w:t>
      </w:r>
      <w:r w:rsidR="00C46C62" w:rsidRPr="00DC3A13">
        <w:rPr>
          <w:szCs w:val="22"/>
        </w:rPr>
        <w:t xml:space="preserve">FDRS case managers conduct a screening interview with all parties to </w:t>
      </w:r>
      <w:r w:rsidR="00F30775">
        <w:rPr>
          <w:szCs w:val="22"/>
        </w:rPr>
        <w:t xml:space="preserve">a </w:t>
      </w:r>
      <w:r w:rsidR="00C46C62" w:rsidRPr="00DC3A13">
        <w:rPr>
          <w:szCs w:val="22"/>
        </w:rPr>
        <w:t xml:space="preserve">dispute and use the information gathered to complete a risk assessment to determine whether it is appropriate for a conference to take place. In making </w:t>
      </w:r>
      <w:r w:rsidR="00DC3A13" w:rsidRPr="00DC3A13">
        <w:rPr>
          <w:szCs w:val="22"/>
        </w:rPr>
        <w:t>an</w:t>
      </w:r>
      <w:r w:rsidR="00C46C62" w:rsidRPr="00DC3A13">
        <w:rPr>
          <w:szCs w:val="22"/>
        </w:rPr>
        <w:t xml:space="preserve"> assessment, the case manager considers the matters set out in regulation 25(2) of the </w:t>
      </w:r>
      <w:r w:rsidR="00C46C62" w:rsidRPr="00DC3A13">
        <w:rPr>
          <w:i/>
          <w:szCs w:val="22"/>
        </w:rPr>
        <w:t>Family Law (Family Dispute Resolution Practitioners) Regulations 2008</w:t>
      </w:r>
      <w:r w:rsidR="00C46C62" w:rsidRPr="00DC3A13">
        <w:rPr>
          <w:szCs w:val="22"/>
        </w:rPr>
        <w:t xml:space="preserve"> (Cth), including any history of family violence and the risk that a child may suffer abuse. </w:t>
      </w:r>
    </w:p>
    <w:p w14:paraId="020B34A9" w14:textId="108BEE33" w:rsidR="00C46C62" w:rsidRPr="00DC3A13" w:rsidRDefault="00C46C62" w:rsidP="00DC3A13">
      <w:pPr>
        <w:spacing w:line="300" w:lineRule="exact"/>
        <w:rPr>
          <w:szCs w:val="22"/>
        </w:rPr>
      </w:pPr>
      <w:r w:rsidRPr="00DC3A13">
        <w:rPr>
          <w:szCs w:val="22"/>
        </w:rPr>
        <w:t>FDRS provides a legally</w:t>
      </w:r>
      <w:r w:rsidR="00F30775">
        <w:rPr>
          <w:szCs w:val="22"/>
        </w:rPr>
        <w:t>-</w:t>
      </w:r>
      <w:r w:rsidRPr="00DC3A13">
        <w:rPr>
          <w:szCs w:val="22"/>
        </w:rPr>
        <w:t xml:space="preserve">assisted model of </w:t>
      </w:r>
      <w:r w:rsidR="009B4579">
        <w:rPr>
          <w:szCs w:val="22"/>
        </w:rPr>
        <w:t>FDR</w:t>
      </w:r>
      <w:r w:rsidRPr="00DC3A13">
        <w:rPr>
          <w:szCs w:val="22"/>
        </w:rPr>
        <w:t xml:space="preserve">. </w:t>
      </w:r>
      <w:r w:rsidRPr="00DC3A13">
        <w:rPr>
          <w:szCs w:val="22"/>
          <w:lang w:eastAsia="en-AU"/>
        </w:rPr>
        <w:t>At least one party is legally aided throughout the dispute resolution process and all parties are encouraged to be legally represented. In cases where an invited party is ineligible for a grant of aid and is unable to afford a private lawyer, FDRS may arrange a lawyer from the Family Law Legal Service</w:t>
      </w:r>
      <w:r w:rsidR="00173ED0">
        <w:rPr>
          <w:rStyle w:val="FootnoteReference"/>
          <w:szCs w:val="22"/>
          <w:lang w:eastAsia="en-AU"/>
        </w:rPr>
        <w:footnoteReference w:id="2"/>
      </w:r>
      <w:r w:rsidRPr="00DC3A13">
        <w:rPr>
          <w:szCs w:val="22"/>
          <w:lang w:eastAsia="en-AU"/>
        </w:rPr>
        <w:t xml:space="preserve"> to represent a party. Legal representation in FDR helps address power imbalances for those in dispute and give parents knowledge about the law and likely court outcomes so that they </w:t>
      </w:r>
      <w:r w:rsidR="009B4579">
        <w:rPr>
          <w:szCs w:val="22"/>
          <w:lang w:eastAsia="en-AU"/>
        </w:rPr>
        <w:t>can</w:t>
      </w:r>
      <w:r w:rsidR="009B4579" w:rsidRPr="00DC3A13">
        <w:rPr>
          <w:szCs w:val="22"/>
          <w:lang w:eastAsia="en-AU"/>
        </w:rPr>
        <w:t xml:space="preserve"> </w:t>
      </w:r>
      <w:r w:rsidRPr="00DC3A13">
        <w:rPr>
          <w:szCs w:val="22"/>
          <w:lang w:eastAsia="en-AU"/>
        </w:rPr>
        <w:t xml:space="preserve">make decisions </w:t>
      </w:r>
      <w:r w:rsidRPr="00DC3A13">
        <w:rPr>
          <w:szCs w:val="22"/>
        </w:rPr>
        <w:t>that are in the best interests of their children.</w:t>
      </w:r>
    </w:p>
    <w:p w14:paraId="6E31AE75" w14:textId="7A9F4251" w:rsidR="00C90A11" w:rsidRPr="00DC3A13" w:rsidRDefault="00C46C62" w:rsidP="00DC3A13">
      <w:pPr>
        <w:autoSpaceDE w:val="0"/>
        <w:autoSpaceDN w:val="0"/>
        <w:adjustRightInd w:val="0"/>
        <w:spacing w:line="300" w:lineRule="exact"/>
        <w:rPr>
          <w:szCs w:val="22"/>
        </w:rPr>
      </w:pPr>
      <w:r w:rsidRPr="00DC3A13">
        <w:rPr>
          <w:szCs w:val="22"/>
        </w:rPr>
        <w:t>Legal representation of parties, combined with individual case management for clients and experienced chairpersons facilitating conferences</w:t>
      </w:r>
      <w:r w:rsidR="009B4579">
        <w:rPr>
          <w:szCs w:val="22"/>
        </w:rPr>
        <w:t>,</w:t>
      </w:r>
      <w:r w:rsidRPr="00DC3A13">
        <w:rPr>
          <w:szCs w:val="22"/>
        </w:rPr>
        <w:t xml:space="preserve"> enables VLA to conduct FDR in circumstances where other FDR services might determine it inappropriate to </w:t>
      </w:r>
      <w:r w:rsidR="00A76E90" w:rsidRPr="00DC3A13">
        <w:rPr>
          <w:szCs w:val="22"/>
        </w:rPr>
        <w:t>proceed</w:t>
      </w:r>
      <w:r w:rsidRPr="00DC3A13">
        <w:rPr>
          <w:szCs w:val="22"/>
        </w:rPr>
        <w:t>.</w:t>
      </w:r>
      <w:r w:rsidR="00A76E90" w:rsidRPr="00DC3A13">
        <w:rPr>
          <w:szCs w:val="22"/>
        </w:rPr>
        <w:t xml:space="preserve"> </w:t>
      </w:r>
      <w:r w:rsidR="009A53D9" w:rsidRPr="00DC3A13">
        <w:rPr>
          <w:szCs w:val="22"/>
        </w:rPr>
        <w:t xml:space="preserve">In 2014-15, VLA delivered 1,087 </w:t>
      </w:r>
      <w:r w:rsidR="009B4579">
        <w:rPr>
          <w:szCs w:val="22"/>
        </w:rPr>
        <w:t>FDR</w:t>
      </w:r>
      <w:r w:rsidR="00ED400E" w:rsidRPr="00DC3A13">
        <w:rPr>
          <w:szCs w:val="22"/>
        </w:rPr>
        <w:t xml:space="preserve"> conferences with a </w:t>
      </w:r>
      <w:r w:rsidR="009A53D9" w:rsidRPr="00DC3A13">
        <w:rPr>
          <w:szCs w:val="22"/>
        </w:rPr>
        <w:t xml:space="preserve">settlement rate </w:t>
      </w:r>
      <w:r w:rsidR="00ED400E" w:rsidRPr="00DC3A13">
        <w:rPr>
          <w:szCs w:val="22"/>
        </w:rPr>
        <w:t xml:space="preserve">of </w:t>
      </w:r>
      <w:r w:rsidR="009A53D9" w:rsidRPr="00DC3A13">
        <w:rPr>
          <w:szCs w:val="22"/>
        </w:rPr>
        <w:t>86 per</w:t>
      </w:r>
      <w:r w:rsidR="009B4579">
        <w:rPr>
          <w:szCs w:val="22"/>
        </w:rPr>
        <w:t xml:space="preserve"> </w:t>
      </w:r>
      <w:r w:rsidR="009A53D9" w:rsidRPr="00DC3A13">
        <w:rPr>
          <w:szCs w:val="22"/>
        </w:rPr>
        <w:t>cent.</w:t>
      </w:r>
      <w:r w:rsidR="009B4579" w:rsidRPr="00DC3A13">
        <w:rPr>
          <w:rStyle w:val="FootnoteReference"/>
          <w:sz w:val="22"/>
          <w:szCs w:val="22"/>
        </w:rPr>
        <w:footnoteReference w:id="3"/>
      </w:r>
      <w:r w:rsidR="009A53D9" w:rsidRPr="00DC3A13">
        <w:rPr>
          <w:szCs w:val="22"/>
        </w:rPr>
        <w:t xml:space="preserve"> </w:t>
      </w:r>
      <w:r w:rsidR="00C90A11" w:rsidRPr="00DC3A13">
        <w:rPr>
          <w:szCs w:val="22"/>
        </w:rPr>
        <w:t>Most conferences occur at an early stage in</w:t>
      </w:r>
      <w:r w:rsidR="00173ED0">
        <w:rPr>
          <w:szCs w:val="22"/>
        </w:rPr>
        <w:t xml:space="preserve"> a</w:t>
      </w:r>
      <w:r w:rsidR="00C90A11" w:rsidRPr="00DC3A13">
        <w:rPr>
          <w:szCs w:val="22"/>
        </w:rPr>
        <w:t xml:space="preserve"> family law matter, avoiding the need to go to court. However, in appropriate matters conferences occur during court proceedings (called litigation intervention conferences) to help settle the dispute before a final hearing.</w:t>
      </w:r>
    </w:p>
    <w:p w14:paraId="4639AE2F" w14:textId="6179C18F" w:rsidR="009A53D9" w:rsidRPr="00DC3A13" w:rsidRDefault="009A53D9" w:rsidP="00DC3A13">
      <w:pPr>
        <w:autoSpaceDE w:val="0"/>
        <w:autoSpaceDN w:val="0"/>
        <w:adjustRightInd w:val="0"/>
        <w:spacing w:line="300" w:lineRule="exact"/>
        <w:rPr>
          <w:szCs w:val="22"/>
        </w:rPr>
      </w:pPr>
      <w:r w:rsidRPr="00DC3A13">
        <w:rPr>
          <w:szCs w:val="22"/>
        </w:rPr>
        <w:t xml:space="preserve">VLA’s Commonwealth </w:t>
      </w:r>
      <w:r w:rsidR="002919D0" w:rsidRPr="00DC3A13">
        <w:rPr>
          <w:szCs w:val="22"/>
        </w:rPr>
        <w:t>f</w:t>
      </w:r>
      <w:r w:rsidRPr="00DC3A13">
        <w:rPr>
          <w:szCs w:val="22"/>
        </w:rPr>
        <w:t xml:space="preserve">amily </w:t>
      </w:r>
      <w:r w:rsidR="002919D0" w:rsidRPr="00DC3A13">
        <w:rPr>
          <w:szCs w:val="22"/>
        </w:rPr>
        <w:t>l</w:t>
      </w:r>
      <w:r w:rsidRPr="00DC3A13">
        <w:rPr>
          <w:szCs w:val="22"/>
        </w:rPr>
        <w:t xml:space="preserve">aw </w:t>
      </w:r>
      <w:r w:rsidR="002919D0" w:rsidRPr="00DC3A13">
        <w:rPr>
          <w:szCs w:val="22"/>
        </w:rPr>
        <w:t>grant eligibility g</w:t>
      </w:r>
      <w:r w:rsidRPr="00DC3A13">
        <w:rPr>
          <w:szCs w:val="22"/>
        </w:rPr>
        <w:t xml:space="preserve">uidelines encourage early resolution of matters through dispute resolution. </w:t>
      </w:r>
      <w:r w:rsidR="00E74E43" w:rsidRPr="00DC3A13">
        <w:rPr>
          <w:szCs w:val="22"/>
        </w:rPr>
        <w:t>As such</w:t>
      </w:r>
      <w:r w:rsidRPr="00DC3A13">
        <w:rPr>
          <w:szCs w:val="22"/>
        </w:rPr>
        <w:t xml:space="preserve">, VLA’s family lawyers also have extensive experience supporting </w:t>
      </w:r>
      <w:r w:rsidR="002919D0" w:rsidRPr="00DC3A13">
        <w:rPr>
          <w:szCs w:val="22"/>
        </w:rPr>
        <w:t xml:space="preserve">and representing </w:t>
      </w:r>
      <w:r w:rsidRPr="00DC3A13">
        <w:rPr>
          <w:szCs w:val="22"/>
        </w:rPr>
        <w:t xml:space="preserve">clients at </w:t>
      </w:r>
      <w:r w:rsidR="00B46069">
        <w:rPr>
          <w:szCs w:val="22"/>
        </w:rPr>
        <w:t>FDR</w:t>
      </w:r>
      <w:r w:rsidRPr="00DC3A13">
        <w:rPr>
          <w:szCs w:val="22"/>
        </w:rPr>
        <w:t xml:space="preserve">. </w:t>
      </w:r>
    </w:p>
    <w:p w14:paraId="2DDC0E2D" w14:textId="798EBBEC" w:rsidR="009A53D9" w:rsidRPr="00DC3A13" w:rsidRDefault="009A53D9" w:rsidP="00DC3A13">
      <w:pPr>
        <w:autoSpaceDE w:val="0"/>
        <w:autoSpaceDN w:val="0"/>
        <w:adjustRightInd w:val="0"/>
        <w:spacing w:line="300" w:lineRule="exact"/>
        <w:rPr>
          <w:szCs w:val="22"/>
        </w:rPr>
      </w:pPr>
      <w:r w:rsidRPr="00DC3A13">
        <w:rPr>
          <w:szCs w:val="22"/>
        </w:rPr>
        <w:t>The combined experience of deliver</w:t>
      </w:r>
      <w:r w:rsidR="00E74E43" w:rsidRPr="00DC3A13">
        <w:rPr>
          <w:szCs w:val="22"/>
        </w:rPr>
        <w:t>ing</w:t>
      </w:r>
      <w:r w:rsidRPr="00DC3A13">
        <w:rPr>
          <w:szCs w:val="22"/>
        </w:rPr>
        <w:t xml:space="preserve"> </w:t>
      </w:r>
      <w:r w:rsidR="00B46069">
        <w:rPr>
          <w:szCs w:val="22"/>
        </w:rPr>
        <w:t>FDR</w:t>
      </w:r>
      <w:r w:rsidRPr="00DC3A13">
        <w:rPr>
          <w:szCs w:val="22"/>
        </w:rPr>
        <w:t xml:space="preserve"> services</w:t>
      </w:r>
      <w:r w:rsidR="009B4579">
        <w:rPr>
          <w:szCs w:val="22"/>
        </w:rPr>
        <w:t>,</w:t>
      </w:r>
      <w:r w:rsidRPr="00DC3A13">
        <w:rPr>
          <w:szCs w:val="22"/>
        </w:rPr>
        <w:t xml:space="preserve"> </w:t>
      </w:r>
      <w:r w:rsidR="002919D0" w:rsidRPr="00DC3A13">
        <w:rPr>
          <w:szCs w:val="22"/>
        </w:rPr>
        <w:t xml:space="preserve">legal </w:t>
      </w:r>
      <w:r w:rsidR="00535AE4" w:rsidRPr="00DC3A13">
        <w:rPr>
          <w:szCs w:val="22"/>
        </w:rPr>
        <w:t xml:space="preserve">advice and </w:t>
      </w:r>
      <w:r w:rsidR="002919D0" w:rsidRPr="00DC3A13">
        <w:rPr>
          <w:szCs w:val="22"/>
        </w:rPr>
        <w:t xml:space="preserve">representation </w:t>
      </w:r>
      <w:r w:rsidRPr="00DC3A13">
        <w:rPr>
          <w:szCs w:val="22"/>
        </w:rPr>
        <w:t xml:space="preserve">for parents engaging in </w:t>
      </w:r>
      <w:r w:rsidR="00B46069">
        <w:rPr>
          <w:szCs w:val="22"/>
        </w:rPr>
        <w:t>FDR</w:t>
      </w:r>
      <w:r w:rsidRPr="00DC3A13">
        <w:rPr>
          <w:szCs w:val="22"/>
        </w:rPr>
        <w:t xml:space="preserve"> informs </w:t>
      </w:r>
      <w:r w:rsidR="00E91E42" w:rsidRPr="00DC3A13">
        <w:rPr>
          <w:szCs w:val="22"/>
        </w:rPr>
        <w:t xml:space="preserve">the following discussion of information sharing between FDR </w:t>
      </w:r>
      <w:r w:rsidR="00535AE4" w:rsidRPr="00DC3A13">
        <w:rPr>
          <w:szCs w:val="22"/>
        </w:rPr>
        <w:t xml:space="preserve">processes </w:t>
      </w:r>
      <w:r w:rsidR="00E91E42" w:rsidRPr="00DC3A13">
        <w:rPr>
          <w:szCs w:val="22"/>
        </w:rPr>
        <w:t>and the Family Law Courts,</w:t>
      </w:r>
      <w:r w:rsidRPr="00DC3A13">
        <w:rPr>
          <w:szCs w:val="22"/>
        </w:rPr>
        <w:t xml:space="preserve"> and </w:t>
      </w:r>
      <w:r w:rsidR="009B4579">
        <w:rPr>
          <w:szCs w:val="22"/>
        </w:rPr>
        <w:t>our</w:t>
      </w:r>
      <w:r w:rsidR="009B4579" w:rsidRPr="00DC3A13">
        <w:rPr>
          <w:szCs w:val="22"/>
        </w:rPr>
        <w:t xml:space="preserve"> </w:t>
      </w:r>
      <w:r w:rsidR="00E74E43" w:rsidRPr="00DC3A13">
        <w:rPr>
          <w:szCs w:val="22"/>
        </w:rPr>
        <w:t>recommendations</w:t>
      </w:r>
      <w:r w:rsidR="009B4579">
        <w:rPr>
          <w:szCs w:val="22"/>
        </w:rPr>
        <w:t>.</w:t>
      </w:r>
    </w:p>
    <w:p w14:paraId="28A9501E" w14:textId="77777777" w:rsidR="00A76E90" w:rsidRPr="00DC3A13" w:rsidRDefault="00A76E90" w:rsidP="00DC3A13">
      <w:pPr>
        <w:pStyle w:val="Heading3"/>
      </w:pPr>
      <w:bookmarkStart w:id="12" w:name="_Toc433612269"/>
      <w:r w:rsidRPr="00DC3A13">
        <w:lastRenderedPageBreak/>
        <w:t>Family Dispute Resolution</w:t>
      </w:r>
      <w:bookmarkEnd w:id="12"/>
      <w:r w:rsidRPr="00DC3A13">
        <w:t xml:space="preserve"> </w:t>
      </w:r>
    </w:p>
    <w:p w14:paraId="2117A330" w14:textId="487D4828" w:rsidR="00BC5C72" w:rsidRDefault="00A76E90" w:rsidP="00DC3A13">
      <w:pPr>
        <w:spacing w:before="120" w:line="300" w:lineRule="exact"/>
        <w:rPr>
          <w:szCs w:val="22"/>
        </w:rPr>
      </w:pPr>
      <w:r w:rsidRPr="00D55324">
        <w:rPr>
          <w:szCs w:val="22"/>
        </w:rPr>
        <w:t xml:space="preserve">FDR is a qualitatively different process from </w:t>
      </w:r>
      <w:r w:rsidR="009B4579">
        <w:rPr>
          <w:szCs w:val="22"/>
        </w:rPr>
        <w:t>c</w:t>
      </w:r>
      <w:r w:rsidR="009B4579" w:rsidRPr="00D55324">
        <w:rPr>
          <w:szCs w:val="22"/>
        </w:rPr>
        <w:t>ourt</w:t>
      </w:r>
      <w:r w:rsidRPr="00D55324">
        <w:rPr>
          <w:szCs w:val="22"/>
        </w:rPr>
        <w:t xml:space="preserve">. It </w:t>
      </w:r>
      <w:r>
        <w:rPr>
          <w:szCs w:val="22"/>
        </w:rPr>
        <w:t>supports</w:t>
      </w:r>
      <w:r w:rsidRPr="00D55324">
        <w:rPr>
          <w:szCs w:val="22"/>
        </w:rPr>
        <w:t xml:space="preserve"> parties to attempt to resolve their own parenting dispute. </w:t>
      </w:r>
    </w:p>
    <w:p w14:paraId="1BC0434C" w14:textId="77777777" w:rsidR="00A76E90" w:rsidRPr="00DC3A13" w:rsidRDefault="00A76E90" w:rsidP="00A76E90">
      <w:pPr>
        <w:shd w:val="clear" w:color="auto" w:fill="E6E6E6"/>
        <w:spacing w:line="300" w:lineRule="exact"/>
        <w:rPr>
          <w:b/>
          <w:szCs w:val="22"/>
        </w:rPr>
      </w:pPr>
      <w:r w:rsidRPr="00DC3A13">
        <w:rPr>
          <w:b/>
          <w:szCs w:val="22"/>
        </w:rPr>
        <w:t>Case Study</w:t>
      </w:r>
    </w:p>
    <w:p w14:paraId="39E286BD" w14:textId="7C5AAB6A" w:rsidR="00A76E90" w:rsidRPr="00DC3A13" w:rsidRDefault="00A76E90" w:rsidP="00A76E90">
      <w:pPr>
        <w:shd w:val="clear" w:color="auto" w:fill="E6E6E6"/>
        <w:spacing w:line="300" w:lineRule="exact"/>
        <w:rPr>
          <w:b/>
          <w:szCs w:val="22"/>
        </w:rPr>
      </w:pPr>
      <w:r w:rsidRPr="00DC3A13">
        <w:rPr>
          <w:szCs w:val="22"/>
        </w:rPr>
        <w:t xml:space="preserve">A </w:t>
      </w:r>
      <w:r w:rsidR="00B46069">
        <w:rPr>
          <w:szCs w:val="22"/>
        </w:rPr>
        <w:t>FDR</w:t>
      </w:r>
      <w:r w:rsidRPr="00DC3A13">
        <w:rPr>
          <w:szCs w:val="22"/>
        </w:rPr>
        <w:t xml:space="preserve"> conference involved the parents of three children all under </w:t>
      </w:r>
      <w:r w:rsidR="009B4579">
        <w:rPr>
          <w:szCs w:val="22"/>
        </w:rPr>
        <w:t>seven</w:t>
      </w:r>
      <w:r w:rsidR="009B4579" w:rsidRPr="00DC3A13">
        <w:rPr>
          <w:szCs w:val="22"/>
        </w:rPr>
        <w:t xml:space="preserve"> </w:t>
      </w:r>
      <w:r w:rsidRPr="00DC3A13">
        <w:rPr>
          <w:szCs w:val="22"/>
        </w:rPr>
        <w:t xml:space="preserve">years of age. Both parents presented as low functioning and illiterate. </w:t>
      </w:r>
    </w:p>
    <w:p w14:paraId="4257E01E" w14:textId="7EA41022" w:rsidR="00A76E90" w:rsidRPr="00DC3A13" w:rsidRDefault="00A76E90" w:rsidP="00A76E90">
      <w:pPr>
        <w:shd w:val="clear" w:color="auto" w:fill="E6E6E6"/>
        <w:spacing w:line="300" w:lineRule="exact"/>
        <w:rPr>
          <w:szCs w:val="22"/>
        </w:rPr>
      </w:pPr>
      <w:r w:rsidRPr="00DC3A13">
        <w:rPr>
          <w:szCs w:val="22"/>
        </w:rPr>
        <w:t>The children had been living with the mother since separation</w:t>
      </w:r>
      <w:r w:rsidR="009B4579">
        <w:rPr>
          <w:szCs w:val="22"/>
        </w:rPr>
        <w:t>,</w:t>
      </w:r>
      <w:r w:rsidRPr="00DC3A13">
        <w:rPr>
          <w:szCs w:val="22"/>
        </w:rPr>
        <w:t xml:space="preserve"> until they were placed with the father due to concerns about the behaviour of the maternal grandfather (a convicted sex offender) with whom the mother and children lived.  </w:t>
      </w:r>
    </w:p>
    <w:p w14:paraId="403DC879" w14:textId="1E4138A6" w:rsidR="00A76E90" w:rsidRPr="00DC3A13" w:rsidRDefault="00A76E90" w:rsidP="00A76E90">
      <w:pPr>
        <w:shd w:val="clear" w:color="auto" w:fill="E6E6E6"/>
        <w:spacing w:line="300" w:lineRule="exact"/>
        <w:rPr>
          <w:szCs w:val="22"/>
        </w:rPr>
      </w:pPr>
      <w:r w:rsidRPr="00DC3A13">
        <w:rPr>
          <w:szCs w:val="22"/>
        </w:rPr>
        <w:t>The mother had misgivings about the father’s drug use</w:t>
      </w:r>
      <w:r w:rsidR="009B4579">
        <w:rPr>
          <w:szCs w:val="22"/>
        </w:rPr>
        <w:t>,</w:t>
      </w:r>
      <w:r w:rsidRPr="00DC3A13">
        <w:rPr>
          <w:szCs w:val="22"/>
        </w:rPr>
        <w:t xml:space="preserve"> however agreed to the arrangement at the time as she felt she had no choice given the serious concerns regarding the children’s safety in the maternal grandfather’s house and her inability to secure alternative accommodation. The Victorian child protection authority</w:t>
      </w:r>
      <w:r w:rsidR="00FA4FE3">
        <w:rPr>
          <w:szCs w:val="22"/>
        </w:rPr>
        <w:t xml:space="preserve">, </w:t>
      </w:r>
      <w:r w:rsidRPr="00DC3A13">
        <w:rPr>
          <w:szCs w:val="22"/>
        </w:rPr>
        <w:t xml:space="preserve">the </w:t>
      </w:r>
      <w:r w:rsidR="00FA4FE3" w:rsidRPr="00DC3A13">
        <w:rPr>
          <w:szCs w:val="22"/>
        </w:rPr>
        <w:t>D</w:t>
      </w:r>
      <w:r w:rsidR="00FA4FE3">
        <w:rPr>
          <w:szCs w:val="22"/>
        </w:rPr>
        <w:t>epartment of Health and Human Services (DHHS),</w:t>
      </w:r>
      <w:r w:rsidRPr="00DC3A13">
        <w:rPr>
          <w:rStyle w:val="FootnoteReference"/>
          <w:sz w:val="22"/>
          <w:szCs w:val="22"/>
        </w:rPr>
        <w:footnoteReference w:id="4"/>
      </w:r>
      <w:r w:rsidRPr="00DC3A13">
        <w:rPr>
          <w:szCs w:val="22"/>
        </w:rPr>
        <w:t xml:space="preserve"> had been involved with the family and had directed the parties not to bring the children into contact with the maternal grandfather. </w:t>
      </w:r>
    </w:p>
    <w:p w14:paraId="1D40A12D" w14:textId="77777777" w:rsidR="00A76E90" w:rsidRPr="00DC3A13" w:rsidRDefault="00A76E90" w:rsidP="00A76E90">
      <w:pPr>
        <w:shd w:val="clear" w:color="auto" w:fill="E6E6E6"/>
        <w:spacing w:line="300" w:lineRule="exact"/>
        <w:rPr>
          <w:szCs w:val="22"/>
        </w:rPr>
      </w:pPr>
      <w:r w:rsidRPr="00DC3A13">
        <w:rPr>
          <w:szCs w:val="22"/>
        </w:rPr>
        <w:t xml:space="preserve">In addition, both parties indicated that the oldest child had been diagnosed with a learning disability. There were problems with his behaviour, particularly his aggression towards the younger siblings. Both parents found this behaviour difficult to manage.  </w:t>
      </w:r>
    </w:p>
    <w:p w14:paraId="5373FF4F" w14:textId="4726E8B5" w:rsidR="00A76E90" w:rsidRPr="00DC3A13" w:rsidRDefault="00A76E90" w:rsidP="00A76E90">
      <w:pPr>
        <w:shd w:val="clear" w:color="auto" w:fill="E6E6E6"/>
        <w:spacing w:line="300" w:lineRule="exact"/>
        <w:rPr>
          <w:szCs w:val="22"/>
        </w:rPr>
      </w:pPr>
      <w:r w:rsidRPr="00DC3A13">
        <w:rPr>
          <w:szCs w:val="22"/>
        </w:rPr>
        <w:t xml:space="preserve">During the FDRS screening interview with a case manager, the mother indicated she was finding it difficult to secure the services of a lawyer. The case manager took additional steps to link the mother with a lawyer so </w:t>
      </w:r>
      <w:r w:rsidR="00FA4FE3">
        <w:rPr>
          <w:szCs w:val="22"/>
        </w:rPr>
        <w:t xml:space="preserve">that </w:t>
      </w:r>
      <w:r w:rsidRPr="00DC3A13">
        <w:rPr>
          <w:szCs w:val="22"/>
        </w:rPr>
        <w:t xml:space="preserve">the mother could obtain legal advice prior to the conference and be represented at the conference. </w:t>
      </w:r>
    </w:p>
    <w:p w14:paraId="241649E0" w14:textId="18675F64" w:rsidR="00A76E90" w:rsidRPr="00DC3A13" w:rsidRDefault="00A76E90" w:rsidP="00A76E90">
      <w:pPr>
        <w:shd w:val="clear" w:color="auto" w:fill="E6E6E6"/>
        <w:spacing w:line="300" w:lineRule="exact"/>
        <w:rPr>
          <w:szCs w:val="22"/>
        </w:rPr>
      </w:pPr>
      <w:r w:rsidRPr="00DC3A13">
        <w:rPr>
          <w:szCs w:val="22"/>
        </w:rPr>
        <w:t>In the conference</w:t>
      </w:r>
      <w:r w:rsidR="00FA4FE3">
        <w:rPr>
          <w:szCs w:val="22"/>
        </w:rPr>
        <w:t>,</w:t>
      </w:r>
      <w:r w:rsidRPr="00DC3A13">
        <w:rPr>
          <w:szCs w:val="22"/>
        </w:rPr>
        <w:t xml:space="preserve"> the parties were supported and assisted by their lawyers and the chairperson to work towards a child</w:t>
      </w:r>
      <w:r w:rsidR="00FA4FE3">
        <w:rPr>
          <w:szCs w:val="22"/>
        </w:rPr>
        <w:t>-</w:t>
      </w:r>
      <w:r w:rsidRPr="00DC3A13">
        <w:rPr>
          <w:szCs w:val="22"/>
        </w:rPr>
        <w:t xml:space="preserve">focused parenting plan that allowed for the children to continue living with the father </w:t>
      </w:r>
      <w:r w:rsidR="00FA4FE3" w:rsidRPr="00DC3A13">
        <w:rPr>
          <w:szCs w:val="22"/>
        </w:rPr>
        <w:t>whil</w:t>
      </w:r>
      <w:r w:rsidR="00FA4FE3">
        <w:rPr>
          <w:szCs w:val="22"/>
        </w:rPr>
        <w:t>e</w:t>
      </w:r>
      <w:r w:rsidR="00FA4FE3" w:rsidRPr="00DC3A13">
        <w:rPr>
          <w:szCs w:val="22"/>
        </w:rPr>
        <w:t xml:space="preserve"> </w:t>
      </w:r>
      <w:r w:rsidRPr="00DC3A13">
        <w:rPr>
          <w:szCs w:val="22"/>
        </w:rPr>
        <w:t>maintaining frequent contact with the mother until such time as she secured suitable accommodation. It was agreed that when this occurred</w:t>
      </w:r>
      <w:r w:rsidR="00FA4FE3">
        <w:rPr>
          <w:szCs w:val="22"/>
        </w:rPr>
        <w:t>,</w:t>
      </w:r>
      <w:r w:rsidRPr="00DC3A13">
        <w:rPr>
          <w:szCs w:val="22"/>
        </w:rPr>
        <w:t xml:space="preserve"> the children’s time with their mother would be extended to include overnight time. </w:t>
      </w:r>
    </w:p>
    <w:p w14:paraId="061CD77E" w14:textId="77777777" w:rsidR="00A76E90" w:rsidRPr="00DC3A13" w:rsidRDefault="00A76E90" w:rsidP="00A76E90">
      <w:pPr>
        <w:shd w:val="clear" w:color="auto" w:fill="E6E6E6"/>
        <w:spacing w:line="300" w:lineRule="exact"/>
        <w:rPr>
          <w:szCs w:val="22"/>
        </w:rPr>
      </w:pPr>
      <w:r w:rsidRPr="00DC3A13">
        <w:rPr>
          <w:szCs w:val="22"/>
        </w:rPr>
        <w:t xml:space="preserve">There was further agreement that a second conference would take place when the mother was able to secure her own accommodation. </w:t>
      </w:r>
    </w:p>
    <w:p w14:paraId="1B83AA55" w14:textId="77777777" w:rsidR="00A76E90" w:rsidRPr="00DC3A13" w:rsidRDefault="00A76E90" w:rsidP="00A76E90">
      <w:pPr>
        <w:shd w:val="clear" w:color="auto" w:fill="E6E6E6"/>
        <w:spacing w:line="300" w:lineRule="exact"/>
        <w:rPr>
          <w:szCs w:val="22"/>
        </w:rPr>
      </w:pPr>
      <w:r w:rsidRPr="00DC3A13">
        <w:rPr>
          <w:szCs w:val="22"/>
        </w:rPr>
        <w:t xml:space="preserve">Pending the second conference, the parties agreed to arrange for counselling and other professional assistance for the oldest child. The father agreed to contact services with a view to ceasing his drug use, thereby addressing the mother's concerns.  </w:t>
      </w:r>
    </w:p>
    <w:p w14:paraId="252A4324" w14:textId="23EBD4FC" w:rsidR="00A76E90" w:rsidRPr="00DC3A13" w:rsidRDefault="00A76E90" w:rsidP="00A76E90">
      <w:pPr>
        <w:shd w:val="clear" w:color="auto" w:fill="E6E6E6"/>
        <w:spacing w:line="300" w:lineRule="exact"/>
        <w:rPr>
          <w:szCs w:val="22"/>
        </w:rPr>
      </w:pPr>
      <w:r w:rsidRPr="00DC3A13">
        <w:rPr>
          <w:szCs w:val="22"/>
        </w:rPr>
        <w:t>The case manager provided the appropriate referrals to the parents to enable them to meet their obligations under the agreement. In addition, the case manager supported the parties to engage with the</w:t>
      </w:r>
      <w:r w:rsidR="00FA4FE3">
        <w:rPr>
          <w:szCs w:val="22"/>
        </w:rPr>
        <w:t>se</w:t>
      </w:r>
      <w:r w:rsidRPr="00DC3A13">
        <w:rPr>
          <w:szCs w:val="22"/>
        </w:rPr>
        <w:t xml:space="preserve"> services. </w:t>
      </w:r>
    </w:p>
    <w:p w14:paraId="615E81C2" w14:textId="77777777" w:rsidR="00A76E90" w:rsidRPr="00DC3A13" w:rsidRDefault="00A76E90" w:rsidP="00A76E90">
      <w:pPr>
        <w:shd w:val="clear" w:color="auto" w:fill="E6E6E6"/>
        <w:spacing w:line="300" w:lineRule="exact"/>
        <w:rPr>
          <w:szCs w:val="22"/>
        </w:rPr>
      </w:pPr>
      <w:r w:rsidRPr="00DC3A13">
        <w:rPr>
          <w:szCs w:val="22"/>
        </w:rPr>
        <w:t>Overall, the FDRS process enabled the parents to resolve their matter by agreement without resorting to litigation. Their agreement was child-focused and helped to preserve their goodwill towards each other.</w:t>
      </w:r>
    </w:p>
    <w:p w14:paraId="2EC2D93D" w14:textId="1CD01789" w:rsidR="00173169" w:rsidRDefault="00173169" w:rsidP="00F345E9">
      <w:pPr>
        <w:spacing w:line="300" w:lineRule="exact"/>
        <w:rPr>
          <w:szCs w:val="22"/>
        </w:rPr>
      </w:pPr>
      <w:r w:rsidRPr="005F6D0B">
        <w:rPr>
          <w:szCs w:val="22"/>
        </w:rPr>
        <w:lastRenderedPageBreak/>
        <w:t>From VLA’s perspective, a primary purpose of the FDR assessment process is to determine the suitability of FDR as a tool for resolving a particular matter</w:t>
      </w:r>
      <w:r>
        <w:rPr>
          <w:szCs w:val="22"/>
        </w:rPr>
        <w:t>. This is quite different from elicit</w:t>
      </w:r>
      <w:r w:rsidR="00583659">
        <w:rPr>
          <w:szCs w:val="22"/>
        </w:rPr>
        <w:t>ing</w:t>
      </w:r>
      <w:r>
        <w:rPr>
          <w:szCs w:val="22"/>
        </w:rPr>
        <w:t xml:space="preserve"> information to use in actually determining the matter</w:t>
      </w:r>
      <w:r w:rsidRPr="005F6D0B">
        <w:rPr>
          <w:szCs w:val="22"/>
        </w:rPr>
        <w:t xml:space="preserve">. </w:t>
      </w:r>
    </w:p>
    <w:p w14:paraId="39C558F3" w14:textId="431A65FF" w:rsidR="0049522E" w:rsidRDefault="00A76E90" w:rsidP="00515B00">
      <w:pPr>
        <w:spacing w:line="300" w:lineRule="exact"/>
        <w:rPr>
          <w:szCs w:val="22"/>
        </w:rPr>
      </w:pPr>
      <w:r>
        <w:rPr>
          <w:szCs w:val="22"/>
        </w:rPr>
        <w:t xml:space="preserve">When FDR is unsuccessful, decision-making shifts from the parties to the court. The Family Law Courts consider the evidence and </w:t>
      </w:r>
      <w:r w:rsidR="00FA4FE3">
        <w:rPr>
          <w:szCs w:val="22"/>
        </w:rPr>
        <w:t xml:space="preserve">determine </w:t>
      </w:r>
      <w:r>
        <w:rPr>
          <w:szCs w:val="22"/>
        </w:rPr>
        <w:t xml:space="preserve">an arrangement that is in the best interests of the child. </w:t>
      </w:r>
      <w:r w:rsidRPr="006A52A6">
        <w:rPr>
          <w:szCs w:val="22"/>
        </w:rPr>
        <w:t xml:space="preserve">The </w:t>
      </w:r>
      <w:r>
        <w:rPr>
          <w:szCs w:val="22"/>
        </w:rPr>
        <w:t xml:space="preserve">proposals and the </w:t>
      </w:r>
      <w:r w:rsidRPr="006A52A6">
        <w:rPr>
          <w:szCs w:val="22"/>
        </w:rPr>
        <w:t>preparedness of parents to explore</w:t>
      </w:r>
      <w:r>
        <w:rPr>
          <w:szCs w:val="22"/>
        </w:rPr>
        <w:t xml:space="preserve"> those </w:t>
      </w:r>
      <w:r w:rsidRPr="006A52A6">
        <w:rPr>
          <w:szCs w:val="22"/>
        </w:rPr>
        <w:t xml:space="preserve">proposals </w:t>
      </w:r>
      <w:r>
        <w:rPr>
          <w:szCs w:val="22"/>
        </w:rPr>
        <w:t xml:space="preserve">are not relevant to this decision-making process. </w:t>
      </w:r>
    </w:p>
    <w:p w14:paraId="4745D9E3" w14:textId="5335A670" w:rsidR="005D431B" w:rsidRPr="00F345E9" w:rsidRDefault="005D431B" w:rsidP="00F345E9">
      <w:pPr>
        <w:pStyle w:val="Heading3"/>
      </w:pPr>
      <w:bookmarkStart w:id="13" w:name="_Toc433612270"/>
      <w:r w:rsidRPr="00F345E9">
        <w:t>Assessing the Suitability of Family Dispute Resolution</w:t>
      </w:r>
      <w:bookmarkEnd w:id="13"/>
      <w:r w:rsidRPr="00F345E9">
        <w:t xml:space="preserve"> </w:t>
      </w:r>
    </w:p>
    <w:p w14:paraId="483B4D08" w14:textId="19646AD7" w:rsidR="005D431B" w:rsidRPr="005F6D0B" w:rsidRDefault="00173169" w:rsidP="00F345E9">
      <w:pPr>
        <w:spacing w:line="300" w:lineRule="exact"/>
        <w:rPr>
          <w:szCs w:val="22"/>
        </w:rPr>
      </w:pPr>
      <w:r>
        <w:rPr>
          <w:szCs w:val="22"/>
        </w:rPr>
        <w:t>In the VLA FDRS assessment process, p</w:t>
      </w:r>
      <w:r w:rsidR="005F6D0B" w:rsidRPr="005F6D0B">
        <w:rPr>
          <w:szCs w:val="22"/>
        </w:rPr>
        <w:t xml:space="preserve">arties are encouraged to raise concerns about their emotional or physical safety with their case manager. </w:t>
      </w:r>
      <w:r w:rsidR="005D431B" w:rsidRPr="005F6D0B">
        <w:rPr>
          <w:szCs w:val="22"/>
        </w:rPr>
        <w:t>Where risks are identified</w:t>
      </w:r>
      <w:r w:rsidR="00FA4FE3">
        <w:rPr>
          <w:szCs w:val="22"/>
        </w:rPr>
        <w:t>,</w:t>
      </w:r>
      <w:r w:rsidR="005D431B" w:rsidRPr="005F6D0B">
        <w:rPr>
          <w:szCs w:val="22"/>
        </w:rPr>
        <w:t xml:space="preserve"> the information obtained determines the appropriateness of progressing with FDR and if so, the safety planning required to enable FDR to progress safely. </w:t>
      </w:r>
    </w:p>
    <w:p w14:paraId="173B8C2E" w14:textId="77777777" w:rsidR="005F6D0B" w:rsidRPr="005F6D0B" w:rsidRDefault="005F6D0B" w:rsidP="00F345E9">
      <w:pPr>
        <w:spacing w:line="300" w:lineRule="exact"/>
        <w:rPr>
          <w:szCs w:val="22"/>
        </w:rPr>
      </w:pPr>
      <w:r w:rsidRPr="005F6D0B">
        <w:rPr>
          <w:szCs w:val="22"/>
        </w:rPr>
        <w:t xml:space="preserve">Safety planning occurs when the case manager identifies potential risk issues for a client during or after a conference or identifies that a party may be at risk if their matter is assessed as unsuitable for an FDRS conference. The case manager will work with the affected party to provide information and resources so that the party can make a decision about their physical and emotional safety. The case manager will also provide relevant referrals to external organisations and develop a practical plan that the affected party can implement should they feel their safety is at risk. </w:t>
      </w:r>
    </w:p>
    <w:p w14:paraId="4D49E980" w14:textId="681CE3CA" w:rsidR="005F6D0B" w:rsidRDefault="005F6D0B" w:rsidP="00F345E9">
      <w:pPr>
        <w:spacing w:line="300" w:lineRule="exact"/>
        <w:rPr>
          <w:szCs w:val="22"/>
        </w:rPr>
      </w:pPr>
      <w:r w:rsidRPr="005F6D0B">
        <w:rPr>
          <w:szCs w:val="22"/>
        </w:rPr>
        <w:t xml:space="preserve">As part of safety planning, the case manager will determine a suitable conference. </w:t>
      </w:r>
      <w:r w:rsidR="00B46069">
        <w:rPr>
          <w:szCs w:val="22"/>
        </w:rPr>
        <w:t>For example, w</w:t>
      </w:r>
      <w:r w:rsidRPr="005F6D0B">
        <w:rPr>
          <w:szCs w:val="22"/>
        </w:rPr>
        <w:t>here risk issues are identified, but the matter is still suitable to proceed, a shuttle conference can be arranged. A shuttle conference is where parties do not have to see or speak to the other person directly. The FDR chairperson speaks to each party and their lawyer separately. Shuttle conferences can occur in the same building where each of the parties have a safe room in a separate area, or they can occur over the telephone. Other measures can also be implemented to ensure the safety of the parties arriving and leaving the conference venue. For example</w:t>
      </w:r>
      <w:r w:rsidR="00954A6F">
        <w:rPr>
          <w:szCs w:val="22"/>
        </w:rPr>
        <w:t>,</w:t>
      </w:r>
      <w:r w:rsidRPr="005F6D0B">
        <w:rPr>
          <w:szCs w:val="22"/>
        </w:rPr>
        <w:t xml:space="preserve"> the case manager, in consultation with the affected person, can arrange separate arrival</w:t>
      </w:r>
      <w:r w:rsidR="00954A6F">
        <w:rPr>
          <w:szCs w:val="22"/>
        </w:rPr>
        <w:t xml:space="preserve"> and </w:t>
      </w:r>
      <w:r w:rsidRPr="005F6D0B">
        <w:rPr>
          <w:szCs w:val="22"/>
        </w:rPr>
        <w:t xml:space="preserve">departure times or for the party to be escorted to and from the conference by their lawyer or a trusted third party.  </w:t>
      </w:r>
    </w:p>
    <w:p w14:paraId="77FB583C" w14:textId="48160FF7" w:rsidR="007A41E4" w:rsidRPr="007A41E4" w:rsidRDefault="007A41E4" w:rsidP="007A41E4">
      <w:pPr>
        <w:pStyle w:val="Heading3"/>
      </w:pPr>
      <w:bookmarkStart w:id="14" w:name="_Toc433612271"/>
      <w:r>
        <w:t>Confidentiality and Inadmissibility</w:t>
      </w:r>
      <w:bookmarkEnd w:id="14"/>
      <w:r w:rsidRPr="00F345E9">
        <w:t xml:space="preserve"> </w:t>
      </w:r>
    </w:p>
    <w:p w14:paraId="74D094F0" w14:textId="01A04B33" w:rsidR="005D431B" w:rsidRDefault="005D431B" w:rsidP="00F345E9">
      <w:pPr>
        <w:spacing w:line="300" w:lineRule="exact"/>
        <w:rPr>
          <w:szCs w:val="22"/>
        </w:rPr>
      </w:pPr>
      <w:r>
        <w:rPr>
          <w:szCs w:val="22"/>
        </w:rPr>
        <w:t xml:space="preserve">In some circumstances, the confidentiality of the FDR process may encourage parties to disclose information they have not previously felt comfortable </w:t>
      </w:r>
      <w:r w:rsidR="00901789">
        <w:rPr>
          <w:szCs w:val="22"/>
        </w:rPr>
        <w:t>disclosing</w:t>
      </w:r>
      <w:r>
        <w:rPr>
          <w:szCs w:val="22"/>
        </w:rPr>
        <w:t xml:space="preserve">. </w:t>
      </w:r>
      <w:r w:rsidR="00B46069">
        <w:rPr>
          <w:szCs w:val="22"/>
        </w:rPr>
        <w:t xml:space="preserve">For example, </w:t>
      </w:r>
      <w:r>
        <w:rPr>
          <w:szCs w:val="22"/>
        </w:rPr>
        <w:t xml:space="preserve">during the assessment interview, </w:t>
      </w:r>
      <w:r w:rsidR="00B46069">
        <w:rPr>
          <w:szCs w:val="22"/>
        </w:rPr>
        <w:t xml:space="preserve">a party </w:t>
      </w:r>
      <w:r>
        <w:rPr>
          <w:szCs w:val="22"/>
        </w:rPr>
        <w:t xml:space="preserve">will </w:t>
      </w:r>
      <w:r w:rsidR="00B46069">
        <w:rPr>
          <w:szCs w:val="22"/>
        </w:rPr>
        <w:t xml:space="preserve">often </w:t>
      </w:r>
      <w:r>
        <w:rPr>
          <w:szCs w:val="22"/>
        </w:rPr>
        <w:t xml:space="preserve">seek assurances that the information collected is protected by confidentiality. </w:t>
      </w:r>
    </w:p>
    <w:p w14:paraId="00EEAECE" w14:textId="77777777" w:rsidR="005D431B" w:rsidRDefault="005D431B" w:rsidP="005D431B">
      <w:pPr>
        <w:shd w:val="clear" w:color="auto" w:fill="E6E6E6"/>
        <w:spacing w:line="300" w:lineRule="exact"/>
        <w:rPr>
          <w:szCs w:val="22"/>
        </w:rPr>
      </w:pPr>
      <w:r>
        <w:rPr>
          <w:b/>
          <w:szCs w:val="22"/>
        </w:rPr>
        <w:t>Case Study</w:t>
      </w:r>
    </w:p>
    <w:p w14:paraId="5FB4D2CD" w14:textId="77777777" w:rsidR="005D431B" w:rsidRDefault="005D431B" w:rsidP="005D431B">
      <w:pPr>
        <w:shd w:val="clear" w:color="auto" w:fill="E6E6E6"/>
        <w:spacing w:line="300" w:lineRule="exact"/>
        <w:rPr>
          <w:szCs w:val="22"/>
        </w:rPr>
      </w:pPr>
      <w:r>
        <w:rPr>
          <w:szCs w:val="22"/>
        </w:rPr>
        <w:t xml:space="preserve">During the screening interview conducted by the VLA FDRS case manager, the mother disclosed severe family violence. After spending some time on the phone talking about the history of family violence with the case manager, the mother again asked whether the conversation was confidential. </w:t>
      </w:r>
    </w:p>
    <w:p w14:paraId="3707E4A1" w14:textId="74663436" w:rsidR="005D431B" w:rsidRDefault="005D431B" w:rsidP="005D431B">
      <w:pPr>
        <w:shd w:val="clear" w:color="auto" w:fill="E6E6E6"/>
        <w:spacing w:line="300" w:lineRule="exact"/>
        <w:rPr>
          <w:szCs w:val="22"/>
        </w:rPr>
      </w:pPr>
      <w:r>
        <w:rPr>
          <w:szCs w:val="22"/>
        </w:rPr>
        <w:t xml:space="preserve">After reassuring her of the confidentiality of the process, the mother disclosed that in addition to the physical, verbal and emotional abuse (which was to be included in her affidavit), she had been sexually assaulted by the father of the children. The mother stated she was receiving assistance from the Centre </w:t>
      </w:r>
      <w:proofErr w:type="gramStart"/>
      <w:r>
        <w:rPr>
          <w:szCs w:val="22"/>
        </w:rPr>
        <w:t>Against</w:t>
      </w:r>
      <w:proofErr w:type="gramEnd"/>
      <w:r>
        <w:rPr>
          <w:szCs w:val="22"/>
        </w:rPr>
        <w:t xml:space="preserve"> Sexual Assault but was not ready to report the sexual assault to the police. </w:t>
      </w:r>
    </w:p>
    <w:p w14:paraId="44DAD7D8" w14:textId="77777777" w:rsidR="005D431B" w:rsidRPr="00722BB5" w:rsidRDefault="005D431B" w:rsidP="005D431B">
      <w:pPr>
        <w:shd w:val="clear" w:color="auto" w:fill="E6E6E6"/>
        <w:spacing w:line="300" w:lineRule="exact"/>
        <w:rPr>
          <w:szCs w:val="22"/>
        </w:rPr>
      </w:pPr>
      <w:r>
        <w:rPr>
          <w:szCs w:val="22"/>
        </w:rPr>
        <w:t xml:space="preserve">The matter was assessed as not suitable for FDRS and a section 60I certificate issued. </w:t>
      </w:r>
    </w:p>
    <w:p w14:paraId="1A974DC4" w14:textId="624C49B1" w:rsidR="005D431B" w:rsidRPr="00320B7B" w:rsidRDefault="005D431B" w:rsidP="00320B7B">
      <w:pPr>
        <w:autoSpaceDE w:val="0"/>
        <w:autoSpaceDN w:val="0"/>
        <w:adjustRightInd w:val="0"/>
        <w:spacing w:line="300" w:lineRule="exact"/>
        <w:rPr>
          <w:szCs w:val="22"/>
          <w:highlight w:val="yellow"/>
        </w:rPr>
      </w:pPr>
      <w:r w:rsidRPr="00320B7B">
        <w:rPr>
          <w:szCs w:val="22"/>
        </w:rPr>
        <w:lastRenderedPageBreak/>
        <w:t>These disclosures are essential to the FDRS risk assessment process.</w:t>
      </w:r>
      <w:r w:rsidR="00CF0CC7">
        <w:rPr>
          <w:szCs w:val="22"/>
        </w:rPr>
        <w:t xml:space="preserve"> We would caution against the recommendation by some stakeholders to</w:t>
      </w:r>
      <w:r w:rsidRPr="00320B7B">
        <w:rPr>
          <w:szCs w:val="22"/>
        </w:rPr>
        <w:t xml:space="preserve"> </w:t>
      </w:r>
      <w:r w:rsidR="00CF0CC7">
        <w:rPr>
          <w:szCs w:val="22"/>
        </w:rPr>
        <w:t xml:space="preserve">amend </w:t>
      </w:r>
      <w:r w:rsidR="00954A6F">
        <w:rPr>
          <w:szCs w:val="22"/>
        </w:rPr>
        <w:t xml:space="preserve">sections 10H and 10J of the </w:t>
      </w:r>
      <w:r w:rsidR="00954A6F">
        <w:rPr>
          <w:i/>
          <w:szCs w:val="22"/>
        </w:rPr>
        <w:t>Family Law Act 1975</w:t>
      </w:r>
      <w:r w:rsidR="00954A6F">
        <w:rPr>
          <w:szCs w:val="22"/>
        </w:rPr>
        <w:t xml:space="preserve"> (Cth), which set out </w:t>
      </w:r>
      <w:r w:rsidR="00954A6F" w:rsidRPr="00320B7B">
        <w:rPr>
          <w:szCs w:val="22"/>
        </w:rPr>
        <w:t>the current confidentiality and inadmissibility provisions</w:t>
      </w:r>
      <w:r w:rsidR="00CF0CC7">
        <w:rPr>
          <w:szCs w:val="22"/>
        </w:rPr>
        <w:t xml:space="preserve">. Changes </w:t>
      </w:r>
      <w:r w:rsidRPr="00320B7B">
        <w:rPr>
          <w:szCs w:val="22"/>
        </w:rPr>
        <w:t>may result in parties failing to raise safety concerns</w:t>
      </w:r>
      <w:r w:rsidR="00954A6F">
        <w:rPr>
          <w:szCs w:val="22"/>
        </w:rPr>
        <w:t>. This</w:t>
      </w:r>
      <w:r w:rsidRPr="00320B7B">
        <w:rPr>
          <w:szCs w:val="22"/>
        </w:rPr>
        <w:t xml:space="preserve"> could expose </w:t>
      </w:r>
      <w:r w:rsidR="00954A6F">
        <w:rPr>
          <w:szCs w:val="22"/>
        </w:rPr>
        <w:t>parties</w:t>
      </w:r>
      <w:r w:rsidR="00954A6F" w:rsidRPr="00320B7B">
        <w:rPr>
          <w:szCs w:val="22"/>
        </w:rPr>
        <w:t xml:space="preserve"> </w:t>
      </w:r>
      <w:r w:rsidRPr="00320B7B">
        <w:rPr>
          <w:szCs w:val="22"/>
        </w:rPr>
        <w:t xml:space="preserve">and their children to further risk of harm if the matter progresses to FDR when it is unsafe or otherwise inappropriate to do so.  </w:t>
      </w:r>
    </w:p>
    <w:p w14:paraId="0C07E1FC" w14:textId="7D718983" w:rsidR="00901789" w:rsidRPr="00320B7B" w:rsidRDefault="00901789" w:rsidP="00320B7B">
      <w:pPr>
        <w:spacing w:line="300" w:lineRule="exact"/>
        <w:rPr>
          <w:szCs w:val="22"/>
        </w:rPr>
      </w:pPr>
      <w:r w:rsidRPr="00320B7B">
        <w:rPr>
          <w:szCs w:val="22"/>
        </w:rPr>
        <w:t xml:space="preserve">The ability </w:t>
      </w:r>
      <w:r w:rsidR="00B46069">
        <w:rPr>
          <w:szCs w:val="22"/>
        </w:rPr>
        <w:t>of</w:t>
      </w:r>
      <w:r w:rsidR="00B46069" w:rsidRPr="00320B7B">
        <w:rPr>
          <w:szCs w:val="22"/>
        </w:rPr>
        <w:t xml:space="preserve"> </w:t>
      </w:r>
      <w:r w:rsidRPr="00320B7B">
        <w:rPr>
          <w:szCs w:val="22"/>
        </w:rPr>
        <w:t xml:space="preserve">parents to speak frankly is also a prerequisite for resolving disputes through mediation. Our practice experience </w:t>
      </w:r>
      <w:r w:rsidR="009351C9" w:rsidRPr="00320B7B">
        <w:rPr>
          <w:szCs w:val="22"/>
        </w:rPr>
        <w:t xml:space="preserve">suggests </w:t>
      </w:r>
      <w:r w:rsidRPr="00320B7B">
        <w:rPr>
          <w:szCs w:val="22"/>
        </w:rPr>
        <w:t xml:space="preserve">that parents are more inclined to engage in negotiations when </w:t>
      </w:r>
      <w:r w:rsidR="00954A6F">
        <w:rPr>
          <w:szCs w:val="22"/>
        </w:rPr>
        <w:t xml:space="preserve">they are </w:t>
      </w:r>
      <w:r w:rsidRPr="00320B7B">
        <w:rPr>
          <w:szCs w:val="22"/>
        </w:rPr>
        <w:t xml:space="preserve">confident that their openness to settle for something different than their original position will not be put before the court if FDR does not resolve the matter. </w:t>
      </w:r>
    </w:p>
    <w:p w14:paraId="62E6B85A" w14:textId="585BA304" w:rsidR="005D431B" w:rsidRPr="00320B7B" w:rsidRDefault="005D431B" w:rsidP="00320B7B">
      <w:pPr>
        <w:spacing w:line="300" w:lineRule="exact"/>
        <w:rPr>
          <w:szCs w:val="22"/>
        </w:rPr>
      </w:pPr>
      <w:r w:rsidRPr="00320B7B">
        <w:rPr>
          <w:szCs w:val="22"/>
        </w:rPr>
        <w:t>Any consideration of changes to confidentiality and inadmissibility provisions should, therefore, be alive to the unintended impact on the safety of parents and children.</w:t>
      </w:r>
    </w:p>
    <w:p w14:paraId="54D63BEA" w14:textId="5616563B" w:rsidR="0049522E" w:rsidRDefault="00FF6BCD" w:rsidP="00515B00">
      <w:pPr>
        <w:spacing w:line="300" w:lineRule="exact"/>
        <w:rPr>
          <w:szCs w:val="22"/>
        </w:rPr>
      </w:pPr>
      <w:r w:rsidRPr="00320B7B">
        <w:rPr>
          <w:szCs w:val="22"/>
        </w:rPr>
        <w:t xml:space="preserve">This is particularly so given </w:t>
      </w:r>
      <w:r w:rsidR="00ED3410">
        <w:rPr>
          <w:szCs w:val="22"/>
        </w:rPr>
        <w:t>the</w:t>
      </w:r>
      <w:r w:rsidR="003C53C4" w:rsidRPr="00320B7B">
        <w:rPr>
          <w:szCs w:val="22"/>
        </w:rPr>
        <w:t xml:space="preserve"> </w:t>
      </w:r>
      <w:r w:rsidRPr="00320B7B">
        <w:rPr>
          <w:szCs w:val="22"/>
        </w:rPr>
        <w:t xml:space="preserve">current exemptions to </w:t>
      </w:r>
      <w:r w:rsidR="003C53C4" w:rsidRPr="00320B7B">
        <w:rPr>
          <w:szCs w:val="22"/>
        </w:rPr>
        <w:t xml:space="preserve">the </w:t>
      </w:r>
      <w:r w:rsidRPr="00320B7B">
        <w:rPr>
          <w:szCs w:val="22"/>
        </w:rPr>
        <w:t xml:space="preserve">confidentiality and inadmissibility </w:t>
      </w:r>
      <w:r w:rsidR="003C53C4" w:rsidRPr="00320B7B">
        <w:rPr>
          <w:szCs w:val="22"/>
        </w:rPr>
        <w:t xml:space="preserve">of FDR are actively used, </w:t>
      </w:r>
      <w:r w:rsidRPr="00320B7B">
        <w:rPr>
          <w:szCs w:val="22"/>
        </w:rPr>
        <w:t>and</w:t>
      </w:r>
      <w:r w:rsidR="003C53C4" w:rsidRPr="00320B7B">
        <w:rPr>
          <w:szCs w:val="22"/>
        </w:rPr>
        <w:t xml:space="preserve"> </w:t>
      </w:r>
      <w:r w:rsidR="003919EA" w:rsidRPr="00320B7B">
        <w:rPr>
          <w:szCs w:val="22"/>
        </w:rPr>
        <w:t xml:space="preserve">alternative measures could also be adopted to </w:t>
      </w:r>
      <w:r w:rsidRPr="00320B7B">
        <w:rPr>
          <w:szCs w:val="22"/>
        </w:rPr>
        <w:t>ensur</w:t>
      </w:r>
      <w:r w:rsidR="003919EA" w:rsidRPr="00320B7B">
        <w:rPr>
          <w:szCs w:val="22"/>
        </w:rPr>
        <w:t>e</w:t>
      </w:r>
      <w:r w:rsidRPr="00320B7B">
        <w:rPr>
          <w:szCs w:val="22"/>
        </w:rPr>
        <w:t xml:space="preserve"> relevant information comes to the </w:t>
      </w:r>
      <w:r w:rsidR="003919EA" w:rsidRPr="00320B7B">
        <w:rPr>
          <w:szCs w:val="22"/>
        </w:rPr>
        <w:t xml:space="preserve">early attention of the </w:t>
      </w:r>
      <w:r w:rsidRPr="00320B7B">
        <w:rPr>
          <w:szCs w:val="22"/>
        </w:rPr>
        <w:t>court.</w:t>
      </w:r>
      <w:r w:rsidR="009351C9" w:rsidRPr="00320B7B">
        <w:rPr>
          <w:szCs w:val="22"/>
        </w:rPr>
        <w:t xml:space="preserve"> This is discussed below.</w:t>
      </w:r>
    </w:p>
    <w:p w14:paraId="3D9C5E2A" w14:textId="2953389D" w:rsidR="00491C5C" w:rsidRPr="004A24F6" w:rsidRDefault="00491C5C" w:rsidP="004A24F6">
      <w:pPr>
        <w:pStyle w:val="Heading3"/>
      </w:pPr>
      <w:bookmarkStart w:id="15" w:name="_Toc433612272"/>
      <w:r>
        <w:t xml:space="preserve">Current </w:t>
      </w:r>
      <w:r w:rsidR="004A24F6">
        <w:t xml:space="preserve">Use of </w:t>
      </w:r>
      <w:r>
        <w:t xml:space="preserve">Exemptions to </w:t>
      </w:r>
      <w:r w:rsidR="009A53D9" w:rsidRPr="00584CDE">
        <w:t xml:space="preserve">Confidentiality </w:t>
      </w:r>
      <w:r>
        <w:t xml:space="preserve">and Inadmissibility </w:t>
      </w:r>
      <w:r w:rsidR="00FF6BCD">
        <w:t>of FDR</w:t>
      </w:r>
      <w:bookmarkEnd w:id="15"/>
    </w:p>
    <w:p w14:paraId="2837FA23" w14:textId="31F6E9CE" w:rsidR="0042186C" w:rsidRDefault="00E07E23" w:rsidP="00320B7B">
      <w:pPr>
        <w:spacing w:line="300" w:lineRule="exact"/>
        <w:rPr>
          <w:szCs w:val="22"/>
        </w:rPr>
      </w:pPr>
      <w:r>
        <w:rPr>
          <w:szCs w:val="22"/>
        </w:rPr>
        <w:t>Where the information disclosed</w:t>
      </w:r>
      <w:r w:rsidR="008B3CDF">
        <w:rPr>
          <w:szCs w:val="22"/>
        </w:rPr>
        <w:t xml:space="preserve"> suggests a risk to the child or a parent, and</w:t>
      </w:r>
      <w:r>
        <w:rPr>
          <w:szCs w:val="22"/>
        </w:rPr>
        <w:t xml:space="preserve"> </w:t>
      </w:r>
      <w:r w:rsidR="0042186C">
        <w:rPr>
          <w:szCs w:val="22"/>
        </w:rPr>
        <w:t xml:space="preserve">would be of benefit to </w:t>
      </w:r>
      <w:r w:rsidR="00CF45B1">
        <w:rPr>
          <w:szCs w:val="22"/>
        </w:rPr>
        <w:t xml:space="preserve">the </w:t>
      </w:r>
      <w:r w:rsidR="0042186C">
        <w:rPr>
          <w:szCs w:val="22"/>
        </w:rPr>
        <w:t>decision making by a judicial officer, existing VLA</w:t>
      </w:r>
      <w:r w:rsidR="00DD5CD4">
        <w:rPr>
          <w:szCs w:val="22"/>
        </w:rPr>
        <w:t xml:space="preserve"> FDRS policies and procedures </w:t>
      </w:r>
      <w:r w:rsidR="0042186C">
        <w:rPr>
          <w:szCs w:val="22"/>
        </w:rPr>
        <w:t xml:space="preserve">on responding to disclosures </w:t>
      </w:r>
      <w:r w:rsidR="00B15288">
        <w:rPr>
          <w:szCs w:val="22"/>
        </w:rPr>
        <w:t xml:space="preserve">assist </w:t>
      </w:r>
      <w:r w:rsidR="00526AAB">
        <w:rPr>
          <w:szCs w:val="22"/>
        </w:rPr>
        <w:t>to make this information available to the</w:t>
      </w:r>
      <w:r w:rsidR="0042186C">
        <w:rPr>
          <w:szCs w:val="22"/>
        </w:rPr>
        <w:t xml:space="preserve"> court</w:t>
      </w:r>
      <w:r w:rsidR="00DD5CD4">
        <w:rPr>
          <w:szCs w:val="22"/>
        </w:rPr>
        <w:t xml:space="preserve">. </w:t>
      </w:r>
    </w:p>
    <w:p w14:paraId="1688BEC9" w14:textId="77777777" w:rsidR="00B9685B" w:rsidRDefault="00B9685B" w:rsidP="00320B7B">
      <w:pPr>
        <w:spacing w:line="300" w:lineRule="exact"/>
        <w:rPr>
          <w:szCs w:val="22"/>
        </w:rPr>
      </w:pPr>
      <w:r>
        <w:rPr>
          <w:szCs w:val="22"/>
        </w:rPr>
        <w:t xml:space="preserve">In matters where the information is assessed as sufficiently serious to require DHHS notification, VLA either encourages and supports parties to act protectively by notifying the DHHS, or otherwise makes a notification as required by law. </w:t>
      </w:r>
    </w:p>
    <w:p w14:paraId="0A3AE442" w14:textId="77777777" w:rsidR="0043553F" w:rsidRDefault="0043553F" w:rsidP="00F86F0C">
      <w:pPr>
        <w:shd w:val="clear" w:color="auto" w:fill="E6E6E6"/>
        <w:spacing w:line="300" w:lineRule="exact"/>
        <w:rPr>
          <w:szCs w:val="22"/>
        </w:rPr>
      </w:pPr>
      <w:r>
        <w:rPr>
          <w:b/>
          <w:szCs w:val="22"/>
        </w:rPr>
        <w:t>Case Study</w:t>
      </w:r>
    </w:p>
    <w:p w14:paraId="10536D07" w14:textId="5BD0C980" w:rsidR="0043553F" w:rsidRDefault="00FD54AC" w:rsidP="00F86F0C">
      <w:pPr>
        <w:shd w:val="clear" w:color="auto" w:fill="E6E6E6"/>
        <w:spacing w:line="300" w:lineRule="exact"/>
      </w:pPr>
      <w:r>
        <w:t xml:space="preserve">VLA FDRS was assessing a matter for conference. </w:t>
      </w:r>
      <w:r w:rsidR="0043553F">
        <w:t>The</w:t>
      </w:r>
      <w:r>
        <w:t xml:space="preserve"> parents had one</w:t>
      </w:r>
      <w:r w:rsidR="0043553F">
        <w:t xml:space="preserve"> child </w:t>
      </w:r>
      <w:r>
        <w:t xml:space="preserve">who </w:t>
      </w:r>
      <w:r w:rsidR="0043553F">
        <w:t>at various times had resided with both the</w:t>
      </w:r>
      <w:r w:rsidR="00D20106">
        <w:t>ir</w:t>
      </w:r>
      <w:r w:rsidR="0043553F">
        <w:t xml:space="preserve"> mother and the</w:t>
      </w:r>
      <w:r w:rsidR="00D20106">
        <w:t>ir</w:t>
      </w:r>
      <w:r w:rsidR="0043553F">
        <w:t xml:space="preserve"> father.</w:t>
      </w:r>
    </w:p>
    <w:p w14:paraId="6B8A7018" w14:textId="7D1305CA" w:rsidR="0043553F" w:rsidRDefault="0043553F" w:rsidP="00F86F0C">
      <w:pPr>
        <w:shd w:val="clear" w:color="auto" w:fill="E6E6E6"/>
        <w:spacing w:line="300" w:lineRule="exact"/>
      </w:pPr>
      <w:r>
        <w:t>During the father’s assessment interview with a</w:t>
      </w:r>
      <w:r w:rsidR="00B9685B">
        <w:t>n</w:t>
      </w:r>
      <w:r>
        <w:t xml:space="preserve"> FDRS case manager, he </w:t>
      </w:r>
      <w:r w:rsidR="004E53B3">
        <w:t>disclosed</w:t>
      </w:r>
      <w:r>
        <w:t xml:space="preserve"> that he had recently had a significant seizure at home while </w:t>
      </w:r>
      <w:r w:rsidR="006C70AE">
        <w:t>his</w:t>
      </w:r>
      <w:r>
        <w:t xml:space="preserve"> child – a ten year old </w:t>
      </w:r>
      <w:r w:rsidR="007901C1">
        <w:t xml:space="preserve">diagnosed </w:t>
      </w:r>
      <w:r>
        <w:t xml:space="preserve">with autism – was in his care. The father’s time with the child each weekend had been occurring unsupervised. After some prompting by the case manager, the father suggested in rather vague terms that the </w:t>
      </w:r>
      <w:r w:rsidR="004E53B3">
        <w:t>seizure</w:t>
      </w:r>
      <w:r>
        <w:t xml:space="preserve"> may have been drug induced.</w:t>
      </w:r>
    </w:p>
    <w:p w14:paraId="38FB3EA8" w14:textId="6658DFC3" w:rsidR="0043553F" w:rsidRDefault="0043553F" w:rsidP="00F86F0C">
      <w:pPr>
        <w:shd w:val="clear" w:color="auto" w:fill="E6E6E6"/>
        <w:spacing w:line="300" w:lineRule="exact"/>
      </w:pPr>
      <w:r>
        <w:t xml:space="preserve">The father fell as a result of the seizure and significantly injured his head. This was more serious given that he had undergone a recent operation. The parents provided mixed reports as to the effect and the </w:t>
      </w:r>
      <w:r w:rsidR="00C53735">
        <w:t>impact on the father’s cognitive function.</w:t>
      </w:r>
    </w:p>
    <w:p w14:paraId="26F44C85" w14:textId="77777777" w:rsidR="00B9685B" w:rsidRDefault="00B9685B" w:rsidP="00B9685B">
      <w:pPr>
        <w:shd w:val="clear" w:color="auto" w:fill="E6E6E6"/>
        <w:spacing w:line="300" w:lineRule="exact"/>
      </w:pPr>
      <w:r>
        <w:t xml:space="preserve">When the case manager spoke to the mother it became clear the father had a history of substance abuse and had started using heroin again. </w:t>
      </w:r>
    </w:p>
    <w:p w14:paraId="18621EE5" w14:textId="3698B0F0" w:rsidR="0043553F" w:rsidRDefault="0043553F" w:rsidP="00F86F0C">
      <w:pPr>
        <w:shd w:val="clear" w:color="auto" w:fill="E6E6E6"/>
        <w:spacing w:line="300" w:lineRule="exact"/>
      </w:pPr>
      <w:r>
        <w:t xml:space="preserve">The case manager was concerned that the father may be drug affected during the child’s visits given his history and also the recent fall. The mother had significant concerns and yet these concerns were not reflected in her proposal for care </w:t>
      </w:r>
      <w:r w:rsidR="00FA1DC6">
        <w:t>arrangement</w:t>
      </w:r>
      <w:r w:rsidR="00FD54AC">
        <w:t>s</w:t>
      </w:r>
      <w:r w:rsidR="00FA1DC6">
        <w:t xml:space="preserve"> going forward.</w:t>
      </w:r>
    </w:p>
    <w:p w14:paraId="245B40A9" w14:textId="48FEF13F" w:rsidR="00FD54AC" w:rsidRDefault="0043553F" w:rsidP="008B3CDF">
      <w:pPr>
        <w:shd w:val="clear" w:color="auto" w:fill="E6E6E6"/>
        <w:spacing w:line="300" w:lineRule="exact"/>
      </w:pPr>
      <w:r>
        <w:t>The case manager told the mother that a notification may need to be made to the DHHS and encourage</w:t>
      </w:r>
      <w:r w:rsidR="00FD54AC">
        <w:t>d</w:t>
      </w:r>
      <w:r>
        <w:t xml:space="preserve"> her to contact the DHHS herself to make them aware of her concerns. In doing so, the </w:t>
      </w:r>
      <w:r>
        <w:lastRenderedPageBreak/>
        <w:t xml:space="preserve">case manager sought to support the mother to act protectively. </w:t>
      </w:r>
      <w:r w:rsidR="003D5350">
        <w:t>The mother agreed to do so</w:t>
      </w:r>
      <w:r w:rsidR="005F4B12">
        <w:t xml:space="preserve"> and made contact with the DHHS</w:t>
      </w:r>
      <w:r w:rsidR="003D5350">
        <w:t xml:space="preserve">. </w:t>
      </w:r>
    </w:p>
    <w:p w14:paraId="66E5236E" w14:textId="77777777" w:rsidR="00FF6BCD" w:rsidRPr="00FF6BCD" w:rsidRDefault="00FF6BCD" w:rsidP="0049522E">
      <w:pPr>
        <w:spacing w:before="120" w:line="280" w:lineRule="exact"/>
        <w:rPr>
          <w:szCs w:val="22"/>
        </w:rPr>
      </w:pPr>
    </w:p>
    <w:p w14:paraId="727BA80B" w14:textId="33BFC56C" w:rsidR="00A847F3" w:rsidRDefault="00A847F3" w:rsidP="00F86F0C">
      <w:pPr>
        <w:shd w:val="clear" w:color="auto" w:fill="E6E6E6"/>
        <w:tabs>
          <w:tab w:val="right" w:pos="9780"/>
        </w:tabs>
        <w:spacing w:line="300" w:lineRule="exact"/>
        <w:rPr>
          <w:b/>
        </w:rPr>
      </w:pPr>
      <w:r>
        <w:rPr>
          <w:b/>
        </w:rPr>
        <w:t>Case Study</w:t>
      </w:r>
      <w:r w:rsidR="00F75EF5">
        <w:rPr>
          <w:b/>
        </w:rPr>
        <w:tab/>
      </w:r>
    </w:p>
    <w:p w14:paraId="56AA5864" w14:textId="600DE372" w:rsidR="00B9685B" w:rsidRDefault="00B9685B" w:rsidP="00B9685B">
      <w:pPr>
        <w:shd w:val="clear" w:color="auto" w:fill="E6E6E6"/>
        <w:spacing w:line="300" w:lineRule="exact"/>
        <w:rPr>
          <w:b/>
        </w:rPr>
      </w:pPr>
      <w:r>
        <w:t>Three children had been living with their mother at the maternal grandmother’s house since the parents’ separation.</w:t>
      </w:r>
    </w:p>
    <w:p w14:paraId="1ED6D28F" w14:textId="3BB120B9" w:rsidR="00A847F3" w:rsidRPr="0070363D" w:rsidRDefault="00A847F3" w:rsidP="00F86F0C">
      <w:pPr>
        <w:shd w:val="clear" w:color="auto" w:fill="E6E6E6"/>
        <w:spacing w:line="300" w:lineRule="exact"/>
      </w:pPr>
      <w:r>
        <w:t>During the</w:t>
      </w:r>
      <w:r w:rsidR="00135F83">
        <w:t xml:space="preserve"> VLA FDRS</w:t>
      </w:r>
      <w:r>
        <w:t xml:space="preserve"> assessment interview, the mother disclosed a history of family violence spanning the eleven year relationship. The father used physical violence against her and did so in front of the children. </w:t>
      </w:r>
      <w:r w:rsidR="00B9685B">
        <w:t>The mother had not previously disclosed the violence, preferring to deal with it privately</w:t>
      </w:r>
      <w:r w:rsidR="00B46069">
        <w:t xml:space="preserve"> –</w:t>
      </w:r>
      <w:r w:rsidR="00B9685B">
        <w:t xml:space="preserve"> including by encouraging the father to attend a men’s behaviour change program.</w:t>
      </w:r>
    </w:p>
    <w:p w14:paraId="04ED2879" w14:textId="3403B1EF" w:rsidR="00A847F3" w:rsidRDefault="00A847F3" w:rsidP="00F86F0C">
      <w:pPr>
        <w:shd w:val="clear" w:color="auto" w:fill="E6E6E6"/>
        <w:spacing w:line="300" w:lineRule="exact"/>
        <w:rPr>
          <w:b/>
        </w:rPr>
      </w:pPr>
      <w:r>
        <w:t xml:space="preserve">There </w:t>
      </w:r>
      <w:r w:rsidR="00135F83">
        <w:t>were</w:t>
      </w:r>
      <w:r>
        <w:t xml:space="preserve"> current family violence intervention orders (cross applications) in place. The order against the father include</w:t>
      </w:r>
      <w:r w:rsidR="00135F83">
        <w:t>d</w:t>
      </w:r>
      <w:r>
        <w:t xml:space="preserve"> the children as affected family members. Both parents also ha</w:t>
      </w:r>
      <w:r w:rsidR="00135F83">
        <w:t>d</w:t>
      </w:r>
      <w:r>
        <w:t xml:space="preserve"> a history of drug use, with the children in the house. </w:t>
      </w:r>
    </w:p>
    <w:p w14:paraId="19365651" w14:textId="0CCDDEA4" w:rsidR="00A847F3" w:rsidRDefault="00B9685B" w:rsidP="00F86F0C">
      <w:pPr>
        <w:shd w:val="clear" w:color="auto" w:fill="E6E6E6"/>
        <w:spacing w:line="300" w:lineRule="exact"/>
        <w:rPr>
          <w:b/>
        </w:rPr>
      </w:pPr>
      <w:r>
        <w:t xml:space="preserve">The interview raised concerns about ongoing drug use by both parents and the likely harm caused to the mother and children by the father’s violence. The case manager suggested to the mother that she may be in a better position to support her children if she felt supported herself. The case manager provided information about the supports available from various agencies, including the DHHS. </w:t>
      </w:r>
      <w:r w:rsidR="00A847F3">
        <w:t xml:space="preserve"> </w:t>
      </w:r>
    </w:p>
    <w:p w14:paraId="549A2948" w14:textId="5082E6D1" w:rsidR="00A847F3" w:rsidRPr="00A847F3" w:rsidRDefault="00A847F3" w:rsidP="00F86F0C">
      <w:pPr>
        <w:shd w:val="clear" w:color="auto" w:fill="E6E6E6"/>
        <w:spacing w:line="300" w:lineRule="exact"/>
        <w:rPr>
          <w:b/>
        </w:rPr>
      </w:pPr>
      <w:r>
        <w:t>The mother was very receptive, and agreed to contact the DHHS herself and to update the case manager upon doing so. On the following day, the mother advised that she had indeed made the call to DHHS, and was being referred to a case worker.</w:t>
      </w:r>
    </w:p>
    <w:p w14:paraId="27BD6ADA" w14:textId="19435AC1" w:rsidR="00FF6BCD" w:rsidRDefault="00111B2F" w:rsidP="00F86F0C">
      <w:r>
        <w:t>In matters w</w:t>
      </w:r>
      <w:r w:rsidR="004B656A">
        <w:t xml:space="preserve">here the parent will not notify the DHHS despite encouragement to do so, the situation enlivens </w:t>
      </w:r>
      <w:r w:rsidR="00D7684A">
        <w:t>obligations under section 67ZA and considerations under</w:t>
      </w:r>
      <w:r w:rsidR="004B656A">
        <w:t xml:space="preserve"> section 10H of the </w:t>
      </w:r>
      <w:r w:rsidR="00564B7D">
        <w:t>Act</w:t>
      </w:r>
      <w:r w:rsidR="004B656A">
        <w:t xml:space="preserve">. </w:t>
      </w:r>
      <w:r w:rsidR="00D7684A">
        <w:t>Section 67ZA creates an obligation on family dispute resolution practitioners to notify the relevant child welfare authority where, on reasonable grounds, the practitioner suspect</w:t>
      </w:r>
      <w:r w:rsidR="00EF5286">
        <w:t>s</w:t>
      </w:r>
      <w:r w:rsidR="00D7684A">
        <w:t xml:space="preserve"> that a child has been abused or is at risk of being abused. Under section </w:t>
      </w:r>
      <w:proofErr w:type="gramStart"/>
      <w:r w:rsidR="00D7684A">
        <w:t>10H(</w:t>
      </w:r>
      <w:proofErr w:type="gramEnd"/>
      <w:r w:rsidR="00D7684A">
        <w:t>4)</w:t>
      </w:r>
      <w:r w:rsidR="00985E40">
        <w:t>,</w:t>
      </w:r>
      <w:r w:rsidR="00D7684A">
        <w:t xml:space="preserve"> a family dispute resolution practitioner may disclose a communication if the practitioner reasonably believes that the disclosure is necessary in response to the risks</w:t>
      </w:r>
      <w:r w:rsidR="00D7684A" w:rsidRPr="00D7684A">
        <w:t xml:space="preserve"> </w:t>
      </w:r>
      <w:r w:rsidR="0089133F">
        <w:t>listed</w:t>
      </w:r>
      <w:r w:rsidR="00D7684A">
        <w:t xml:space="preserve"> in section</w:t>
      </w:r>
      <w:r w:rsidR="00564B7D">
        <w:t xml:space="preserve"> </w:t>
      </w:r>
      <w:r w:rsidR="0089133F">
        <w:t xml:space="preserve">10H(4) </w:t>
      </w:r>
      <w:r w:rsidR="00564B7D">
        <w:t>of the Act</w:t>
      </w:r>
      <w:r w:rsidR="00D7684A">
        <w:t>.</w:t>
      </w:r>
      <w:r w:rsidR="00B9685B" w:rsidRPr="00B9685B">
        <w:t xml:space="preserve"> </w:t>
      </w:r>
    </w:p>
    <w:p w14:paraId="392E906A" w14:textId="154124F6" w:rsidR="00D7684A" w:rsidRDefault="00B9685B" w:rsidP="00F86F0C">
      <w:r>
        <w:t xml:space="preserve">VLA FDRS advises parties of the exceptions to confidentiality and inadmissibility at the beginning of the FDR process and </w:t>
      </w:r>
      <w:r w:rsidR="00B46069">
        <w:t xml:space="preserve">during </w:t>
      </w:r>
      <w:r>
        <w:t>the FDR conference itself</w:t>
      </w:r>
      <w:r w:rsidR="00985E40">
        <w:t>,</w:t>
      </w:r>
      <w:r>
        <w:t xml:space="preserve"> and will invoke the exceptions when necessary.</w:t>
      </w:r>
    </w:p>
    <w:p w14:paraId="4A670381" w14:textId="77777777" w:rsidR="004B656A" w:rsidRDefault="004B656A" w:rsidP="00F86F0C">
      <w:pPr>
        <w:shd w:val="clear" w:color="auto" w:fill="E6E6E6"/>
        <w:spacing w:line="300" w:lineRule="exact"/>
        <w:rPr>
          <w:b/>
          <w:szCs w:val="22"/>
        </w:rPr>
      </w:pPr>
      <w:r>
        <w:rPr>
          <w:b/>
          <w:szCs w:val="22"/>
        </w:rPr>
        <w:t>Case Study</w:t>
      </w:r>
    </w:p>
    <w:p w14:paraId="6CFE5343" w14:textId="7D1566E8" w:rsidR="004B656A" w:rsidRDefault="004B656A" w:rsidP="00F86F0C">
      <w:pPr>
        <w:shd w:val="clear" w:color="auto" w:fill="E6E6E6"/>
        <w:spacing w:line="300" w:lineRule="exact"/>
      </w:pPr>
      <w:r>
        <w:t xml:space="preserve">The </w:t>
      </w:r>
      <w:r w:rsidR="00564B7D">
        <w:t>parenting dispute</w:t>
      </w:r>
      <w:r>
        <w:t xml:space="preserve"> concerned two children, aged </w:t>
      </w:r>
      <w:r w:rsidR="00985E40">
        <w:t xml:space="preserve">seven </w:t>
      </w:r>
      <w:r>
        <w:t xml:space="preserve">and </w:t>
      </w:r>
      <w:r w:rsidR="00985E40">
        <w:t>eleven</w:t>
      </w:r>
      <w:r>
        <w:t>, residing wit</w:t>
      </w:r>
      <w:r w:rsidR="00DE6146">
        <w:t xml:space="preserve">h </w:t>
      </w:r>
      <w:r w:rsidR="00564B7D">
        <w:t>the</w:t>
      </w:r>
      <w:r w:rsidR="00D20106">
        <w:t>ir</w:t>
      </w:r>
      <w:r w:rsidR="00DE6146">
        <w:t xml:space="preserve"> father. The main issue in dispute was the</w:t>
      </w:r>
      <w:r>
        <w:t xml:space="preserve"> amount of time the</w:t>
      </w:r>
      <w:r w:rsidR="00F01F80">
        <w:t>ir</w:t>
      </w:r>
      <w:r>
        <w:t xml:space="preserve"> mother was to spend with the children. </w:t>
      </w:r>
    </w:p>
    <w:p w14:paraId="73CD24A7" w14:textId="510DE5AC" w:rsidR="004B656A" w:rsidRDefault="004B656A" w:rsidP="00F86F0C">
      <w:pPr>
        <w:shd w:val="clear" w:color="auto" w:fill="E6E6E6"/>
        <w:spacing w:line="300" w:lineRule="exact"/>
      </w:pPr>
      <w:r>
        <w:t xml:space="preserve">During the case manager’s </w:t>
      </w:r>
      <w:r w:rsidR="00B9685B">
        <w:t>screening</w:t>
      </w:r>
      <w:r>
        <w:t xml:space="preserve"> interview with the mother, the mother </w:t>
      </w:r>
      <w:r w:rsidR="008B232C">
        <w:t xml:space="preserve">expressed concern that the </w:t>
      </w:r>
      <w:r>
        <w:t>children were being physically abused by their father. The mother said that she had seen the children covered in bruises and that the children had told her that the father physically assaults them on a regular basis. </w:t>
      </w:r>
    </w:p>
    <w:p w14:paraId="2004097D" w14:textId="1C517056" w:rsidR="004B656A" w:rsidRDefault="004B656A" w:rsidP="00F86F0C">
      <w:pPr>
        <w:shd w:val="clear" w:color="auto" w:fill="E6E6E6"/>
        <w:spacing w:line="300" w:lineRule="exact"/>
      </w:pPr>
      <w:r>
        <w:t xml:space="preserve">The mother had not notified the DHHS and was unwilling to contact </w:t>
      </w:r>
      <w:r w:rsidR="008B232C">
        <w:t xml:space="preserve">the </w:t>
      </w:r>
      <w:r>
        <w:t>DHHS at this time</w:t>
      </w:r>
      <w:r w:rsidR="008B232C">
        <w:t xml:space="preserve"> as </w:t>
      </w:r>
      <w:r>
        <w:t xml:space="preserve">she was scared the father would </w:t>
      </w:r>
      <w:r w:rsidR="00564B7D">
        <w:t>harm</w:t>
      </w:r>
      <w:r>
        <w:t xml:space="preserve"> her if she made a notification. </w:t>
      </w:r>
    </w:p>
    <w:p w14:paraId="55ECCCC3" w14:textId="2EA5EC7F" w:rsidR="004B656A" w:rsidRPr="00635512" w:rsidRDefault="004B656A" w:rsidP="00F86F0C">
      <w:pPr>
        <w:shd w:val="clear" w:color="auto" w:fill="E6E6E6"/>
        <w:spacing w:line="300" w:lineRule="exact"/>
      </w:pPr>
      <w:r>
        <w:lastRenderedPageBreak/>
        <w:t xml:space="preserve">The case manager consulted with the mother’s lawyer and the independent children’s lawyer appointed in the matter. They were both unaware of the mother’s concerns and were not able to provide the </w:t>
      </w:r>
      <w:r w:rsidRPr="00635512">
        <w:t xml:space="preserve">case manager with </w:t>
      </w:r>
      <w:r w:rsidR="00564B7D" w:rsidRPr="00635512">
        <w:t>further</w:t>
      </w:r>
      <w:r w:rsidRPr="00635512">
        <w:t xml:space="preserve"> information. </w:t>
      </w:r>
    </w:p>
    <w:p w14:paraId="7B9F06A2" w14:textId="2DCC7AE2" w:rsidR="008B3CDF" w:rsidRPr="00635512" w:rsidRDefault="004B656A" w:rsidP="008B3CDF">
      <w:pPr>
        <w:shd w:val="clear" w:color="auto" w:fill="E6E6E6"/>
        <w:spacing w:line="300" w:lineRule="exact"/>
        <w:rPr>
          <w:b/>
          <w:szCs w:val="22"/>
        </w:rPr>
      </w:pPr>
      <w:r w:rsidRPr="00635512">
        <w:t xml:space="preserve">A formal notification was made to the DHHS in accordance with </w:t>
      </w:r>
      <w:r w:rsidR="00985E40">
        <w:t xml:space="preserve">section </w:t>
      </w:r>
      <w:proofErr w:type="gramStart"/>
      <w:r w:rsidR="00985E40" w:rsidRPr="00635512">
        <w:t>67ZA</w:t>
      </w:r>
      <w:r w:rsidRPr="00635512">
        <w:t>(</w:t>
      </w:r>
      <w:proofErr w:type="gramEnd"/>
      <w:r w:rsidRPr="00635512">
        <w:t>2)</w:t>
      </w:r>
      <w:r w:rsidR="00BA1596" w:rsidRPr="00635512">
        <w:t>.</w:t>
      </w:r>
      <w:r w:rsidR="00985E40">
        <w:t xml:space="preserve"> </w:t>
      </w:r>
      <w:r w:rsidRPr="00635512">
        <w:t xml:space="preserve">In addition, a warm referral was made </w:t>
      </w:r>
      <w:r w:rsidR="00BA1596" w:rsidRPr="00635512">
        <w:t xml:space="preserve">for the mother </w:t>
      </w:r>
      <w:r w:rsidRPr="00635512">
        <w:t xml:space="preserve">to </w:t>
      </w:r>
      <w:r w:rsidR="00BA1596" w:rsidRPr="00635512">
        <w:t xml:space="preserve">a </w:t>
      </w:r>
      <w:r w:rsidRPr="00635512">
        <w:t>family vi</w:t>
      </w:r>
      <w:r w:rsidR="00BA1596" w:rsidRPr="00635512">
        <w:t xml:space="preserve">olence support and counselling service. </w:t>
      </w:r>
    </w:p>
    <w:p w14:paraId="1ECE7B33" w14:textId="6C753996" w:rsidR="008B3CDF" w:rsidRPr="00320B7B" w:rsidRDefault="00FF6BCD" w:rsidP="00320B7B">
      <w:pPr>
        <w:spacing w:line="300" w:lineRule="exact"/>
        <w:rPr>
          <w:szCs w:val="22"/>
        </w:rPr>
      </w:pPr>
      <w:r w:rsidRPr="00320B7B">
        <w:rPr>
          <w:szCs w:val="22"/>
        </w:rPr>
        <w:t>W</w:t>
      </w:r>
      <w:r w:rsidR="008B3CDF" w:rsidRPr="00320B7B">
        <w:rPr>
          <w:szCs w:val="22"/>
        </w:rPr>
        <w:t xml:space="preserve">here </w:t>
      </w:r>
      <w:r w:rsidR="00320B7B" w:rsidRPr="00320B7B">
        <w:rPr>
          <w:szCs w:val="22"/>
        </w:rPr>
        <w:t xml:space="preserve">the </w:t>
      </w:r>
      <w:r w:rsidR="008B3CDF" w:rsidRPr="00320B7B">
        <w:rPr>
          <w:szCs w:val="22"/>
        </w:rPr>
        <w:t xml:space="preserve">DHHS is notified </w:t>
      </w:r>
      <w:r w:rsidRPr="00320B7B">
        <w:rPr>
          <w:szCs w:val="22"/>
        </w:rPr>
        <w:t>(whether or not it</w:t>
      </w:r>
      <w:r w:rsidR="008B3CDF" w:rsidRPr="00320B7B">
        <w:rPr>
          <w:szCs w:val="22"/>
        </w:rPr>
        <w:t xml:space="preserve"> </w:t>
      </w:r>
      <w:r w:rsidRPr="00320B7B">
        <w:rPr>
          <w:szCs w:val="22"/>
        </w:rPr>
        <w:t>then investigates or substantiates the risk</w:t>
      </w:r>
      <w:r w:rsidR="008B3CDF" w:rsidRPr="00320B7B">
        <w:rPr>
          <w:szCs w:val="22"/>
        </w:rPr>
        <w:t>), information about possible risk would be available to the court (even if not i</w:t>
      </w:r>
      <w:r w:rsidR="00320B7B" w:rsidRPr="00320B7B">
        <w:rPr>
          <w:szCs w:val="22"/>
        </w:rPr>
        <w:t>ncluded in affidavit materials)</w:t>
      </w:r>
      <w:r w:rsidRPr="00320B7B">
        <w:rPr>
          <w:szCs w:val="22"/>
        </w:rPr>
        <w:t xml:space="preserve"> </w:t>
      </w:r>
      <w:r w:rsidR="008B3CDF" w:rsidRPr="00320B7B">
        <w:rPr>
          <w:szCs w:val="22"/>
        </w:rPr>
        <w:t xml:space="preserve">if our previous recommendations on improved information sharing between the Family Law Courts and the DHHS were adopted. </w:t>
      </w:r>
    </w:p>
    <w:p w14:paraId="7259213A" w14:textId="682F1804" w:rsidR="008B3CDF" w:rsidRPr="00320B7B" w:rsidRDefault="008B3CDF" w:rsidP="00320B7B">
      <w:pPr>
        <w:spacing w:line="300" w:lineRule="exact"/>
        <w:rPr>
          <w:szCs w:val="22"/>
        </w:rPr>
      </w:pPr>
      <w:r w:rsidRPr="00320B7B">
        <w:rPr>
          <w:szCs w:val="22"/>
        </w:rPr>
        <w:t xml:space="preserve">In particular, greater use of the Co-Located DHHS Liaison Officers (currently located at the Melbourne and Dandenong registries of the Family Law Courts in Victoria) would provide information as to when the DHHS has had some involvement with a particular family or child. As proposed in our first submission, a new court application could trigger the sharing of information. </w:t>
      </w:r>
    </w:p>
    <w:p w14:paraId="605C95C5" w14:textId="73BDD897" w:rsidR="008B3CDF" w:rsidRDefault="008A4A3E" w:rsidP="00320B7B">
      <w:pPr>
        <w:spacing w:line="300" w:lineRule="exact"/>
        <w:rPr>
          <w:szCs w:val="22"/>
        </w:rPr>
      </w:pPr>
      <w:r>
        <w:rPr>
          <w:szCs w:val="22"/>
        </w:rPr>
        <w:t>VLA’s recommendation in its first submission to establish a</w:t>
      </w:r>
      <w:r w:rsidR="008B3CDF" w:rsidRPr="00320B7B">
        <w:rPr>
          <w:szCs w:val="22"/>
        </w:rPr>
        <w:t xml:space="preserve"> single database of family court, family violence and child protection orders and proceedings on foot that can be accessed by each court registry of the Family Law Courts would also assist with better identification of risk at the first return date. </w:t>
      </w:r>
      <w:r>
        <w:rPr>
          <w:szCs w:val="22"/>
        </w:rPr>
        <w:t>A check of the database for previous child protection involvement with the family or a family violence intervention order against one of the parties would be an indicator of possible risk</w:t>
      </w:r>
      <w:r w:rsidR="00A45354">
        <w:rPr>
          <w:szCs w:val="22"/>
        </w:rPr>
        <w:t>.</w:t>
      </w:r>
    </w:p>
    <w:p w14:paraId="3EE71F8F" w14:textId="77777777" w:rsidR="003C53C4" w:rsidRPr="00320B7B" w:rsidRDefault="003C53C4" w:rsidP="00320B7B">
      <w:pPr>
        <w:shd w:val="clear" w:color="auto" w:fill="E6E6E6"/>
        <w:spacing w:line="300" w:lineRule="exact"/>
        <w:rPr>
          <w:b/>
          <w:szCs w:val="22"/>
        </w:rPr>
      </w:pPr>
      <w:r w:rsidRPr="00320B7B">
        <w:rPr>
          <w:b/>
          <w:szCs w:val="22"/>
        </w:rPr>
        <w:t>Recommendations:</w:t>
      </w:r>
    </w:p>
    <w:p w14:paraId="32CB4155" w14:textId="77777777" w:rsidR="003C53C4" w:rsidRPr="00320B7B" w:rsidRDefault="003C53C4" w:rsidP="00320B7B">
      <w:pPr>
        <w:pStyle w:val="ListParagraph"/>
        <w:numPr>
          <w:ilvl w:val="0"/>
          <w:numId w:val="40"/>
        </w:numPr>
        <w:shd w:val="clear" w:color="auto" w:fill="E6E6E6"/>
        <w:spacing w:after="120" w:line="300" w:lineRule="exact"/>
        <w:rPr>
          <w:rFonts w:ascii="Arial" w:hAnsi="Arial" w:cs="Arial"/>
        </w:rPr>
      </w:pPr>
      <w:r w:rsidRPr="00320B7B">
        <w:rPr>
          <w:rFonts w:ascii="Arial" w:hAnsi="Arial" w:cs="Arial"/>
        </w:rPr>
        <w:t>Establish a database of orders that provides a single repository of family law, family violence and child protection orders that can be accessed by each of the relevant courts (the Family Law Courts, Magistrates’ Courts and Children’s Court) and by state child protection authorities</w:t>
      </w:r>
    </w:p>
    <w:p w14:paraId="3AFDE44C" w14:textId="4D2341F0" w:rsidR="00515B00" w:rsidRPr="00515B00" w:rsidRDefault="003C53C4" w:rsidP="0049522E">
      <w:pPr>
        <w:pStyle w:val="ListParagraph"/>
        <w:numPr>
          <w:ilvl w:val="0"/>
          <w:numId w:val="40"/>
        </w:numPr>
        <w:shd w:val="clear" w:color="auto" w:fill="E6E6E6"/>
        <w:spacing w:after="120" w:line="300" w:lineRule="exact"/>
        <w:rPr>
          <w:rFonts w:ascii="Arial" w:hAnsi="Arial" w:cs="Arial"/>
        </w:rPr>
      </w:pPr>
      <w:r w:rsidRPr="00320B7B">
        <w:rPr>
          <w:rFonts w:ascii="Arial" w:hAnsi="Arial" w:cs="Arial"/>
        </w:rPr>
        <w:t>Consider expansion of the Co-Located DHHS Liaison Officers program</w:t>
      </w:r>
      <w:r w:rsidRPr="005312E9">
        <w:rPr>
          <w:rFonts w:ascii="Arial" w:hAnsi="Arial" w:cs="Arial"/>
        </w:rPr>
        <w:t>.</w:t>
      </w:r>
    </w:p>
    <w:p w14:paraId="3050DDA1" w14:textId="7BD46C9E" w:rsidR="00FF6BCD" w:rsidRDefault="00583659" w:rsidP="0049522E">
      <w:pPr>
        <w:pStyle w:val="Heading3"/>
      </w:pPr>
      <w:bookmarkStart w:id="16" w:name="_Toc433612273"/>
      <w:r>
        <w:t>Other access to</w:t>
      </w:r>
      <w:r w:rsidR="00FF6BCD">
        <w:t xml:space="preserve"> </w:t>
      </w:r>
      <w:r>
        <w:t>information disclosed at FDR</w:t>
      </w:r>
      <w:bookmarkEnd w:id="16"/>
    </w:p>
    <w:p w14:paraId="3ACEE290" w14:textId="1892F8A3" w:rsidR="002A3396" w:rsidRPr="00FA1416" w:rsidRDefault="002A3396" w:rsidP="00FA1416">
      <w:pPr>
        <w:spacing w:line="300" w:lineRule="exact"/>
        <w:rPr>
          <w:szCs w:val="22"/>
        </w:rPr>
      </w:pPr>
      <w:r w:rsidRPr="00FA1416">
        <w:rPr>
          <w:szCs w:val="22"/>
        </w:rPr>
        <w:t>E</w:t>
      </w:r>
      <w:r w:rsidR="008B3CDF" w:rsidRPr="00FA1416">
        <w:rPr>
          <w:szCs w:val="22"/>
        </w:rPr>
        <w:t xml:space="preserve">xisting </w:t>
      </w:r>
      <w:r w:rsidR="00476D44" w:rsidRPr="00FA1416">
        <w:rPr>
          <w:szCs w:val="22"/>
        </w:rPr>
        <w:t xml:space="preserve">disclosure </w:t>
      </w:r>
      <w:r w:rsidR="008B3CDF" w:rsidRPr="00FA1416">
        <w:rPr>
          <w:szCs w:val="22"/>
        </w:rPr>
        <w:t>practices (supplemented by the</w:t>
      </w:r>
      <w:r w:rsidR="00F753DE">
        <w:rPr>
          <w:szCs w:val="22"/>
        </w:rPr>
        <w:t xml:space="preserve"> above</w:t>
      </w:r>
      <w:r w:rsidR="008B3CDF" w:rsidRPr="00FA1416">
        <w:rPr>
          <w:szCs w:val="22"/>
        </w:rPr>
        <w:t xml:space="preserve"> recommendations) do not address the scenario where information is disclosed at FDR but does not reach the threshold for notifying the DHHS or enlivening the exemptions to confidentiality.</w:t>
      </w:r>
      <w:r w:rsidR="008300A5" w:rsidRPr="00FA1416">
        <w:rPr>
          <w:rStyle w:val="FootnoteReference"/>
          <w:sz w:val="22"/>
          <w:szCs w:val="22"/>
        </w:rPr>
        <w:footnoteReference w:id="5"/>
      </w:r>
      <w:r w:rsidR="00377191" w:rsidRPr="00FA1416">
        <w:rPr>
          <w:szCs w:val="22"/>
        </w:rPr>
        <w:t xml:space="preserve"> </w:t>
      </w:r>
    </w:p>
    <w:p w14:paraId="24F2382C" w14:textId="3F6D670A" w:rsidR="00377191" w:rsidRPr="00FA1416" w:rsidRDefault="00377191" w:rsidP="00FA1416">
      <w:pPr>
        <w:autoSpaceDE w:val="0"/>
        <w:autoSpaceDN w:val="0"/>
        <w:adjustRightInd w:val="0"/>
        <w:spacing w:line="300" w:lineRule="exact"/>
        <w:rPr>
          <w:szCs w:val="22"/>
        </w:rPr>
      </w:pPr>
      <w:r w:rsidRPr="00FA1416">
        <w:rPr>
          <w:szCs w:val="22"/>
        </w:rPr>
        <w:t xml:space="preserve">In this scenario, the challenge </w:t>
      </w:r>
      <w:r w:rsidR="00ED27F0" w:rsidRPr="00FA1416">
        <w:rPr>
          <w:szCs w:val="22"/>
        </w:rPr>
        <w:t>for the Family Law Courts at the early stage of proceedings has been characterised as</w:t>
      </w:r>
      <w:r w:rsidRPr="00FA1416">
        <w:rPr>
          <w:szCs w:val="22"/>
        </w:rPr>
        <w:t xml:space="preserve"> not a lack of better information to inform risk</w:t>
      </w:r>
      <w:r w:rsidR="009B395A">
        <w:rPr>
          <w:szCs w:val="22"/>
        </w:rPr>
        <w:t>,</w:t>
      </w:r>
      <w:r w:rsidRPr="00FA1416">
        <w:rPr>
          <w:szCs w:val="22"/>
        </w:rPr>
        <w:t xml:space="preserve"> but </w:t>
      </w:r>
      <w:r w:rsidR="009B395A">
        <w:rPr>
          <w:szCs w:val="22"/>
        </w:rPr>
        <w:t xml:space="preserve">rather </w:t>
      </w:r>
      <w:r w:rsidRPr="00FA1416">
        <w:rPr>
          <w:szCs w:val="22"/>
        </w:rPr>
        <w:t>the availability of that information to the courts in a timely and efficient manner.</w:t>
      </w:r>
      <w:r w:rsidRPr="00FA1416">
        <w:rPr>
          <w:rStyle w:val="FootnoteReference"/>
          <w:sz w:val="22"/>
          <w:szCs w:val="22"/>
        </w:rPr>
        <w:footnoteReference w:id="6"/>
      </w:r>
      <w:r w:rsidRPr="00FA1416">
        <w:rPr>
          <w:szCs w:val="22"/>
        </w:rPr>
        <w:t xml:space="preserve"> </w:t>
      </w:r>
    </w:p>
    <w:p w14:paraId="0B44E168" w14:textId="5224D144" w:rsidR="00583659" w:rsidRPr="00FA1416" w:rsidRDefault="00583659" w:rsidP="00FA1416">
      <w:pPr>
        <w:autoSpaceDE w:val="0"/>
        <w:autoSpaceDN w:val="0"/>
        <w:adjustRightInd w:val="0"/>
        <w:spacing w:line="300" w:lineRule="exact"/>
        <w:rPr>
          <w:szCs w:val="22"/>
        </w:rPr>
      </w:pPr>
      <w:r w:rsidRPr="00FA1416">
        <w:rPr>
          <w:szCs w:val="22"/>
        </w:rPr>
        <w:t>We would expect that information disclosed during the FDR assessment process is usually included in a party’s affidavit material if the matter proceeds to court. However</w:t>
      </w:r>
      <w:r w:rsidR="00476D44" w:rsidRPr="00FA1416">
        <w:rPr>
          <w:szCs w:val="22"/>
        </w:rPr>
        <w:t xml:space="preserve">, reliance on affidavits from the parties, a notice of risk and a section 60I certificate may </w:t>
      </w:r>
      <w:r w:rsidR="00C34EB7" w:rsidRPr="00FA1416">
        <w:rPr>
          <w:szCs w:val="22"/>
        </w:rPr>
        <w:t xml:space="preserve">in some circumstances </w:t>
      </w:r>
      <w:r w:rsidR="00476D44" w:rsidRPr="00FA1416">
        <w:rPr>
          <w:szCs w:val="22"/>
        </w:rPr>
        <w:t xml:space="preserve">result in an incomplete picture of the issues at the first return date and at the interim hearing stage. </w:t>
      </w:r>
    </w:p>
    <w:p w14:paraId="78AF8F86" w14:textId="595C6E6A" w:rsidR="00583659" w:rsidRPr="00FA1416" w:rsidRDefault="00C34EB7" w:rsidP="00FA1416">
      <w:pPr>
        <w:autoSpaceDE w:val="0"/>
        <w:autoSpaceDN w:val="0"/>
        <w:adjustRightInd w:val="0"/>
        <w:spacing w:line="300" w:lineRule="exact"/>
        <w:rPr>
          <w:szCs w:val="22"/>
        </w:rPr>
      </w:pPr>
      <w:r>
        <w:rPr>
          <w:szCs w:val="22"/>
        </w:rPr>
        <w:lastRenderedPageBreak/>
        <w:t>T</w:t>
      </w:r>
      <w:r w:rsidR="00583659" w:rsidRPr="00FA1416">
        <w:rPr>
          <w:szCs w:val="22"/>
        </w:rPr>
        <w:t xml:space="preserve">he extent of this </w:t>
      </w:r>
      <w:r w:rsidR="00955804" w:rsidRPr="00FA1416">
        <w:rPr>
          <w:szCs w:val="22"/>
        </w:rPr>
        <w:t>potential problem remains unclear,</w:t>
      </w:r>
      <w:r w:rsidR="00583659" w:rsidRPr="00FA1416">
        <w:rPr>
          <w:szCs w:val="22"/>
        </w:rPr>
        <w:t xml:space="preserve"> </w:t>
      </w:r>
      <w:r w:rsidR="00955804" w:rsidRPr="00FA1416">
        <w:rPr>
          <w:szCs w:val="22"/>
        </w:rPr>
        <w:t xml:space="preserve">both </w:t>
      </w:r>
      <w:r w:rsidR="00583659" w:rsidRPr="00FA1416">
        <w:rPr>
          <w:szCs w:val="22"/>
        </w:rPr>
        <w:t xml:space="preserve">in terms of the information gap </w:t>
      </w:r>
      <w:r w:rsidR="00955804" w:rsidRPr="00FA1416">
        <w:rPr>
          <w:szCs w:val="22"/>
        </w:rPr>
        <w:t xml:space="preserve">between FDR and the court process </w:t>
      </w:r>
      <w:r w:rsidR="00583659" w:rsidRPr="00FA1416">
        <w:rPr>
          <w:szCs w:val="22"/>
        </w:rPr>
        <w:t>and the frequency with which it o</w:t>
      </w:r>
      <w:r w:rsidR="003919EA" w:rsidRPr="00FA1416">
        <w:rPr>
          <w:szCs w:val="22"/>
        </w:rPr>
        <w:t>c</w:t>
      </w:r>
      <w:r w:rsidR="00955804" w:rsidRPr="00FA1416">
        <w:rPr>
          <w:szCs w:val="22"/>
        </w:rPr>
        <w:t>c</w:t>
      </w:r>
      <w:r w:rsidR="00583659" w:rsidRPr="00FA1416">
        <w:rPr>
          <w:szCs w:val="22"/>
        </w:rPr>
        <w:t xml:space="preserve">urs. </w:t>
      </w:r>
      <w:r w:rsidR="00476D44" w:rsidRPr="00FA1416">
        <w:rPr>
          <w:szCs w:val="22"/>
        </w:rPr>
        <w:t xml:space="preserve">There would be benefit in further research to explore whether there is </w:t>
      </w:r>
      <w:r w:rsidR="00444E4D">
        <w:rPr>
          <w:szCs w:val="22"/>
        </w:rPr>
        <w:t xml:space="preserve">in fact </w:t>
      </w:r>
      <w:r w:rsidR="00476D44" w:rsidRPr="00FA1416">
        <w:rPr>
          <w:szCs w:val="22"/>
        </w:rPr>
        <w:t xml:space="preserve">an information gap between </w:t>
      </w:r>
      <w:r w:rsidR="00444E4D">
        <w:rPr>
          <w:szCs w:val="22"/>
        </w:rPr>
        <w:t>what is</w:t>
      </w:r>
      <w:r w:rsidR="00444E4D" w:rsidRPr="00FA1416">
        <w:rPr>
          <w:szCs w:val="22"/>
        </w:rPr>
        <w:t xml:space="preserve"> </w:t>
      </w:r>
      <w:r w:rsidR="00476D44" w:rsidRPr="00FA1416">
        <w:rPr>
          <w:szCs w:val="22"/>
        </w:rPr>
        <w:t>provided during the assessment process in FDR services and the information included in a party’s affidavit and notice of risk documents.</w:t>
      </w:r>
      <w:r w:rsidR="00583659" w:rsidRPr="00FA1416">
        <w:rPr>
          <w:szCs w:val="22"/>
        </w:rPr>
        <w:t xml:space="preserve"> This would provide a helpful evidence base to inform policy decisions on the issue of confidentiality in FDR. </w:t>
      </w:r>
    </w:p>
    <w:p w14:paraId="508FFD7B" w14:textId="3EFC27C8" w:rsidR="00DD08F8" w:rsidRPr="00FA1416" w:rsidRDefault="00FC49C5" w:rsidP="00FA1416">
      <w:pPr>
        <w:spacing w:line="300" w:lineRule="exact"/>
        <w:rPr>
          <w:szCs w:val="22"/>
        </w:rPr>
      </w:pPr>
      <w:r w:rsidRPr="00FA1416">
        <w:rPr>
          <w:szCs w:val="22"/>
        </w:rPr>
        <w:t xml:space="preserve">It is </w:t>
      </w:r>
      <w:r w:rsidR="003919EA" w:rsidRPr="00FA1416">
        <w:rPr>
          <w:szCs w:val="22"/>
        </w:rPr>
        <w:t xml:space="preserve">also </w:t>
      </w:r>
      <w:r w:rsidRPr="00FA1416">
        <w:rPr>
          <w:szCs w:val="22"/>
        </w:rPr>
        <w:t xml:space="preserve">important to note, however, </w:t>
      </w:r>
      <w:r w:rsidR="00476D44" w:rsidRPr="00FA1416">
        <w:rPr>
          <w:szCs w:val="22"/>
        </w:rPr>
        <w:t>that</w:t>
      </w:r>
      <w:r w:rsidR="00635512" w:rsidRPr="00FA1416">
        <w:rPr>
          <w:szCs w:val="22"/>
        </w:rPr>
        <w:t xml:space="preserve"> the information provided by a parent during FDR is not proof that there is a risk to the child. VLA’s FDRS does not test the veracity of information provided by parties.</w:t>
      </w:r>
      <w:r w:rsidR="00320DC7" w:rsidRPr="00FA1416">
        <w:rPr>
          <w:rStyle w:val="FootnoteReference"/>
          <w:sz w:val="22"/>
          <w:szCs w:val="22"/>
        </w:rPr>
        <w:footnoteReference w:id="7"/>
      </w:r>
      <w:r w:rsidR="00635512" w:rsidRPr="00FA1416">
        <w:rPr>
          <w:szCs w:val="22"/>
        </w:rPr>
        <w:t xml:space="preserve"> </w:t>
      </w:r>
      <w:r w:rsidR="00444E4D">
        <w:rPr>
          <w:szCs w:val="22"/>
        </w:rPr>
        <w:t>W</w:t>
      </w:r>
      <w:r w:rsidR="00635512" w:rsidRPr="00FA1416">
        <w:rPr>
          <w:szCs w:val="22"/>
        </w:rPr>
        <w:t xml:space="preserve">e would </w:t>
      </w:r>
      <w:r w:rsidR="00444E4D">
        <w:rPr>
          <w:szCs w:val="22"/>
        </w:rPr>
        <w:t xml:space="preserve">therefore </w:t>
      </w:r>
      <w:r w:rsidR="00635512" w:rsidRPr="00FA1416">
        <w:rPr>
          <w:szCs w:val="22"/>
        </w:rPr>
        <w:t>caution against reliance on the information provided (if confidentiality provisions were to be amended) as the best available evidence when the court is making a decision</w:t>
      </w:r>
      <w:r w:rsidR="00ED3410">
        <w:rPr>
          <w:szCs w:val="22"/>
        </w:rPr>
        <w:t xml:space="preserve"> </w:t>
      </w:r>
      <w:r w:rsidR="00635512" w:rsidRPr="00FA1416">
        <w:rPr>
          <w:szCs w:val="22"/>
        </w:rPr>
        <w:t xml:space="preserve">in the early stages of a matter. </w:t>
      </w:r>
    </w:p>
    <w:p w14:paraId="515D12F4" w14:textId="2FD0D790" w:rsidR="004A24F6" w:rsidRDefault="003919EA" w:rsidP="00FA1416">
      <w:pPr>
        <w:autoSpaceDE w:val="0"/>
        <w:autoSpaceDN w:val="0"/>
        <w:adjustRightInd w:val="0"/>
        <w:spacing w:line="300" w:lineRule="exact"/>
        <w:rPr>
          <w:szCs w:val="22"/>
        </w:rPr>
      </w:pPr>
      <w:r w:rsidRPr="00FA1416">
        <w:rPr>
          <w:szCs w:val="22"/>
        </w:rPr>
        <w:t>A</w:t>
      </w:r>
      <w:r w:rsidR="00635512" w:rsidRPr="00FA1416">
        <w:rPr>
          <w:szCs w:val="22"/>
        </w:rPr>
        <w:t xml:space="preserve">lternative measures </w:t>
      </w:r>
      <w:r w:rsidRPr="00FA1416">
        <w:rPr>
          <w:szCs w:val="22"/>
        </w:rPr>
        <w:t xml:space="preserve">could </w:t>
      </w:r>
      <w:r w:rsidR="00635512" w:rsidRPr="00FA1416">
        <w:rPr>
          <w:szCs w:val="22"/>
        </w:rPr>
        <w:t xml:space="preserve">be adopted to </w:t>
      </w:r>
      <w:r w:rsidRPr="00FA1416">
        <w:rPr>
          <w:szCs w:val="22"/>
        </w:rPr>
        <w:t>assist the Family Law Courts to elicit relevant information earlier</w:t>
      </w:r>
      <w:r w:rsidR="00635512" w:rsidRPr="00FA1416">
        <w:rPr>
          <w:szCs w:val="22"/>
        </w:rPr>
        <w:t xml:space="preserve">, negating the need to change the confidentiality and inadmissibility provisions relating to FDR. This </w:t>
      </w:r>
      <w:r w:rsidRPr="00FA1416">
        <w:rPr>
          <w:szCs w:val="22"/>
        </w:rPr>
        <w:t>would</w:t>
      </w:r>
      <w:r w:rsidR="00635512" w:rsidRPr="00FA1416">
        <w:rPr>
          <w:szCs w:val="22"/>
        </w:rPr>
        <w:t xml:space="preserve"> assist the Family Law Courts while maintaining the confidentiality of the FDR process, which in our experience is essential for delivery of a safe and effective FDR service. </w:t>
      </w:r>
      <w:r w:rsidR="00372BDD">
        <w:rPr>
          <w:szCs w:val="22"/>
        </w:rPr>
        <w:t>These alternative measures include:</w:t>
      </w:r>
    </w:p>
    <w:p w14:paraId="2C446693" w14:textId="100D58E1" w:rsidR="00372BDD" w:rsidRPr="00ED3410" w:rsidRDefault="00476D44" w:rsidP="00ED3410">
      <w:pPr>
        <w:pStyle w:val="ListParagraph"/>
        <w:numPr>
          <w:ilvl w:val="0"/>
          <w:numId w:val="49"/>
        </w:numPr>
        <w:autoSpaceDE w:val="0"/>
        <w:autoSpaceDN w:val="0"/>
        <w:adjustRightInd w:val="0"/>
        <w:spacing w:line="300" w:lineRule="exact"/>
        <w:rPr>
          <w:rFonts w:ascii="Arial" w:eastAsia="Times New Roman" w:hAnsi="Arial" w:cs="Times New Roman"/>
        </w:rPr>
      </w:pPr>
      <w:r w:rsidRPr="00ED3410">
        <w:rPr>
          <w:rFonts w:ascii="Arial" w:eastAsia="Times New Roman" w:hAnsi="Arial" w:cs="Times New Roman"/>
        </w:rPr>
        <w:t xml:space="preserve">Further and ongoing training for judicial officers in identifying and appropriately responding to risk factors would assist with decision-making at the early stages of proceedings. </w:t>
      </w:r>
    </w:p>
    <w:p w14:paraId="285672B6" w14:textId="6B175CD8" w:rsidR="00372BDD" w:rsidRPr="00ED3410" w:rsidRDefault="00476D44" w:rsidP="00ED3410">
      <w:pPr>
        <w:pStyle w:val="ListParagraph"/>
        <w:numPr>
          <w:ilvl w:val="0"/>
          <w:numId w:val="49"/>
        </w:numPr>
        <w:autoSpaceDE w:val="0"/>
        <w:autoSpaceDN w:val="0"/>
        <w:adjustRightInd w:val="0"/>
        <w:spacing w:line="300" w:lineRule="exact"/>
        <w:rPr>
          <w:rFonts w:ascii="Arial" w:eastAsia="Times New Roman" w:hAnsi="Arial" w:cs="Times New Roman"/>
        </w:rPr>
      </w:pPr>
      <w:r w:rsidRPr="00ED3410">
        <w:rPr>
          <w:rFonts w:ascii="Arial" w:eastAsia="Times New Roman" w:hAnsi="Arial" w:cs="Times New Roman"/>
        </w:rPr>
        <w:t xml:space="preserve">Increased resourcing of the Family Law Courts </w:t>
      </w:r>
      <w:r w:rsidR="00765183">
        <w:rPr>
          <w:rFonts w:ascii="Arial" w:eastAsia="Times New Roman" w:hAnsi="Arial" w:cs="Times New Roman"/>
        </w:rPr>
        <w:t>to</w:t>
      </w:r>
      <w:r w:rsidRPr="00ED3410">
        <w:rPr>
          <w:rFonts w:ascii="Arial" w:eastAsia="Times New Roman" w:hAnsi="Arial" w:cs="Times New Roman"/>
        </w:rPr>
        <w:t xml:space="preserve"> provide judicial officers with adequate time to screen court materials for risk factors prior to the first return date. </w:t>
      </w:r>
    </w:p>
    <w:p w14:paraId="77297912" w14:textId="7A51B1A4" w:rsidR="00476D44" w:rsidRPr="00D6539E" w:rsidRDefault="00476D44" w:rsidP="00ED3410">
      <w:pPr>
        <w:pStyle w:val="ListParagraph"/>
        <w:numPr>
          <w:ilvl w:val="0"/>
          <w:numId w:val="49"/>
        </w:numPr>
        <w:autoSpaceDE w:val="0"/>
        <w:autoSpaceDN w:val="0"/>
        <w:adjustRightInd w:val="0"/>
        <w:spacing w:line="300" w:lineRule="exact"/>
      </w:pPr>
      <w:r w:rsidRPr="00ED3410">
        <w:rPr>
          <w:rFonts w:ascii="Arial" w:eastAsia="Times New Roman" w:hAnsi="Arial" w:cs="Times New Roman"/>
        </w:rPr>
        <w:t xml:space="preserve">A change in court practice (which would also need to be adequately resourced) </w:t>
      </w:r>
      <w:r w:rsidR="00765183">
        <w:rPr>
          <w:rFonts w:ascii="Arial" w:eastAsia="Times New Roman" w:hAnsi="Arial" w:cs="Times New Roman"/>
        </w:rPr>
        <w:t>to</w:t>
      </w:r>
      <w:r w:rsidR="00765183" w:rsidRPr="00ED3410">
        <w:rPr>
          <w:rFonts w:ascii="Arial" w:eastAsia="Times New Roman" w:hAnsi="Arial" w:cs="Times New Roman"/>
        </w:rPr>
        <w:t xml:space="preserve"> </w:t>
      </w:r>
      <w:r w:rsidRPr="00ED3410">
        <w:rPr>
          <w:rFonts w:ascii="Arial" w:eastAsia="Times New Roman" w:hAnsi="Arial" w:cs="Times New Roman"/>
        </w:rPr>
        <w:t xml:space="preserve">enable judicial officers to question parties at an early stage where risk factors have been identified but the judicial officer would benefit from further information in order to have greater confidence in the appropriateness of the interim order being made.  </w:t>
      </w:r>
    </w:p>
    <w:p w14:paraId="178075B7" w14:textId="7CDFB5F7" w:rsidR="00D162A9" w:rsidRPr="00FA1416" w:rsidRDefault="00476D44" w:rsidP="00FA1416">
      <w:pPr>
        <w:spacing w:line="300" w:lineRule="exact"/>
        <w:rPr>
          <w:szCs w:val="22"/>
        </w:rPr>
      </w:pPr>
      <w:r w:rsidRPr="00FA1416">
        <w:rPr>
          <w:szCs w:val="22"/>
        </w:rPr>
        <w:t>Previous research has explored changes to the section 60I certificate to better assist with risk identification at the first return date.</w:t>
      </w:r>
      <w:r w:rsidRPr="00FA1416">
        <w:rPr>
          <w:rStyle w:val="FootnoteReference"/>
          <w:sz w:val="22"/>
          <w:szCs w:val="22"/>
        </w:rPr>
        <w:footnoteReference w:id="8"/>
      </w:r>
      <w:r w:rsidRPr="00FA1416">
        <w:rPr>
          <w:szCs w:val="22"/>
        </w:rPr>
        <w:t xml:space="preserve"> </w:t>
      </w:r>
      <w:r w:rsidR="00A820EC" w:rsidRPr="00FA1416">
        <w:rPr>
          <w:szCs w:val="22"/>
        </w:rPr>
        <w:t>In some respects</w:t>
      </w:r>
      <w:r w:rsidR="006C632B" w:rsidRPr="00FA1416">
        <w:rPr>
          <w:szCs w:val="22"/>
        </w:rPr>
        <w:t xml:space="preserve">, the issuing of a </w:t>
      </w:r>
      <w:r w:rsidR="00A820EC" w:rsidRPr="00FA1416">
        <w:rPr>
          <w:szCs w:val="22"/>
        </w:rPr>
        <w:t>se</w:t>
      </w:r>
      <w:r w:rsidR="00B23178" w:rsidRPr="00FA1416">
        <w:rPr>
          <w:szCs w:val="22"/>
        </w:rPr>
        <w:t xml:space="preserve">ction 60I certificate </w:t>
      </w:r>
      <w:r w:rsidR="00A820EC" w:rsidRPr="00FA1416">
        <w:rPr>
          <w:szCs w:val="22"/>
        </w:rPr>
        <w:t xml:space="preserve">because the </w:t>
      </w:r>
      <w:r w:rsidR="00765183">
        <w:rPr>
          <w:szCs w:val="22"/>
        </w:rPr>
        <w:t>FDR</w:t>
      </w:r>
      <w:r w:rsidR="00A820EC" w:rsidRPr="00FA1416">
        <w:rPr>
          <w:szCs w:val="22"/>
        </w:rPr>
        <w:t xml:space="preserve"> practitioner is of the view that it would not be appropriate to conduct FDR </w:t>
      </w:r>
      <w:r w:rsidR="00110780" w:rsidRPr="00FA1416">
        <w:rPr>
          <w:szCs w:val="22"/>
        </w:rPr>
        <w:t xml:space="preserve">already </w:t>
      </w:r>
      <w:r w:rsidR="004767FE" w:rsidRPr="00FA1416">
        <w:rPr>
          <w:szCs w:val="22"/>
        </w:rPr>
        <w:t>goes some way in doing</w:t>
      </w:r>
      <w:r w:rsidR="00A820EC" w:rsidRPr="00FA1416">
        <w:rPr>
          <w:szCs w:val="22"/>
        </w:rPr>
        <w:t xml:space="preserve"> this. </w:t>
      </w:r>
      <w:r w:rsidR="00CA09A3" w:rsidRPr="00FA1416">
        <w:rPr>
          <w:szCs w:val="22"/>
        </w:rPr>
        <w:t xml:space="preserve">A certificate on this ground </w:t>
      </w:r>
      <w:proofErr w:type="gramStart"/>
      <w:r w:rsidR="00CA09A3" w:rsidRPr="00FA1416">
        <w:rPr>
          <w:szCs w:val="22"/>
        </w:rPr>
        <w:t>may</w:t>
      </w:r>
      <w:proofErr w:type="gramEnd"/>
      <w:r w:rsidR="00CA09A3" w:rsidRPr="00FA1416">
        <w:rPr>
          <w:szCs w:val="22"/>
        </w:rPr>
        <w:t xml:space="preserve">, however, be issued for a range of reasons. As in the scenario above, there may be significant concerns about the </w:t>
      </w:r>
      <w:r w:rsidR="00A9739E" w:rsidRPr="00FA1416">
        <w:rPr>
          <w:szCs w:val="22"/>
        </w:rPr>
        <w:t xml:space="preserve">history of family violence. </w:t>
      </w:r>
      <w:r w:rsidR="00110780" w:rsidRPr="00FA1416">
        <w:rPr>
          <w:szCs w:val="22"/>
        </w:rPr>
        <w:t xml:space="preserve">It may, though, be </w:t>
      </w:r>
      <w:r w:rsidR="00416068" w:rsidRPr="00FA1416">
        <w:rPr>
          <w:szCs w:val="22"/>
        </w:rPr>
        <w:t xml:space="preserve">issued </w:t>
      </w:r>
      <w:r w:rsidR="00110780" w:rsidRPr="00FA1416">
        <w:rPr>
          <w:szCs w:val="22"/>
        </w:rPr>
        <w:t xml:space="preserve">due to concerns about a </w:t>
      </w:r>
      <w:r w:rsidR="00CA09A3" w:rsidRPr="00FA1416">
        <w:rPr>
          <w:szCs w:val="22"/>
        </w:rPr>
        <w:t xml:space="preserve">parent’s capacity to make child-focused decisions. </w:t>
      </w:r>
    </w:p>
    <w:p w14:paraId="3630B44A" w14:textId="209C161F" w:rsidR="00A820EC" w:rsidRPr="00FA1416" w:rsidRDefault="00476D44" w:rsidP="00FA1416">
      <w:pPr>
        <w:spacing w:line="300" w:lineRule="exact"/>
        <w:rPr>
          <w:szCs w:val="22"/>
        </w:rPr>
      </w:pPr>
      <w:r w:rsidRPr="00FA1416">
        <w:rPr>
          <w:szCs w:val="22"/>
        </w:rPr>
        <w:t>If the Council is to</w:t>
      </w:r>
      <w:r w:rsidR="00A820EC" w:rsidRPr="00FA1416">
        <w:rPr>
          <w:szCs w:val="22"/>
        </w:rPr>
        <w:t xml:space="preserve"> </w:t>
      </w:r>
      <w:r w:rsidRPr="00FA1416">
        <w:rPr>
          <w:szCs w:val="22"/>
        </w:rPr>
        <w:t xml:space="preserve">explore </w:t>
      </w:r>
      <w:r w:rsidR="00A9739E" w:rsidRPr="00FA1416">
        <w:rPr>
          <w:szCs w:val="22"/>
        </w:rPr>
        <w:t>any changes</w:t>
      </w:r>
      <w:r w:rsidRPr="00FA1416">
        <w:rPr>
          <w:szCs w:val="22"/>
        </w:rPr>
        <w:t xml:space="preserve"> to the certificate,</w:t>
      </w:r>
      <w:r w:rsidR="00A9739E" w:rsidRPr="00FA1416">
        <w:rPr>
          <w:szCs w:val="22"/>
        </w:rPr>
        <w:t xml:space="preserve"> </w:t>
      </w:r>
      <w:r w:rsidR="00A820EC" w:rsidRPr="00FA1416">
        <w:rPr>
          <w:szCs w:val="22"/>
        </w:rPr>
        <w:t xml:space="preserve">consideration </w:t>
      </w:r>
      <w:r w:rsidR="00A61A0A" w:rsidRPr="00FA1416">
        <w:rPr>
          <w:szCs w:val="22"/>
        </w:rPr>
        <w:t xml:space="preserve">would need to be given to </w:t>
      </w:r>
      <w:r w:rsidR="00A820EC" w:rsidRPr="00FA1416">
        <w:rPr>
          <w:szCs w:val="22"/>
        </w:rPr>
        <w:t xml:space="preserve">how </w:t>
      </w:r>
      <w:r w:rsidR="00A61A0A" w:rsidRPr="00FA1416">
        <w:rPr>
          <w:szCs w:val="22"/>
        </w:rPr>
        <w:t>any</w:t>
      </w:r>
      <w:r w:rsidR="00A820EC" w:rsidRPr="00FA1416">
        <w:rPr>
          <w:szCs w:val="22"/>
        </w:rPr>
        <w:t xml:space="preserve"> changes may </w:t>
      </w:r>
      <w:r w:rsidR="00311B15" w:rsidRPr="00FA1416">
        <w:rPr>
          <w:szCs w:val="22"/>
        </w:rPr>
        <w:t xml:space="preserve">inadvertently </w:t>
      </w:r>
      <w:r w:rsidR="00A820EC" w:rsidRPr="00FA1416">
        <w:rPr>
          <w:szCs w:val="22"/>
        </w:rPr>
        <w:t xml:space="preserve">elevate the risk for a party to a matter </w:t>
      </w:r>
      <w:r w:rsidR="00A9739E" w:rsidRPr="00FA1416">
        <w:rPr>
          <w:szCs w:val="22"/>
        </w:rPr>
        <w:t xml:space="preserve">(and the children) </w:t>
      </w:r>
      <w:r w:rsidR="00A820EC" w:rsidRPr="00FA1416">
        <w:rPr>
          <w:szCs w:val="22"/>
        </w:rPr>
        <w:t>who is a victim of family violence</w:t>
      </w:r>
      <w:r w:rsidR="00416068" w:rsidRPr="00FA1416">
        <w:rPr>
          <w:szCs w:val="22"/>
        </w:rPr>
        <w:t xml:space="preserve"> or undermine a party’s willingness to disclose family violence due to fear of this being signalled through the issuing of a certificate on this ground</w:t>
      </w:r>
      <w:r w:rsidR="00A820EC" w:rsidRPr="00FA1416">
        <w:rPr>
          <w:szCs w:val="22"/>
        </w:rPr>
        <w:t xml:space="preserve">. </w:t>
      </w:r>
      <w:r w:rsidR="00BE61DF" w:rsidRPr="00FA1416">
        <w:rPr>
          <w:szCs w:val="22"/>
        </w:rPr>
        <w:t>The Australian Law Reform Commission (ALRC) has considered this issue and has recommended that changes not be made to</w:t>
      </w:r>
      <w:r w:rsidR="00BE61DF">
        <w:t xml:space="preserve"> </w:t>
      </w:r>
      <w:r w:rsidR="00BE61DF" w:rsidRPr="00FA1416">
        <w:rPr>
          <w:szCs w:val="22"/>
        </w:rPr>
        <w:lastRenderedPageBreak/>
        <w:t>the certificate for these reasons.</w:t>
      </w:r>
      <w:r w:rsidR="00BE61DF" w:rsidRPr="00FA1416">
        <w:rPr>
          <w:rStyle w:val="FootnoteReference"/>
          <w:sz w:val="22"/>
          <w:szCs w:val="22"/>
        </w:rPr>
        <w:footnoteReference w:id="9"/>
      </w:r>
      <w:r w:rsidR="00BE61DF" w:rsidRPr="00FA1416">
        <w:rPr>
          <w:szCs w:val="22"/>
        </w:rPr>
        <w:t xml:space="preserve"> The ALRC is also of the view that changes </w:t>
      </w:r>
      <w:r w:rsidR="00AD1F90" w:rsidRPr="00FA1416">
        <w:rPr>
          <w:szCs w:val="22"/>
        </w:rPr>
        <w:t xml:space="preserve">to </w:t>
      </w:r>
      <w:r w:rsidR="00BE61DF" w:rsidRPr="00FA1416">
        <w:rPr>
          <w:szCs w:val="22"/>
        </w:rPr>
        <w:t>the certificate would not negate the need for ongoing screening through subsequent legal proceedings.</w:t>
      </w:r>
      <w:r w:rsidR="00BE61DF" w:rsidRPr="00FA1416">
        <w:rPr>
          <w:rStyle w:val="FootnoteReference"/>
          <w:sz w:val="22"/>
          <w:szCs w:val="22"/>
        </w:rPr>
        <w:footnoteReference w:id="10"/>
      </w:r>
      <w:r w:rsidR="00BE61DF" w:rsidRPr="00FA1416">
        <w:rPr>
          <w:szCs w:val="22"/>
        </w:rPr>
        <w:t xml:space="preserve"> </w:t>
      </w:r>
    </w:p>
    <w:p w14:paraId="32BE666D" w14:textId="3E8A99B7" w:rsidR="00B03515" w:rsidRPr="00FA1416" w:rsidRDefault="00110780" w:rsidP="00FA1416">
      <w:pPr>
        <w:spacing w:line="300" w:lineRule="exact"/>
        <w:rPr>
          <w:szCs w:val="22"/>
        </w:rPr>
      </w:pPr>
      <w:r w:rsidRPr="00FA1416">
        <w:rPr>
          <w:szCs w:val="22"/>
        </w:rPr>
        <w:t xml:space="preserve">The </w:t>
      </w:r>
      <w:r w:rsidR="003919EA" w:rsidRPr="00FA1416">
        <w:rPr>
          <w:szCs w:val="22"/>
        </w:rPr>
        <w:t>measures</w:t>
      </w:r>
      <w:r w:rsidR="00AD1F90" w:rsidRPr="00FA1416">
        <w:rPr>
          <w:szCs w:val="22"/>
        </w:rPr>
        <w:t xml:space="preserve"> discussed</w:t>
      </w:r>
      <w:r w:rsidR="003919EA" w:rsidRPr="00FA1416">
        <w:rPr>
          <w:szCs w:val="22"/>
        </w:rPr>
        <w:t xml:space="preserve"> above </w:t>
      </w:r>
      <w:r w:rsidR="006F4A41" w:rsidRPr="00FA1416">
        <w:rPr>
          <w:szCs w:val="22"/>
        </w:rPr>
        <w:t xml:space="preserve">(including greater information from the DHHS) </w:t>
      </w:r>
      <w:r w:rsidR="003919EA" w:rsidRPr="00FA1416">
        <w:rPr>
          <w:szCs w:val="22"/>
        </w:rPr>
        <w:t xml:space="preserve">would </w:t>
      </w:r>
      <w:r w:rsidR="007A39F7" w:rsidRPr="00FA1416">
        <w:rPr>
          <w:szCs w:val="22"/>
        </w:rPr>
        <w:t xml:space="preserve">improve the information available </w:t>
      </w:r>
      <w:r w:rsidR="003919EA" w:rsidRPr="00FA1416">
        <w:rPr>
          <w:szCs w:val="22"/>
        </w:rPr>
        <w:t xml:space="preserve">to the court </w:t>
      </w:r>
      <w:r w:rsidR="007A39F7" w:rsidRPr="00FA1416">
        <w:rPr>
          <w:szCs w:val="22"/>
        </w:rPr>
        <w:t>at the first return date without undermining the ability of FDR service providers to assess risk and safety plan</w:t>
      </w:r>
      <w:r w:rsidR="00B71CA9">
        <w:rPr>
          <w:szCs w:val="22"/>
        </w:rPr>
        <w:t>s</w:t>
      </w:r>
      <w:r w:rsidR="007A39F7" w:rsidRPr="00FA1416">
        <w:rPr>
          <w:szCs w:val="22"/>
        </w:rPr>
        <w:t xml:space="preserve"> so that parties are not </w:t>
      </w:r>
      <w:r w:rsidR="00A9739E" w:rsidRPr="00FA1416">
        <w:rPr>
          <w:szCs w:val="22"/>
        </w:rPr>
        <w:t>participating in</w:t>
      </w:r>
      <w:r w:rsidR="007A39F7" w:rsidRPr="00FA1416">
        <w:rPr>
          <w:szCs w:val="22"/>
        </w:rPr>
        <w:t xml:space="preserve"> FDR where it is not appropriate or safe to do so.</w:t>
      </w:r>
      <w:r w:rsidR="003919EA" w:rsidRPr="00FA1416">
        <w:rPr>
          <w:szCs w:val="22"/>
        </w:rPr>
        <w:t xml:space="preserve"> </w:t>
      </w:r>
      <w:r w:rsidR="00393AB1" w:rsidRPr="00FA1416">
        <w:rPr>
          <w:szCs w:val="22"/>
        </w:rPr>
        <w:t>F</w:t>
      </w:r>
      <w:r w:rsidR="003919EA" w:rsidRPr="00FA1416">
        <w:rPr>
          <w:szCs w:val="22"/>
        </w:rPr>
        <w:t xml:space="preserve">urther measures </w:t>
      </w:r>
      <w:r w:rsidR="005F0E60" w:rsidRPr="00FA1416">
        <w:rPr>
          <w:szCs w:val="22"/>
        </w:rPr>
        <w:t xml:space="preserve">to assist the Family Law Courts at later stages of proceedings </w:t>
      </w:r>
      <w:r w:rsidR="00393AB1" w:rsidRPr="00FA1416">
        <w:rPr>
          <w:szCs w:val="22"/>
        </w:rPr>
        <w:t xml:space="preserve">are also discussed </w:t>
      </w:r>
      <w:r w:rsidR="005F0E60" w:rsidRPr="00FA1416">
        <w:rPr>
          <w:szCs w:val="22"/>
        </w:rPr>
        <w:t>further below</w:t>
      </w:r>
      <w:r w:rsidR="003919EA" w:rsidRPr="00FA1416">
        <w:rPr>
          <w:szCs w:val="22"/>
        </w:rPr>
        <w:t xml:space="preserve"> in this submission.</w:t>
      </w:r>
    </w:p>
    <w:p w14:paraId="69520F37" w14:textId="7FD0416B" w:rsidR="00B03515" w:rsidRPr="00FA1416" w:rsidRDefault="00B03515" w:rsidP="00FA1416">
      <w:pPr>
        <w:shd w:val="clear" w:color="auto" w:fill="E6E6E6"/>
        <w:spacing w:line="300" w:lineRule="exact"/>
        <w:rPr>
          <w:b/>
          <w:szCs w:val="22"/>
        </w:rPr>
      </w:pPr>
      <w:r w:rsidRPr="00FA1416">
        <w:rPr>
          <w:b/>
          <w:szCs w:val="22"/>
        </w:rPr>
        <w:t>Recommendations:</w:t>
      </w:r>
    </w:p>
    <w:p w14:paraId="04FDE2F4" w14:textId="1D0BEEEE" w:rsidR="005312E9" w:rsidRPr="00FA1416" w:rsidRDefault="00393AB1" w:rsidP="00FA1416">
      <w:pPr>
        <w:pStyle w:val="ListParagraph"/>
        <w:numPr>
          <w:ilvl w:val="0"/>
          <w:numId w:val="40"/>
        </w:numPr>
        <w:shd w:val="clear" w:color="auto" w:fill="E6E6E6"/>
        <w:spacing w:after="120" w:line="300" w:lineRule="exact"/>
        <w:rPr>
          <w:rFonts w:ascii="Arial" w:hAnsi="Arial" w:cs="Arial"/>
        </w:rPr>
      </w:pPr>
      <w:r w:rsidRPr="00FA1416">
        <w:rPr>
          <w:rFonts w:ascii="Arial" w:hAnsi="Arial" w:cs="Arial"/>
        </w:rPr>
        <w:t>Conduct f</w:t>
      </w:r>
      <w:r w:rsidR="00B03515" w:rsidRPr="00FA1416">
        <w:rPr>
          <w:rFonts w:ascii="Arial" w:hAnsi="Arial" w:cs="Arial"/>
        </w:rPr>
        <w:t xml:space="preserve">urther research to examine the existence of </w:t>
      </w:r>
      <w:r w:rsidRPr="00FA1416">
        <w:rPr>
          <w:rFonts w:ascii="Arial" w:hAnsi="Arial" w:cs="Arial"/>
        </w:rPr>
        <w:t>information gaps between</w:t>
      </w:r>
      <w:r w:rsidR="00B03515" w:rsidRPr="00FA1416">
        <w:rPr>
          <w:rFonts w:ascii="Arial" w:hAnsi="Arial" w:cs="Arial"/>
        </w:rPr>
        <w:t xml:space="preserve"> a party’s affidavit material and disclosures at FDR</w:t>
      </w:r>
      <w:r w:rsidR="00AD614B" w:rsidRPr="00FA1416">
        <w:rPr>
          <w:rFonts w:ascii="Arial" w:hAnsi="Arial" w:cs="Arial"/>
        </w:rPr>
        <w:t>.</w:t>
      </w:r>
    </w:p>
    <w:p w14:paraId="448B6DAE" w14:textId="7DFCF02B" w:rsidR="00B03515" w:rsidRPr="00FA1416" w:rsidRDefault="00923501" w:rsidP="00FA1416">
      <w:pPr>
        <w:pStyle w:val="ListParagraph"/>
        <w:numPr>
          <w:ilvl w:val="0"/>
          <w:numId w:val="40"/>
        </w:numPr>
        <w:shd w:val="clear" w:color="auto" w:fill="E6E6E6"/>
        <w:spacing w:after="120" w:line="300" w:lineRule="exact"/>
        <w:rPr>
          <w:rFonts w:ascii="Arial" w:hAnsi="Arial" w:cs="Arial"/>
        </w:rPr>
      </w:pPr>
      <w:r w:rsidRPr="00FA1416">
        <w:rPr>
          <w:rFonts w:ascii="Arial" w:hAnsi="Arial" w:cs="Arial"/>
        </w:rPr>
        <w:t>If</w:t>
      </w:r>
      <w:r w:rsidR="00B03515" w:rsidRPr="00FA1416">
        <w:rPr>
          <w:rFonts w:ascii="Arial" w:hAnsi="Arial" w:cs="Arial"/>
        </w:rPr>
        <w:t xml:space="preserve"> changes to the section 60I certificate</w:t>
      </w:r>
      <w:r w:rsidRPr="00FA1416">
        <w:rPr>
          <w:rFonts w:ascii="Arial" w:hAnsi="Arial" w:cs="Arial"/>
        </w:rPr>
        <w:t xml:space="preserve"> are to be explored,</w:t>
      </w:r>
      <w:r w:rsidR="00B03515" w:rsidRPr="00FA1416">
        <w:rPr>
          <w:rFonts w:ascii="Arial" w:hAnsi="Arial" w:cs="Arial"/>
        </w:rPr>
        <w:t xml:space="preserve"> </w:t>
      </w:r>
      <w:r w:rsidR="00DD08F8">
        <w:rPr>
          <w:rFonts w:ascii="Arial" w:hAnsi="Arial" w:cs="Arial"/>
        </w:rPr>
        <w:t xml:space="preserve">that </w:t>
      </w:r>
      <w:r w:rsidRPr="00FA1416">
        <w:rPr>
          <w:rFonts w:ascii="Arial" w:hAnsi="Arial" w:cs="Arial"/>
        </w:rPr>
        <w:t>consideration be given to how any changes may inadvertently elevate the risk for a party to a matter and the children.</w:t>
      </w:r>
    </w:p>
    <w:p w14:paraId="6B08AE29" w14:textId="0D0B1E58" w:rsidR="00B03515" w:rsidRPr="00FA1416" w:rsidRDefault="00B03515" w:rsidP="00FA1416">
      <w:pPr>
        <w:pStyle w:val="ListParagraph"/>
        <w:numPr>
          <w:ilvl w:val="0"/>
          <w:numId w:val="40"/>
        </w:numPr>
        <w:shd w:val="clear" w:color="auto" w:fill="E6E6E6"/>
        <w:spacing w:after="120" w:line="300" w:lineRule="exact"/>
        <w:rPr>
          <w:rFonts w:ascii="Arial" w:hAnsi="Arial" w:cs="Arial"/>
        </w:rPr>
      </w:pPr>
      <w:r w:rsidRPr="00FA1416">
        <w:rPr>
          <w:rFonts w:ascii="Arial" w:hAnsi="Arial" w:cs="Arial"/>
        </w:rPr>
        <w:t>Further and ongoing training for judicial officers in identifying risk factors to be considered at the early stages of a parenting dispute matter</w:t>
      </w:r>
      <w:r w:rsidR="00695174" w:rsidRPr="00FA1416">
        <w:rPr>
          <w:rFonts w:ascii="Arial" w:hAnsi="Arial" w:cs="Arial"/>
        </w:rPr>
        <w:t>.</w:t>
      </w:r>
    </w:p>
    <w:p w14:paraId="3B8FE76C" w14:textId="7E97C3F9" w:rsidR="00B03515" w:rsidRPr="00FA1416" w:rsidRDefault="00B03515" w:rsidP="00FA1416">
      <w:pPr>
        <w:pStyle w:val="ListParagraph"/>
        <w:numPr>
          <w:ilvl w:val="0"/>
          <w:numId w:val="40"/>
        </w:numPr>
        <w:shd w:val="clear" w:color="auto" w:fill="E6E6E6"/>
        <w:spacing w:after="120" w:line="300" w:lineRule="exact"/>
        <w:rPr>
          <w:rFonts w:ascii="Arial" w:hAnsi="Arial" w:cs="Arial"/>
        </w:rPr>
      </w:pPr>
      <w:r w:rsidRPr="00FA1416">
        <w:rPr>
          <w:rFonts w:ascii="Arial" w:hAnsi="Arial" w:cs="Arial"/>
        </w:rPr>
        <w:t>A change in court practices so that parties may be questioned at an earlier stage about risk factors that may inform the making of an interim family law order</w:t>
      </w:r>
      <w:r w:rsidR="00695174" w:rsidRPr="00FA1416">
        <w:rPr>
          <w:rFonts w:ascii="Arial" w:hAnsi="Arial" w:cs="Arial"/>
        </w:rPr>
        <w:t>.</w:t>
      </w:r>
    </w:p>
    <w:p w14:paraId="5E856D41" w14:textId="0A300B68" w:rsidR="00755530" w:rsidRPr="00FA1416" w:rsidRDefault="00DD08F8" w:rsidP="00FA1416">
      <w:pPr>
        <w:pStyle w:val="ListParagraph"/>
        <w:numPr>
          <w:ilvl w:val="0"/>
          <w:numId w:val="40"/>
        </w:numPr>
        <w:shd w:val="clear" w:color="auto" w:fill="E6E6E6"/>
        <w:spacing w:after="120" w:line="300" w:lineRule="exact"/>
        <w:rPr>
          <w:rFonts w:ascii="Arial" w:hAnsi="Arial" w:cs="Arial"/>
        </w:rPr>
      </w:pPr>
      <w:r>
        <w:rPr>
          <w:rFonts w:ascii="Arial" w:hAnsi="Arial" w:cs="Arial"/>
        </w:rPr>
        <w:t>Increase</w:t>
      </w:r>
      <w:r w:rsidR="00B03515" w:rsidRPr="00FA1416">
        <w:rPr>
          <w:rFonts w:ascii="Arial" w:hAnsi="Arial" w:cs="Arial"/>
        </w:rPr>
        <w:t xml:space="preserve"> resourcing to the </w:t>
      </w:r>
      <w:r w:rsidR="00695174" w:rsidRPr="00FA1416">
        <w:rPr>
          <w:rFonts w:ascii="Arial" w:hAnsi="Arial" w:cs="Arial"/>
        </w:rPr>
        <w:t xml:space="preserve">Family Law </w:t>
      </w:r>
      <w:r w:rsidR="00B03515" w:rsidRPr="00FA1416">
        <w:rPr>
          <w:rFonts w:ascii="Arial" w:hAnsi="Arial" w:cs="Arial"/>
        </w:rPr>
        <w:t>Court</w:t>
      </w:r>
      <w:r w:rsidR="00695174" w:rsidRPr="00FA1416">
        <w:rPr>
          <w:rFonts w:ascii="Arial" w:hAnsi="Arial" w:cs="Arial"/>
        </w:rPr>
        <w:t>s</w:t>
      </w:r>
      <w:r w:rsidR="00B03515" w:rsidRPr="00FA1416">
        <w:rPr>
          <w:rFonts w:ascii="Arial" w:hAnsi="Arial" w:cs="Arial"/>
        </w:rPr>
        <w:t xml:space="preserve"> so that judicial officers are provided with adequate time to prepare for the first return date and interim hearings. </w:t>
      </w:r>
    </w:p>
    <w:p w14:paraId="2E0356EB" w14:textId="2D1E591F" w:rsidR="006818E7" w:rsidRPr="00E801EA" w:rsidRDefault="006818E7" w:rsidP="00FA1416">
      <w:pPr>
        <w:pStyle w:val="Heading1"/>
      </w:pPr>
      <w:bookmarkStart w:id="17" w:name="_Toc433612274"/>
      <w:r w:rsidRPr="00FA1416">
        <w:t>Ongoing</w:t>
      </w:r>
      <w:r w:rsidRPr="00E801EA">
        <w:t xml:space="preserve"> </w:t>
      </w:r>
      <w:r w:rsidR="00F166E9" w:rsidRPr="00E801EA">
        <w:t xml:space="preserve">and Timely </w:t>
      </w:r>
      <w:r w:rsidR="00876C58" w:rsidRPr="00E801EA">
        <w:t>Assessment of Risk</w:t>
      </w:r>
      <w:bookmarkEnd w:id="17"/>
      <w:r w:rsidR="00876C58" w:rsidRPr="00E801EA">
        <w:t xml:space="preserve"> </w:t>
      </w:r>
    </w:p>
    <w:p w14:paraId="512A51AF" w14:textId="2D54C310" w:rsidR="00B23178" w:rsidRDefault="00C74402" w:rsidP="00F86F0C">
      <w:pPr>
        <w:spacing w:line="300" w:lineRule="exact"/>
      </w:pPr>
      <w:r>
        <w:t xml:space="preserve">A </w:t>
      </w:r>
      <w:r w:rsidR="00B41997">
        <w:t>distinguishing feature of the</w:t>
      </w:r>
      <w:r>
        <w:t xml:space="preserve"> </w:t>
      </w:r>
      <w:r w:rsidR="00D46E09">
        <w:t xml:space="preserve">state </w:t>
      </w:r>
      <w:r>
        <w:t xml:space="preserve">child protection </w:t>
      </w:r>
      <w:r w:rsidR="00B41997">
        <w:t>jurisdiction</w:t>
      </w:r>
      <w:r w:rsidR="00755FBF">
        <w:t>, when compared with the family law jurisdiction,</w:t>
      </w:r>
      <w:r w:rsidR="00B41997">
        <w:t xml:space="preserve"> </w:t>
      </w:r>
      <w:r>
        <w:t xml:space="preserve">is the </w:t>
      </w:r>
      <w:r w:rsidR="00B41997">
        <w:t>role of an</w:t>
      </w:r>
      <w:r>
        <w:t xml:space="preserve"> investigatory body </w:t>
      </w:r>
      <w:r w:rsidR="00B41997">
        <w:t xml:space="preserve">(the DHHS) </w:t>
      </w:r>
      <w:r w:rsidR="006B001C">
        <w:t>to</w:t>
      </w:r>
      <w:r w:rsidR="00B41997">
        <w:t xml:space="preserve"> </w:t>
      </w:r>
      <w:r w:rsidR="006B001C">
        <w:t>identify</w:t>
      </w:r>
      <w:r w:rsidR="00B41997">
        <w:t xml:space="preserve"> risks to </w:t>
      </w:r>
      <w:r w:rsidR="000109DF">
        <w:t>a child</w:t>
      </w:r>
      <w:r>
        <w:t xml:space="preserve">. The absence of </w:t>
      </w:r>
      <w:r w:rsidR="00B41997">
        <w:t xml:space="preserve">a similar body in the </w:t>
      </w:r>
      <w:r>
        <w:t xml:space="preserve">family law system </w:t>
      </w:r>
      <w:r w:rsidR="00B41997">
        <w:t>highlights the different approaches in public law and private law</w:t>
      </w:r>
      <w:r>
        <w:t>. Discussions on the benefit</w:t>
      </w:r>
      <w:r w:rsidR="001D243C">
        <w:t>s</w:t>
      </w:r>
      <w:r>
        <w:t xml:space="preserve"> of establishing </w:t>
      </w:r>
      <w:r w:rsidR="00740C07">
        <w:t xml:space="preserve">an investigatory </w:t>
      </w:r>
      <w:r>
        <w:t>body</w:t>
      </w:r>
      <w:r w:rsidR="00FC7B30">
        <w:t xml:space="preserve"> or service</w:t>
      </w:r>
      <w:r w:rsidR="00740C07">
        <w:t xml:space="preserve"> akin to that at the state level</w:t>
      </w:r>
      <w:r>
        <w:t xml:space="preserve"> </w:t>
      </w:r>
      <w:r w:rsidR="00E55D76">
        <w:t xml:space="preserve">in the family law jurisdiction </w:t>
      </w:r>
      <w:r>
        <w:t xml:space="preserve">reflect the tension in </w:t>
      </w:r>
      <w:r w:rsidR="004423CB">
        <w:t xml:space="preserve">adjudicating </w:t>
      </w:r>
      <w:r>
        <w:t xml:space="preserve">private law </w:t>
      </w:r>
      <w:r w:rsidR="004423CB">
        <w:t xml:space="preserve">disputes </w:t>
      </w:r>
      <w:r w:rsidR="003474EC">
        <w:t xml:space="preserve">between two parties </w:t>
      </w:r>
      <w:r>
        <w:t xml:space="preserve">where </w:t>
      </w:r>
      <w:r w:rsidR="00AC6D7D">
        <w:t xml:space="preserve">decision making requires paramount consideration of the </w:t>
      </w:r>
      <w:r>
        <w:t xml:space="preserve">best interests of </w:t>
      </w:r>
      <w:r w:rsidR="004423CB">
        <w:t xml:space="preserve">a third party, </w:t>
      </w:r>
      <w:r>
        <w:t xml:space="preserve">the child. </w:t>
      </w:r>
    </w:p>
    <w:p w14:paraId="2E2C4860" w14:textId="24DD1453" w:rsidR="00DF14E4" w:rsidRDefault="00715584" w:rsidP="00F86F0C">
      <w:pPr>
        <w:autoSpaceDE w:val="0"/>
        <w:autoSpaceDN w:val="0"/>
        <w:adjustRightInd w:val="0"/>
        <w:spacing w:line="300" w:lineRule="exact"/>
      </w:pPr>
      <w:r>
        <w:t xml:space="preserve">It is essential that judicial officers </w:t>
      </w:r>
      <w:r w:rsidR="00DF14E4">
        <w:t xml:space="preserve">in parenting disputes </w:t>
      </w:r>
      <w:r>
        <w:t xml:space="preserve">are making </w:t>
      </w:r>
      <w:r w:rsidR="00C517A5">
        <w:t xml:space="preserve">evidence-based </w:t>
      </w:r>
      <w:r>
        <w:t xml:space="preserve">decisions </w:t>
      </w:r>
      <w:r w:rsidR="00C517A5">
        <w:t xml:space="preserve">based on all the relevant and available </w:t>
      </w:r>
      <w:r w:rsidR="00C517A5" w:rsidRPr="00C517A5">
        <w:t>informatio</w:t>
      </w:r>
      <w:r w:rsidR="00C517A5">
        <w:t>n</w:t>
      </w:r>
      <w:r w:rsidR="00DF14E4">
        <w:t xml:space="preserve"> regarding the best interests of a child</w:t>
      </w:r>
      <w:r w:rsidR="00C517A5">
        <w:t xml:space="preserve">. </w:t>
      </w:r>
    </w:p>
    <w:p w14:paraId="0B89D5C6" w14:textId="07B56A52" w:rsidR="00FC7B30" w:rsidRDefault="00715584" w:rsidP="00F86F0C">
      <w:pPr>
        <w:autoSpaceDE w:val="0"/>
        <w:autoSpaceDN w:val="0"/>
        <w:adjustRightInd w:val="0"/>
        <w:spacing w:line="300" w:lineRule="exact"/>
      </w:pPr>
      <w:r>
        <w:t>Rather than establishing an additional mechanism</w:t>
      </w:r>
      <w:r w:rsidR="00FC7B30">
        <w:t xml:space="preserve"> (such as a federal investigatory service)</w:t>
      </w:r>
      <w:r>
        <w:t>, we</w:t>
      </w:r>
      <w:r w:rsidR="00755FBF">
        <w:t xml:space="preserve"> believe that existing mechanisms in the family law system </w:t>
      </w:r>
      <w:r w:rsidR="000109DF">
        <w:t xml:space="preserve">can </w:t>
      </w:r>
      <w:r w:rsidR="00755FBF">
        <w:t xml:space="preserve">assist </w:t>
      </w:r>
      <w:r w:rsidR="00F54D56">
        <w:t xml:space="preserve">in uncovering this information, </w:t>
      </w:r>
      <w:r w:rsidR="000109DF">
        <w:t>supplementing</w:t>
      </w:r>
      <w:r w:rsidR="00F54D56">
        <w:t xml:space="preserve"> </w:t>
      </w:r>
      <w:r w:rsidR="00755FBF">
        <w:t xml:space="preserve">the information provided by the parties to the </w:t>
      </w:r>
      <w:r w:rsidR="00F54D56">
        <w:t>dispute</w:t>
      </w:r>
      <w:r w:rsidR="00755FBF">
        <w:t xml:space="preserve">. </w:t>
      </w:r>
      <w:r w:rsidR="00F54D56">
        <w:t>In particular, we propose greater use of independent children’s lawyers</w:t>
      </w:r>
      <w:r w:rsidR="001C0B0E">
        <w:t xml:space="preserve"> (ICLs)</w:t>
      </w:r>
      <w:r w:rsidR="00F54D56">
        <w:t xml:space="preserve">, timely use of </w:t>
      </w:r>
      <w:r w:rsidR="00B46069">
        <w:t xml:space="preserve">section </w:t>
      </w:r>
      <w:r w:rsidR="00F54D56">
        <w:t>11F (family consultant) reports, and more regular use</w:t>
      </w:r>
      <w:r w:rsidR="00B71CA9">
        <w:t xml:space="preserve"> of subpoena powers</w:t>
      </w:r>
      <w:r w:rsidR="00F54D56">
        <w:t xml:space="preserve"> by judicial officers.</w:t>
      </w:r>
      <w:r w:rsidR="001E4583">
        <w:t xml:space="preserve"> </w:t>
      </w:r>
      <w:r w:rsidR="00800C31">
        <w:t>These steps can be taken early in the life of a proceeding</w:t>
      </w:r>
      <w:r w:rsidR="001E4583">
        <w:t xml:space="preserve"> and would better </w:t>
      </w:r>
      <w:r w:rsidR="00800C31">
        <w:t xml:space="preserve">assist decision making at the interim hearing stage. </w:t>
      </w:r>
    </w:p>
    <w:p w14:paraId="2AE542AA" w14:textId="506182C0" w:rsidR="00C74402" w:rsidRPr="00FA1416" w:rsidRDefault="00CD155D" w:rsidP="00FA1416">
      <w:pPr>
        <w:autoSpaceDE w:val="0"/>
        <w:autoSpaceDN w:val="0"/>
        <w:adjustRightInd w:val="0"/>
        <w:spacing w:line="300" w:lineRule="exact"/>
        <w:rPr>
          <w:szCs w:val="22"/>
        </w:rPr>
      </w:pPr>
      <w:r w:rsidRPr="00FA1416">
        <w:rPr>
          <w:szCs w:val="22"/>
        </w:rPr>
        <w:t xml:space="preserve">Additional resources would </w:t>
      </w:r>
      <w:r w:rsidR="00755FBF" w:rsidRPr="00FA1416">
        <w:rPr>
          <w:szCs w:val="22"/>
        </w:rPr>
        <w:t>n</w:t>
      </w:r>
      <w:r w:rsidR="00F54D56" w:rsidRPr="00FA1416">
        <w:rPr>
          <w:szCs w:val="22"/>
        </w:rPr>
        <w:t>eed to be allocated to expand the</w:t>
      </w:r>
      <w:r w:rsidR="00755FBF" w:rsidRPr="00FA1416">
        <w:rPr>
          <w:szCs w:val="22"/>
        </w:rPr>
        <w:t xml:space="preserve"> use of existing mechanisms.</w:t>
      </w:r>
      <w:r w:rsidR="00715584" w:rsidRPr="00FA1416">
        <w:rPr>
          <w:szCs w:val="22"/>
        </w:rPr>
        <w:t xml:space="preserve"> </w:t>
      </w:r>
      <w:r w:rsidR="00FC7B30" w:rsidRPr="00FA1416">
        <w:rPr>
          <w:szCs w:val="22"/>
        </w:rPr>
        <w:t xml:space="preserve">However, it </w:t>
      </w:r>
      <w:r w:rsidR="00D75565" w:rsidRPr="00FA1416">
        <w:rPr>
          <w:szCs w:val="22"/>
        </w:rPr>
        <w:t>is</w:t>
      </w:r>
      <w:r w:rsidR="00FC7B30" w:rsidRPr="00FA1416">
        <w:rPr>
          <w:szCs w:val="22"/>
        </w:rPr>
        <w:t xml:space="preserve"> likely that introducing additional mechanisms such as a federal investigatory service would require even greater additional resources.</w:t>
      </w:r>
    </w:p>
    <w:p w14:paraId="383B4E59" w14:textId="77777777" w:rsidR="006C0252" w:rsidRPr="006C0252" w:rsidRDefault="006C0252" w:rsidP="00497DB5">
      <w:pPr>
        <w:pStyle w:val="Heading3"/>
      </w:pPr>
      <w:bookmarkStart w:id="18" w:name="_Toc433612275"/>
      <w:r>
        <w:lastRenderedPageBreak/>
        <w:t>Independent Children’s Lawyers</w:t>
      </w:r>
      <w:bookmarkEnd w:id="18"/>
    </w:p>
    <w:p w14:paraId="563976F6" w14:textId="39433E35" w:rsidR="00750649" w:rsidRPr="00FA1416" w:rsidRDefault="0047188F" w:rsidP="00FA1416">
      <w:pPr>
        <w:spacing w:line="300" w:lineRule="exact"/>
        <w:rPr>
          <w:rFonts w:cs="Arial"/>
          <w:szCs w:val="22"/>
          <w:lang w:eastAsia="en-AU"/>
        </w:rPr>
      </w:pPr>
      <w:r w:rsidRPr="00FA1416">
        <w:rPr>
          <w:rFonts w:cs="Arial"/>
          <w:szCs w:val="22"/>
          <w:lang w:eastAsia="en-AU"/>
        </w:rPr>
        <w:t>ICLs assist judicial officers in Family Law Court proceedings to make decisions based on the best available evidence</w:t>
      </w:r>
      <w:r w:rsidR="00463D05" w:rsidRPr="00FA1416">
        <w:rPr>
          <w:rFonts w:cs="Arial"/>
          <w:szCs w:val="22"/>
          <w:lang w:eastAsia="en-AU"/>
        </w:rPr>
        <w:t xml:space="preserve"> and</w:t>
      </w:r>
      <w:r w:rsidRPr="00FA1416">
        <w:rPr>
          <w:rFonts w:cs="Arial"/>
          <w:szCs w:val="22"/>
          <w:lang w:eastAsia="en-AU"/>
        </w:rPr>
        <w:t xml:space="preserve"> in the child’s best interests where </w:t>
      </w:r>
      <w:r w:rsidR="00B46069">
        <w:rPr>
          <w:rFonts w:cs="Arial"/>
          <w:szCs w:val="22"/>
          <w:lang w:eastAsia="en-AU"/>
        </w:rPr>
        <w:t>a child is</w:t>
      </w:r>
      <w:r w:rsidRPr="00FA1416">
        <w:rPr>
          <w:rFonts w:cs="Arial"/>
          <w:szCs w:val="22"/>
          <w:lang w:eastAsia="en-AU"/>
        </w:rPr>
        <w:t xml:space="preserve"> at risk of harm due to the conduct of one or both parents. </w:t>
      </w:r>
    </w:p>
    <w:p w14:paraId="759591E8" w14:textId="3EAA4626" w:rsidR="004A13D2" w:rsidRDefault="00A17910" w:rsidP="00FA1416">
      <w:pPr>
        <w:spacing w:line="300" w:lineRule="exact"/>
        <w:rPr>
          <w:rFonts w:cs="Arial"/>
          <w:szCs w:val="22"/>
          <w:lang w:eastAsia="en-AU"/>
        </w:rPr>
      </w:pPr>
      <w:r w:rsidRPr="00FA1416">
        <w:rPr>
          <w:szCs w:val="22"/>
        </w:rPr>
        <w:t>The role of the ICL is</w:t>
      </w:r>
      <w:r w:rsidR="0043229A" w:rsidRPr="00FA1416">
        <w:rPr>
          <w:szCs w:val="22"/>
        </w:rPr>
        <w:t xml:space="preserve"> guided by the </w:t>
      </w:r>
      <w:r w:rsidR="0043229A" w:rsidRPr="00FA1416">
        <w:rPr>
          <w:rFonts w:cs="Arial"/>
          <w:szCs w:val="22"/>
          <w:lang w:eastAsia="en-AU"/>
        </w:rPr>
        <w:t xml:space="preserve">Act and the </w:t>
      </w:r>
      <w:r w:rsidR="0043229A" w:rsidRPr="00FA1416">
        <w:rPr>
          <w:rFonts w:cs="Arial"/>
          <w:i/>
          <w:szCs w:val="22"/>
          <w:lang w:eastAsia="en-AU"/>
        </w:rPr>
        <w:t>Guidelines for Independent Children’s Lawyers</w:t>
      </w:r>
      <w:r w:rsidR="0043229A" w:rsidRPr="00FA1416">
        <w:rPr>
          <w:rFonts w:cs="Arial"/>
          <w:szCs w:val="22"/>
          <w:lang w:eastAsia="en-AU"/>
        </w:rPr>
        <w:t>.</w:t>
      </w:r>
      <w:r w:rsidR="00DE5A3A">
        <w:rPr>
          <w:rStyle w:val="FootnoteReference"/>
          <w:rFonts w:cs="Arial"/>
          <w:szCs w:val="22"/>
          <w:lang w:eastAsia="en-AU"/>
        </w:rPr>
        <w:footnoteReference w:id="11"/>
      </w:r>
      <w:r w:rsidR="0043229A" w:rsidRPr="00FA1416">
        <w:rPr>
          <w:rFonts w:cs="Arial"/>
          <w:szCs w:val="22"/>
          <w:lang w:eastAsia="en-AU"/>
        </w:rPr>
        <w:t xml:space="preserve"> Of relevance to this discussion is the </w:t>
      </w:r>
      <w:r w:rsidR="00B44719" w:rsidRPr="00FA1416">
        <w:rPr>
          <w:rFonts w:cs="Arial"/>
          <w:szCs w:val="22"/>
          <w:lang w:eastAsia="en-AU"/>
        </w:rPr>
        <w:t xml:space="preserve">role of </w:t>
      </w:r>
      <w:r w:rsidR="002A7B6C" w:rsidRPr="00FA1416">
        <w:rPr>
          <w:rFonts w:cs="Arial"/>
          <w:szCs w:val="22"/>
          <w:lang w:eastAsia="en-AU"/>
        </w:rPr>
        <w:t xml:space="preserve">the </w:t>
      </w:r>
      <w:r w:rsidR="00B44719" w:rsidRPr="00FA1416">
        <w:rPr>
          <w:rFonts w:cs="Arial"/>
          <w:szCs w:val="22"/>
          <w:lang w:eastAsia="en-AU"/>
        </w:rPr>
        <w:t>ICL</w:t>
      </w:r>
      <w:r w:rsidR="00BA634F" w:rsidRPr="00FA1416">
        <w:rPr>
          <w:rFonts w:cs="Arial"/>
          <w:szCs w:val="22"/>
          <w:lang w:eastAsia="en-AU"/>
        </w:rPr>
        <w:t xml:space="preserve"> </w:t>
      </w:r>
      <w:r w:rsidR="0043229A" w:rsidRPr="00FA1416">
        <w:rPr>
          <w:rFonts w:cs="Arial"/>
          <w:szCs w:val="22"/>
          <w:lang w:eastAsia="en-AU"/>
        </w:rPr>
        <w:t xml:space="preserve">under the Act </w:t>
      </w:r>
      <w:r w:rsidR="00BA634F" w:rsidRPr="00FA1416">
        <w:rPr>
          <w:rFonts w:cs="Arial"/>
          <w:szCs w:val="22"/>
          <w:lang w:eastAsia="en-AU"/>
        </w:rPr>
        <w:t>to</w:t>
      </w:r>
      <w:r w:rsidR="0043229A" w:rsidRPr="00FA1416">
        <w:rPr>
          <w:rFonts w:cs="Arial"/>
          <w:szCs w:val="22"/>
          <w:lang w:eastAsia="en-AU"/>
        </w:rPr>
        <w:t xml:space="preserve"> ensure matters relating to the child are properly drawn to the Court’s attention. In addition, the </w:t>
      </w:r>
      <w:r w:rsidR="0043229A" w:rsidRPr="00FA1416">
        <w:rPr>
          <w:rFonts w:cs="Arial"/>
          <w:i/>
          <w:szCs w:val="22"/>
          <w:lang w:eastAsia="en-AU"/>
        </w:rPr>
        <w:t>Guidelines for Independent Children’s Lawyers</w:t>
      </w:r>
      <w:r w:rsidR="0043229A" w:rsidRPr="00FA1416">
        <w:rPr>
          <w:rFonts w:cs="Arial"/>
          <w:szCs w:val="22"/>
          <w:lang w:eastAsia="en-AU"/>
        </w:rPr>
        <w:t xml:space="preserve"> require the ICL to bring to the attention of the Court any facts which, when considered in context, seriously call into question the advisability of any agreed settlement.</w:t>
      </w:r>
    </w:p>
    <w:p w14:paraId="248A4B8C" w14:textId="0FDCE673" w:rsidR="00B724D3" w:rsidRPr="00FA1416" w:rsidRDefault="00B724D3" w:rsidP="00B724D3">
      <w:pPr>
        <w:pStyle w:val="Default"/>
        <w:spacing w:after="120" w:line="300" w:lineRule="exact"/>
      </w:pPr>
      <w:r>
        <w:rPr>
          <w:rFonts w:ascii="Arial" w:hAnsi="Arial" w:cs="Arial"/>
          <w:color w:val="auto"/>
          <w:sz w:val="22"/>
          <w:szCs w:val="22"/>
        </w:rPr>
        <w:t>In addition to seeking information from the DHHS and the police, for example, an ICL can also provide information to the Court on the non-legal support services a parent may be accessing outside the family law system (for example, drug and alcohol counselling or a men’s behaviour change program). Parties will often provide this information to the court themselves, particularly where it is of benefit to their position. Where information about a parent’s engagement with a support service may be of use to decisions in the best interests of the child but is not provided by a party to the dispute,</w:t>
      </w:r>
      <w:r w:rsidRPr="007E6090">
        <w:rPr>
          <w:rFonts w:ascii="Arial" w:hAnsi="Arial" w:cs="Arial"/>
          <w:color w:val="auto"/>
          <w:sz w:val="22"/>
          <w:szCs w:val="22"/>
        </w:rPr>
        <w:t xml:space="preserve"> </w:t>
      </w:r>
      <w:r>
        <w:rPr>
          <w:rFonts w:ascii="Arial" w:hAnsi="Arial" w:cs="Arial"/>
          <w:color w:val="auto"/>
          <w:sz w:val="22"/>
          <w:szCs w:val="22"/>
        </w:rPr>
        <w:t xml:space="preserve">it would be a significant shift in policy to require these services to provide information directly to the court. ICLs currently provide this information to the court. </w:t>
      </w:r>
    </w:p>
    <w:p w14:paraId="060B699F" w14:textId="16E7D656" w:rsidR="00F34447" w:rsidRPr="00FA1416" w:rsidRDefault="00B139FC" w:rsidP="00FA1416">
      <w:pPr>
        <w:spacing w:line="300" w:lineRule="exact"/>
        <w:rPr>
          <w:rFonts w:cs="Arial"/>
          <w:szCs w:val="22"/>
          <w:lang w:eastAsia="en-AU"/>
        </w:rPr>
      </w:pPr>
      <w:r w:rsidRPr="00FA1416">
        <w:rPr>
          <w:rFonts w:cs="Arial"/>
          <w:szCs w:val="22"/>
          <w:lang w:eastAsia="en-AU"/>
        </w:rPr>
        <w:t>In fulfilling these obligations,</w:t>
      </w:r>
      <w:r w:rsidR="00EC033A" w:rsidRPr="00FA1416">
        <w:rPr>
          <w:rFonts w:cs="Arial"/>
          <w:szCs w:val="22"/>
          <w:lang w:eastAsia="en-AU"/>
        </w:rPr>
        <w:t xml:space="preserve"> </w:t>
      </w:r>
      <w:r w:rsidR="008D49B2" w:rsidRPr="00FA1416">
        <w:rPr>
          <w:rFonts w:cs="Arial"/>
          <w:szCs w:val="22"/>
          <w:lang w:eastAsia="en-AU"/>
        </w:rPr>
        <w:t xml:space="preserve">ICLs already provide a service to the court akin to an investigatory body. </w:t>
      </w:r>
    </w:p>
    <w:p w14:paraId="7EDFA172" w14:textId="77777777" w:rsidR="00F34447" w:rsidRPr="00FA1416" w:rsidRDefault="00F34447" w:rsidP="00FA1416">
      <w:pPr>
        <w:shd w:val="clear" w:color="auto" w:fill="E6E6E6"/>
        <w:spacing w:line="300" w:lineRule="exact"/>
        <w:rPr>
          <w:b/>
          <w:szCs w:val="22"/>
        </w:rPr>
      </w:pPr>
      <w:r w:rsidRPr="00FA1416">
        <w:rPr>
          <w:b/>
          <w:szCs w:val="22"/>
        </w:rPr>
        <w:t>Case Study</w:t>
      </w:r>
    </w:p>
    <w:p w14:paraId="64418474" w14:textId="418183B4" w:rsidR="002277A1" w:rsidRPr="00FA1416" w:rsidRDefault="002277A1" w:rsidP="00FA1416">
      <w:pPr>
        <w:shd w:val="clear" w:color="auto" w:fill="E6E6E6"/>
        <w:spacing w:line="300" w:lineRule="exact"/>
        <w:rPr>
          <w:szCs w:val="22"/>
        </w:rPr>
      </w:pPr>
      <w:r w:rsidRPr="00FA1416">
        <w:rPr>
          <w:szCs w:val="22"/>
        </w:rPr>
        <w:t>An ICL was appointed in a parenting dispute over two children, a baby and a young teenage</w:t>
      </w:r>
      <w:r w:rsidR="00F33CE8" w:rsidRPr="00FA1416">
        <w:rPr>
          <w:szCs w:val="22"/>
        </w:rPr>
        <w:t>r</w:t>
      </w:r>
      <w:r w:rsidRPr="00FA1416">
        <w:rPr>
          <w:szCs w:val="22"/>
        </w:rPr>
        <w:t>. Both children lived with the</w:t>
      </w:r>
      <w:r w:rsidR="00F33CE8" w:rsidRPr="00FA1416">
        <w:rPr>
          <w:szCs w:val="22"/>
        </w:rPr>
        <w:t>ir</w:t>
      </w:r>
      <w:r w:rsidRPr="00FA1416">
        <w:rPr>
          <w:szCs w:val="22"/>
        </w:rPr>
        <w:t xml:space="preserve"> mother. The</w:t>
      </w:r>
      <w:r w:rsidR="00F33CE8" w:rsidRPr="00FA1416">
        <w:rPr>
          <w:szCs w:val="22"/>
        </w:rPr>
        <w:t>ir</w:t>
      </w:r>
      <w:r w:rsidRPr="00FA1416">
        <w:rPr>
          <w:szCs w:val="22"/>
        </w:rPr>
        <w:t xml:space="preserve"> father lived overseas and the only contact details for </w:t>
      </w:r>
      <w:r w:rsidR="00F33CE8" w:rsidRPr="00FA1416">
        <w:rPr>
          <w:szCs w:val="22"/>
        </w:rPr>
        <w:t>him</w:t>
      </w:r>
      <w:r w:rsidRPr="00FA1416">
        <w:rPr>
          <w:szCs w:val="22"/>
        </w:rPr>
        <w:t xml:space="preserve"> were an email address and a telephone number. </w:t>
      </w:r>
    </w:p>
    <w:p w14:paraId="408341AA" w14:textId="4CD3F4B6" w:rsidR="002277A1" w:rsidRPr="00FA1416" w:rsidRDefault="002277A1" w:rsidP="00FA1416">
      <w:pPr>
        <w:shd w:val="clear" w:color="auto" w:fill="E6E6E6"/>
        <w:spacing w:line="300" w:lineRule="exact"/>
        <w:rPr>
          <w:szCs w:val="22"/>
        </w:rPr>
      </w:pPr>
      <w:r w:rsidRPr="00FA1416">
        <w:rPr>
          <w:szCs w:val="22"/>
        </w:rPr>
        <w:t xml:space="preserve">The mother alleged a history of family violence but was </w:t>
      </w:r>
      <w:r w:rsidR="0023174E" w:rsidRPr="00FA1416">
        <w:rPr>
          <w:szCs w:val="22"/>
        </w:rPr>
        <w:t>reluctant to</w:t>
      </w:r>
      <w:r w:rsidRPr="00FA1416">
        <w:rPr>
          <w:szCs w:val="22"/>
        </w:rPr>
        <w:t xml:space="preserve"> </w:t>
      </w:r>
      <w:r w:rsidR="0023174E" w:rsidRPr="00FA1416">
        <w:rPr>
          <w:szCs w:val="22"/>
        </w:rPr>
        <w:t>file detailed material</w:t>
      </w:r>
      <w:r w:rsidRPr="00FA1416">
        <w:rPr>
          <w:szCs w:val="22"/>
        </w:rPr>
        <w:t xml:space="preserve"> </w:t>
      </w:r>
      <w:r w:rsidR="0023174E" w:rsidRPr="00FA1416">
        <w:rPr>
          <w:szCs w:val="22"/>
        </w:rPr>
        <w:t>on</w:t>
      </w:r>
      <w:r w:rsidRPr="00FA1416">
        <w:rPr>
          <w:szCs w:val="22"/>
        </w:rPr>
        <w:t xml:space="preserve"> the alleged family violence. </w:t>
      </w:r>
      <w:r w:rsidR="009F115B" w:rsidRPr="00FA1416">
        <w:rPr>
          <w:szCs w:val="22"/>
        </w:rPr>
        <w:t>While</w:t>
      </w:r>
      <w:r w:rsidR="00F23541">
        <w:rPr>
          <w:szCs w:val="22"/>
        </w:rPr>
        <w:t xml:space="preserve"> the</w:t>
      </w:r>
      <w:r w:rsidR="009F115B" w:rsidRPr="00FA1416">
        <w:rPr>
          <w:szCs w:val="22"/>
        </w:rPr>
        <w:t xml:space="preserve"> father </w:t>
      </w:r>
      <w:r w:rsidR="00511D5E" w:rsidRPr="00FA1416">
        <w:rPr>
          <w:szCs w:val="22"/>
        </w:rPr>
        <w:t xml:space="preserve">indicated that he </w:t>
      </w:r>
      <w:r w:rsidR="009F115B" w:rsidRPr="00FA1416">
        <w:rPr>
          <w:szCs w:val="22"/>
        </w:rPr>
        <w:t xml:space="preserve">intended to oppose </w:t>
      </w:r>
      <w:r w:rsidR="00F33CE8" w:rsidRPr="00FA1416">
        <w:rPr>
          <w:szCs w:val="22"/>
        </w:rPr>
        <w:t>her</w:t>
      </w:r>
      <w:r w:rsidR="009F115B" w:rsidRPr="00FA1416">
        <w:rPr>
          <w:szCs w:val="22"/>
        </w:rPr>
        <w:t xml:space="preserve"> application</w:t>
      </w:r>
      <w:r w:rsidR="00F33CE8" w:rsidRPr="00FA1416">
        <w:rPr>
          <w:szCs w:val="22"/>
        </w:rPr>
        <w:t xml:space="preserve"> for parenting orders</w:t>
      </w:r>
      <w:r w:rsidR="009F115B" w:rsidRPr="00FA1416">
        <w:rPr>
          <w:szCs w:val="22"/>
        </w:rPr>
        <w:t>, t</w:t>
      </w:r>
      <w:r w:rsidRPr="00FA1416">
        <w:rPr>
          <w:szCs w:val="22"/>
        </w:rPr>
        <w:t>he fa</w:t>
      </w:r>
      <w:r w:rsidR="009F115B" w:rsidRPr="00FA1416">
        <w:rPr>
          <w:szCs w:val="22"/>
        </w:rPr>
        <w:t>ther</w:t>
      </w:r>
      <w:r w:rsidR="00511D5E" w:rsidRPr="00FA1416">
        <w:rPr>
          <w:szCs w:val="22"/>
        </w:rPr>
        <w:t xml:space="preserve"> did not file any material in response to the mother’s allegations of family violence.</w:t>
      </w:r>
    </w:p>
    <w:p w14:paraId="067AE357" w14:textId="2D4C4D58" w:rsidR="002277A1" w:rsidRPr="00FA1416" w:rsidRDefault="002277A1" w:rsidP="00FA1416">
      <w:pPr>
        <w:shd w:val="clear" w:color="auto" w:fill="E6E6E6"/>
        <w:spacing w:line="300" w:lineRule="exact"/>
        <w:rPr>
          <w:szCs w:val="22"/>
        </w:rPr>
      </w:pPr>
      <w:r w:rsidRPr="00FA1416">
        <w:rPr>
          <w:szCs w:val="22"/>
        </w:rPr>
        <w:t xml:space="preserve">To assist the </w:t>
      </w:r>
      <w:r w:rsidR="00DF7300" w:rsidRPr="00FA1416">
        <w:rPr>
          <w:szCs w:val="22"/>
        </w:rPr>
        <w:t>court</w:t>
      </w:r>
      <w:r w:rsidRPr="00FA1416">
        <w:rPr>
          <w:szCs w:val="22"/>
        </w:rPr>
        <w:t xml:space="preserve"> </w:t>
      </w:r>
      <w:r w:rsidR="00F33CE8" w:rsidRPr="00FA1416">
        <w:rPr>
          <w:szCs w:val="22"/>
        </w:rPr>
        <w:t>to</w:t>
      </w:r>
      <w:r w:rsidRPr="00FA1416">
        <w:rPr>
          <w:szCs w:val="22"/>
        </w:rPr>
        <w:t xml:space="preserve"> consider the issue of family violence, the ICL subpoenaed police documents which ultimately corroborated the mother’s allegations. The ICL also </w:t>
      </w:r>
      <w:r w:rsidR="00DF7300" w:rsidRPr="00FA1416">
        <w:rPr>
          <w:szCs w:val="22"/>
        </w:rPr>
        <w:t>liaised</w:t>
      </w:r>
      <w:r w:rsidRPr="00FA1416">
        <w:rPr>
          <w:szCs w:val="22"/>
        </w:rPr>
        <w:t xml:space="preserve"> with </w:t>
      </w:r>
      <w:r w:rsidR="00B9685B" w:rsidRPr="00FA1416">
        <w:rPr>
          <w:szCs w:val="22"/>
        </w:rPr>
        <w:t xml:space="preserve">the </w:t>
      </w:r>
      <w:r w:rsidRPr="00FA1416">
        <w:rPr>
          <w:szCs w:val="22"/>
        </w:rPr>
        <w:t xml:space="preserve">DHHS to check if any notifications </w:t>
      </w:r>
      <w:r w:rsidR="00F33CE8" w:rsidRPr="00FA1416">
        <w:rPr>
          <w:szCs w:val="22"/>
        </w:rPr>
        <w:t>had</w:t>
      </w:r>
      <w:r w:rsidRPr="00FA1416">
        <w:rPr>
          <w:szCs w:val="22"/>
        </w:rPr>
        <w:t xml:space="preserve"> been made or </w:t>
      </w:r>
      <w:r w:rsidR="006F1570" w:rsidRPr="00FA1416">
        <w:rPr>
          <w:szCs w:val="22"/>
        </w:rPr>
        <w:t>investigations undertaken</w:t>
      </w:r>
      <w:r w:rsidRPr="00FA1416">
        <w:rPr>
          <w:szCs w:val="22"/>
        </w:rPr>
        <w:t xml:space="preserve">, of which there were neither. </w:t>
      </w:r>
    </w:p>
    <w:p w14:paraId="33702625" w14:textId="54CCC0B1" w:rsidR="00D54F19" w:rsidRPr="00FA1416" w:rsidRDefault="00D54F19" w:rsidP="00FA1416">
      <w:pPr>
        <w:spacing w:line="300" w:lineRule="exact"/>
        <w:rPr>
          <w:rFonts w:cs="Arial"/>
          <w:szCs w:val="22"/>
          <w:lang w:eastAsia="en-AU"/>
        </w:rPr>
      </w:pPr>
      <w:r w:rsidRPr="00FA1416">
        <w:rPr>
          <w:rFonts w:cs="Arial"/>
          <w:szCs w:val="22"/>
          <w:lang w:eastAsia="en-AU"/>
        </w:rPr>
        <w:t xml:space="preserve">The data shows that ICLs have </w:t>
      </w:r>
      <w:r w:rsidR="006E3CB0" w:rsidRPr="00FA1416">
        <w:rPr>
          <w:rFonts w:cs="Arial"/>
          <w:szCs w:val="22"/>
          <w:lang w:eastAsia="en-AU"/>
        </w:rPr>
        <w:t xml:space="preserve">been </w:t>
      </w:r>
      <w:r w:rsidRPr="00FA1416">
        <w:rPr>
          <w:rFonts w:cs="Arial"/>
          <w:szCs w:val="22"/>
          <w:lang w:eastAsia="en-AU"/>
        </w:rPr>
        <w:t xml:space="preserve">increasingly appointed to assist the </w:t>
      </w:r>
      <w:r w:rsidR="008F37A7" w:rsidRPr="00FA1416">
        <w:rPr>
          <w:rFonts w:cs="Arial"/>
          <w:szCs w:val="22"/>
          <w:lang w:eastAsia="en-AU"/>
        </w:rPr>
        <w:t>Family Law Courts</w:t>
      </w:r>
      <w:r w:rsidRPr="00FA1416">
        <w:rPr>
          <w:rFonts w:cs="Arial"/>
          <w:szCs w:val="22"/>
          <w:lang w:eastAsia="en-AU"/>
        </w:rPr>
        <w:t xml:space="preserve"> in this way. In 2004-5, an ICL was appointed in approximately one-fifth of parenting matters. This jumped to approximately one-third of matters in 2008-09.</w:t>
      </w:r>
      <w:r w:rsidRPr="00FA1416">
        <w:rPr>
          <w:rStyle w:val="FootnoteReference"/>
          <w:rFonts w:cs="Arial"/>
          <w:sz w:val="22"/>
          <w:szCs w:val="22"/>
          <w:lang w:eastAsia="en-AU"/>
        </w:rPr>
        <w:footnoteReference w:id="12"/>
      </w:r>
      <w:r w:rsidRPr="00FA1416">
        <w:rPr>
          <w:rFonts w:cs="Arial"/>
          <w:szCs w:val="22"/>
          <w:lang w:eastAsia="en-AU"/>
        </w:rPr>
        <w:t xml:space="preserve"> </w:t>
      </w:r>
    </w:p>
    <w:p w14:paraId="7074335A" w14:textId="3F80108F" w:rsidR="00D54F19" w:rsidRPr="00FA1416" w:rsidRDefault="009918D7" w:rsidP="00FA1416">
      <w:pPr>
        <w:spacing w:line="300" w:lineRule="exact"/>
        <w:rPr>
          <w:rFonts w:cs="Arial"/>
          <w:szCs w:val="22"/>
          <w:lang w:eastAsia="en-AU"/>
        </w:rPr>
      </w:pPr>
      <w:r w:rsidRPr="00FA1416">
        <w:rPr>
          <w:rFonts w:cs="Arial"/>
          <w:szCs w:val="22"/>
          <w:lang w:eastAsia="en-AU"/>
        </w:rPr>
        <w:t xml:space="preserve">Legal Aid Commissions </w:t>
      </w:r>
      <w:r w:rsidR="00C6435E" w:rsidRPr="00FA1416">
        <w:rPr>
          <w:rFonts w:cs="Arial"/>
          <w:szCs w:val="22"/>
          <w:lang w:eastAsia="en-AU"/>
        </w:rPr>
        <w:t>do</w:t>
      </w:r>
      <w:r w:rsidRPr="00FA1416">
        <w:rPr>
          <w:rFonts w:cs="Arial"/>
          <w:szCs w:val="22"/>
          <w:lang w:eastAsia="en-AU"/>
        </w:rPr>
        <w:t xml:space="preserve"> not necessarily</w:t>
      </w:r>
      <w:r w:rsidR="00D54F19" w:rsidRPr="00FA1416">
        <w:rPr>
          <w:rFonts w:cs="Arial"/>
          <w:szCs w:val="22"/>
          <w:lang w:eastAsia="en-AU"/>
        </w:rPr>
        <w:t xml:space="preserve"> provide a grant of aid for an ICL in all matters where </w:t>
      </w:r>
      <w:r w:rsidRPr="00FA1416">
        <w:rPr>
          <w:rFonts w:cs="Arial"/>
          <w:szCs w:val="22"/>
          <w:lang w:eastAsia="en-AU"/>
        </w:rPr>
        <w:t>one is appointed, although the majority of ICL appointments are legally aided</w:t>
      </w:r>
      <w:r w:rsidR="00D54F19" w:rsidRPr="00FA1416">
        <w:rPr>
          <w:rFonts w:cs="Arial"/>
          <w:szCs w:val="22"/>
          <w:lang w:eastAsia="en-AU"/>
        </w:rPr>
        <w:t xml:space="preserve">. It is VLA policy, for </w:t>
      </w:r>
      <w:r w:rsidR="00D54F19" w:rsidRPr="00FA1416">
        <w:rPr>
          <w:rFonts w:cs="Arial"/>
          <w:szCs w:val="22"/>
          <w:lang w:eastAsia="en-AU"/>
        </w:rPr>
        <w:lastRenderedPageBreak/>
        <w:t xml:space="preserve">example, to provide a grant of aid for an ICL where </w:t>
      </w:r>
      <w:r w:rsidR="006F1570" w:rsidRPr="00FA1416">
        <w:rPr>
          <w:rFonts w:cs="Arial"/>
          <w:szCs w:val="22"/>
          <w:lang w:eastAsia="en-AU"/>
        </w:rPr>
        <w:t xml:space="preserve">one is appointed by the court on the basis that one or more of </w:t>
      </w:r>
      <w:r w:rsidR="00D54F19" w:rsidRPr="00FA1416">
        <w:rPr>
          <w:rFonts w:cs="Arial"/>
          <w:szCs w:val="22"/>
          <w:lang w:eastAsia="en-AU"/>
        </w:rPr>
        <w:t xml:space="preserve">the following three </w:t>
      </w:r>
      <w:r w:rsidR="00D54F19" w:rsidRPr="00FA1416">
        <w:rPr>
          <w:rFonts w:cs="Arial"/>
          <w:i/>
          <w:szCs w:val="22"/>
          <w:lang w:eastAsia="en-AU"/>
        </w:rPr>
        <w:t>Re K</w:t>
      </w:r>
      <w:r w:rsidR="00B724D3">
        <w:rPr>
          <w:rStyle w:val="FootnoteReference"/>
          <w:rFonts w:cs="Arial"/>
          <w:i/>
          <w:szCs w:val="22"/>
          <w:lang w:eastAsia="en-AU"/>
        </w:rPr>
        <w:footnoteReference w:id="13"/>
      </w:r>
      <w:r w:rsidR="00D54F19" w:rsidRPr="00FA1416">
        <w:rPr>
          <w:rFonts w:cs="Arial"/>
          <w:szCs w:val="22"/>
          <w:lang w:eastAsia="en-AU"/>
        </w:rPr>
        <w:t xml:space="preserve"> factors are present: </w:t>
      </w:r>
    </w:p>
    <w:p w14:paraId="34E302B3" w14:textId="099EB7E9" w:rsidR="00D54F19" w:rsidRPr="00FA1416" w:rsidRDefault="00D8165E" w:rsidP="00FA1416">
      <w:pPr>
        <w:pStyle w:val="Default"/>
        <w:numPr>
          <w:ilvl w:val="0"/>
          <w:numId w:val="38"/>
        </w:numPr>
        <w:spacing w:after="120" w:line="300" w:lineRule="exact"/>
        <w:ind w:left="714" w:hanging="357"/>
        <w:rPr>
          <w:rFonts w:ascii="Arial" w:hAnsi="Arial" w:cs="Arial"/>
          <w:color w:val="auto"/>
          <w:sz w:val="22"/>
          <w:szCs w:val="22"/>
        </w:rPr>
      </w:pPr>
      <w:r w:rsidRPr="00FA1416">
        <w:rPr>
          <w:rFonts w:ascii="Arial" w:hAnsi="Arial" w:cs="Arial"/>
          <w:color w:val="auto"/>
          <w:sz w:val="22"/>
          <w:szCs w:val="22"/>
        </w:rPr>
        <w:t>A</w:t>
      </w:r>
      <w:r w:rsidR="00D54F19" w:rsidRPr="00FA1416">
        <w:rPr>
          <w:rFonts w:ascii="Arial" w:hAnsi="Arial" w:cs="Arial"/>
          <w:color w:val="auto"/>
          <w:sz w:val="22"/>
          <w:szCs w:val="22"/>
        </w:rPr>
        <w:t xml:space="preserve">llegations of physical, sexual or psychological abuse that apparently have/have not been reported to the state welfare authorities and the police; or </w:t>
      </w:r>
    </w:p>
    <w:p w14:paraId="03EB6260" w14:textId="4FE0F390" w:rsidR="00D54F19" w:rsidRPr="00FA1416" w:rsidRDefault="00D8165E" w:rsidP="00FA1416">
      <w:pPr>
        <w:pStyle w:val="Default"/>
        <w:numPr>
          <w:ilvl w:val="0"/>
          <w:numId w:val="38"/>
        </w:numPr>
        <w:spacing w:after="120" w:line="300" w:lineRule="exact"/>
        <w:ind w:left="714" w:hanging="357"/>
        <w:rPr>
          <w:rFonts w:ascii="Arial" w:hAnsi="Arial" w:cs="Arial"/>
          <w:color w:val="auto"/>
          <w:sz w:val="22"/>
          <w:szCs w:val="22"/>
        </w:rPr>
      </w:pPr>
      <w:r w:rsidRPr="00FA1416">
        <w:rPr>
          <w:rFonts w:ascii="Arial" w:hAnsi="Arial" w:cs="Arial"/>
          <w:color w:val="auto"/>
          <w:sz w:val="22"/>
          <w:szCs w:val="22"/>
        </w:rPr>
        <w:t>T</w:t>
      </w:r>
      <w:r w:rsidR="00D54F19" w:rsidRPr="00FA1416">
        <w:rPr>
          <w:rFonts w:ascii="Arial" w:hAnsi="Arial" w:cs="Arial"/>
          <w:color w:val="auto"/>
          <w:sz w:val="22"/>
          <w:szCs w:val="22"/>
        </w:rPr>
        <w:t xml:space="preserve">he child is allegedly alienated from one or both parents; or </w:t>
      </w:r>
    </w:p>
    <w:p w14:paraId="7829AC14" w14:textId="2CCE753E" w:rsidR="00D54F19" w:rsidRPr="00FA1416" w:rsidRDefault="00D8165E" w:rsidP="00FA1416">
      <w:pPr>
        <w:pStyle w:val="Default"/>
        <w:numPr>
          <w:ilvl w:val="0"/>
          <w:numId w:val="38"/>
        </w:numPr>
        <w:spacing w:after="120" w:line="300" w:lineRule="exact"/>
        <w:ind w:left="714" w:hanging="357"/>
        <w:rPr>
          <w:rFonts w:ascii="Arial" w:hAnsi="Arial" w:cs="Arial"/>
          <w:color w:val="auto"/>
          <w:sz w:val="22"/>
          <w:szCs w:val="22"/>
        </w:rPr>
      </w:pPr>
      <w:r w:rsidRPr="00FA1416">
        <w:rPr>
          <w:rFonts w:ascii="Arial" w:hAnsi="Arial" w:cs="Arial"/>
          <w:color w:val="auto"/>
          <w:sz w:val="22"/>
          <w:szCs w:val="22"/>
        </w:rPr>
        <w:t>T</w:t>
      </w:r>
      <w:r w:rsidR="00D54F19" w:rsidRPr="00FA1416">
        <w:rPr>
          <w:rFonts w:ascii="Arial" w:hAnsi="Arial" w:cs="Arial"/>
          <w:color w:val="auto"/>
          <w:sz w:val="22"/>
          <w:szCs w:val="22"/>
        </w:rPr>
        <w:t xml:space="preserve">here are issues of significant medical or psychological illness or personality disorder in relation to either party or any other person having significant contact with the child. </w:t>
      </w:r>
    </w:p>
    <w:p w14:paraId="71BB65BC" w14:textId="3DD11613" w:rsidR="00AD7184" w:rsidRDefault="006F1570" w:rsidP="00183FF5">
      <w:pPr>
        <w:pStyle w:val="Default"/>
        <w:spacing w:after="120" w:line="300" w:lineRule="exact"/>
        <w:rPr>
          <w:rFonts w:ascii="Arial" w:hAnsi="Arial" w:cs="Arial"/>
          <w:color w:val="auto"/>
          <w:sz w:val="22"/>
          <w:szCs w:val="22"/>
        </w:rPr>
      </w:pPr>
      <w:r>
        <w:rPr>
          <w:rFonts w:ascii="Arial" w:hAnsi="Arial" w:cs="Arial"/>
          <w:color w:val="auto"/>
          <w:sz w:val="22"/>
          <w:szCs w:val="22"/>
        </w:rPr>
        <w:t>The underlying rationale for the current VLA funding settings regarding ICLs is that t</w:t>
      </w:r>
      <w:r w:rsidR="00D54F19">
        <w:rPr>
          <w:rFonts w:ascii="Arial" w:hAnsi="Arial" w:cs="Arial"/>
          <w:color w:val="auto"/>
          <w:sz w:val="22"/>
          <w:szCs w:val="22"/>
        </w:rPr>
        <w:t>his</w:t>
      </w:r>
      <w:r w:rsidR="003402C4">
        <w:rPr>
          <w:rFonts w:ascii="Arial" w:hAnsi="Arial" w:cs="Arial"/>
          <w:color w:val="auto"/>
          <w:sz w:val="22"/>
          <w:szCs w:val="22"/>
        </w:rPr>
        <w:t xml:space="preserve"> appropriately</w:t>
      </w:r>
      <w:r w:rsidR="00D54F19">
        <w:rPr>
          <w:rFonts w:ascii="Arial" w:hAnsi="Arial" w:cs="Arial"/>
          <w:color w:val="auto"/>
          <w:sz w:val="22"/>
          <w:szCs w:val="22"/>
        </w:rPr>
        <w:t xml:space="preserve"> targets funding in a resourced constrained environment </w:t>
      </w:r>
      <w:r w:rsidR="0013237D">
        <w:rPr>
          <w:rFonts w:ascii="Arial" w:hAnsi="Arial" w:cs="Arial"/>
          <w:color w:val="auto"/>
          <w:sz w:val="22"/>
          <w:szCs w:val="22"/>
        </w:rPr>
        <w:t xml:space="preserve">to the most difficult </w:t>
      </w:r>
      <w:r w:rsidR="00C216BF">
        <w:rPr>
          <w:rFonts w:ascii="Arial" w:hAnsi="Arial" w:cs="Arial"/>
          <w:color w:val="auto"/>
          <w:sz w:val="22"/>
          <w:szCs w:val="22"/>
        </w:rPr>
        <w:t xml:space="preserve">parenting dispute </w:t>
      </w:r>
      <w:r w:rsidR="0013237D">
        <w:rPr>
          <w:rFonts w:ascii="Arial" w:hAnsi="Arial" w:cs="Arial"/>
          <w:color w:val="auto"/>
          <w:sz w:val="22"/>
          <w:szCs w:val="22"/>
        </w:rPr>
        <w:t xml:space="preserve">matters. </w:t>
      </w:r>
    </w:p>
    <w:p w14:paraId="3D3AE1D8" w14:textId="6AA04FFF" w:rsidR="00F34447" w:rsidRDefault="0013237D" w:rsidP="00AE6DC4">
      <w:pPr>
        <w:pStyle w:val="Default"/>
        <w:spacing w:after="120" w:line="300" w:lineRule="exact"/>
        <w:rPr>
          <w:rFonts w:ascii="Arial" w:hAnsi="Arial" w:cs="Arial"/>
          <w:color w:val="auto"/>
          <w:sz w:val="22"/>
          <w:szCs w:val="22"/>
        </w:rPr>
      </w:pPr>
      <w:r>
        <w:rPr>
          <w:rFonts w:ascii="Arial" w:hAnsi="Arial" w:cs="Arial"/>
          <w:color w:val="auto"/>
          <w:sz w:val="22"/>
          <w:szCs w:val="22"/>
        </w:rPr>
        <w:t xml:space="preserve">Nevertheless, a </w:t>
      </w:r>
      <w:r w:rsidR="000C0C91">
        <w:rPr>
          <w:rFonts w:ascii="Arial" w:hAnsi="Arial" w:cs="Arial"/>
          <w:color w:val="auto"/>
          <w:sz w:val="22"/>
          <w:szCs w:val="22"/>
        </w:rPr>
        <w:t>large</w:t>
      </w:r>
      <w:r>
        <w:rPr>
          <w:rFonts w:ascii="Arial" w:hAnsi="Arial" w:cs="Arial"/>
          <w:color w:val="auto"/>
          <w:sz w:val="22"/>
          <w:szCs w:val="22"/>
        </w:rPr>
        <w:t xml:space="preserve"> number </w:t>
      </w:r>
      <w:r w:rsidR="006A5DB6">
        <w:rPr>
          <w:rFonts w:ascii="Arial" w:hAnsi="Arial" w:cs="Arial"/>
          <w:color w:val="auto"/>
          <w:sz w:val="22"/>
          <w:szCs w:val="22"/>
        </w:rPr>
        <w:t xml:space="preserve">of </w:t>
      </w:r>
      <w:r>
        <w:rPr>
          <w:rFonts w:ascii="Arial" w:hAnsi="Arial" w:cs="Arial"/>
          <w:color w:val="auto"/>
          <w:sz w:val="22"/>
          <w:szCs w:val="22"/>
        </w:rPr>
        <w:t>matters continue to proceed through the Family Law Courts unassisted by an ICL</w:t>
      </w:r>
      <w:r w:rsidR="00B83638">
        <w:rPr>
          <w:rFonts w:ascii="Arial" w:hAnsi="Arial" w:cs="Arial"/>
          <w:color w:val="auto"/>
          <w:sz w:val="22"/>
          <w:szCs w:val="22"/>
        </w:rPr>
        <w:t>,</w:t>
      </w:r>
      <w:r>
        <w:rPr>
          <w:rFonts w:ascii="Arial" w:hAnsi="Arial" w:cs="Arial"/>
          <w:color w:val="auto"/>
          <w:sz w:val="22"/>
          <w:szCs w:val="22"/>
        </w:rPr>
        <w:t xml:space="preserve"> despite the facts </w:t>
      </w:r>
      <w:r w:rsidR="00B83638">
        <w:rPr>
          <w:rFonts w:ascii="Arial" w:hAnsi="Arial" w:cs="Arial"/>
          <w:color w:val="auto"/>
          <w:sz w:val="22"/>
          <w:szCs w:val="22"/>
        </w:rPr>
        <w:t xml:space="preserve">of the dispute </w:t>
      </w:r>
      <w:r w:rsidR="001F6F00">
        <w:rPr>
          <w:rFonts w:ascii="Arial" w:hAnsi="Arial" w:cs="Arial"/>
          <w:color w:val="auto"/>
          <w:sz w:val="22"/>
          <w:szCs w:val="22"/>
        </w:rPr>
        <w:t>suggest</w:t>
      </w:r>
      <w:r w:rsidR="00CF2BC1">
        <w:rPr>
          <w:rFonts w:ascii="Arial" w:hAnsi="Arial" w:cs="Arial"/>
          <w:color w:val="auto"/>
          <w:sz w:val="22"/>
          <w:szCs w:val="22"/>
        </w:rPr>
        <w:t xml:space="preserve">ing </w:t>
      </w:r>
      <w:r>
        <w:rPr>
          <w:rFonts w:ascii="Arial" w:hAnsi="Arial" w:cs="Arial"/>
          <w:color w:val="auto"/>
          <w:sz w:val="22"/>
          <w:szCs w:val="22"/>
        </w:rPr>
        <w:t xml:space="preserve">an ICL would </w:t>
      </w:r>
      <w:r w:rsidR="008F37A7">
        <w:rPr>
          <w:rFonts w:ascii="Arial" w:hAnsi="Arial" w:cs="Arial"/>
          <w:color w:val="auto"/>
          <w:sz w:val="22"/>
          <w:szCs w:val="22"/>
        </w:rPr>
        <w:t xml:space="preserve">assist </w:t>
      </w:r>
      <w:r w:rsidR="002B0009">
        <w:rPr>
          <w:rFonts w:ascii="Arial" w:hAnsi="Arial" w:cs="Arial"/>
          <w:color w:val="auto"/>
          <w:sz w:val="22"/>
          <w:szCs w:val="22"/>
        </w:rPr>
        <w:t>judicial decision making</w:t>
      </w:r>
      <w:r w:rsidR="000C04E8">
        <w:rPr>
          <w:rFonts w:ascii="Arial" w:hAnsi="Arial" w:cs="Arial"/>
          <w:color w:val="auto"/>
          <w:sz w:val="22"/>
          <w:szCs w:val="22"/>
        </w:rPr>
        <w:t>.</w:t>
      </w:r>
    </w:p>
    <w:p w14:paraId="1D0AD3E8" w14:textId="513892A2" w:rsidR="0015356E" w:rsidRDefault="00C64645" w:rsidP="00183FF5">
      <w:pPr>
        <w:spacing w:line="300" w:lineRule="exact"/>
        <w:rPr>
          <w:rFonts w:cs="Arial"/>
          <w:szCs w:val="22"/>
          <w:lang w:eastAsia="en-AU"/>
        </w:rPr>
      </w:pPr>
      <w:r>
        <w:rPr>
          <w:rFonts w:cs="Arial"/>
          <w:szCs w:val="22"/>
          <w:lang w:eastAsia="en-AU"/>
        </w:rPr>
        <w:t>G</w:t>
      </w:r>
      <w:r w:rsidR="00784D51">
        <w:rPr>
          <w:rFonts w:cs="Arial"/>
          <w:szCs w:val="22"/>
          <w:lang w:eastAsia="en-AU"/>
        </w:rPr>
        <w:t xml:space="preserve">iven that </w:t>
      </w:r>
      <w:r w:rsidR="00B30145">
        <w:rPr>
          <w:rFonts w:cs="Arial"/>
          <w:szCs w:val="22"/>
          <w:lang w:eastAsia="en-AU"/>
        </w:rPr>
        <w:t>ICL</w:t>
      </w:r>
      <w:r w:rsidR="009D4A9D">
        <w:rPr>
          <w:rFonts w:cs="Arial"/>
          <w:szCs w:val="22"/>
          <w:lang w:eastAsia="en-AU"/>
        </w:rPr>
        <w:t>s</w:t>
      </w:r>
      <w:r w:rsidR="00B30145">
        <w:rPr>
          <w:rFonts w:cs="Arial"/>
          <w:szCs w:val="22"/>
          <w:lang w:eastAsia="en-AU"/>
        </w:rPr>
        <w:t xml:space="preserve"> identif</w:t>
      </w:r>
      <w:r w:rsidR="009D4A9D">
        <w:rPr>
          <w:rFonts w:cs="Arial"/>
          <w:szCs w:val="22"/>
          <w:lang w:eastAsia="en-AU"/>
        </w:rPr>
        <w:t>y</w:t>
      </w:r>
      <w:r w:rsidR="00B30145">
        <w:rPr>
          <w:rFonts w:cs="Arial"/>
          <w:szCs w:val="22"/>
          <w:lang w:eastAsia="en-AU"/>
        </w:rPr>
        <w:t xml:space="preserve"> </w:t>
      </w:r>
      <w:r w:rsidR="00205CCE">
        <w:rPr>
          <w:rFonts w:cs="Arial"/>
          <w:szCs w:val="22"/>
          <w:lang w:eastAsia="en-AU"/>
        </w:rPr>
        <w:t xml:space="preserve">information that </w:t>
      </w:r>
      <w:r w:rsidR="00B30145">
        <w:rPr>
          <w:rFonts w:cs="Arial"/>
          <w:szCs w:val="22"/>
          <w:lang w:eastAsia="en-AU"/>
        </w:rPr>
        <w:t>may assist</w:t>
      </w:r>
      <w:r w:rsidR="00205CCE">
        <w:rPr>
          <w:rFonts w:cs="Arial"/>
          <w:szCs w:val="22"/>
          <w:lang w:eastAsia="en-AU"/>
        </w:rPr>
        <w:t xml:space="preserve"> the court in making evidence-based decisions in t</w:t>
      </w:r>
      <w:r>
        <w:rPr>
          <w:rFonts w:cs="Arial"/>
          <w:szCs w:val="22"/>
          <w:lang w:eastAsia="en-AU"/>
        </w:rPr>
        <w:t xml:space="preserve">he best interests of the child, there would be benefit </w:t>
      </w:r>
      <w:r w:rsidR="00CF2BC1">
        <w:rPr>
          <w:rFonts w:cs="Arial"/>
          <w:szCs w:val="22"/>
          <w:lang w:eastAsia="en-AU"/>
        </w:rPr>
        <w:t xml:space="preserve">in </w:t>
      </w:r>
      <w:r>
        <w:rPr>
          <w:rFonts w:cs="Arial"/>
          <w:szCs w:val="22"/>
          <w:lang w:eastAsia="en-AU"/>
        </w:rPr>
        <w:t>resourcing the ICL function</w:t>
      </w:r>
      <w:r w:rsidR="00436AA4">
        <w:rPr>
          <w:rFonts w:cs="Arial"/>
          <w:szCs w:val="22"/>
          <w:lang w:eastAsia="en-AU"/>
        </w:rPr>
        <w:t xml:space="preserve"> so that an ICL can be appointed to all matters in which it would be beneficial to do so</w:t>
      </w:r>
      <w:r>
        <w:rPr>
          <w:rFonts w:cs="Arial"/>
          <w:szCs w:val="22"/>
          <w:lang w:eastAsia="en-AU"/>
        </w:rPr>
        <w:t xml:space="preserve">. </w:t>
      </w:r>
      <w:r w:rsidR="00784D51">
        <w:rPr>
          <w:rFonts w:cs="Arial"/>
          <w:szCs w:val="22"/>
          <w:lang w:eastAsia="en-AU"/>
        </w:rPr>
        <w:t>This approach</w:t>
      </w:r>
      <w:r w:rsidR="0015356E">
        <w:rPr>
          <w:rFonts w:cs="Arial"/>
          <w:szCs w:val="22"/>
          <w:lang w:eastAsia="en-AU"/>
        </w:rPr>
        <w:t xml:space="preserve"> </w:t>
      </w:r>
      <w:r w:rsidR="007937B7">
        <w:rPr>
          <w:rFonts w:cs="Arial"/>
          <w:szCs w:val="22"/>
          <w:lang w:eastAsia="en-AU"/>
        </w:rPr>
        <w:t xml:space="preserve">also </w:t>
      </w:r>
      <w:r>
        <w:rPr>
          <w:rFonts w:cs="Arial"/>
          <w:szCs w:val="22"/>
          <w:lang w:eastAsia="en-AU"/>
        </w:rPr>
        <w:t>focuses investment in ICL</w:t>
      </w:r>
      <w:r w:rsidR="009D4A9D">
        <w:rPr>
          <w:rFonts w:cs="Arial"/>
          <w:szCs w:val="22"/>
          <w:lang w:eastAsia="en-AU"/>
        </w:rPr>
        <w:t xml:space="preserve">s as a conduit for harnessing existing information, </w:t>
      </w:r>
      <w:r>
        <w:rPr>
          <w:rFonts w:cs="Arial"/>
          <w:szCs w:val="22"/>
          <w:lang w:eastAsia="en-AU"/>
        </w:rPr>
        <w:t xml:space="preserve">rather than </w:t>
      </w:r>
      <w:r w:rsidR="009D4A9D">
        <w:rPr>
          <w:rFonts w:cs="Arial"/>
          <w:szCs w:val="22"/>
          <w:lang w:eastAsia="en-AU"/>
        </w:rPr>
        <w:t xml:space="preserve">requiring the creation of </w:t>
      </w:r>
      <w:r>
        <w:rPr>
          <w:rFonts w:cs="Arial"/>
          <w:szCs w:val="22"/>
          <w:lang w:eastAsia="en-AU"/>
        </w:rPr>
        <w:t>a new and additional bureaucratic structure</w:t>
      </w:r>
      <w:r w:rsidR="009E600E">
        <w:rPr>
          <w:rFonts w:cs="Arial"/>
          <w:szCs w:val="22"/>
          <w:lang w:eastAsia="en-AU"/>
        </w:rPr>
        <w:t>s</w:t>
      </w:r>
      <w:r w:rsidR="00B724D3">
        <w:rPr>
          <w:rFonts w:cs="Arial"/>
          <w:szCs w:val="22"/>
          <w:lang w:eastAsia="en-AU"/>
        </w:rPr>
        <w:t>, which has been examined previously and is again being explored under this Terms of Reference.</w:t>
      </w:r>
      <w:r w:rsidR="00784D51">
        <w:rPr>
          <w:rFonts w:cs="Arial"/>
          <w:szCs w:val="22"/>
          <w:lang w:eastAsia="en-AU"/>
        </w:rPr>
        <w:t xml:space="preserve"> </w:t>
      </w:r>
    </w:p>
    <w:p w14:paraId="43FA4168" w14:textId="6218B0FF" w:rsidR="00826EFE" w:rsidRDefault="00205CCE" w:rsidP="00183FF5">
      <w:pPr>
        <w:spacing w:line="300" w:lineRule="exact"/>
        <w:rPr>
          <w:rFonts w:cs="Arial"/>
          <w:szCs w:val="22"/>
          <w:lang w:eastAsia="en-AU"/>
        </w:rPr>
      </w:pPr>
      <w:r>
        <w:rPr>
          <w:rFonts w:cs="Arial"/>
          <w:szCs w:val="22"/>
          <w:lang w:eastAsia="en-AU"/>
        </w:rPr>
        <w:t xml:space="preserve">There would also be benefit in </w:t>
      </w:r>
      <w:r w:rsidR="00F553D7">
        <w:rPr>
          <w:rFonts w:cs="Arial"/>
          <w:szCs w:val="22"/>
          <w:lang w:eastAsia="en-AU"/>
        </w:rPr>
        <w:t xml:space="preserve">reviewing, with the intention of updating and legislating, </w:t>
      </w:r>
      <w:r>
        <w:rPr>
          <w:rFonts w:cs="Arial"/>
          <w:szCs w:val="22"/>
          <w:lang w:eastAsia="en-AU"/>
        </w:rPr>
        <w:t xml:space="preserve">the matters in which </w:t>
      </w:r>
      <w:r w:rsidR="00F553D7">
        <w:rPr>
          <w:rFonts w:cs="Arial"/>
          <w:szCs w:val="22"/>
          <w:lang w:eastAsia="en-AU"/>
        </w:rPr>
        <w:t xml:space="preserve">an ICL will be appointed. The </w:t>
      </w:r>
      <w:r w:rsidR="00F553D7">
        <w:rPr>
          <w:rFonts w:cs="Arial"/>
          <w:i/>
          <w:szCs w:val="22"/>
          <w:lang w:eastAsia="en-AU"/>
        </w:rPr>
        <w:t xml:space="preserve">Re K </w:t>
      </w:r>
      <w:r w:rsidR="00F553D7" w:rsidRPr="00497DB5">
        <w:rPr>
          <w:rFonts w:cs="Arial"/>
          <w:szCs w:val="22"/>
          <w:lang w:eastAsia="en-AU"/>
        </w:rPr>
        <w:t xml:space="preserve">factors </w:t>
      </w:r>
      <w:r w:rsidR="00BA381E" w:rsidRPr="00826EFE">
        <w:rPr>
          <w:rFonts w:cs="Arial"/>
          <w:szCs w:val="22"/>
          <w:lang w:eastAsia="en-AU"/>
        </w:rPr>
        <w:t>w</w:t>
      </w:r>
      <w:r w:rsidR="00BA381E">
        <w:rPr>
          <w:rFonts w:cs="Arial"/>
          <w:szCs w:val="22"/>
          <w:lang w:eastAsia="en-AU"/>
        </w:rPr>
        <w:t xml:space="preserve">ere proposed </w:t>
      </w:r>
      <w:r w:rsidR="000C2850">
        <w:rPr>
          <w:rFonts w:cs="Arial"/>
          <w:szCs w:val="22"/>
          <w:lang w:eastAsia="en-AU"/>
        </w:rPr>
        <w:t>as guidance</w:t>
      </w:r>
      <w:r w:rsidR="00BA381E">
        <w:rPr>
          <w:rFonts w:cs="Arial"/>
          <w:szCs w:val="22"/>
          <w:lang w:eastAsia="en-AU"/>
        </w:rPr>
        <w:t xml:space="preserve"> in </w:t>
      </w:r>
      <w:r w:rsidR="00CB5CDC">
        <w:rPr>
          <w:rFonts w:cs="Arial"/>
          <w:szCs w:val="22"/>
          <w:lang w:eastAsia="en-AU"/>
        </w:rPr>
        <w:t xml:space="preserve">a </w:t>
      </w:r>
      <w:r w:rsidR="00BA381E">
        <w:rPr>
          <w:rFonts w:cs="Arial"/>
          <w:szCs w:val="22"/>
          <w:lang w:eastAsia="en-AU"/>
        </w:rPr>
        <w:t>1994</w:t>
      </w:r>
      <w:r w:rsidR="00CB5CDC">
        <w:rPr>
          <w:rFonts w:cs="Arial"/>
          <w:szCs w:val="22"/>
          <w:lang w:eastAsia="en-AU"/>
        </w:rPr>
        <w:t xml:space="preserve"> decision of the Family Court of Australia</w:t>
      </w:r>
      <w:r w:rsidR="00BA381E">
        <w:rPr>
          <w:rFonts w:cs="Arial"/>
          <w:szCs w:val="22"/>
          <w:lang w:eastAsia="en-AU"/>
        </w:rPr>
        <w:t>.</w:t>
      </w:r>
      <w:r w:rsidR="000C2850">
        <w:rPr>
          <w:rFonts w:cs="Arial"/>
          <w:szCs w:val="22"/>
          <w:lang w:eastAsia="en-AU"/>
        </w:rPr>
        <w:t xml:space="preserve"> </w:t>
      </w:r>
      <w:r w:rsidR="00B46069">
        <w:rPr>
          <w:rFonts w:cs="Arial"/>
          <w:szCs w:val="22"/>
          <w:lang w:eastAsia="en-AU"/>
        </w:rPr>
        <w:t>These</w:t>
      </w:r>
      <w:r w:rsidR="00CB5CDC">
        <w:rPr>
          <w:rFonts w:cs="Arial"/>
          <w:i/>
          <w:szCs w:val="22"/>
          <w:lang w:eastAsia="en-AU"/>
        </w:rPr>
        <w:t xml:space="preserve"> </w:t>
      </w:r>
      <w:r w:rsidR="00CB5CDC">
        <w:rPr>
          <w:rFonts w:cs="Arial"/>
          <w:szCs w:val="22"/>
          <w:lang w:eastAsia="en-AU"/>
        </w:rPr>
        <w:t xml:space="preserve">factors have continued to guide ICL appointments since </w:t>
      </w:r>
      <w:r w:rsidR="00B30145">
        <w:rPr>
          <w:rFonts w:cs="Arial"/>
          <w:szCs w:val="22"/>
          <w:lang w:eastAsia="en-AU"/>
        </w:rPr>
        <w:t>1994 without review</w:t>
      </w:r>
      <w:r w:rsidR="007609AE">
        <w:rPr>
          <w:rFonts w:cs="Arial"/>
          <w:szCs w:val="22"/>
          <w:lang w:eastAsia="en-AU"/>
        </w:rPr>
        <w:t>. In large part, this has focused ICL appointments to the</w:t>
      </w:r>
      <w:r w:rsidR="00B30145">
        <w:rPr>
          <w:rFonts w:cs="Arial"/>
          <w:szCs w:val="22"/>
          <w:lang w:eastAsia="en-AU"/>
        </w:rPr>
        <w:t xml:space="preserve"> matters th</w:t>
      </w:r>
      <w:r w:rsidR="00826EFE">
        <w:rPr>
          <w:rFonts w:cs="Arial"/>
          <w:szCs w:val="22"/>
          <w:lang w:eastAsia="en-AU"/>
        </w:rPr>
        <w:t>at</w:t>
      </w:r>
      <w:r w:rsidR="00B30145">
        <w:rPr>
          <w:rFonts w:cs="Arial"/>
          <w:szCs w:val="22"/>
          <w:lang w:eastAsia="en-AU"/>
        </w:rPr>
        <w:t xml:space="preserve"> benefit most from an ICL appointment. However, the </w:t>
      </w:r>
      <w:r w:rsidR="00CB5CDC">
        <w:rPr>
          <w:rFonts w:cs="Arial"/>
          <w:i/>
          <w:szCs w:val="22"/>
          <w:lang w:eastAsia="en-AU"/>
        </w:rPr>
        <w:t xml:space="preserve">Re K </w:t>
      </w:r>
      <w:r w:rsidR="00CB5CDC">
        <w:rPr>
          <w:rFonts w:cs="Arial"/>
          <w:szCs w:val="22"/>
          <w:lang w:eastAsia="en-AU"/>
        </w:rPr>
        <w:t>factors,</w:t>
      </w:r>
      <w:r w:rsidR="00F553D7">
        <w:rPr>
          <w:rFonts w:cs="Arial"/>
          <w:szCs w:val="22"/>
          <w:lang w:eastAsia="en-AU"/>
        </w:rPr>
        <w:t xml:space="preserve"> for example,</w:t>
      </w:r>
      <w:r w:rsidR="00CB5CDC">
        <w:rPr>
          <w:rFonts w:cs="Arial"/>
          <w:szCs w:val="22"/>
          <w:lang w:eastAsia="en-AU"/>
        </w:rPr>
        <w:t xml:space="preserve"> do not</w:t>
      </w:r>
      <w:r w:rsidR="00F553D7">
        <w:rPr>
          <w:rFonts w:cs="Arial"/>
          <w:szCs w:val="22"/>
          <w:lang w:eastAsia="en-AU"/>
        </w:rPr>
        <w:t xml:space="preserve"> refer to family violence.</w:t>
      </w:r>
      <w:r w:rsidR="00B30145">
        <w:rPr>
          <w:rFonts w:cs="Arial"/>
          <w:szCs w:val="22"/>
          <w:lang w:eastAsia="en-AU"/>
        </w:rPr>
        <w:t xml:space="preserve"> We do not suggest that an ICL should be appointed in all matters where an accusation of family violence is made. This would be inconsistent with the targeting of </w:t>
      </w:r>
      <w:r w:rsidR="00826EFE">
        <w:rPr>
          <w:rFonts w:cs="Arial"/>
          <w:szCs w:val="22"/>
          <w:lang w:eastAsia="en-AU"/>
        </w:rPr>
        <w:t xml:space="preserve">a </w:t>
      </w:r>
      <w:r w:rsidR="00B30145">
        <w:rPr>
          <w:rFonts w:cs="Arial"/>
          <w:szCs w:val="22"/>
          <w:lang w:eastAsia="en-AU"/>
        </w:rPr>
        <w:t>limited resource</w:t>
      </w:r>
      <w:r w:rsidR="00826EFE">
        <w:rPr>
          <w:rFonts w:cs="Arial"/>
          <w:szCs w:val="22"/>
          <w:lang w:eastAsia="en-AU"/>
        </w:rPr>
        <w:t xml:space="preserve"> for cases in which the child’s best interests truly require separate representation</w:t>
      </w:r>
      <w:r w:rsidR="00B30145">
        <w:rPr>
          <w:rFonts w:cs="Arial"/>
          <w:szCs w:val="22"/>
          <w:lang w:eastAsia="en-AU"/>
        </w:rPr>
        <w:t>. However, we recommend a process for considering, updating and legislating a</w:t>
      </w:r>
      <w:r w:rsidR="00BD3E6E" w:rsidRPr="00AF5B64">
        <w:rPr>
          <w:rFonts w:cs="Arial"/>
          <w:szCs w:val="22"/>
          <w:lang w:eastAsia="en-AU"/>
        </w:rPr>
        <w:t xml:space="preserve"> framework for the appointment of ICL</w:t>
      </w:r>
      <w:r w:rsidR="00B30145">
        <w:rPr>
          <w:rFonts w:cs="Arial"/>
          <w:szCs w:val="22"/>
          <w:lang w:eastAsia="en-AU"/>
        </w:rPr>
        <w:t>s</w:t>
      </w:r>
      <w:r w:rsidR="00BD3E6E" w:rsidRPr="00AF5B64">
        <w:rPr>
          <w:rFonts w:cs="Arial"/>
          <w:szCs w:val="22"/>
          <w:lang w:eastAsia="en-AU"/>
        </w:rPr>
        <w:t xml:space="preserve"> </w:t>
      </w:r>
      <w:r w:rsidR="00B30145">
        <w:rPr>
          <w:rFonts w:cs="Arial"/>
          <w:szCs w:val="22"/>
          <w:lang w:eastAsia="en-AU"/>
        </w:rPr>
        <w:t>to</w:t>
      </w:r>
      <w:r w:rsidR="00A63DEA" w:rsidRPr="00AF5B64">
        <w:rPr>
          <w:rFonts w:cs="Arial"/>
          <w:szCs w:val="22"/>
          <w:lang w:eastAsia="en-AU"/>
        </w:rPr>
        <w:t xml:space="preserve"> ensure that ICLs are appointed in the matters that would benefit</w:t>
      </w:r>
      <w:r w:rsidR="00D64674" w:rsidRPr="00AF5B64">
        <w:rPr>
          <w:rFonts w:cs="Arial"/>
          <w:szCs w:val="22"/>
          <w:lang w:eastAsia="en-AU"/>
        </w:rPr>
        <w:t xml:space="preserve"> most</w:t>
      </w:r>
      <w:r w:rsidR="00A63DEA" w:rsidRPr="00AF5B64">
        <w:rPr>
          <w:rFonts w:cs="Arial"/>
          <w:szCs w:val="22"/>
          <w:lang w:eastAsia="en-AU"/>
        </w:rPr>
        <w:t xml:space="preserve"> </w:t>
      </w:r>
      <w:r w:rsidR="00EF383A" w:rsidRPr="00AF5B64">
        <w:rPr>
          <w:rFonts w:cs="Arial"/>
          <w:szCs w:val="22"/>
          <w:lang w:eastAsia="en-AU"/>
        </w:rPr>
        <w:t xml:space="preserve">from an independent source of information on which to base decisions. </w:t>
      </w:r>
    </w:p>
    <w:p w14:paraId="4CCAABAE" w14:textId="77777777" w:rsidR="00826EFE" w:rsidRPr="00AC7FFE" w:rsidRDefault="00826EFE" w:rsidP="00826EFE">
      <w:pPr>
        <w:shd w:val="clear" w:color="auto" w:fill="E6E6E6"/>
        <w:spacing w:line="300" w:lineRule="exact"/>
        <w:rPr>
          <w:rFonts w:cs="Arial"/>
          <w:b/>
          <w:szCs w:val="22"/>
        </w:rPr>
      </w:pPr>
      <w:r w:rsidRPr="00AC7FFE">
        <w:rPr>
          <w:rFonts w:cs="Arial"/>
          <w:b/>
          <w:szCs w:val="22"/>
        </w:rPr>
        <w:t>Recommendations:</w:t>
      </w:r>
    </w:p>
    <w:p w14:paraId="1628FD71" w14:textId="230EAFEB" w:rsidR="00826EFE" w:rsidRPr="00AC7FFE" w:rsidRDefault="00826EFE" w:rsidP="00826EFE">
      <w:pPr>
        <w:pStyle w:val="ListParagraph"/>
        <w:numPr>
          <w:ilvl w:val="0"/>
          <w:numId w:val="42"/>
        </w:numPr>
        <w:shd w:val="clear" w:color="auto" w:fill="E6E6E6"/>
        <w:spacing w:after="120" w:line="300" w:lineRule="exact"/>
        <w:rPr>
          <w:rFonts w:ascii="Arial" w:hAnsi="Arial" w:cs="Arial"/>
          <w:b/>
        </w:rPr>
      </w:pPr>
      <w:r w:rsidRPr="00AC7FFE">
        <w:rPr>
          <w:rFonts w:ascii="Arial" w:hAnsi="Arial" w:cs="Arial"/>
          <w:lang w:eastAsia="en-AU"/>
        </w:rPr>
        <w:t xml:space="preserve">Increase investment in the ICL function so that an ICL can be appointed </w:t>
      </w:r>
      <w:r>
        <w:rPr>
          <w:rFonts w:ascii="Arial" w:hAnsi="Arial" w:cs="Arial"/>
          <w:lang w:eastAsia="en-AU"/>
        </w:rPr>
        <w:t>in</w:t>
      </w:r>
      <w:r w:rsidRPr="00AC7FFE">
        <w:rPr>
          <w:rFonts w:ascii="Arial" w:hAnsi="Arial" w:cs="Arial"/>
          <w:lang w:eastAsia="en-AU"/>
        </w:rPr>
        <w:t xml:space="preserve"> all matters in which it would be beneficial to the child to do so. </w:t>
      </w:r>
    </w:p>
    <w:p w14:paraId="437024C0" w14:textId="47D54098" w:rsidR="00D64674" w:rsidRPr="00AF5B64" w:rsidRDefault="00826EFE" w:rsidP="00826EFE">
      <w:pPr>
        <w:pStyle w:val="ListParagraph"/>
        <w:numPr>
          <w:ilvl w:val="0"/>
          <w:numId w:val="42"/>
        </w:numPr>
        <w:shd w:val="clear" w:color="auto" w:fill="E6E6E6"/>
        <w:spacing w:after="120" w:line="300" w:lineRule="exact"/>
        <w:rPr>
          <w:rFonts w:cs="Arial"/>
          <w:lang w:eastAsia="en-AU"/>
        </w:rPr>
      </w:pPr>
      <w:r w:rsidRPr="00AC7FFE">
        <w:rPr>
          <w:rFonts w:ascii="Arial" w:hAnsi="Arial" w:cs="Arial"/>
          <w:lang w:eastAsia="en-AU"/>
        </w:rPr>
        <w:t xml:space="preserve">Review, with the intention of updating and legislating, the </w:t>
      </w:r>
      <w:r>
        <w:rPr>
          <w:rFonts w:ascii="Arial" w:hAnsi="Arial" w:cs="Arial"/>
          <w:lang w:eastAsia="en-AU"/>
        </w:rPr>
        <w:t>framework for the appointment of</w:t>
      </w:r>
      <w:r w:rsidRPr="00AC7FFE">
        <w:rPr>
          <w:rFonts w:ascii="Arial" w:hAnsi="Arial" w:cs="Arial"/>
          <w:lang w:eastAsia="en-AU"/>
        </w:rPr>
        <w:t xml:space="preserve"> ICL</w:t>
      </w:r>
      <w:r>
        <w:rPr>
          <w:rFonts w:ascii="Arial" w:hAnsi="Arial" w:cs="Arial"/>
          <w:lang w:eastAsia="en-AU"/>
        </w:rPr>
        <w:t>s.</w:t>
      </w:r>
      <w:r w:rsidR="00A63DEA" w:rsidRPr="00AF5B64">
        <w:rPr>
          <w:rFonts w:cs="Arial"/>
          <w:lang w:eastAsia="en-AU"/>
        </w:rPr>
        <w:t xml:space="preserve"> </w:t>
      </w:r>
    </w:p>
    <w:p w14:paraId="403EBFCD" w14:textId="744398F4" w:rsidR="00413D41" w:rsidRPr="00AF5B64" w:rsidRDefault="002E1B12" w:rsidP="00497DB5">
      <w:pPr>
        <w:pStyle w:val="Heading3"/>
      </w:pPr>
      <w:bookmarkStart w:id="19" w:name="_Toc433612276"/>
      <w:r w:rsidRPr="00AF5B64">
        <w:t>Section 11F (Family Consultant) Reports</w:t>
      </w:r>
      <w:bookmarkEnd w:id="19"/>
      <w:r w:rsidRPr="00AF5B64">
        <w:t xml:space="preserve"> </w:t>
      </w:r>
    </w:p>
    <w:p w14:paraId="42510473" w14:textId="3E15AEDC" w:rsidR="009B6BB3" w:rsidRDefault="009B6BB3" w:rsidP="00183FF5">
      <w:pPr>
        <w:spacing w:line="300" w:lineRule="exact"/>
        <w:rPr>
          <w:rFonts w:cs="Arial"/>
          <w:szCs w:val="22"/>
          <w:lang w:eastAsia="en-AU"/>
        </w:rPr>
      </w:pPr>
      <w:r w:rsidRPr="00AF5B64">
        <w:rPr>
          <w:rFonts w:cs="Arial"/>
          <w:szCs w:val="22"/>
          <w:lang w:eastAsia="en-AU"/>
        </w:rPr>
        <w:t xml:space="preserve">Section 11F (family consultant) reports can provide an additional and important source of information to the Court. </w:t>
      </w:r>
    </w:p>
    <w:p w14:paraId="6088CB8A" w14:textId="77777777" w:rsidR="007F463A" w:rsidRPr="00AF5B64" w:rsidRDefault="007F463A" w:rsidP="00183FF5">
      <w:pPr>
        <w:spacing w:line="300" w:lineRule="exact"/>
        <w:rPr>
          <w:rFonts w:cs="Arial"/>
          <w:szCs w:val="22"/>
          <w:lang w:eastAsia="en-AU"/>
        </w:rPr>
      </w:pPr>
    </w:p>
    <w:p w14:paraId="3924759C" w14:textId="77777777" w:rsidR="00531EE3" w:rsidRPr="00AF5B64" w:rsidRDefault="00531EE3" w:rsidP="00183FF5">
      <w:pPr>
        <w:shd w:val="clear" w:color="auto" w:fill="E6E6E6"/>
        <w:spacing w:line="300" w:lineRule="exact"/>
        <w:rPr>
          <w:rFonts w:cs="Arial"/>
          <w:b/>
          <w:szCs w:val="22"/>
        </w:rPr>
      </w:pPr>
      <w:r w:rsidRPr="00AF5B64">
        <w:rPr>
          <w:rFonts w:cs="Arial"/>
          <w:b/>
          <w:szCs w:val="22"/>
        </w:rPr>
        <w:lastRenderedPageBreak/>
        <w:t>Case Study</w:t>
      </w:r>
    </w:p>
    <w:p w14:paraId="46C0C69A" w14:textId="00B49CDB" w:rsidR="00AF5B64" w:rsidRPr="00AF5B64" w:rsidRDefault="00AF5B64" w:rsidP="00183FF5">
      <w:pPr>
        <w:shd w:val="clear" w:color="auto" w:fill="E6E6E6"/>
        <w:spacing w:line="300" w:lineRule="exact"/>
        <w:rPr>
          <w:rFonts w:cs="Arial"/>
          <w:color w:val="000000"/>
        </w:rPr>
      </w:pPr>
      <w:r w:rsidRPr="00AF5B64">
        <w:rPr>
          <w:rFonts w:cs="Arial"/>
          <w:color w:val="000000"/>
        </w:rPr>
        <w:t>VLA assisted a father in a recovery order application. The mother had entered the family home and removed one of four children from the home during the night. The mother also made very serious allegations of family violence and neglect against the father. It was the mother's view that the remaining three children were at grave risk in the</w:t>
      </w:r>
      <w:r w:rsidR="000506BF">
        <w:rPr>
          <w:rFonts w:cs="Arial"/>
          <w:color w:val="000000"/>
        </w:rPr>
        <w:t>ir</w:t>
      </w:r>
      <w:r w:rsidRPr="00AF5B64">
        <w:rPr>
          <w:rFonts w:cs="Arial"/>
          <w:color w:val="000000"/>
        </w:rPr>
        <w:t xml:space="preserve"> father's care.</w:t>
      </w:r>
    </w:p>
    <w:p w14:paraId="6C8FCF1E" w14:textId="04502D47" w:rsidR="00AF5B64" w:rsidRPr="00AF5B64" w:rsidRDefault="00AF5B64" w:rsidP="00183FF5">
      <w:pPr>
        <w:shd w:val="clear" w:color="auto" w:fill="E6E6E6"/>
        <w:spacing w:line="300" w:lineRule="exact"/>
        <w:rPr>
          <w:rFonts w:cs="Arial"/>
          <w:color w:val="000000"/>
        </w:rPr>
      </w:pPr>
      <w:r w:rsidRPr="00AF5B64">
        <w:rPr>
          <w:rFonts w:cs="Arial"/>
          <w:color w:val="000000"/>
        </w:rPr>
        <w:t xml:space="preserve">The court ordered that all four children and the parents attend </w:t>
      </w:r>
      <w:r w:rsidR="000506BF">
        <w:rPr>
          <w:rFonts w:cs="Arial"/>
          <w:color w:val="000000"/>
        </w:rPr>
        <w:t>a</w:t>
      </w:r>
      <w:r w:rsidRPr="00AF5B64">
        <w:rPr>
          <w:rFonts w:cs="Arial"/>
          <w:color w:val="000000"/>
        </w:rPr>
        <w:t xml:space="preserve"> section 11F (family consultant report) appointment as a matter of urgency.</w:t>
      </w:r>
    </w:p>
    <w:p w14:paraId="6409B58C" w14:textId="60CAC550" w:rsidR="00AF5B64" w:rsidRPr="00AF5B64" w:rsidRDefault="00AF5B64" w:rsidP="00183FF5">
      <w:pPr>
        <w:shd w:val="clear" w:color="auto" w:fill="E6E6E6"/>
        <w:spacing w:line="300" w:lineRule="exact"/>
        <w:rPr>
          <w:rFonts w:cs="Arial"/>
          <w:color w:val="000000"/>
        </w:rPr>
      </w:pPr>
      <w:r w:rsidRPr="00AF5B64">
        <w:rPr>
          <w:rFonts w:cs="Arial"/>
          <w:color w:val="000000"/>
        </w:rPr>
        <w:t>Through this process the children were able to tell the court that it was, in fact, their mother who was violent in the home. The oldest children were able to express</w:t>
      </w:r>
      <w:r w:rsidR="0097315F">
        <w:rPr>
          <w:rFonts w:cs="Arial"/>
          <w:color w:val="000000"/>
        </w:rPr>
        <w:t xml:space="preserve"> their view</w:t>
      </w:r>
      <w:r w:rsidRPr="00AF5B64">
        <w:rPr>
          <w:rFonts w:cs="Arial"/>
          <w:color w:val="000000"/>
        </w:rPr>
        <w:t xml:space="preserve"> that they were not ready to spend time with the</w:t>
      </w:r>
      <w:r w:rsidR="000506BF">
        <w:rPr>
          <w:rFonts w:cs="Arial"/>
          <w:color w:val="000000"/>
        </w:rPr>
        <w:t>ir</w:t>
      </w:r>
      <w:r w:rsidRPr="00AF5B64">
        <w:rPr>
          <w:rFonts w:cs="Arial"/>
          <w:color w:val="000000"/>
        </w:rPr>
        <w:t xml:space="preserve"> mother. </w:t>
      </w:r>
    </w:p>
    <w:p w14:paraId="63869B3E" w14:textId="21D988EC" w:rsidR="00AF5B64" w:rsidRPr="00AF5B64" w:rsidRDefault="00AF5B64" w:rsidP="00183FF5">
      <w:pPr>
        <w:shd w:val="clear" w:color="auto" w:fill="E6E6E6"/>
        <w:spacing w:line="300" w:lineRule="exact"/>
        <w:rPr>
          <w:rFonts w:cs="Arial"/>
          <w:color w:val="000000"/>
        </w:rPr>
      </w:pPr>
      <w:r w:rsidRPr="00AF5B64">
        <w:rPr>
          <w:rFonts w:cs="Arial"/>
          <w:color w:val="000000"/>
        </w:rPr>
        <w:t>The report recommended that the mother attend anger management classes and see a psychologist and that the whole family commence non-reportable family therapy.</w:t>
      </w:r>
    </w:p>
    <w:p w14:paraId="3DFE7C21" w14:textId="0EDC2D6F" w:rsidR="00AF5B64" w:rsidRPr="00AF5B64" w:rsidRDefault="00AF5B64" w:rsidP="00183FF5">
      <w:pPr>
        <w:shd w:val="clear" w:color="auto" w:fill="E6E6E6"/>
        <w:spacing w:line="300" w:lineRule="exact"/>
        <w:rPr>
          <w:rFonts w:cs="Arial"/>
          <w:color w:val="000000"/>
        </w:rPr>
      </w:pPr>
      <w:r w:rsidRPr="00AF5B64">
        <w:rPr>
          <w:rFonts w:cs="Arial"/>
          <w:color w:val="000000"/>
        </w:rPr>
        <w:t xml:space="preserve">The child who was taken by the mother was also </w:t>
      </w:r>
      <w:r w:rsidR="000506BF">
        <w:rPr>
          <w:rFonts w:cs="Arial"/>
          <w:color w:val="000000"/>
        </w:rPr>
        <w:t>returned</w:t>
      </w:r>
      <w:r w:rsidR="000506BF" w:rsidRPr="00AF5B64">
        <w:rPr>
          <w:rFonts w:cs="Arial"/>
          <w:color w:val="000000"/>
        </w:rPr>
        <w:t xml:space="preserve"> </w:t>
      </w:r>
      <w:r w:rsidRPr="00AF5B64">
        <w:rPr>
          <w:rFonts w:cs="Arial"/>
          <w:color w:val="000000"/>
        </w:rPr>
        <w:t xml:space="preserve">to the family home and the four children immediately recommenced school; they had not been attending as the father was concerned that the mother would try to take them from the school yard if there were no court orders (the mother had done this previously). </w:t>
      </w:r>
    </w:p>
    <w:p w14:paraId="66ECD953" w14:textId="47EAE8BF" w:rsidR="00AF5B64" w:rsidRPr="00AF5B64" w:rsidRDefault="00AF5B64" w:rsidP="00183FF5">
      <w:pPr>
        <w:shd w:val="clear" w:color="auto" w:fill="E6E6E6"/>
        <w:spacing w:line="300" w:lineRule="exact"/>
        <w:rPr>
          <w:rFonts w:cs="Arial"/>
          <w:color w:val="000000"/>
        </w:rPr>
      </w:pPr>
      <w:r w:rsidRPr="00AF5B64">
        <w:rPr>
          <w:rFonts w:cs="Arial"/>
          <w:color w:val="000000"/>
        </w:rPr>
        <w:t xml:space="preserve">The </w:t>
      </w:r>
      <w:r w:rsidR="00BD0321">
        <w:rPr>
          <w:rFonts w:cs="Arial"/>
          <w:color w:val="000000"/>
        </w:rPr>
        <w:t xml:space="preserve">report </w:t>
      </w:r>
      <w:r w:rsidRPr="00AF5B64">
        <w:rPr>
          <w:rFonts w:cs="Arial"/>
          <w:color w:val="000000"/>
        </w:rPr>
        <w:t xml:space="preserve">process was useful in identifying the issues in dispute, assisting the parties </w:t>
      </w:r>
      <w:r w:rsidR="000506BF">
        <w:rPr>
          <w:rFonts w:cs="Arial"/>
          <w:color w:val="000000"/>
        </w:rPr>
        <w:t>to</w:t>
      </w:r>
      <w:r w:rsidRPr="00AF5B64">
        <w:rPr>
          <w:rFonts w:cs="Arial"/>
          <w:color w:val="000000"/>
        </w:rPr>
        <w:t xml:space="preserve"> reach agreement on interim issues and identif</w:t>
      </w:r>
      <w:r w:rsidR="000506BF">
        <w:rPr>
          <w:rFonts w:cs="Arial"/>
          <w:color w:val="000000"/>
        </w:rPr>
        <w:t>y</w:t>
      </w:r>
      <w:r w:rsidRPr="00AF5B64">
        <w:rPr>
          <w:rFonts w:cs="Arial"/>
          <w:color w:val="000000"/>
        </w:rPr>
        <w:t xml:space="preserve"> appropriate referrals to non-legal support services.  </w:t>
      </w:r>
    </w:p>
    <w:p w14:paraId="275A2F1A" w14:textId="604A4220" w:rsidR="00AF5B64" w:rsidRPr="008746F7" w:rsidRDefault="00AF5B64" w:rsidP="00183FF5">
      <w:pPr>
        <w:shd w:val="clear" w:color="auto" w:fill="E6E6E6"/>
        <w:spacing w:line="300" w:lineRule="exact"/>
        <w:rPr>
          <w:rFonts w:cs="Arial"/>
          <w:color w:val="000000"/>
        </w:rPr>
      </w:pPr>
      <w:r w:rsidRPr="00AF5B64">
        <w:rPr>
          <w:rFonts w:cs="Arial"/>
          <w:color w:val="000000"/>
        </w:rPr>
        <w:t xml:space="preserve">The family </w:t>
      </w:r>
      <w:r w:rsidR="00413C43">
        <w:rPr>
          <w:rFonts w:cs="Arial"/>
          <w:color w:val="000000"/>
        </w:rPr>
        <w:t>acted</w:t>
      </w:r>
      <w:r w:rsidRPr="00AF5B64">
        <w:rPr>
          <w:rFonts w:cs="Arial"/>
          <w:color w:val="000000"/>
        </w:rPr>
        <w:t xml:space="preserve"> on the recommended referrals and the case was </w:t>
      </w:r>
      <w:r w:rsidR="00E24C70">
        <w:rPr>
          <w:rFonts w:cs="Arial"/>
          <w:color w:val="000000"/>
        </w:rPr>
        <w:t>referred</w:t>
      </w:r>
      <w:r w:rsidRPr="00AF5B64">
        <w:rPr>
          <w:rFonts w:cs="Arial"/>
          <w:color w:val="000000"/>
        </w:rPr>
        <w:t xml:space="preserve"> back to the family dispute resolution process, as it had originally by-passed this step due to the urgency of the situation. </w:t>
      </w:r>
    </w:p>
    <w:p w14:paraId="49CDCC24" w14:textId="20CB7D9A" w:rsidR="009B6BB3" w:rsidRDefault="00E33EF4" w:rsidP="00183FF5">
      <w:pPr>
        <w:spacing w:line="300" w:lineRule="exact"/>
        <w:rPr>
          <w:rFonts w:cs="Arial"/>
          <w:szCs w:val="22"/>
          <w:lang w:eastAsia="en-AU"/>
        </w:rPr>
      </w:pPr>
      <w:r>
        <w:rPr>
          <w:rFonts w:cs="Arial"/>
          <w:szCs w:val="22"/>
          <w:lang w:eastAsia="en-AU"/>
        </w:rPr>
        <w:t>While an important mechanism currently available to the Family Law Courts, t</w:t>
      </w:r>
      <w:r w:rsidR="009B6BB3" w:rsidRPr="009B6BB3">
        <w:rPr>
          <w:rFonts w:cs="Arial"/>
          <w:szCs w:val="22"/>
          <w:lang w:eastAsia="en-AU"/>
        </w:rPr>
        <w:t xml:space="preserve">he </w:t>
      </w:r>
      <w:r>
        <w:rPr>
          <w:rFonts w:cs="Arial"/>
          <w:szCs w:val="22"/>
          <w:lang w:eastAsia="en-AU"/>
        </w:rPr>
        <w:t xml:space="preserve">section 11F </w:t>
      </w:r>
      <w:r w:rsidR="00BD0321">
        <w:rPr>
          <w:rFonts w:cs="Arial"/>
          <w:szCs w:val="22"/>
          <w:lang w:eastAsia="en-AU"/>
        </w:rPr>
        <w:t xml:space="preserve">(family consultant) report </w:t>
      </w:r>
      <w:r>
        <w:rPr>
          <w:rFonts w:cs="Arial"/>
          <w:szCs w:val="22"/>
          <w:lang w:eastAsia="en-AU"/>
        </w:rPr>
        <w:t xml:space="preserve">process </w:t>
      </w:r>
      <w:r w:rsidR="009B6BB3" w:rsidRPr="009B6BB3">
        <w:rPr>
          <w:rFonts w:cs="Arial"/>
          <w:szCs w:val="22"/>
          <w:lang w:eastAsia="en-AU"/>
        </w:rPr>
        <w:t xml:space="preserve">is not sufficiently resourced to provide reports </w:t>
      </w:r>
      <w:r w:rsidR="00AA5ACC">
        <w:rPr>
          <w:rFonts w:cs="Arial"/>
          <w:szCs w:val="22"/>
          <w:lang w:eastAsia="en-AU"/>
        </w:rPr>
        <w:t xml:space="preserve">in a timely enough fashion for matters that have an element of urgency to them, nor </w:t>
      </w:r>
      <w:r w:rsidR="009B6BB3" w:rsidRPr="009B6BB3">
        <w:rPr>
          <w:rFonts w:cs="Arial"/>
          <w:szCs w:val="22"/>
          <w:lang w:eastAsia="en-AU"/>
        </w:rPr>
        <w:t xml:space="preserve">in all the matters that would benefit from a report. </w:t>
      </w:r>
      <w:r w:rsidR="009B6BB3">
        <w:rPr>
          <w:rFonts w:cs="Arial"/>
          <w:szCs w:val="22"/>
          <w:lang w:eastAsia="en-AU"/>
        </w:rPr>
        <w:t xml:space="preserve">At the Melbourne Registry of the Federal Circuit Court, for example, </w:t>
      </w:r>
      <w:r w:rsidR="00B41394">
        <w:rPr>
          <w:rFonts w:cs="Arial"/>
          <w:szCs w:val="22"/>
          <w:lang w:eastAsia="en-AU"/>
        </w:rPr>
        <w:t xml:space="preserve">the </w:t>
      </w:r>
      <w:r w:rsidR="00896746">
        <w:rPr>
          <w:rFonts w:cs="Arial"/>
          <w:szCs w:val="22"/>
          <w:lang w:eastAsia="en-AU"/>
        </w:rPr>
        <w:t>number of reports that</w:t>
      </w:r>
      <w:r w:rsidR="00B41394">
        <w:rPr>
          <w:rFonts w:cs="Arial"/>
          <w:szCs w:val="22"/>
          <w:lang w:eastAsia="en-AU"/>
        </w:rPr>
        <w:t xml:space="preserve"> can be ordered each day </w:t>
      </w:r>
      <w:r w:rsidR="00042DA8">
        <w:rPr>
          <w:rFonts w:cs="Arial"/>
          <w:szCs w:val="22"/>
          <w:lang w:eastAsia="en-AU"/>
        </w:rPr>
        <w:t>is</w:t>
      </w:r>
      <w:r w:rsidR="00B41394">
        <w:rPr>
          <w:rFonts w:cs="Arial"/>
          <w:szCs w:val="22"/>
          <w:lang w:eastAsia="en-AU"/>
        </w:rPr>
        <w:t xml:space="preserve"> capped. </w:t>
      </w:r>
      <w:r w:rsidR="00A41068">
        <w:rPr>
          <w:rFonts w:cs="Arial"/>
          <w:szCs w:val="22"/>
          <w:lang w:eastAsia="en-AU"/>
        </w:rPr>
        <w:t>This means that</w:t>
      </w:r>
      <w:r w:rsidR="00B41394">
        <w:rPr>
          <w:rFonts w:cs="Arial"/>
          <w:szCs w:val="22"/>
          <w:lang w:eastAsia="en-AU"/>
        </w:rPr>
        <w:t xml:space="preserve"> families </w:t>
      </w:r>
      <w:r w:rsidR="00A41068">
        <w:rPr>
          <w:rFonts w:cs="Arial"/>
          <w:szCs w:val="22"/>
          <w:lang w:eastAsia="en-AU"/>
        </w:rPr>
        <w:t xml:space="preserve">who </w:t>
      </w:r>
      <w:r w:rsidR="00B41394">
        <w:rPr>
          <w:rFonts w:cs="Arial"/>
          <w:szCs w:val="22"/>
          <w:lang w:eastAsia="en-AU"/>
        </w:rPr>
        <w:t xml:space="preserve">may benefit from the </w:t>
      </w:r>
      <w:r w:rsidR="00BD0321">
        <w:rPr>
          <w:rFonts w:cs="Arial"/>
          <w:szCs w:val="22"/>
          <w:lang w:eastAsia="en-AU"/>
        </w:rPr>
        <w:t xml:space="preserve">report </w:t>
      </w:r>
      <w:r w:rsidR="00B41394">
        <w:rPr>
          <w:rFonts w:cs="Arial"/>
          <w:szCs w:val="22"/>
          <w:lang w:eastAsia="en-AU"/>
        </w:rPr>
        <w:t xml:space="preserve">process may not be able to </w:t>
      </w:r>
      <w:r w:rsidR="00FC2D4A">
        <w:rPr>
          <w:rFonts w:cs="Arial"/>
          <w:szCs w:val="22"/>
          <w:lang w:eastAsia="en-AU"/>
        </w:rPr>
        <w:t xml:space="preserve">engage in </w:t>
      </w:r>
      <w:r w:rsidR="004E5BA0">
        <w:rPr>
          <w:rFonts w:cs="Arial"/>
          <w:szCs w:val="22"/>
          <w:lang w:eastAsia="en-AU"/>
        </w:rPr>
        <w:t>it</w:t>
      </w:r>
      <w:r w:rsidR="00FC2D4A">
        <w:rPr>
          <w:rFonts w:cs="Arial"/>
          <w:szCs w:val="22"/>
          <w:lang w:eastAsia="en-AU"/>
        </w:rPr>
        <w:t xml:space="preserve">. </w:t>
      </w:r>
      <w:r w:rsidR="00B41394">
        <w:rPr>
          <w:rFonts w:cs="Arial"/>
          <w:szCs w:val="22"/>
          <w:lang w:eastAsia="en-AU"/>
        </w:rPr>
        <w:t xml:space="preserve"> </w:t>
      </w:r>
    </w:p>
    <w:p w14:paraId="771D56CB" w14:textId="08520744" w:rsidR="009B6BB3" w:rsidRDefault="00A41068" w:rsidP="00183FF5">
      <w:pPr>
        <w:spacing w:line="300" w:lineRule="exact"/>
        <w:rPr>
          <w:rFonts w:cs="Arial"/>
          <w:szCs w:val="22"/>
          <w:lang w:eastAsia="en-AU"/>
        </w:rPr>
      </w:pPr>
      <w:r>
        <w:rPr>
          <w:rFonts w:cs="Arial"/>
          <w:szCs w:val="22"/>
          <w:lang w:eastAsia="en-AU"/>
        </w:rPr>
        <w:t>T</w:t>
      </w:r>
      <w:r w:rsidR="00C02C63">
        <w:rPr>
          <w:rFonts w:cs="Arial"/>
          <w:szCs w:val="22"/>
          <w:lang w:eastAsia="en-AU"/>
        </w:rPr>
        <w:t xml:space="preserve">he section 11F </w:t>
      </w:r>
      <w:r w:rsidR="00BD0321">
        <w:rPr>
          <w:rFonts w:cs="Arial"/>
          <w:szCs w:val="22"/>
          <w:lang w:eastAsia="en-AU"/>
        </w:rPr>
        <w:t xml:space="preserve">(family consultant) </w:t>
      </w:r>
      <w:r w:rsidR="00C02C63">
        <w:rPr>
          <w:rFonts w:cs="Arial"/>
          <w:szCs w:val="22"/>
          <w:lang w:eastAsia="en-AU"/>
        </w:rPr>
        <w:t>report is a va</w:t>
      </w:r>
      <w:r w:rsidR="0050705E">
        <w:rPr>
          <w:rFonts w:cs="Arial"/>
          <w:szCs w:val="22"/>
          <w:lang w:eastAsia="en-AU"/>
        </w:rPr>
        <w:t xml:space="preserve">luable source of information in judicial decision-making. The process also assists in identifying non-legal supports that would be of benefit to a family. </w:t>
      </w:r>
      <w:r w:rsidR="009B6BB3" w:rsidRPr="009B6BB3">
        <w:rPr>
          <w:rFonts w:cs="Arial"/>
          <w:szCs w:val="22"/>
          <w:lang w:eastAsia="en-AU"/>
        </w:rPr>
        <w:t xml:space="preserve">We recommend </w:t>
      </w:r>
      <w:r w:rsidR="001E068E">
        <w:rPr>
          <w:rFonts w:cs="Arial"/>
          <w:szCs w:val="22"/>
          <w:lang w:eastAsia="en-AU"/>
        </w:rPr>
        <w:t xml:space="preserve">increased resourcing of the </w:t>
      </w:r>
      <w:r w:rsidR="00BD0321">
        <w:rPr>
          <w:rFonts w:cs="Arial"/>
          <w:szCs w:val="22"/>
          <w:lang w:eastAsia="en-AU"/>
        </w:rPr>
        <w:t>report</w:t>
      </w:r>
      <w:r w:rsidR="001E068E">
        <w:rPr>
          <w:rFonts w:cs="Arial"/>
          <w:szCs w:val="22"/>
          <w:lang w:eastAsia="en-AU"/>
        </w:rPr>
        <w:t xml:space="preserve"> </w:t>
      </w:r>
      <w:r w:rsidR="00332270">
        <w:rPr>
          <w:rFonts w:cs="Arial"/>
          <w:szCs w:val="22"/>
          <w:lang w:eastAsia="en-AU"/>
        </w:rPr>
        <w:t xml:space="preserve">process </w:t>
      </w:r>
      <w:r w:rsidR="001E068E">
        <w:rPr>
          <w:rFonts w:cs="Arial"/>
          <w:szCs w:val="22"/>
          <w:lang w:eastAsia="en-AU"/>
        </w:rPr>
        <w:t xml:space="preserve">to enable timelier and targeted use of the reports in matters where further information would benefit the court, and ultimately the </w:t>
      </w:r>
      <w:r w:rsidR="00B76279">
        <w:rPr>
          <w:rFonts w:cs="Arial"/>
          <w:szCs w:val="22"/>
          <w:lang w:eastAsia="en-AU"/>
        </w:rPr>
        <w:t xml:space="preserve">children at the centre </w:t>
      </w:r>
      <w:r w:rsidR="00FA0784">
        <w:rPr>
          <w:rFonts w:cs="Arial"/>
          <w:szCs w:val="22"/>
          <w:lang w:eastAsia="en-AU"/>
        </w:rPr>
        <w:t>of the parenting dispute</w:t>
      </w:r>
      <w:r w:rsidR="001E068E">
        <w:rPr>
          <w:rFonts w:cs="Arial"/>
          <w:szCs w:val="22"/>
          <w:lang w:eastAsia="en-AU"/>
        </w:rPr>
        <w:t xml:space="preserve">. </w:t>
      </w:r>
    </w:p>
    <w:p w14:paraId="0220CBA2" w14:textId="77777777" w:rsidR="00497DB5" w:rsidRDefault="004E5BA0" w:rsidP="00183FF5">
      <w:pPr>
        <w:shd w:val="clear" w:color="auto" w:fill="E6E6E6"/>
        <w:spacing w:line="300" w:lineRule="exact"/>
        <w:rPr>
          <w:rFonts w:cs="Arial"/>
          <w:b/>
          <w:szCs w:val="22"/>
        </w:rPr>
      </w:pPr>
      <w:r w:rsidRPr="00AC7FFE">
        <w:rPr>
          <w:rFonts w:cs="Arial"/>
          <w:b/>
          <w:szCs w:val="22"/>
        </w:rPr>
        <w:t>Recommendations:</w:t>
      </w:r>
    </w:p>
    <w:p w14:paraId="2646A058" w14:textId="2B196F00" w:rsidR="004E5BA0" w:rsidRPr="0049522E" w:rsidRDefault="004E5BA0" w:rsidP="00183FF5">
      <w:pPr>
        <w:pStyle w:val="ListParagraph"/>
        <w:numPr>
          <w:ilvl w:val="0"/>
          <w:numId w:val="42"/>
        </w:numPr>
        <w:shd w:val="clear" w:color="auto" w:fill="E6E6E6"/>
        <w:spacing w:after="120" w:line="300" w:lineRule="exact"/>
        <w:rPr>
          <w:rFonts w:ascii="Arial" w:hAnsi="Arial" w:cs="Arial"/>
        </w:rPr>
      </w:pPr>
      <w:r w:rsidRPr="0049522E">
        <w:rPr>
          <w:rFonts w:ascii="Arial" w:hAnsi="Arial" w:cs="Arial"/>
        </w:rPr>
        <w:t xml:space="preserve">Increase resourcing of the section 11F </w:t>
      </w:r>
      <w:r w:rsidR="00BD0321">
        <w:rPr>
          <w:rFonts w:ascii="Arial" w:hAnsi="Arial" w:cs="Arial"/>
        </w:rPr>
        <w:t xml:space="preserve">(family consultant) report </w:t>
      </w:r>
      <w:r w:rsidRPr="0049522E">
        <w:rPr>
          <w:rFonts w:ascii="Arial" w:hAnsi="Arial" w:cs="Arial"/>
        </w:rPr>
        <w:t xml:space="preserve">process to enable timelier and </w:t>
      </w:r>
      <w:r w:rsidR="00A41068">
        <w:rPr>
          <w:rFonts w:ascii="Arial" w:hAnsi="Arial" w:cs="Arial"/>
        </w:rPr>
        <w:t xml:space="preserve">better </w:t>
      </w:r>
      <w:r w:rsidRPr="0049522E">
        <w:rPr>
          <w:rFonts w:ascii="Arial" w:hAnsi="Arial" w:cs="Arial"/>
        </w:rPr>
        <w:t xml:space="preserve">targeted use of </w:t>
      </w:r>
      <w:r w:rsidR="00B46069">
        <w:rPr>
          <w:rFonts w:ascii="Arial" w:hAnsi="Arial" w:cs="Arial"/>
        </w:rPr>
        <w:t>these</w:t>
      </w:r>
      <w:r w:rsidR="00BD0321">
        <w:rPr>
          <w:rFonts w:ascii="Arial" w:hAnsi="Arial" w:cs="Arial"/>
        </w:rPr>
        <w:t xml:space="preserve"> </w:t>
      </w:r>
      <w:r w:rsidRPr="0049522E">
        <w:rPr>
          <w:rFonts w:ascii="Arial" w:hAnsi="Arial" w:cs="Arial"/>
        </w:rPr>
        <w:t>reports.</w:t>
      </w:r>
    </w:p>
    <w:p w14:paraId="3B97A228" w14:textId="77777777" w:rsidR="00750649" w:rsidRPr="00CC53E5" w:rsidRDefault="009444AC" w:rsidP="00497DB5">
      <w:pPr>
        <w:pStyle w:val="Heading3"/>
      </w:pPr>
      <w:bookmarkStart w:id="20" w:name="_Toc433612277"/>
      <w:r w:rsidRPr="00CC53E5">
        <w:t>Subpoena Powers</w:t>
      </w:r>
      <w:bookmarkEnd w:id="20"/>
      <w:r w:rsidRPr="00CC53E5">
        <w:t xml:space="preserve"> </w:t>
      </w:r>
    </w:p>
    <w:p w14:paraId="4334AE79" w14:textId="483B57A3" w:rsidR="009444AC" w:rsidRPr="00CC53E5" w:rsidRDefault="00CC53E5" w:rsidP="00F86F0C">
      <w:pPr>
        <w:spacing w:line="300" w:lineRule="exact"/>
        <w:rPr>
          <w:rFonts w:cs="Arial"/>
          <w:szCs w:val="22"/>
          <w:lang w:eastAsia="en-AU"/>
        </w:rPr>
      </w:pPr>
      <w:r w:rsidRPr="00CC53E5">
        <w:rPr>
          <w:rFonts w:cs="Arial"/>
          <w:szCs w:val="22"/>
          <w:lang w:eastAsia="en-AU"/>
        </w:rPr>
        <w:t xml:space="preserve">Under </w:t>
      </w:r>
      <w:r w:rsidR="00B46069">
        <w:rPr>
          <w:rFonts w:cs="Arial"/>
          <w:szCs w:val="22"/>
          <w:lang w:eastAsia="en-AU"/>
        </w:rPr>
        <w:t xml:space="preserve">rule </w:t>
      </w:r>
      <w:r w:rsidR="00775EBC">
        <w:rPr>
          <w:rFonts w:cs="Arial"/>
          <w:szCs w:val="22"/>
          <w:lang w:eastAsia="en-AU"/>
        </w:rPr>
        <w:t xml:space="preserve">15.17 of the </w:t>
      </w:r>
      <w:r w:rsidR="00775EBC" w:rsidRPr="00775EBC">
        <w:rPr>
          <w:rFonts w:cs="Arial"/>
          <w:i/>
          <w:szCs w:val="22"/>
          <w:lang w:eastAsia="en-AU"/>
        </w:rPr>
        <w:t>Family Law Rules</w:t>
      </w:r>
      <w:r w:rsidR="00B46069">
        <w:rPr>
          <w:rFonts w:cs="Arial"/>
          <w:i/>
          <w:szCs w:val="22"/>
          <w:lang w:eastAsia="en-AU"/>
        </w:rPr>
        <w:t xml:space="preserve"> 2004</w:t>
      </w:r>
      <w:r w:rsidR="00775EBC">
        <w:rPr>
          <w:rFonts w:cs="Arial"/>
          <w:szCs w:val="22"/>
          <w:lang w:eastAsia="en-AU"/>
        </w:rPr>
        <w:t>, the court may, on its own initiative</w:t>
      </w:r>
      <w:r w:rsidR="00B46069">
        <w:rPr>
          <w:rFonts w:cs="Arial"/>
          <w:szCs w:val="22"/>
          <w:lang w:eastAsia="en-AU"/>
        </w:rPr>
        <w:t>,</w:t>
      </w:r>
      <w:r w:rsidR="00775EBC">
        <w:rPr>
          <w:rFonts w:cs="Arial"/>
          <w:szCs w:val="22"/>
          <w:lang w:eastAsia="en-AU"/>
        </w:rPr>
        <w:t xml:space="preserve"> issue a subpoena for production, to give evidence</w:t>
      </w:r>
      <w:r w:rsidR="00A41068">
        <w:rPr>
          <w:rFonts w:cs="Arial"/>
          <w:szCs w:val="22"/>
          <w:lang w:eastAsia="en-AU"/>
        </w:rPr>
        <w:t>,</w:t>
      </w:r>
      <w:r w:rsidR="00775EBC">
        <w:rPr>
          <w:rFonts w:cs="Arial"/>
          <w:szCs w:val="22"/>
          <w:lang w:eastAsia="en-AU"/>
        </w:rPr>
        <w:t xml:space="preserve"> or for production and to give evidence. It is our understanding that this</w:t>
      </w:r>
      <w:r w:rsidRPr="00CC53E5">
        <w:rPr>
          <w:rFonts w:cs="Arial"/>
          <w:szCs w:val="22"/>
          <w:lang w:eastAsia="en-AU"/>
        </w:rPr>
        <w:t xml:space="preserve"> power is rarely used</w:t>
      </w:r>
      <w:r w:rsidR="00A41068">
        <w:rPr>
          <w:rFonts w:cs="Arial"/>
          <w:szCs w:val="22"/>
          <w:lang w:eastAsia="en-AU"/>
        </w:rPr>
        <w:t xml:space="preserve">, yet </w:t>
      </w:r>
      <w:r w:rsidRPr="00CC53E5">
        <w:rPr>
          <w:rFonts w:cs="Arial"/>
          <w:szCs w:val="22"/>
          <w:lang w:eastAsia="en-AU"/>
        </w:rPr>
        <w:t xml:space="preserve">it is available to </w:t>
      </w:r>
      <w:r w:rsidR="00775EBC">
        <w:rPr>
          <w:rFonts w:cs="Arial"/>
          <w:szCs w:val="22"/>
          <w:lang w:eastAsia="en-AU"/>
        </w:rPr>
        <w:t>judicial officer</w:t>
      </w:r>
      <w:r w:rsidR="00AE1F6B">
        <w:rPr>
          <w:rFonts w:cs="Arial"/>
          <w:szCs w:val="22"/>
          <w:lang w:eastAsia="en-AU"/>
        </w:rPr>
        <w:t>s</w:t>
      </w:r>
      <w:r w:rsidR="00775EBC">
        <w:rPr>
          <w:rFonts w:cs="Arial"/>
          <w:szCs w:val="22"/>
          <w:lang w:eastAsia="en-AU"/>
        </w:rPr>
        <w:t xml:space="preserve"> </w:t>
      </w:r>
      <w:r w:rsidR="000E6956">
        <w:rPr>
          <w:rFonts w:cs="Arial"/>
          <w:szCs w:val="22"/>
          <w:lang w:eastAsia="en-AU"/>
        </w:rPr>
        <w:t>in situations where decision-</w:t>
      </w:r>
      <w:r w:rsidR="00AE1F6B">
        <w:rPr>
          <w:rFonts w:cs="Arial"/>
          <w:szCs w:val="22"/>
          <w:lang w:eastAsia="en-AU"/>
        </w:rPr>
        <w:t xml:space="preserve">making </w:t>
      </w:r>
      <w:r w:rsidR="00775EBC">
        <w:rPr>
          <w:rFonts w:cs="Arial"/>
          <w:szCs w:val="22"/>
          <w:lang w:eastAsia="en-AU"/>
        </w:rPr>
        <w:t xml:space="preserve">may benefit from information not provided by the parties. </w:t>
      </w:r>
      <w:r w:rsidR="006A6E8B">
        <w:rPr>
          <w:rFonts w:cs="Arial"/>
          <w:szCs w:val="22"/>
          <w:lang w:eastAsia="en-AU"/>
        </w:rPr>
        <w:t xml:space="preserve">At the interim stage, this is an additional tool that is available </w:t>
      </w:r>
      <w:r w:rsidR="0086390A">
        <w:rPr>
          <w:rFonts w:cs="Arial"/>
          <w:szCs w:val="22"/>
          <w:lang w:eastAsia="en-AU"/>
        </w:rPr>
        <w:t xml:space="preserve">to the court </w:t>
      </w:r>
      <w:r w:rsidR="006A6E8B">
        <w:rPr>
          <w:rFonts w:cs="Arial"/>
          <w:szCs w:val="22"/>
          <w:lang w:eastAsia="en-AU"/>
        </w:rPr>
        <w:t xml:space="preserve">to </w:t>
      </w:r>
      <w:r w:rsidR="00AE1F6B">
        <w:rPr>
          <w:rFonts w:cs="Arial"/>
          <w:szCs w:val="22"/>
          <w:lang w:eastAsia="en-AU"/>
        </w:rPr>
        <w:t xml:space="preserve">ensure all the relevant information is available when making a decision. </w:t>
      </w:r>
      <w:r w:rsidR="006A6E8B">
        <w:rPr>
          <w:rFonts w:cs="Arial"/>
          <w:szCs w:val="22"/>
          <w:lang w:eastAsia="en-AU"/>
        </w:rPr>
        <w:t xml:space="preserve"> </w:t>
      </w:r>
    </w:p>
    <w:p w14:paraId="57C4EDBC" w14:textId="77777777" w:rsidR="00AC7FFE" w:rsidRPr="00AC7FFE" w:rsidRDefault="00393112" w:rsidP="00F86F0C">
      <w:pPr>
        <w:shd w:val="clear" w:color="auto" w:fill="E6E6E6"/>
        <w:spacing w:line="300" w:lineRule="exact"/>
        <w:rPr>
          <w:rFonts w:cs="Arial"/>
          <w:b/>
          <w:szCs w:val="22"/>
        </w:rPr>
      </w:pPr>
      <w:r w:rsidRPr="00AC7FFE">
        <w:rPr>
          <w:rFonts w:cs="Arial"/>
          <w:b/>
          <w:szCs w:val="22"/>
        </w:rPr>
        <w:lastRenderedPageBreak/>
        <w:t>Recommendations:</w:t>
      </w:r>
    </w:p>
    <w:p w14:paraId="71B9B22B" w14:textId="13D74FE5" w:rsidR="00681872" w:rsidRPr="004B1F01" w:rsidRDefault="00B46069" w:rsidP="00F86F0C">
      <w:pPr>
        <w:pStyle w:val="ListParagraph"/>
        <w:numPr>
          <w:ilvl w:val="0"/>
          <w:numId w:val="42"/>
        </w:numPr>
        <w:shd w:val="clear" w:color="auto" w:fill="E6E6E6"/>
        <w:spacing w:after="120" w:line="300" w:lineRule="exact"/>
        <w:rPr>
          <w:rFonts w:ascii="Arial" w:hAnsi="Arial" w:cs="Arial"/>
        </w:rPr>
      </w:pPr>
      <w:r>
        <w:rPr>
          <w:rFonts w:ascii="Arial" w:hAnsi="Arial" w:cs="Arial"/>
        </w:rPr>
        <w:t>Issue</w:t>
      </w:r>
      <w:r w:rsidRPr="00AC7FFE">
        <w:rPr>
          <w:rFonts w:ascii="Arial" w:hAnsi="Arial" w:cs="Arial"/>
        </w:rPr>
        <w:t xml:space="preserve"> </w:t>
      </w:r>
      <w:r w:rsidR="00AC7FFE" w:rsidRPr="00AC7FFE">
        <w:rPr>
          <w:rFonts w:ascii="Arial" w:hAnsi="Arial" w:cs="Arial"/>
        </w:rPr>
        <w:t xml:space="preserve">practice direction that supports greater use of the subpoena power to access information that may be of benefit in the decision-making process </w:t>
      </w:r>
      <w:r w:rsidR="00DD08F8">
        <w:rPr>
          <w:rFonts w:ascii="Arial" w:hAnsi="Arial" w:cs="Arial"/>
        </w:rPr>
        <w:t>when</w:t>
      </w:r>
      <w:r w:rsidR="00AC7FFE" w:rsidRPr="00AC7FFE">
        <w:rPr>
          <w:rFonts w:ascii="Arial" w:hAnsi="Arial" w:cs="Arial"/>
        </w:rPr>
        <w:t xml:space="preserve"> neither </w:t>
      </w:r>
      <w:r w:rsidR="00DD08F8">
        <w:rPr>
          <w:rFonts w:ascii="Arial" w:hAnsi="Arial" w:cs="Arial"/>
        </w:rPr>
        <w:t>party</w:t>
      </w:r>
      <w:r w:rsidR="00AC7FFE" w:rsidRPr="00AC7FFE">
        <w:rPr>
          <w:rFonts w:ascii="Arial" w:hAnsi="Arial" w:cs="Arial"/>
        </w:rPr>
        <w:t xml:space="preserve"> nor the ICL have provided or subpoenaed the information themselves.  </w:t>
      </w:r>
    </w:p>
    <w:p w14:paraId="1E5BA4EA" w14:textId="77777777" w:rsidR="00F553D7" w:rsidRPr="009518F6" w:rsidRDefault="00B129EC" w:rsidP="00F86F0C">
      <w:pPr>
        <w:pStyle w:val="Heading1"/>
      </w:pPr>
      <w:bookmarkStart w:id="21" w:name="_Toc433612278"/>
      <w:r w:rsidRPr="00B129EC">
        <w:t>Supporting Parents to Address Risk Factors</w:t>
      </w:r>
      <w:bookmarkEnd w:id="21"/>
      <w:r w:rsidRPr="00B129EC">
        <w:t xml:space="preserve"> </w:t>
      </w:r>
    </w:p>
    <w:p w14:paraId="3CD26812" w14:textId="77777777" w:rsidR="00832D00" w:rsidRDefault="009518F6" w:rsidP="00183FF5">
      <w:pPr>
        <w:spacing w:line="300" w:lineRule="exact"/>
        <w:rPr>
          <w:rFonts w:cs="Arial"/>
          <w:szCs w:val="22"/>
          <w:lang w:eastAsia="en-AU"/>
        </w:rPr>
      </w:pPr>
      <w:r w:rsidRPr="009518F6">
        <w:rPr>
          <w:rFonts w:cs="Arial"/>
          <w:szCs w:val="22"/>
          <w:lang w:eastAsia="en-AU"/>
        </w:rPr>
        <w:t>Families with complex needs are presenti</w:t>
      </w:r>
      <w:r w:rsidR="00D805EC">
        <w:rPr>
          <w:rFonts w:cs="Arial"/>
          <w:szCs w:val="22"/>
          <w:lang w:eastAsia="en-AU"/>
        </w:rPr>
        <w:t>ng to the Family Law Courts with a</w:t>
      </w:r>
      <w:r>
        <w:rPr>
          <w:rFonts w:cs="Arial"/>
          <w:szCs w:val="22"/>
          <w:lang w:eastAsia="en-AU"/>
        </w:rPr>
        <w:t xml:space="preserve"> cluster of legal and non-legal problems. </w:t>
      </w:r>
      <w:r w:rsidR="00737CAC">
        <w:rPr>
          <w:rFonts w:cs="Arial"/>
          <w:szCs w:val="22"/>
          <w:lang w:eastAsia="en-AU"/>
        </w:rPr>
        <w:t xml:space="preserve">The non-legal issues are a factor in the court’s assessment of a child’s safety. </w:t>
      </w:r>
    </w:p>
    <w:p w14:paraId="6EEF43D1" w14:textId="6500B75E" w:rsidR="009518F6" w:rsidRDefault="000C5FF6" w:rsidP="00183FF5">
      <w:pPr>
        <w:spacing w:line="300" w:lineRule="exact"/>
        <w:rPr>
          <w:rFonts w:cs="Arial"/>
          <w:szCs w:val="22"/>
          <w:lang w:eastAsia="en-AU"/>
        </w:rPr>
      </w:pPr>
      <w:r>
        <w:rPr>
          <w:rFonts w:cs="Arial"/>
          <w:szCs w:val="22"/>
          <w:lang w:eastAsia="en-AU"/>
        </w:rPr>
        <w:t xml:space="preserve">It is VLA’s experience that timely access to non-legal support services can </w:t>
      </w:r>
      <w:r w:rsidR="00832D00">
        <w:rPr>
          <w:rFonts w:cs="Arial"/>
          <w:szCs w:val="22"/>
          <w:lang w:eastAsia="en-AU"/>
        </w:rPr>
        <w:t>address safety concerns</w:t>
      </w:r>
      <w:r w:rsidR="00357923">
        <w:rPr>
          <w:rFonts w:cs="Arial"/>
          <w:szCs w:val="22"/>
          <w:lang w:eastAsia="en-AU"/>
        </w:rPr>
        <w:t xml:space="preserve"> and in turn</w:t>
      </w:r>
      <w:r w:rsidR="00832D00">
        <w:rPr>
          <w:rFonts w:cs="Arial"/>
          <w:szCs w:val="22"/>
          <w:lang w:eastAsia="en-AU"/>
        </w:rPr>
        <w:t xml:space="preserve"> </w:t>
      </w:r>
      <w:r>
        <w:rPr>
          <w:rFonts w:cs="Arial"/>
          <w:szCs w:val="22"/>
          <w:lang w:eastAsia="en-AU"/>
        </w:rPr>
        <w:t xml:space="preserve">reduce the issues in dispute and the likelihood of protracted litigation. </w:t>
      </w:r>
    </w:p>
    <w:p w14:paraId="6C099B7D" w14:textId="77777777" w:rsidR="00D805EC" w:rsidRPr="006D3F4B" w:rsidRDefault="00D805EC" w:rsidP="00183FF5">
      <w:pPr>
        <w:shd w:val="clear" w:color="auto" w:fill="E6E6E6"/>
        <w:spacing w:line="300" w:lineRule="exact"/>
        <w:rPr>
          <w:rFonts w:cs="Arial"/>
          <w:b/>
        </w:rPr>
      </w:pPr>
      <w:r w:rsidRPr="006D3F4B">
        <w:rPr>
          <w:rFonts w:cs="Arial"/>
          <w:b/>
          <w:szCs w:val="22"/>
        </w:rPr>
        <w:t>Case Study</w:t>
      </w:r>
    </w:p>
    <w:p w14:paraId="39DA4CA1" w14:textId="7F8D15B6" w:rsidR="00D805EC" w:rsidRDefault="00D805EC" w:rsidP="00183FF5">
      <w:pPr>
        <w:shd w:val="clear" w:color="auto" w:fill="E6E6E6"/>
        <w:spacing w:line="300" w:lineRule="exact"/>
        <w:rPr>
          <w:rFonts w:cs="Arial"/>
        </w:rPr>
      </w:pPr>
      <w:r>
        <w:rPr>
          <w:rFonts w:cs="Arial"/>
        </w:rPr>
        <w:t xml:space="preserve">VLA </w:t>
      </w:r>
      <w:r w:rsidR="005B2C58">
        <w:rPr>
          <w:rFonts w:cs="Arial"/>
        </w:rPr>
        <w:t xml:space="preserve">first </w:t>
      </w:r>
      <w:r>
        <w:rPr>
          <w:rFonts w:cs="Arial"/>
        </w:rPr>
        <w:t xml:space="preserve">assisted a father from a non-English speaking background when he was </w:t>
      </w:r>
      <w:r w:rsidR="005B2C58">
        <w:rPr>
          <w:rFonts w:cs="Arial"/>
        </w:rPr>
        <w:t>responding</w:t>
      </w:r>
      <w:r>
        <w:rPr>
          <w:rFonts w:cs="Arial"/>
        </w:rPr>
        <w:t xml:space="preserve"> to a family violence intervention order application in the Magistrates’ Court of Victoria.</w:t>
      </w:r>
      <w:r w:rsidR="00B46069">
        <w:rPr>
          <w:rFonts w:cs="Arial"/>
        </w:rPr>
        <w:t xml:space="preserve"> </w:t>
      </w:r>
      <w:r w:rsidR="00C9533C">
        <w:rPr>
          <w:rFonts w:cs="Arial"/>
        </w:rPr>
        <w:t>VLA then assisted the</w:t>
      </w:r>
      <w:r>
        <w:rPr>
          <w:rFonts w:cs="Arial"/>
        </w:rPr>
        <w:t xml:space="preserve"> father to re-commence time with </w:t>
      </w:r>
      <w:r w:rsidR="00C9533C">
        <w:rPr>
          <w:rFonts w:cs="Arial"/>
        </w:rPr>
        <w:t>his</w:t>
      </w:r>
      <w:r>
        <w:rPr>
          <w:rFonts w:cs="Arial"/>
        </w:rPr>
        <w:t xml:space="preserve"> eight year old child. </w:t>
      </w:r>
    </w:p>
    <w:p w14:paraId="06BA961B" w14:textId="77777777" w:rsidR="00D805EC" w:rsidRDefault="00D805EC" w:rsidP="00183FF5">
      <w:pPr>
        <w:shd w:val="clear" w:color="auto" w:fill="E6E6E6"/>
        <w:spacing w:line="300" w:lineRule="exact"/>
        <w:rPr>
          <w:rFonts w:cs="Arial"/>
        </w:rPr>
      </w:pPr>
      <w:r>
        <w:rPr>
          <w:rFonts w:cs="Arial"/>
        </w:rPr>
        <w:t xml:space="preserve">Both the father and mother required an interpreter to engage in court proceedings. </w:t>
      </w:r>
    </w:p>
    <w:p w14:paraId="3F1D4693" w14:textId="078F15AC" w:rsidR="00D805EC" w:rsidRDefault="00D805EC" w:rsidP="00183FF5">
      <w:pPr>
        <w:shd w:val="clear" w:color="auto" w:fill="E6E6E6"/>
        <w:spacing w:line="300" w:lineRule="exact"/>
        <w:rPr>
          <w:rFonts w:cs="Arial"/>
        </w:rPr>
      </w:pPr>
      <w:r>
        <w:rPr>
          <w:rFonts w:cs="Arial"/>
        </w:rPr>
        <w:t xml:space="preserve">Both parents presented with complex needs. The father </w:t>
      </w:r>
      <w:r w:rsidR="005B2C58">
        <w:rPr>
          <w:rFonts w:cs="Arial"/>
        </w:rPr>
        <w:t>presented with an</w:t>
      </w:r>
      <w:r>
        <w:rPr>
          <w:rFonts w:cs="Arial"/>
        </w:rPr>
        <w:t xml:space="preserve"> intellectual disability and a drug dependence. The </w:t>
      </w:r>
      <w:r w:rsidR="00842BD0">
        <w:rPr>
          <w:rFonts w:cs="Arial"/>
        </w:rPr>
        <w:t>father also lived</w:t>
      </w:r>
      <w:r>
        <w:rPr>
          <w:rFonts w:cs="Arial"/>
        </w:rPr>
        <w:t xml:space="preserve"> with, and effe</w:t>
      </w:r>
      <w:r w:rsidR="00842BD0">
        <w:rPr>
          <w:rFonts w:cs="Arial"/>
        </w:rPr>
        <w:t>ctively acted</w:t>
      </w:r>
      <w:r>
        <w:rPr>
          <w:rFonts w:cs="Arial"/>
        </w:rPr>
        <w:t xml:space="preserve"> as carer for, the paternal grandmother who </w:t>
      </w:r>
      <w:r w:rsidR="004B4F0D">
        <w:rPr>
          <w:rFonts w:cs="Arial"/>
        </w:rPr>
        <w:t>had</w:t>
      </w:r>
      <w:r>
        <w:rPr>
          <w:rFonts w:cs="Arial"/>
        </w:rPr>
        <w:t xml:space="preserve"> serious mental health issues. </w:t>
      </w:r>
    </w:p>
    <w:p w14:paraId="61295B27" w14:textId="77777777" w:rsidR="00D805EC" w:rsidRDefault="00842BD0" w:rsidP="00183FF5">
      <w:pPr>
        <w:shd w:val="clear" w:color="auto" w:fill="E6E6E6"/>
        <w:spacing w:line="300" w:lineRule="exact"/>
        <w:rPr>
          <w:rFonts w:cs="Arial"/>
        </w:rPr>
      </w:pPr>
      <w:r>
        <w:rPr>
          <w:rFonts w:cs="Arial"/>
        </w:rPr>
        <w:t>The mother also required</w:t>
      </w:r>
      <w:r w:rsidR="00D805EC">
        <w:rPr>
          <w:rFonts w:cs="Arial"/>
        </w:rPr>
        <w:t xml:space="preserve"> supports to ensure the child </w:t>
      </w:r>
      <w:r>
        <w:rPr>
          <w:rFonts w:cs="Arial"/>
        </w:rPr>
        <w:t>attended</w:t>
      </w:r>
      <w:r w:rsidR="00D805EC">
        <w:rPr>
          <w:rFonts w:cs="Arial"/>
        </w:rPr>
        <w:t xml:space="preserve"> paediatric appointments, </w:t>
      </w:r>
      <w:r>
        <w:rPr>
          <w:rFonts w:cs="Arial"/>
        </w:rPr>
        <w:t>was</w:t>
      </w:r>
      <w:r w:rsidR="00D805EC">
        <w:rPr>
          <w:rFonts w:cs="Arial"/>
        </w:rPr>
        <w:t xml:space="preserve"> accessing family violence counselling</w:t>
      </w:r>
      <w:r w:rsidR="00C9533C">
        <w:rPr>
          <w:rFonts w:cs="Arial"/>
        </w:rPr>
        <w:t>,</w:t>
      </w:r>
      <w:r w:rsidR="00D805EC">
        <w:rPr>
          <w:rFonts w:cs="Arial"/>
        </w:rPr>
        <w:t xml:space="preserve"> and </w:t>
      </w:r>
      <w:r>
        <w:rPr>
          <w:rFonts w:cs="Arial"/>
        </w:rPr>
        <w:t>was</w:t>
      </w:r>
      <w:r w:rsidR="00D805EC">
        <w:rPr>
          <w:rFonts w:cs="Arial"/>
        </w:rPr>
        <w:t xml:space="preserve"> on the waiting list for a post-separation parenting program. </w:t>
      </w:r>
    </w:p>
    <w:p w14:paraId="0A9ADAA3" w14:textId="59A724FE" w:rsidR="00D805EC" w:rsidRDefault="00D805EC" w:rsidP="00183FF5">
      <w:pPr>
        <w:shd w:val="clear" w:color="auto" w:fill="E6E6E6"/>
        <w:spacing w:line="300" w:lineRule="exact"/>
        <w:rPr>
          <w:rFonts w:cs="Arial"/>
        </w:rPr>
      </w:pPr>
      <w:r>
        <w:rPr>
          <w:rFonts w:cs="Arial"/>
        </w:rPr>
        <w:t>Initially</w:t>
      </w:r>
      <w:r w:rsidR="00504FFD">
        <w:rPr>
          <w:rFonts w:cs="Arial"/>
        </w:rPr>
        <w:t>,</w:t>
      </w:r>
      <w:r w:rsidR="00C9533C">
        <w:rPr>
          <w:rFonts w:cs="Arial"/>
        </w:rPr>
        <w:t xml:space="preserve"> the father spent supervised time </w:t>
      </w:r>
      <w:r>
        <w:rPr>
          <w:rFonts w:cs="Arial"/>
        </w:rPr>
        <w:t xml:space="preserve">with the child at a children’s contact centre. </w:t>
      </w:r>
    </w:p>
    <w:p w14:paraId="71C24F2B" w14:textId="6286E2AC" w:rsidR="00D805EC" w:rsidRDefault="00842BD0" w:rsidP="00183FF5">
      <w:pPr>
        <w:shd w:val="clear" w:color="auto" w:fill="E6E6E6"/>
        <w:spacing w:line="300" w:lineRule="exact"/>
        <w:rPr>
          <w:rFonts w:cs="Arial"/>
        </w:rPr>
      </w:pPr>
      <w:r>
        <w:rPr>
          <w:rFonts w:cs="Arial"/>
        </w:rPr>
        <w:t xml:space="preserve">Since issuing </w:t>
      </w:r>
      <w:r w:rsidR="008D16D9">
        <w:rPr>
          <w:rFonts w:cs="Arial"/>
        </w:rPr>
        <w:t xml:space="preserve">family law </w:t>
      </w:r>
      <w:r>
        <w:rPr>
          <w:rFonts w:cs="Arial"/>
        </w:rPr>
        <w:t>proceedings,</w:t>
      </w:r>
      <w:r w:rsidR="00D805EC">
        <w:rPr>
          <w:rFonts w:cs="Arial"/>
        </w:rPr>
        <w:t xml:space="preserve"> the father </w:t>
      </w:r>
      <w:r>
        <w:rPr>
          <w:rFonts w:cs="Arial"/>
        </w:rPr>
        <w:t>underwent</w:t>
      </w:r>
      <w:r w:rsidR="00D805EC">
        <w:rPr>
          <w:rFonts w:cs="Arial"/>
        </w:rPr>
        <w:t xml:space="preserve"> an assessment of his intellectual capacity, received assistance for housing, and completed a men’s behaviour change program tailored to his particular needs, drug and alcohol counselling, a </w:t>
      </w:r>
      <w:r w:rsidR="00B46069">
        <w:rPr>
          <w:rFonts w:cs="Arial"/>
        </w:rPr>
        <w:t>post-</w:t>
      </w:r>
      <w:r w:rsidR="00D805EC">
        <w:rPr>
          <w:rFonts w:cs="Arial"/>
        </w:rPr>
        <w:t xml:space="preserve">separation parenting program, and a DHHS Disability Service </w:t>
      </w:r>
      <w:r w:rsidR="00A12A89">
        <w:rPr>
          <w:rFonts w:cs="Arial"/>
        </w:rPr>
        <w:t xml:space="preserve">program </w:t>
      </w:r>
      <w:r w:rsidR="00D805EC">
        <w:rPr>
          <w:rFonts w:cs="Arial"/>
        </w:rPr>
        <w:t xml:space="preserve">assisting people with an intellectual disability to learn how to </w:t>
      </w:r>
      <w:r w:rsidR="008D16D9">
        <w:rPr>
          <w:rFonts w:cs="Arial"/>
        </w:rPr>
        <w:t xml:space="preserve">perform important life skills such as </w:t>
      </w:r>
      <w:r w:rsidR="00D805EC">
        <w:rPr>
          <w:rFonts w:cs="Arial"/>
        </w:rPr>
        <w:t>cook</w:t>
      </w:r>
      <w:r w:rsidR="008D16D9">
        <w:rPr>
          <w:rFonts w:cs="Arial"/>
        </w:rPr>
        <w:t>ing and</w:t>
      </w:r>
      <w:r w:rsidR="00D805EC">
        <w:rPr>
          <w:rFonts w:cs="Arial"/>
        </w:rPr>
        <w:t xml:space="preserve"> clean</w:t>
      </w:r>
      <w:r w:rsidR="008D16D9">
        <w:rPr>
          <w:rFonts w:cs="Arial"/>
        </w:rPr>
        <w:t>ing</w:t>
      </w:r>
      <w:r w:rsidR="00D805EC">
        <w:rPr>
          <w:rFonts w:cs="Arial"/>
        </w:rPr>
        <w:t xml:space="preserve">. </w:t>
      </w:r>
    </w:p>
    <w:p w14:paraId="4664080D" w14:textId="0B9F974D" w:rsidR="000C5FF6" w:rsidRPr="00842BD0" w:rsidRDefault="00D805EC" w:rsidP="00183FF5">
      <w:pPr>
        <w:shd w:val="clear" w:color="auto" w:fill="E6E6E6"/>
        <w:spacing w:line="300" w:lineRule="exact"/>
        <w:rPr>
          <w:rFonts w:cs="Arial"/>
        </w:rPr>
      </w:pPr>
      <w:r>
        <w:rPr>
          <w:rFonts w:cs="Arial"/>
        </w:rPr>
        <w:t xml:space="preserve">Both parents have benefited from significant </w:t>
      </w:r>
      <w:r w:rsidR="00C9533C">
        <w:rPr>
          <w:rFonts w:cs="Arial"/>
        </w:rPr>
        <w:t xml:space="preserve">engagement </w:t>
      </w:r>
      <w:r w:rsidR="00842BD0">
        <w:rPr>
          <w:rFonts w:cs="Arial"/>
        </w:rPr>
        <w:t>in services</w:t>
      </w:r>
      <w:r>
        <w:rPr>
          <w:rFonts w:cs="Arial"/>
        </w:rPr>
        <w:t xml:space="preserve"> for</w:t>
      </w:r>
      <w:r w:rsidR="00C9533C">
        <w:rPr>
          <w:rFonts w:cs="Arial"/>
        </w:rPr>
        <w:t xml:space="preserve"> the range of</w:t>
      </w:r>
      <w:r>
        <w:rPr>
          <w:rFonts w:cs="Arial"/>
        </w:rPr>
        <w:t xml:space="preserve"> non-legal issues</w:t>
      </w:r>
      <w:r w:rsidR="00C9533C">
        <w:rPr>
          <w:rFonts w:cs="Arial"/>
        </w:rPr>
        <w:t xml:space="preserve"> impacting on their capacity to parent</w:t>
      </w:r>
      <w:r>
        <w:rPr>
          <w:rFonts w:cs="Arial"/>
        </w:rPr>
        <w:t>.</w:t>
      </w:r>
      <w:r w:rsidR="000737B8">
        <w:rPr>
          <w:rFonts w:cs="Arial"/>
        </w:rPr>
        <w:t xml:space="preserve"> The court process highlighted the non-legal issues impacting on the parenting dispute. Assisted by his lawyer, the father was linked into non-legal support services. </w:t>
      </w:r>
      <w:r w:rsidR="00775F6E">
        <w:rPr>
          <w:rFonts w:cs="Arial"/>
        </w:rPr>
        <w:t xml:space="preserve">This level of engagement would not have been possible without the assistance of the father’s lawyer. </w:t>
      </w:r>
      <w:r>
        <w:rPr>
          <w:rFonts w:cs="Arial"/>
        </w:rPr>
        <w:t xml:space="preserve">It has enabled the child to now spend unsupervised time safely with </w:t>
      </w:r>
      <w:r w:rsidR="00842BD0">
        <w:rPr>
          <w:rFonts w:cs="Arial"/>
        </w:rPr>
        <w:t xml:space="preserve">the </w:t>
      </w:r>
      <w:r>
        <w:rPr>
          <w:rFonts w:cs="Arial"/>
        </w:rPr>
        <w:t xml:space="preserve">father. </w:t>
      </w:r>
    </w:p>
    <w:p w14:paraId="0695B610" w14:textId="5C0D8AC5" w:rsidR="00842BD0" w:rsidRDefault="00C9533C" w:rsidP="00183FF5">
      <w:pPr>
        <w:spacing w:line="300" w:lineRule="exact"/>
        <w:rPr>
          <w:rFonts w:cs="Arial"/>
        </w:rPr>
      </w:pPr>
      <w:r>
        <w:rPr>
          <w:rFonts w:cs="Arial"/>
        </w:rPr>
        <w:t>As noted above, t</w:t>
      </w:r>
      <w:r w:rsidR="00842BD0" w:rsidRPr="00C81AAA">
        <w:rPr>
          <w:rFonts w:cs="Arial"/>
        </w:rPr>
        <w:t xml:space="preserve">he section 11F report function </w:t>
      </w:r>
      <w:r>
        <w:rPr>
          <w:rFonts w:cs="Arial"/>
        </w:rPr>
        <w:t>is a mechanism currently used within the</w:t>
      </w:r>
      <w:r w:rsidR="003B3E81">
        <w:rPr>
          <w:rFonts w:cs="Arial"/>
        </w:rPr>
        <w:t xml:space="preserve"> family law</w:t>
      </w:r>
      <w:r>
        <w:rPr>
          <w:rFonts w:cs="Arial"/>
        </w:rPr>
        <w:t xml:space="preserve"> </w:t>
      </w:r>
      <w:r w:rsidR="00293FF4">
        <w:rPr>
          <w:rFonts w:cs="Arial"/>
        </w:rPr>
        <w:t>system</w:t>
      </w:r>
      <w:r>
        <w:rPr>
          <w:rFonts w:cs="Arial"/>
        </w:rPr>
        <w:t xml:space="preserve"> to assist</w:t>
      </w:r>
      <w:r w:rsidR="00842BD0" w:rsidRPr="00C81AAA">
        <w:rPr>
          <w:rFonts w:cs="Arial"/>
        </w:rPr>
        <w:t xml:space="preserve"> with the identification of non-legal issues </w:t>
      </w:r>
      <w:r>
        <w:rPr>
          <w:rFonts w:cs="Arial"/>
        </w:rPr>
        <w:t xml:space="preserve">and relevant </w:t>
      </w:r>
      <w:r w:rsidR="004E620B">
        <w:rPr>
          <w:rFonts w:cs="Arial"/>
        </w:rPr>
        <w:t xml:space="preserve">services </w:t>
      </w:r>
      <w:r w:rsidR="00BE7C6D">
        <w:rPr>
          <w:rFonts w:cs="Arial"/>
        </w:rPr>
        <w:t>that may assist the</w:t>
      </w:r>
      <w:r>
        <w:rPr>
          <w:rFonts w:cs="Arial"/>
        </w:rPr>
        <w:t xml:space="preserve"> parent</w:t>
      </w:r>
      <w:r w:rsidR="00293FF4">
        <w:rPr>
          <w:rFonts w:cs="Arial"/>
        </w:rPr>
        <w:t xml:space="preserve">s (and children) </w:t>
      </w:r>
      <w:r w:rsidR="00BE7C6D">
        <w:rPr>
          <w:rFonts w:cs="Arial"/>
        </w:rPr>
        <w:t xml:space="preserve">to address </w:t>
      </w:r>
      <w:r w:rsidR="00575175">
        <w:rPr>
          <w:rFonts w:cs="Arial"/>
        </w:rPr>
        <w:t>those</w:t>
      </w:r>
      <w:r w:rsidR="00BE7C6D">
        <w:rPr>
          <w:rFonts w:cs="Arial"/>
        </w:rPr>
        <w:t xml:space="preserve"> issues</w:t>
      </w:r>
      <w:r w:rsidR="00293FF4">
        <w:rPr>
          <w:rFonts w:cs="Arial"/>
        </w:rPr>
        <w:t xml:space="preserve">. </w:t>
      </w:r>
      <w:r w:rsidR="00842BD0" w:rsidRPr="00C81AAA">
        <w:rPr>
          <w:rFonts w:cs="Arial"/>
        </w:rPr>
        <w:t xml:space="preserve">As noted above, however, the section 11F process is not available to all families </w:t>
      </w:r>
      <w:r w:rsidR="00AD4DAC">
        <w:rPr>
          <w:rFonts w:cs="Arial"/>
        </w:rPr>
        <w:t xml:space="preserve">that would benefit from it. </w:t>
      </w:r>
    </w:p>
    <w:p w14:paraId="38764766" w14:textId="0F4EFDAF" w:rsidR="007C15C9" w:rsidRDefault="00293FF4" w:rsidP="00183FF5">
      <w:pPr>
        <w:spacing w:line="300" w:lineRule="exact"/>
        <w:rPr>
          <w:rFonts w:cs="Arial"/>
        </w:rPr>
      </w:pPr>
      <w:r>
        <w:rPr>
          <w:rFonts w:cs="Arial"/>
        </w:rPr>
        <w:t xml:space="preserve">Furthermore, once referrals are recommended (and in many cases form part of the family law order), many families </w:t>
      </w:r>
      <w:r w:rsidR="00831578">
        <w:rPr>
          <w:rFonts w:cs="Arial"/>
        </w:rPr>
        <w:t>would benefit from</w:t>
      </w:r>
      <w:r>
        <w:rPr>
          <w:rFonts w:cs="Arial"/>
        </w:rPr>
        <w:t xml:space="preserve"> </w:t>
      </w:r>
      <w:r w:rsidR="00FA6F93">
        <w:rPr>
          <w:rFonts w:cs="Arial"/>
        </w:rPr>
        <w:t xml:space="preserve">further </w:t>
      </w:r>
      <w:r>
        <w:rPr>
          <w:rFonts w:cs="Arial"/>
        </w:rPr>
        <w:t>assistance to identify a relevant service provider, navigate waiting lists</w:t>
      </w:r>
      <w:r w:rsidR="00831578">
        <w:rPr>
          <w:rFonts w:cs="Arial"/>
        </w:rPr>
        <w:t>,</w:t>
      </w:r>
      <w:r>
        <w:rPr>
          <w:rFonts w:cs="Arial"/>
        </w:rPr>
        <w:t xml:space="preserve"> and receive ongoing support to continue participating in a program that is addressing </w:t>
      </w:r>
      <w:r w:rsidR="00855F50">
        <w:rPr>
          <w:rFonts w:cs="Arial"/>
        </w:rPr>
        <w:t>the</w:t>
      </w:r>
      <w:r w:rsidR="008352FE">
        <w:rPr>
          <w:rFonts w:cs="Arial"/>
        </w:rPr>
        <w:t>ir</w:t>
      </w:r>
      <w:r w:rsidR="00855F50">
        <w:rPr>
          <w:rFonts w:cs="Arial"/>
        </w:rPr>
        <w:t xml:space="preserve"> </w:t>
      </w:r>
      <w:r w:rsidR="008352FE">
        <w:rPr>
          <w:rFonts w:cs="Arial"/>
        </w:rPr>
        <w:t>needs</w:t>
      </w:r>
      <w:r>
        <w:rPr>
          <w:rFonts w:cs="Arial"/>
        </w:rPr>
        <w:t xml:space="preserve">. </w:t>
      </w:r>
      <w:r w:rsidR="007C15C9">
        <w:rPr>
          <w:rFonts w:cs="Arial"/>
        </w:rPr>
        <w:t>If parents are</w:t>
      </w:r>
      <w:r w:rsidR="00FA6F93">
        <w:rPr>
          <w:rFonts w:cs="Arial"/>
        </w:rPr>
        <w:t xml:space="preserve"> </w:t>
      </w:r>
      <w:r w:rsidR="007C15C9">
        <w:rPr>
          <w:rFonts w:cs="Arial"/>
        </w:rPr>
        <w:t>supported to address</w:t>
      </w:r>
      <w:r w:rsidR="00F26D7F">
        <w:rPr>
          <w:rFonts w:cs="Arial"/>
        </w:rPr>
        <w:t xml:space="preserve"> both legal and</w:t>
      </w:r>
      <w:r w:rsidR="007C15C9">
        <w:rPr>
          <w:rFonts w:cs="Arial"/>
        </w:rPr>
        <w:t xml:space="preserve"> non-legal issues</w:t>
      </w:r>
      <w:r w:rsidR="00FA6F93">
        <w:rPr>
          <w:rFonts w:cs="Arial"/>
        </w:rPr>
        <w:t xml:space="preserve">, </w:t>
      </w:r>
      <w:r w:rsidR="008352FE">
        <w:rPr>
          <w:rFonts w:cs="Arial"/>
        </w:rPr>
        <w:t xml:space="preserve">in our </w:t>
      </w:r>
      <w:r w:rsidR="008352FE">
        <w:rPr>
          <w:rFonts w:cs="Arial"/>
        </w:rPr>
        <w:lastRenderedPageBreak/>
        <w:t xml:space="preserve">experience </w:t>
      </w:r>
      <w:r w:rsidR="00FA6F93">
        <w:rPr>
          <w:rFonts w:cs="Arial"/>
        </w:rPr>
        <w:t xml:space="preserve">a family’s interaction with the family law system </w:t>
      </w:r>
      <w:r w:rsidR="008352FE">
        <w:rPr>
          <w:rFonts w:cs="Arial"/>
        </w:rPr>
        <w:t>is</w:t>
      </w:r>
      <w:r w:rsidR="000E1AB8">
        <w:rPr>
          <w:rFonts w:cs="Arial"/>
        </w:rPr>
        <w:t xml:space="preserve"> more likely</w:t>
      </w:r>
      <w:r w:rsidR="00FA6F93">
        <w:rPr>
          <w:rFonts w:cs="Arial"/>
        </w:rPr>
        <w:t xml:space="preserve"> </w:t>
      </w:r>
      <w:r w:rsidR="008352FE">
        <w:rPr>
          <w:rFonts w:cs="Arial"/>
        </w:rPr>
        <w:t xml:space="preserve">to </w:t>
      </w:r>
      <w:r w:rsidR="00FA6F93">
        <w:rPr>
          <w:rFonts w:cs="Arial"/>
        </w:rPr>
        <w:t xml:space="preserve">lead </w:t>
      </w:r>
      <w:r w:rsidR="00504FFD">
        <w:rPr>
          <w:rFonts w:cs="Arial"/>
        </w:rPr>
        <w:t xml:space="preserve">to a </w:t>
      </w:r>
      <w:r w:rsidR="00FA6F93">
        <w:rPr>
          <w:rFonts w:cs="Arial"/>
        </w:rPr>
        <w:t xml:space="preserve">lasting and meaningful difference in the lives of </w:t>
      </w:r>
      <w:r w:rsidR="008352FE">
        <w:rPr>
          <w:rFonts w:cs="Arial"/>
        </w:rPr>
        <w:t xml:space="preserve">the </w:t>
      </w:r>
      <w:r w:rsidR="00FA6F93">
        <w:rPr>
          <w:rFonts w:cs="Arial"/>
        </w:rPr>
        <w:t xml:space="preserve">children. </w:t>
      </w:r>
    </w:p>
    <w:p w14:paraId="7141EBF8" w14:textId="047BA616" w:rsidR="0082366B" w:rsidRDefault="0082366B" w:rsidP="00497DB5">
      <w:pPr>
        <w:pStyle w:val="Heading3"/>
      </w:pPr>
      <w:bookmarkStart w:id="22" w:name="_Toc433612279"/>
      <w:r>
        <w:t>Models for coordinating non-legal services in the family law system</w:t>
      </w:r>
      <w:bookmarkEnd w:id="22"/>
    </w:p>
    <w:p w14:paraId="40D08678" w14:textId="6FB950F8" w:rsidR="00293FF4" w:rsidRPr="00515B00" w:rsidRDefault="00613D59" w:rsidP="00515B00">
      <w:pPr>
        <w:autoSpaceDE w:val="0"/>
        <w:autoSpaceDN w:val="0"/>
        <w:adjustRightInd w:val="0"/>
        <w:spacing w:line="300" w:lineRule="exact"/>
        <w:rPr>
          <w:rFonts w:cs="Arial"/>
          <w:szCs w:val="22"/>
        </w:rPr>
      </w:pPr>
      <w:r w:rsidRPr="00515B00">
        <w:rPr>
          <w:rFonts w:cs="Arial"/>
          <w:szCs w:val="22"/>
        </w:rPr>
        <w:t>Parent</w:t>
      </w:r>
      <w:r w:rsidR="00CC6972" w:rsidRPr="00515B00">
        <w:rPr>
          <w:rFonts w:cs="Arial"/>
          <w:szCs w:val="22"/>
        </w:rPr>
        <w:t>ing</w:t>
      </w:r>
      <w:r w:rsidRPr="00515B00">
        <w:rPr>
          <w:rFonts w:cs="Arial"/>
          <w:szCs w:val="22"/>
        </w:rPr>
        <w:t xml:space="preserve"> Order Programs</w:t>
      </w:r>
      <w:r w:rsidR="00293FF4" w:rsidRPr="00515B00">
        <w:rPr>
          <w:rFonts w:cs="Arial"/>
          <w:szCs w:val="22"/>
        </w:rPr>
        <w:t xml:space="preserve"> (POP) </w:t>
      </w:r>
      <w:r w:rsidRPr="00515B00">
        <w:rPr>
          <w:rFonts w:cs="Arial"/>
          <w:szCs w:val="22"/>
        </w:rPr>
        <w:t xml:space="preserve">currently </w:t>
      </w:r>
      <w:r w:rsidR="00293FF4" w:rsidRPr="00515B00">
        <w:rPr>
          <w:rFonts w:cs="Arial"/>
          <w:szCs w:val="22"/>
        </w:rPr>
        <w:t xml:space="preserve">assist parents to link in with support services to comply with a family law order and make arrangements with the parent for them to engage in a way that best suits the parent’s particular needs. </w:t>
      </w:r>
    </w:p>
    <w:p w14:paraId="1AC37BA5" w14:textId="77777777" w:rsidR="00293FF4" w:rsidRPr="00515B00" w:rsidRDefault="00293FF4" w:rsidP="00515B00">
      <w:pPr>
        <w:shd w:val="clear" w:color="auto" w:fill="E6E6E6"/>
        <w:spacing w:line="300" w:lineRule="exact"/>
        <w:rPr>
          <w:rFonts w:cs="Arial"/>
          <w:b/>
          <w:szCs w:val="22"/>
        </w:rPr>
      </w:pPr>
      <w:r w:rsidRPr="00515B00">
        <w:rPr>
          <w:rFonts w:cs="Arial"/>
          <w:b/>
          <w:szCs w:val="22"/>
        </w:rPr>
        <w:t>Case Study</w:t>
      </w:r>
    </w:p>
    <w:p w14:paraId="586B1872" w14:textId="45AAF0E8" w:rsidR="00293FF4" w:rsidRPr="00515B00" w:rsidRDefault="00293FF4" w:rsidP="00515B00">
      <w:pPr>
        <w:shd w:val="clear" w:color="auto" w:fill="E6E6E6"/>
        <w:spacing w:line="300" w:lineRule="exact"/>
        <w:rPr>
          <w:rFonts w:cs="Arial"/>
          <w:szCs w:val="22"/>
        </w:rPr>
      </w:pPr>
      <w:r w:rsidRPr="00515B00">
        <w:rPr>
          <w:rFonts w:cs="Arial"/>
          <w:szCs w:val="22"/>
        </w:rPr>
        <w:t xml:space="preserve">An ICL was appointed in a parenting dispute over a </w:t>
      </w:r>
      <w:r w:rsidR="00B46069" w:rsidRPr="00515B00">
        <w:rPr>
          <w:rFonts w:cs="Arial"/>
          <w:szCs w:val="22"/>
        </w:rPr>
        <w:t>nine</w:t>
      </w:r>
      <w:r w:rsidR="00B46069">
        <w:rPr>
          <w:rFonts w:cs="Arial"/>
          <w:szCs w:val="22"/>
        </w:rPr>
        <w:t>-</w:t>
      </w:r>
      <w:r w:rsidR="00B46069" w:rsidRPr="00515B00">
        <w:rPr>
          <w:rFonts w:cs="Arial"/>
          <w:szCs w:val="22"/>
        </w:rPr>
        <w:t>year</w:t>
      </w:r>
      <w:r w:rsidR="00B46069">
        <w:rPr>
          <w:rFonts w:cs="Arial"/>
          <w:szCs w:val="22"/>
        </w:rPr>
        <w:t>-</w:t>
      </w:r>
      <w:r w:rsidRPr="00515B00">
        <w:rPr>
          <w:rFonts w:cs="Arial"/>
          <w:szCs w:val="22"/>
        </w:rPr>
        <w:t xml:space="preserve">old child with autism. There was an alleged history of family violence by the father toward the mother and child. The child had expressed homicidal thoughts toward </w:t>
      </w:r>
      <w:r w:rsidR="00575175" w:rsidRPr="00515B00">
        <w:rPr>
          <w:rFonts w:cs="Arial"/>
          <w:szCs w:val="22"/>
        </w:rPr>
        <w:t xml:space="preserve">their </w:t>
      </w:r>
      <w:r w:rsidRPr="00515B00">
        <w:rPr>
          <w:rFonts w:cs="Arial"/>
          <w:szCs w:val="22"/>
        </w:rPr>
        <w:t xml:space="preserve">father and had attempted suicide on a number of occasions resulting in hospitalisation. The child was seeing a psychiatrist, psychologist, and speech therapist. </w:t>
      </w:r>
    </w:p>
    <w:p w14:paraId="1F95AD66" w14:textId="668ADA21" w:rsidR="00293FF4" w:rsidRPr="00515B00" w:rsidRDefault="00293FF4" w:rsidP="00515B00">
      <w:pPr>
        <w:shd w:val="clear" w:color="auto" w:fill="E6E6E6"/>
        <w:spacing w:line="300" w:lineRule="exact"/>
        <w:rPr>
          <w:rFonts w:cs="Arial"/>
          <w:szCs w:val="22"/>
        </w:rPr>
      </w:pPr>
      <w:r w:rsidRPr="00515B00">
        <w:rPr>
          <w:rFonts w:cs="Arial"/>
          <w:szCs w:val="22"/>
        </w:rPr>
        <w:t>The father wanted to spend time with the child despite the child’s views towards the</w:t>
      </w:r>
      <w:r w:rsidR="00575175" w:rsidRPr="00515B00">
        <w:rPr>
          <w:rFonts w:cs="Arial"/>
          <w:szCs w:val="22"/>
        </w:rPr>
        <w:t>ir</w:t>
      </w:r>
      <w:r w:rsidRPr="00515B00">
        <w:rPr>
          <w:rFonts w:cs="Arial"/>
          <w:szCs w:val="22"/>
        </w:rPr>
        <w:t xml:space="preserve"> father.</w:t>
      </w:r>
      <w:r w:rsidR="00C6435E" w:rsidRPr="00515B00">
        <w:rPr>
          <w:rFonts w:cs="Arial"/>
          <w:szCs w:val="22"/>
        </w:rPr>
        <w:t xml:space="preserve"> The</w:t>
      </w:r>
      <w:r w:rsidRPr="00515B00">
        <w:rPr>
          <w:rFonts w:cs="Arial"/>
          <w:szCs w:val="22"/>
        </w:rPr>
        <w:t xml:space="preserve"> </w:t>
      </w:r>
      <w:r w:rsidR="00C6435E" w:rsidRPr="00515B00">
        <w:rPr>
          <w:rFonts w:cs="Arial"/>
          <w:szCs w:val="22"/>
        </w:rPr>
        <w:t>child’s anxiety levels heightened around court dates due to his views towards his father and his autism.</w:t>
      </w:r>
    </w:p>
    <w:p w14:paraId="4C29EFAE" w14:textId="77777777" w:rsidR="00293FF4" w:rsidRPr="00515B00" w:rsidRDefault="00293FF4" w:rsidP="00515B00">
      <w:pPr>
        <w:shd w:val="clear" w:color="auto" w:fill="E6E6E6"/>
        <w:spacing w:line="300" w:lineRule="exact"/>
        <w:rPr>
          <w:rFonts w:cs="Arial"/>
          <w:szCs w:val="22"/>
        </w:rPr>
      </w:pPr>
      <w:r w:rsidRPr="00515B00">
        <w:rPr>
          <w:rFonts w:cs="Arial"/>
          <w:szCs w:val="22"/>
        </w:rPr>
        <w:t>The parents were linked in with a</w:t>
      </w:r>
      <w:r w:rsidR="007E5B8E" w:rsidRPr="00515B00">
        <w:rPr>
          <w:rFonts w:cs="Arial"/>
          <w:szCs w:val="22"/>
        </w:rPr>
        <w:t xml:space="preserve"> Parenting Orders Program (POP). As part of that</w:t>
      </w:r>
      <w:r w:rsidRPr="00515B00">
        <w:rPr>
          <w:rFonts w:cs="Arial"/>
          <w:szCs w:val="22"/>
        </w:rPr>
        <w:t xml:space="preserve"> program, the child was linked in with a Supporting Children </w:t>
      </w:r>
      <w:proofErr w:type="gramStart"/>
      <w:r w:rsidRPr="00515B00">
        <w:rPr>
          <w:rFonts w:cs="Arial"/>
          <w:szCs w:val="22"/>
        </w:rPr>
        <w:t>After</w:t>
      </w:r>
      <w:proofErr w:type="gramEnd"/>
      <w:r w:rsidRPr="00515B00">
        <w:rPr>
          <w:rFonts w:cs="Arial"/>
          <w:szCs w:val="22"/>
        </w:rPr>
        <w:t xml:space="preserve"> Separation Program (SCASP). </w:t>
      </w:r>
    </w:p>
    <w:p w14:paraId="7FDCC6F1" w14:textId="77777777" w:rsidR="00293FF4" w:rsidRPr="00515B00" w:rsidRDefault="00293FF4" w:rsidP="00515B00">
      <w:pPr>
        <w:shd w:val="clear" w:color="auto" w:fill="E6E6E6"/>
        <w:spacing w:line="300" w:lineRule="exact"/>
        <w:rPr>
          <w:rFonts w:cs="Arial"/>
          <w:szCs w:val="22"/>
        </w:rPr>
      </w:pPr>
      <w:r w:rsidRPr="00515B00">
        <w:rPr>
          <w:rFonts w:cs="Arial"/>
          <w:szCs w:val="22"/>
        </w:rPr>
        <w:t xml:space="preserve">The POP worker organised a number of meetings with the ICL, the SCASP worker, the psychiatrist, psychologist, speech therapist, and school principal to coordinate service delivery, share information where appropriate, and tailor service provision to the needs of the child. This provided an opportunity for all service providers to be aware of how court proceedings were progressing so that the care responded to the child’s heightened needs around court dates. </w:t>
      </w:r>
    </w:p>
    <w:p w14:paraId="534C8E0A" w14:textId="70048405" w:rsidR="00CC6972" w:rsidRPr="00515B00" w:rsidRDefault="00293FF4" w:rsidP="00515B00">
      <w:pPr>
        <w:shd w:val="clear" w:color="auto" w:fill="E6E6E6"/>
        <w:spacing w:line="300" w:lineRule="exact"/>
        <w:rPr>
          <w:rFonts w:cs="Arial"/>
          <w:szCs w:val="22"/>
        </w:rPr>
      </w:pPr>
      <w:r w:rsidRPr="00515B00">
        <w:rPr>
          <w:rFonts w:cs="Arial"/>
          <w:szCs w:val="22"/>
        </w:rPr>
        <w:t xml:space="preserve">The POP was also able to provide support and counselling to the father when he made the decision not </w:t>
      </w:r>
      <w:r w:rsidR="00575175" w:rsidRPr="00515B00">
        <w:rPr>
          <w:rFonts w:cs="Arial"/>
          <w:szCs w:val="22"/>
        </w:rPr>
        <w:t xml:space="preserve">to </w:t>
      </w:r>
      <w:r w:rsidRPr="00515B00">
        <w:rPr>
          <w:rFonts w:cs="Arial"/>
          <w:szCs w:val="22"/>
        </w:rPr>
        <w:t xml:space="preserve">pursue time with the child. </w:t>
      </w:r>
    </w:p>
    <w:p w14:paraId="177A0010" w14:textId="2EC075CC" w:rsidR="008352FE" w:rsidRPr="00515B00" w:rsidRDefault="00CC6972" w:rsidP="00515B00">
      <w:pPr>
        <w:spacing w:line="300" w:lineRule="exact"/>
        <w:rPr>
          <w:rFonts w:cs="Arial"/>
          <w:szCs w:val="22"/>
        </w:rPr>
      </w:pPr>
      <w:r w:rsidRPr="00515B00">
        <w:rPr>
          <w:rFonts w:cs="Arial"/>
          <w:szCs w:val="22"/>
        </w:rPr>
        <w:t xml:space="preserve">POPs </w:t>
      </w:r>
      <w:r w:rsidR="009B1F34" w:rsidRPr="00515B00">
        <w:rPr>
          <w:rFonts w:cs="Arial"/>
          <w:szCs w:val="22"/>
        </w:rPr>
        <w:t xml:space="preserve">are an example of the important </w:t>
      </w:r>
      <w:r w:rsidR="009E4882" w:rsidRPr="00515B00">
        <w:rPr>
          <w:rFonts w:cs="Arial"/>
          <w:szCs w:val="22"/>
        </w:rPr>
        <w:t>assistance</w:t>
      </w:r>
      <w:r w:rsidR="009B1F34" w:rsidRPr="00515B00">
        <w:rPr>
          <w:rFonts w:cs="Arial"/>
          <w:szCs w:val="22"/>
        </w:rPr>
        <w:t xml:space="preserve"> non-legal support services </w:t>
      </w:r>
      <w:r w:rsidR="009E4882" w:rsidRPr="00515B00">
        <w:rPr>
          <w:rFonts w:cs="Arial"/>
          <w:szCs w:val="22"/>
        </w:rPr>
        <w:t>provide to</w:t>
      </w:r>
      <w:r w:rsidR="009B1F34" w:rsidRPr="00515B00">
        <w:rPr>
          <w:rFonts w:cs="Arial"/>
          <w:szCs w:val="22"/>
        </w:rPr>
        <w:t xml:space="preserve"> families in the family law system. </w:t>
      </w:r>
      <w:r w:rsidR="008352FE" w:rsidRPr="00515B00">
        <w:rPr>
          <w:rFonts w:cs="Arial"/>
          <w:szCs w:val="22"/>
        </w:rPr>
        <w:t xml:space="preserve">However, </w:t>
      </w:r>
      <w:r w:rsidR="009B1F34" w:rsidRPr="00515B00">
        <w:rPr>
          <w:rFonts w:cs="Arial"/>
          <w:szCs w:val="22"/>
        </w:rPr>
        <w:t xml:space="preserve">POPs </w:t>
      </w:r>
      <w:r w:rsidRPr="00515B00">
        <w:rPr>
          <w:rFonts w:cs="Arial"/>
          <w:szCs w:val="22"/>
        </w:rPr>
        <w:t xml:space="preserve">are </w:t>
      </w:r>
      <w:r w:rsidR="00A14DAF" w:rsidRPr="00515B00">
        <w:rPr>
          <w:rFonts w:cs="Arial"/>
          <w:szCs w:val="22"/>
        </w:rPr>
        <w:t xml:space="preserve">not available across </w:t>
      </w:r>
      <w:r w:rsidR="008352FE" w:rsidRPr="00515B00">
        <w:rPr>
          <w:rFonts w:cs="Arial"/>
          <w:szCs w:val="22"/>
        </w:rPr>
        <w:t xml:space="preserve">all of </w:t>
      </w:r>
      <w:r w:rsidR="00A14DAF" w:rsidRPr="00515B00">
        <w:rPr>
          <w:rFonts w:cs="Arial"/>
          <w:szCs w:val="22"/>
        </w:rPr>
        <w:t xml:space="preserve">Victoria and are targeted at assisting families </w:t>
      </w:r>
      <w:r w:rsidR="008352FE" w:rsidRPr="00515B00">
        <w:rPr>
          <w:rFonts w:cs="Arial"/>
          <w:szCs w:val="22"/>
        </w:rPr>
        <w:t xml:space="preserve">only </w:t>
      </w:r>
      <w:r w:rsidR="00A14DAF" w:rsidRPr="00515B00">
        <w:rPr>
          <w:rFonts w:cs="Arial"/>
          <w:szCs w:val="22"/>
        </w:rPr>
        <w:t xml:space="preserve">once family law orders are made. </w:t>
      </w:r>
    </w:p>
    <w:p w14:paraId="3AF1F8D7" w14:textId="2379F143" w:rsidR="00CC6972" w:rsidRPr="00515B00" w:rsidRDefault="00A83E02" w:rsidP="00515B00">
      <w:pPr>
        <w:spacing w:line="300" w:lineRule="exact"/>
        <w:rPr>
          <w:rFonts w:cs="Arial"/>
          <w:szCs w:val="22"/>
        </w:rPr>
      </w:pPr>
      <w:r w:rsidRPr="00515B00">
        <w:rPr>
          <w:rFonts w:cs="Arial"/>
          <w:szCs w:val="22"/>
        </w:rPr>
        <w:t xml:space="preserve">There is benefit in </w:t>
      </w:r>
      <w:r w:rsidR="00241080" w:rsidRPr="00515B00">
        <w:rPr>
          <w:rFonts w:cs="Arial"/>
          <w:szCs w:val="22"/>
        </w:rPr>
        <w:t xml:space="preserve">examining which programs are </w:t>
      </w:r>
      <w:r w:rsidR="00FE3828" w:rsidRPr="00515B00">
        <w:rPr>
          <w:rFonts w:cs="Arial"/>
          <w:szCs w:val="22"/>
        </w:rPr>
        <w:t xml:space="preserve">currently </w:t>
      </w:r>
      <w:r w:rsidR="00241080" w:rsidRPr="00515B00">
        <w:rPr>
          <w:rFonts w:cs="Arial"/>
          <w:szCs w:val="22"/>
        </w:rPr>
        <w:t>working well (and as such could benefit from further investment to expand access)</w:t>
      </w:r>
      <w:r w:rsidR="00FD2D2A" w:rsidRPr="00515B00">
        <w:rPr>
          <w:rFonts w:cs="Arial"/>
          <w:szCs w:val="22"/>
        </w:rPr>
        <w:t xml:space="preserve"> and</w:t>
      </w:r>
      <w:r w:rsidR="00C6435E" w:rsidRPr="00515B00">
        <w:rPr>
          <w:rFonts w:cs="Arial"/>
          <w:szCs w:val="22"/>
        </w:rPr>
        <w:t xml:space="preserve"> initiatives that have been tried previously,</w:t>
      </w:r>
      <w:r w:rsidR="00C6435E" w:rsidRPr="00515B00">
        <w:rPr>
          <w:rStyle w:val="FootnoteReference"/>
          <w:rFonts w:cs="Arial"/>
          <w:sz w:val="22"/>
          <w:szCs w:val="22"/>
        </w:rPr>
        <w:footnoteReference w:id="14"/>
      </w:r>
      <w:r w:rsidR="00241080" w:rsidRPr="00515B00">
        <w:rPr>
          <w:rFonts w:cs="Arial"/>
          <w:szCs w:val="22"/>
        </w:rPr>
        <w:t xml:space="preserve"> and </w:t>
      </w:r>
      <w:r w:rsidRPr="00515B00">
        <w:rPr>
          <w:rFonts w:cs="Arial"/>
          <w:szCs w:val="22"/>
        </w:rPr>
        <w:t xml:space="preserve">exploring </w:t>
      </w:r>
      <w:r w:rsidR="00241080" w:rsidRPr="00515B00">
        <w:rPr>
          <w:rFonts w:cs="Arial"/>
          <w:szCs w:val="22"/>
        </w:rPr>
        <w:t xml:space="preserve">new </w:t>
      </w:r>
      <w:r w:rsidRPr="00515B00">
        <w:rPr>
          <w:rFonts w:cs="Arial"/>
          <w:szCs w:val="22"/>
        </w:rPr>
        <w:t xml:space="preserve">ways in which the family law system </w:t>
      </w:r>
      <w:r w:rsidR="00A14DAF" w:rsidRPr="00515B00">
        <w:rPr>
          <w:rFonts w:cs="Arial"/>
          <w:szCs w:val="22"/>
        </w:rPr>
        <w:t>can better</w:t>
      </w:r>
      <w:r w:rsidR="00B14BB9" w:rsidRPr="00515B00">
        <w:rPr>
          <w:rFonts w:cs="Arial"/>
          <w:szCs w:val="22"/>
        </w:rPr>
        <w:t xml:space="preserve"> coordinate with non-legal service providers to</w:t>
      </w:r>
      <w:r w:rsidR="00A14DAF" w:rsidRPr="00515B00">
        <w:rPr>
          <w:rFonts w:cs="Arial"/>
          <w:szCs w:val="22"/>
        </w:rPr>
        <w:t xml:space="preserve"> </w:t>
      </w:r>
      <w:r w:rsidRPr="00515B00">
        <w:rPr>
          <w:rFonts w:cs="Arial"/>
          <w:szCs w:val="22"/>
        </w:rPr>
        <w:t xml:space="preserve">assist </w:t>
      </w:r>
      <w:r w:rsidR="00B14BB9" w:rsidRPr="00515B00">
        <w:rPr>
          <w:rFonts w:cs="Arial"/>
          <w:szCs w:val="22"/>
        </w:rPr>
        <w:t>more families</w:t>
      </w:r>
      <w:r w:rsidR="00A14DAF" w:rsidRPr="00515B00">
        <w:rPr>
          <w:rFonts w:cs="Arial"/>
          <w:szCs w:val="22"/>
        </w:rPr>
        <w:t xml:space="preserve"> </w:t>
      </w:r>
      <w:r w:rsidRPr="00515B00">
        <w:rPr>
          <w:rFonts w:cs="Arial"/>
          <w:szCs w:val="22"/>
        </w:rPr>
        <w:t>to engage wi</w:t>
      </w:r>
      <w:r w:rsidR="00241080" w:rsidRPr="00515B00">
        <w:rPr>
          <w:rFonts w:cs="Arial"/>
          <w:szCs w:val="22"/>
        </w:rPr>
        <w:t xml:space="preserve">th </w:t>
      </w:r>
      <w:r w:rsidR="008352FE" w:rsidRPr="00515B00">
        <w:rPr>
          <w:rFonts w:cs="Arial"/>
          <w:szCs w:val="22"/>
        </w:rPr>
        <w:t>such services</w:t>
      </w:r>
      <w:r w:rsidR="00241080" w:rsidRPr="00515B00">
        <w:rPr>
          <w:rFonts w:cs="Arial"/>
          <w:szCs w:val="22"/>
        </w:rPr>
        <w:t xml:space="preserve">. Families would benefit from assistance </w:t>
      </w:r>
      <w:r w:rsidR="00B14BB9" w:rsidRPr="00515B00">
        <w:rPr>
          <w:rFonts w:cs="Arial"/>
          <w:szCs w:val="22"/>
        </w:rPr>
        <w:t>both</w:t>
      </w:r>
      <w:r w:rsidR="00A14DAF" w:rsidRPr="00515B00">
        <w:rPr>
          <w:rFonts w:cs="Arial"/>
          <w:szCs w:val="22"/>
        </w:rPr>
        <w:t xml:space="preserve"> in the early period of </w:t>
      </w:r>
      <w:r w:rsidR="00FE3828" w:rsidRPr="00515B00">
        <w:rPr>
          <w:rFonts w:cs="Arial"/>
          <w:szCs w:val="22"/>
        </w:rPr>
        <w:t>family law</w:t>
      </w:r>
      <w:r w:rsidR="00A14DAF" w:rsidRPr="00515B00">
        <w:rPr>
          <w:rFonts w:cs="Arial"/>
          <w:szCs w:val="22"/>
        </w:rPr>
        <w:t xml:space="preserve"> proceedings and </w:t>
      </w:r>
      <w:r w:rsidR="009C4A53" w:rsidRPr="00515B00">
        <w:rPr>
          <w:rFonts w:cs="Arial"/>
          <w:szCs w:val="22"/>
        </w:rPr>
        <w:t xml:space="preserve">with compliance </w:t>
      </w:r>
      <w:r w:rsidR="00504FFD">
        <w:rPr>
          <w:rFonts w:cs="Arial"/>
          <w:szCs w:val="22"/>
        </w:rPr>
        <w:t xml:space="preserve">after </w:t>
      </w:r>
      <w:r w:rsidR="00A14DAF" w:rsidRPr="00515B00">
        <w:rPr>
          <w:rFonts w:cs="Arial"/>
          <w:szCs w:val="22"/>
        </w:rPr>
        <w:t>family law orders</w:t>
      </w:r>
      <w:r w:rsidR="00504FFD">
        <w:rPr>
          <w:rFonts w:cs="Arial"/>
          <w:szCs w:val="22"/>
        </w:rPr>
        <w:t xml:space="preserve"> are made</w:t>
      </w:r>
      <w:r w:rsidR="00A14DAF" w:rsidRPr="00515B00">
        <w:rPr>
          <w:rFonts w:cs="Arial"/>
          <w:szCs w:val="22"/>
        </w:rPr>
        <w:t xml:space="preserve">. </w:t>
      </w:r>
    </w:p>
    <w:p w14:paraId="6FE41676" w14:textId="49B16EC6" w:rsidR="00C81AAA" w:rsidRPr="009B201C" w:rsidRDefault="005C2CB6" w:rsidP="00515B00">
      <w:pPr>
        <w:spacing w:line="300" w:lineRule="exact"/>
        <w:rPr>
          <w:rFonts w:cs="Arial"/>
        </w:rPr>
      </w:pPr>
      <w:r w:rsidRPr="00515B00">
        <w:rPr>
          <w:rFonts w:cs="Arial"/>
          <w:szCs w:val="22"/>
        </w:rPr>
        <w:t>An alternative model worthy of consideration is the Family Violence Court Division model at the Heidelberg and Ballarat Magistrates’ Courts</w:t>
      </w:r>
      <w:r w:rsidR="009A1801" w:rsidRPr="00515B00">
        <w:rPr>
          <w:rFonts w:cs="Arial"/>
          <w:szCs w:val="22"/>
        </w:rPr>
        <w:t xml:space="preserve"> of Victoria</w:t>
      </w:r>
      <w:r w:rsidRPr="00515B00">
        <w:rPr>
          <w:rFonts w:cs="Arial"/>
          <w:szCs w:val="22"/>
        </w:rPr>
        <w:t>.</w:t>
      </w:r>
      <w:r w:rsidRPr="00515B00">
        <w:rPr>
          <w:rFonts w:cs="Arial"/>
          <w:szCs w:val="22"/>
          <w:lang w:eastAsia="en-AU"/>
        </w:rPr>
        <w:t xml:space="preserve"> </w:t>
      </w:r>
      <w:r w:rsidRPr="00515B00">
        <w:rPr>
          <w:rFonts w:cs="Arial"/>
          <w:szCs w:val="22"/>
        </w:rPr>
        <w:t>In our experience, the co-location of non-legal specialist services is a particular strength of th</w:t>
      </w:r>
      <w:r w:rsidR="008352FE" w:rsidRPr="00515B00">
        <w:rPr>
          <w:rFonts w:cs="Arial"/>
          <w:szCs w:val="22"/>
        </w:rPr>
        <w:t>is</w:t>
      </w:r>
      <w:r w:rsidRPr="00515B00">
        <w:rPr>
          <w:rFonts w:cs="Arial"/>
          <w:szCs w:val="22"/>
        </w:rPr>
        <w:t xml:space="preserve"> divisional court model. It maximises the benefits of the legal intervention </w:t>
      </w:r>
      <w:r w:rsidR="00515B20" w:rsidRPr="00515B00">
        <w:rPr>
          <w:rFonts w:cs="Arial"/>
          <w:szCs w:val="22"/>
        </w:rPr>
        <w:t>by coordinating the</w:t>
      </w:r>
      <w:r w:rsidRPr="00515B00">
        <w:rPr>
          <w:rFonts w:cs="Arial"/>
          <w:szCs w:val="22"/>
        </w:rPr>
        <w:t xml:space="preserve"> justice system’s response </w:t>
      </w:r>
      <w:r w:rsidR="008352FE" w:rsidRPr="00515B00">
        <w:rPr>
          <w:rFonts w:cs="Arial"/>
          <w:szCs w:val="22"/>
        </w:rPr>
        <w:t xml:space="preserve">to a family violence incident </w:t>
      </w:r>
      <w:r w:rsidRPr="00515B00">
        <w:rPr>
          <w:rFonts w:cs="Arial"/>
          <w:szCs w:val="22"/>
        </w:rPr>
        <w:t xml:space="preserve">with </w:t>
      </w:r>
      <w:r w:rsidR="00515B20" w:rsidRPr="00515B00">
        <w:rPr>
          <w:rFonts w:cs="Arial"/>
          <w:szCs w:val="22"/>
        </w:rPr>
        <w:t>the</w:t>
      </w:r>
      <w:r w:rsidRPr="00515B00">
        <w:rPr>
          <w:rFonts w:cs="Arial"/>
          <w:szCs w:val="22"/>
        </w:rPr>
        <w:t xml:space="preserve"> non-legal response. </w:t>
      </w:r>
      <w:r w:rsidR="00C81AAA" w:rsidRPr="00515B00">
        <w:rPr>
          <w:rFonts w:cs="Arial"/>
          <w:szCs w:val="22"/>
        </w:rPr>
        <w:t>Applicant and responden</w:t>
      </w:r>
      <w:r w:rsidR="009B201C" w:rsidRPr="00515B00">
        <w:rPr>
          <w:rFonts w:cs="Arial"/>
          <w:szCs w:val="22"/>
        </w:rPr>
        <w:t>t workers at the division court</w:t>
      </w:r>
      <w:r w:rsidR="00C81AAA" w:rsidRPr="00515B00">
        <w:rPr>
          <w:rFonts w:cs="Arial"/>
          <w:szCs w:val="22"/>
        </w:rPr>
        <w:t xml:space="preserve"> identify the non-legal needs of the respective parties and </w:t>
      </w:r>
      <w:r w:rsidR="00515B20" w:rsidRPr="00515B00">
        <w:rPr>
          <w:rFonts w:cs="Arial"/>
          <w:szCs w:val="22"/>
        </w:rPr>
        <w:t xml:space="preserve">work with the parties to </w:t>
      </w:r>
      <w:r w:rsidR="00C81AAA" w:rsidRPr="00515B00">
        <w:rPr>
          <w:rFonts w:cs="Arial"/>
          <w:szCs w:val="22"/>
        </w:rPr>
        <w:t xml:space="preserve">arrange the appropriate </w:t>
      </w:r>
      <w:r w:rsidR="00C81AAA" w:rsidRPr="00515B00">
        <w:rPr>
          <w:rFonts w:cs="Arial"/>
          <w:szCs w:val="22"/>
        </w:rPr>
        <w:lastRenderedPageBreak/>
        <w:t xml:space="preserve">non-legal supports. For example, support workers link parties into counselling services, men’s behaviour change programs, alcohol and drug dependence services, and housing support services. </w:t>
      </w:r>
      <w:r w:rsidR="00C81AAA" w:rsidRPr="006D3F4B">
        <w:rPr>
          <w:rFonts w:cs="Arial"/>
        </w:rPr>
        <w:t>This better supports long-term change by responding to the cluster of issues that a family presents with</w:t>
      </w:r>
      <w:r w:rsidR="00C81AAA">
        <w:rPr>
          <w:rFonts w:cs="Arial"/>
        </w:rPr>
        <w:t xml:space="preserve"> at court</w:t>
      </w:r>
      <w:r w:rsidR="00C81AAA" w:rsidRPr="006D3F4B">
        <w:rPr>
          <w:rFonts w:cs="Arial"/>
        </w:rPr>
        <w:t xml:space="preserve">.  </w:t>
      </w:r>
    </w:p>
    <w:p w14:paraId="1C3E9C37" w14:textId="36F38822" w:rsidR="00842BD0" w:rsidRPr="00515B00" w:rsidRDefault="009B201C" w:rsidP="00515B00">
      <w:pPr>
        <w:spacing w:line="300" w:lineRule="exact"/>
        <w:rPr>
          <w:rFonts w:cs="Arial"/>
          <w:szCs w:val="22"/>
          <w:lang w:eastAsia="en-AU"/>
        </w:rPr>
      </w:pPr>
      <w:r w:rsidRPr="00515B00">
        <w:rPr>
          <w:rFonts w:cs="Arial"/>
          <w:szCs w:val="22"/>
          <w:lang w:eastAsia="en-AU"/>
        </w:rPr>
        <w:t xml:space="preserve">A co-location </w:t>
      </w:r>
      <w:r w:rsidR="005C2CB6" w:rsidRPr="00515B00">
        <w:rPr>
          <w:rFonts w:cs="Arial"/>
          <w:szCs w:val="22"/>
          <w:lang w:eastAsia="en-AU"/>
        </w:rPr>
        <w:t xml:space="preserve">model at the Family Law Courts could greatly </w:t>
      </w:r>
      <w:r w:rsidR="00C20A56" w:rsidRPr="00515B00">
        <w:rPr>
          <w:rFonts w:cs="Arial"/>
          <w:szCs w:val="22"/>
          <w:lang w:eastAsia="en-AU"/>
        </w:rPr>
        <w:t>assist</w:t>
      </w:r>
      <w:r w:rsidR="005C2CB6" w:rsidRPr="00515B00">
        <w:rPr>
          <w:rFonts w:cs="Arial"/>
          <w:szCs w:val="22"/>
          <w:lang w:eastAsia="en-AU"/>
        </w:rPr>
        <w:t xml:space="preserve"> in facilitating access to </w:t>
      </w:r>
      <w:r w:rsidR="00842BD0" w:rsidRPr="00515B00">
        <w:rPr>
          <w:rFonts w:cs="Arial"/>
          <w:szCs w:val="22"/>
          <w:lang w:eastAsia="en-AU"/>
        </w:rPr>
        <w:t>non-legal support services for both parents</w:t>
      </w:r>
      <w:r w:rsidR="008352FE" w:rsidRPr="00515B00">
        <w:rPr>
          <w:rFonts w:cs="Arial"/>
          <w:szCs w:val="22"/>
          <w:lang w:eastAsia="en-AU"/>
        </w:rPr>
        <w:t xml:space="preserve"> (and for children)</w:t>
      </w:r>
      <w:r w:rsidR="00842BD0" w:rsidRPr="00515B00">
        <w:rPr>
          <w:rFonts w:cs="Arial"/>
          <w:szCs w:val="22"/>
          <w:lang w:eastAsia="en-AU"/>
        </w:rPr>
        <w:t xml:space="preserve">. </w:t>
      </w:r>
      <w:r w:rsidR="008352FE" w:rsidRPr="00515B00">
        <w:rPr>
          <w:rFonts w:cs="Arial"/>
          <w:szCs w:val="22"/>
          <w:lang w:eastAsia="en-AU"/>
        </w:rPr>
        <w:t>C</w:t>
      </w:r>
      <w:r w:rsidRPr="00515B00">
        <w:rPr>
          <w:rFonts w:cs="Arial"/>
          <w:szCs w:val="22"/>
          <w:lang w:eastAsia="en-AU"/>
        </w:rPr>
        <w:t xml:space="preserve">o-located non-legal service providers could assist with both the early identification of non-legal issues (and make the appropriate referrals so that parties being to address the underlying issues that impact on a child’s safety) and provide assistance with warm referrals to non-legal services where family law orders require it. </w:t>
      </w:r>
    </w:p>
    <w:p w14:paraId="28FB9A76" w14:textId="01BE6B83" w:rsidR="00860065" w:rsidRPr="00515B00" w:rsidRDefault="00091093" w:rsidP="00515B00">
      <w:pPr>
        <w:spacing w:line="300" w:lineRule="exact"/>
        <w:rPr>
          <w:rFonts w:cs="Arial"/>
          <w:szCs w:val="22"/>
          <w:lang w:eastAsia="en-AU"/>
        </w:rPr>
      </w:pPr>
      <w:r w:rsidRPr="00515B00">
        <w:rPr>
          <w:rFonts w:cs="Arial"/>
          <w:szCs w:val="22"/>
          <w:lang w:eastAsia="en-AU"/>
        </w:rPr>
        <w:t>Once family law orders are made, some families would benefit from ongoing support to engage in non-legal support services. One option</w:t>
      </w:r>
      <w:r w:rsidR="00860065" w:rsidRPr="00515B00">
        <w:rPr>
          <w:rFonts w:cs="Arial"/>
          <w:szCs w:val="22"/>
          <w:lang w:eastAsia="en-AU"/>
        </w:rPr>
        <w:t xml:space="preserve"> </w:t>
      </w:r>
      <w:r w:rsidR="000B749A" w:rsidRPr="00515B00">
        <w:rPr>
          <w:rFonts w:cs="Arial"/>
          <w:szCs w:val="22"/>
          <w:lang w:eastAsia="en-AU"/>
        </w:rPr>
        <w:t>to consider is the</w:t>
      </w:r>
      <w:r w:rsidR="00860065" w:rsidRPr="00515B00">
        <w:rPr>
          <w:rFonts w:cs="Arial"/>
          <w:szCs w:val="22"/>
          <w:lang w:eastAsia="en-AU"/>
        </w:rPr>
        <w:t xml:space="preserve"> introduction of case coordinators at the court to assist </w:t>
      </w:r>
      <w:r w:rsidR="00B3285F" w:rsidRPr="00515B00">
        <w:rPr>
          <w:rFonts w:cs="Arial"/>
          <w:szCs w:val="22"/>
          <w:lang w:eastAsia="en-AU"/>
        </w:rPr>
        <w:t>families with complex needs to continu</w:t>
      </w:r>
      <w:r w:rsidR="008352FE" w:rsidRPr="00515B00">
        <w:rPr>
          <w:rFonts w:cs="Arial"/>
          <w:szCs w:val="22"/>
          <w:lang w:eastAsia="en-AU"/>
        </w:rPr>
        <w:t>e</w:t>
      </w:r>
      <w:r w:rsidR="00B3285F" w:rsidRPr="00515B00">
        <w:rPr>
          <w:rFonts w:cs="Arial"/>
          <w:szCs w:val="22"/>
          <w:lang w:eastAsia="en-AU"/>
        </w:rPr>
        <w:t xml:space="preserve"> engaging with</w:t>
      </w:r>
      <w:r w:rsidR="00860065" w:rsidRPr="00515B00">
        <w:rPr>
          <w:rFonts w:cs="Arial"/>
          <w:szCs w:val="22"/>
          <w:lang w:eastAsia="en-AU"/>
        </w:rPr>
        <w:t xml:space="preserve"> </w:t>
      </w:r>
      <w:r w:rsidR="00B3285F" w:rsidRPr="00515B00">
        <w:rPr>
          <w:rFonts w:cs="Arial"/>
          <w:szCs w:val="22"/>
          <w:lang w:eastAsia="en-AU"/>
        </w:rPr>
        <w:t xml:space="preserve">non-legal support services and coordinate the multiple service providers assisting the family, </w:t>
      </w:r>
      <w:r w:rsidR="00860065" w:rsidRPr="00515B00">
        <w:rPr>
          <w:rFonts w:cs="Arial"/>
          <w:szCs w:val="22"/>
          <w:lang w:eastAsia="en-AU"/>
        </w:rPr>
        <w:t>amongst other case management functions. If this option is to be explored, we would recommend</w:t>
      </w:r>
      <w:r w:rsidR="00861816" w:rsidRPr="00515B00">
        <w:rPr>
          <w:rFonts w:cs="Arial"/>
          <w:szCs w:val="22"/>
          <w:lang w:eastAsia="en-AU"/>
        </w:rPr>
        <w:t xml:space="preserve"> first</w:t>
      </w:r>
      <w:r w:rsidR="00860065" w:rsidRPr="00515B00">
        <w:rPr>
          <w:rFonts w:cs="Arial"/>
          <w:szCs w:val="22"/>
          <w:lang w:eastAsia="en-AU"/>
        </w:rPr>
        <w:t xml:space="preserve"> piloting </w:t>
      </w:r>
      <w:r w:rsidR="008352FE" w:rsidRPr="00515B00">
        <w:rPr>
          <w:rFonts w:cs="Arial"/>
          <w:szCs w:val="22"/>
          <w:lang w:eastAsia="en-AU"/>
        </w:rPr>
        <w:t>and evaluating a</w:t>
      </w:r>
      <w:r w:rsidR="00860065" w:rsidRPr="00515B00">
        <w:rPr>
          <w:rFonts w:cs="Arial"/>
          <w:szCs w:val="22"/>
          <w:lang w:eastAsia="en-AU"/>
        </w:rPr>
        <w:t xml:space="preserve"> </w:t>
      </w:r>
      <w:r w:rsidR="00B972AE" w:rsidRPr="00515B00">
        <w:rPr>
          <w:rFonts w:cs="Arial"/>
          <w:szCs w:val="22"/>
          <w:lang w:eastAsia="en-AU"/>
        </w:rPr>
        <w:t>case management function</w:t>
      </w:r>
      <w:r w:rsidR="00900199" w:rsidRPr="00515B00">
        <w:rPr>
          <w:rFonts w:cs="Arial"/>
          <w:szCs w:val="22"/>
          <w:lang w:eastAsia="en-AU"/>
        </w:rPr>
        <w:t xml:space="preserve">. </w:t>
      </w:r>
    </w:p>
    <w:p w14:paraId="6FD9E9DC" w14:textId="77777777" w:rsidR="001833E9" w:rsidRPr="00515B00" w:rsidRDefault="001833E9" w:rsidP="00515B00">
      <w:pPr>
        <w:shd w:val="clear" w:color="auto" w:fill="E6E6E6"/>
        <w:spacing w:line="300" w:lineRule="exact"/>
        <w:rPr>
          <w:rFonts w:cs="Arial"/>
          <w:b/>
          <w:szCs w:val="22"/>
        </w:rPr>
      </w:pPr>
      <w:r w:rsidRPr="00515B00">
        <w:rPr>
          <w:rFonts w:cs="Arial"/>
          <w:b/>
          <w:szCs w:val="22"/>
        </w:rPr>
        <w:t>Recommendations:</w:t>
      </w:r>
    </w:p>
    <w:p w14:paraId="15ED8992" w14:textId="65EBF895" w:rsidR="001833E9" w:rsidRPr="00515B00" w:rsidRDefault="001833E9" w:rsidP="00515B00">
      <w:pPr>
        <w:pStyle w:val="ListParagraph"/>
        <w:numPr>
          <w:ilvl w:val="0"/>
          <w:numId w:val="44"/>
        </w:numPr>
        <w:shd w:val="clear" w:color="auto" w:fill="E6E6E6"/>
        <w:spacing w:after="120" w:line="300" w:lineRule="exact"/>
        <w:rPr>
          <w:rFonts w:ascii="Arial" w:eastAsia="Times New Roman" w:hAnsi="Arial" w:cs="Times New Roman"/>
        </w:rPr>
      </w:pPr>
      <w:r w:rsidRPr="00515B00">
        <w:rPr>
          <w:rFonts w:ascii="Arial" w:eastAsia="Times New Roman" w:hAnsi="Arial" w:cs="Times New Roman"/>
        </w:rPr>
        <w:t>Assess the non-legal support programs that currently assist families in the family law system</w:t>
      </w:r>
      <w:r w:rsidR="008B5A7B">
        <w:rPr>
          <w:rFonts w:ascii="Arial" w:eastAsia="Times New Roman" w:hAnsi="Arial" w:cs="Times New Roman"/>
        </w:rPr>
        <w:t>,</w:t>
      </w:r>
      <w:r w:rsidR="00FD2D2A" w:rsidRPr="00515B00">
        <w:rPr>
          <w:rFonts w:ascii="Arial" w:eastAsia="Times New Roman" w:hAnsi="Arial" w:cs="Times New Roman"/>
        </w:rPr>
        <w:t xml:space="preserve"> and </w:t>
      </w:r>
      <w:r w:rsidR="008B5A7B">
        <w:rPr>
          <w:rFonts w:ascii="Arial" w:eastAsia="Times New Roman" w:hAnsi="Arial" w:cs="Times New Roman"/>
        </w:rPr>
        <w:t xml:space="preserve">past </w:t>
      </w:r>
      <w:r w:rsidR="00FD2D2A" w:rsidRPr="00515B00">
        <w:rPr>
          <w:rFonts w:ascii="Arial" w:eastAsia="Times New Roman" w:hAnsi="Arial" w:cs="Times New Roman"/>
        </w:rPr>
        <w:t>initiatives</w:t>
      </w:r>
      <w:r w:rsidRPr="00515B00">
        <w:rPr>
          <w:rFonts w:ascii="Arial" w:eastAsia="Times New Roman" w:hAnsi="Arial" w:cs="Times New Roman"/>
        </w:rPr>
        <w:t xml:space="preserve">, with the view to supporting further investment in </w:t>
      </w:r>
      <w:r w:rsidR="00AC2295" w:rsidRPr="00515B00">
        <w:rPr>
          <w:rFonts w:ascii="Arial" w:eastAsia="Times New Roman" w:hAnsi="Arial" w:cs="Times New Roman"/>
        </w:rPr>
        <w:t>successful</w:t>
      </w:r>
      <w:r w:rsidRPr="00515B00">
        <w:rPr>
          <w:rFonts w:ascii="Arial" w:eastAsia="Times New Roman" w:hAnsi="Arial" w:cs="Times New Roman"/>
        </w:rPr>
        <w:t xml:space="preserve"> programs in order to expand access. </w:t>
      </w:r>
    </w:p>
    <w:p w14:paraId="54C36833" w14:textId="303E851C" w:rsidR="001833E9" w:rsidRPr="00515B00" w:rsidRDefault="001833E9" w:rsidP="00515B00">
      <w:pPr>
        <w:pStyle w:val="ListParagraph"/>
        <w:numPr>
          <w:ilvl w:val="0"/>
          <w:numId w:val="44"/>
        </w:numPr>
        <w:shd w:val="clear" w:color="auto" w:fill="E6E6E6"/>
        <w:spacing w:after="120" w:line="300" w:lineRule="exact"/>
        <w:rPr>
          <w:rFonts w:ascii="Arial" w:eastAsia="Times New Roman" w:hAnsi="Arial" w:cs="Times New Roman"/>
        </w:rPr>
      </w:pPr>
      <w:r w:rsidRPr="00515B00">
        <w:rPr>
          <w:rFonts w:ascii="Arial" w:eastAsia="Times New Roman" w:hAnsi="Arial" w:cs="Times New Roman"/>
        </w:rPr>
        <w:t xml:space="preserve">Explore </w:t>
      </w:r>
      <w:r w:rsidR="00AF271D" w:rsidRPr="00515B00">
        <w:rPr>
          <w:rFonts w:ascii="Arial" w:eastAsia="Times New Roman" w:hAnsi="Arial" w:cs="Times New Roman"/>
        </w:rPr>
        <w:t xml:space="preserve">a co-location model for </w:t>
      </w:r>
      <w:r w:rsidRPr="00515B00">
        <w:rPr>
          <w:rFonts w:ascii="Arial" w:eastAsia="Times New Roman" w:hAnsi="Arial" w:cs="Times New Roman"/>
        </w:rPr>
        <w:t xml:space="preserve">non-legal service providers </w:t>
      </w:r>
      <w:r w:rsidR="00AF271D" w:rsidRPr="00515B00">
        <w:rPr>
          <w:rFonts w:ascii="Arial" w:eastAsia="Times New Roman" w:hAnsi="Arial" w:cs="Times New Roman"/>
        </w:rPr>
        <w:t xml:space="preserve">at the Family Law Courts, </w:t>
      </w:r>
      <w:r w:rsidRPr="00515B00">
        <w:rPr>
          <w:rFonts w:ascii="Arial" w:eastAsia="Times New Roman" w:hAnsi="Arial" w:cs="Times New Roman"/>
        </w:rPr>
        <w:t xml:space="preserve">to assist more families to engage with </w:t>
      </w:r>
      <w:r w:rsidR="00AF271D" w:rsidRPr="00515B00">
        <w:rPr>
          <w:rFonts w:ascii="Arial" w:eastAsia="Times New Roman" w:hAnsi="Arial" w:cs="Times New Roman"/>
        </w:rPr>
        <w:t>such service</w:t>
      </w:r>
      <w:r w:rsidRPr="00515B00">
        <w:rPr>
          <w:rFonts w:ascii="Arial" w:eastAsia="Times New Roman" w:hAnsi="Arial" w:cs="Times New Roman"/>
        </w:rPr>
        <w:t xml:space="preserve">s. </w:t>
      </w:r>
    </w:p>
    <w:p w14:paraId="67815546" w14:textId="1DB6E567" w:rsidR="001833E9" w:rsidRPr="00515B00" w:rsidRDefault="001833E9" w:rsidP="00515B00">
      <w:pPr>
        <w:pStyle w:val="ListParagraph"/>
        <w:numPr>
          <w:ilvl w:val="0"/>
          <w:numId w:val="44"/>
        </w:numPr>
        <w:shd w:val="clear" w:color="auto" w:fill="E6E6E6"/>
        <w:spacing w:after="120" w:line="300" w:lineRule="exact"/>
        <w:rPr>
          <w:rFonts w:ascii="Arial" w:eastAsia="Times New Roman" w:hAnsi="Arial" w:cs="Times New Roman"/>
        </w:rPr>
      </w:pPr>
      <w:r w:rsidRPr="00515B00">
        <w:rPr>
          <w:rFonts w:ascii="Arial" w:eastAsia="Times New Roman" w:hAnsi="Arial" w:cs="Times New Roman"/>
        </w:rPr>
        <w:t xml:space="preserve">Consider piloting and evaluating a case coordinator model of non-legal service delivery at the Family Law Courts. </w:t>
      </w:r>
    </w:p>
    <w:p w14:paraId="57616859" w14:textId="77777777" w:rsidR="007B26E3" w:rsidRPr="00860065" w:rsidRDefault="00860065" w:rsidP="00955C61">
      <w:pPr>
        <w:pStyle w:val="Heading3"/>
      </w:pPr>
      <w:bookmarkStart w:id="23" w:name="_Toc433612280"/>
      <w:r>
        <w:t>Timely Access to Appropriate Non-Legal Support Services</w:t>
      </w:r>
      <w:bookmarkEnd w:id="23"/>
      <w:r>
        <w:t xml:space="preserve"> </w:t>
      </w:r>
    </w:p>
    <w:p w14:paraId="4EED031C" w14:textId="36FE2A37" w:rsidR="00865E8A" w:rsidRDefault="009518F6" w:rsidP="00515B00">
      <w:pPr>
        <w:spacing w:line="300" w:lineRule="exact"/>
        <w:rPr>
          <w:rFonts w:cs="Arial"/>
          <w:szCs w:val="22"/>
          <w:lang w:eastAsia="en-AU"/>
        </w:rPr>
      </w:pPr>
      <w:r>
        <w:rPr>
          <w:rFonts w:cs="Arial"/>
          <w:szCs w:val="22"/>
          <w:lang w:eastAsia="en-AU"/>
        </w:rPr>
        <w:t>In VLA’s experience, demand for non-legal support service</w:t>
      </w:r>
      <w:r w:rsidR="009D0DA1">
        <w:rPr>
          <w:rFonts w:cs="Arial"/>
          <w:szCs w:val="22"/>
          <w:lang w:eastAsia="en-AU"/>
        </w:rPr>
        <w:t>s</w:t>
      </w:r>
      <w:r>
        <w:rPr>
          <w:rFonts w:cs="Arial"/>
          <w:szCs w:val="22"/>
          <w:lang w:eastAsia="en-AU"/>
        </w:rPr>
        <w:t xml:space="preserve"> exceeds the places available. In particular, VLA’s clients experience long waiting lists for child contact centres, men’s behaviour change programs, respite care, housing, drug and alcohol programs, parenting skills programs, and parenting order programs. </w:t>
      </w:r>
    </w:p>
    <w:p w14:paraId="759D2EC6" w14:textId="7993ECBF" w:rsidR="00860065" w:rsidRDefault="00860065" w:rsidP="00515B00">
      <w:pPr>
        <w:spacing w:line="300" w:lineRule="exact"/>
        <w:rPr>
          <w:rFonts w:cs="Arial"/>
          <w:szCs w:val="22"/>
          <w:lang w:eastAsia="en-AU"/>
        </w:rPr>
      </w:pPr>
      <w:r>
        <w:rPr>
          <w:rFonts w:cs="Arial"/>
          <w:szCs w:val="22"/>
          <w:lang w:eastAsia="en-AU"/>
        </w:rPr>
        <w:t xml:space="preserve">Timely </w:t>
      </w:r>
      <w:r w:rsidR="00865E8A">
        <w:rPr>
          <w:rFonts w:cs="Arial"/>
          <w:szCs w:val="22"/>
          <w:lang w:eastAsia="en-AU"/>
        </w:rPr>
        <w:t xml:space="preserve">engagement </w:t>
      </w:r>
      <w:r w:rsidR="008B5A7B">
        <w:rPr>
          <w:rFonts w:cs="Arial"/>
          <w:szCs w:val="22"/>
          <w:lang w:eastAsia="en-AU"/>
        </w:rPr>
        <w:t>with</w:t>
      </w:r>
      <w:r w:rsidR="00865E8A">
        <w:rPr>
          <w:rFonts w:cs="Arial"/>
          <w:szCs w:val="22"/>
          <w:lang w:eastAsia="en-AU"/>
        </w:rPr>
        <w:t xml:space="preserve"> non-legal support services</w:t>
      </w:r>
      <w:r>
        <w:rPr>
          <w:rFonts w:cs="Arial"/>
          <w:szCs w:val="22"/>
          <w:lang w:eastAsia="en-AU"/>
        </w:rPr>
        <w:t xml:space="preserve"> is </w:t>
      </w:r>
      <w:r w:rsidR="007B6429">
        <w:rPr>
          <w:rFonts w:cs="Arial"/>
          <w:szCs w:val="22"/>
          <w:lang w:eastAsia="en-AU"/>
        </w:rPr>
        <w:t xml:space="preserve">essential </w:t>
      </w:r>
      <w:r>
        <w:rPr>
          <w:rFonts w:cs="Arial"/>
          <w:szCs w:val="22"/>
          <w:lang w:eastAsia="en-AU"/>
        </w:rPr>
        <w:t>for resolving</w:t>
      </w:r>
      <w:r w:rsidR="00865E8A">
        <w:rPr>
          <w:rFonts w:cs="Arial"/>
          <w:szCs w:val="22"/>
          <w:lang w:eastAsia="en-AU"/>
        </w:rPr>
        <w:t xml:space="preserve"> </w:t>
      </w:r>
      <w:r>
        <w:rPr>
          <w:rFonts w:cs="Arial"/>
          <w:szCs w:val="22"/>
          <w:lang w:eastAsia="en-AU"/>
        </w:rPr>
        <w:t xml:space="preserve">issues </w:t>
      </w:r>
      <w:r w:rsidR="00865E8A">
        <w:rPr>
          <w:rFonts w:cs="Arial"/>
          <w:szCs w:val="22"/>
          <w:lang w:eastAsia="en-AU"/>
        </w:rPr>
        <w:t>that impact on the safety of children. Where non-legal issues can be addressed, it</w:t>
      </w:r>
      <w:r w:rsidR="00042173">
        <w:rPr>
          <w:rFonts w:cs="Arial"/>
          <w:szCs w:val="22"/>
          <w:lang w:eastAsia="en-AU"/>
        </w:rPr>
        <w:t xml:space="preserve"> also reduces the likelihood that the legal dispute</w:t>
      </w:r>
      <w:r w:rsidR="00865E8A">
        <w:rPr>
          <w:rFonts w:cs="Arial"/>
          <w:szCs w:val="22"/>
          <w:lang w:eastAsia="en-AU"/>
        </w:rPr>
        <w:t xml:space="preserve"> </w:t>
      </w:r>
      <w:r w:rsidR="00042173">
        <w:rPr>
          <w:rFonts w:cs="Arial"/>
          <w:szCs w:val="22"/>
          <w:lang w:eastAsia="en-AU"/>
        </w:rPr>
        <w:t>become</w:t>
      </w:r>
      <w:r w:rsidR="00022F5A">
        <w:rPr>
          <w:rFonts w:cs="Arial"/>
          <w:szCs w:val="22"/>
          <w:lang w:eastAsia="en-AU"/>
        </w:rPr>
        <w:t>s</w:t>
      </w:r>
      <w:r w:rsidR="00865E8A">
        <w:rPr>
          <w:rFonts w:cs="Arial"/>
          <w:szCs w:val="22"/>
          <w:lang w:eastAsia="en-AU"/>
        </w:rPr>
        <w:t xml:space="preserve"> protracted. Timely engagement, though,</w:t>
      </w:r>
      <w:r>
        <w:rPr>
          <w:rFonts w:cs="Arial"/>
          <w:szCs w:val="22"/>
          <w:lang w:eastAsia="en-AU"/>
        </w:rPr>
        <w:t xml:space="preserve"> is reliant on the availability of places to meet demand. </w:t>
      </w:r>
      <w:r w:rsidR="00B722F0">
        <w:rPr>
          <w:rFonts w:cs="Arial"/>
          <w:szCs w:val="22"/>
          <w:lang w:eastAsia="en-AU"/>
        </w:rPr>
        <w:t>For example, w</w:t>
      </w:r>
      <w:r>
        <w:rPr>
          <w:rFonts w:cs="Arial"/>
          <w:szCs w:val="22"/>
          <w:lang w:eastAsia="en-AU"/>
        </w:rPr>
        <w:t xml:space="preserve">e understand that places in behaviour change programs in the Frankston catchment for </w:t>
      </w:r>
      <w:r w:rsidR="007B6429">
        <w:rPr>
          <w:rFonts w:cs="Arial"/>
          <w:szCs w:val="22"/>
          <w:lang w:eastAsia="en-AU"/>
        </w:rPr>
        <w:t xml:space="preserve">all of </w:t>
      </w:r>
      <w:r>
        <w:rPr>
          <w:rFonts w:cs="Arial"/>
          <w:szCs w:val="22"/>
          <w:lang w:eastAsia="en-AU"/>
        </w:rPr>
        <w:t xml:space="preserve">2015 were exhausted by June. </w:t>
      </w:r>
    </w:p>
    <w:p w14:paraId="2A184776" w14:textId="0302A748" w:rsidR="00865E8A" w:rsidRDefault="00FD6B07" w:rsidP="00515B00">
      <w:pPr>
        <w:spacing w:line="300" w:lineRule="exact"/>
        <w:rPr>
          <w:rFonts w:cs="Arial"/>
          <w:szCs w:val="22"/>
          <w:lang w:eastAsia="en-AU"/>
        </w:rPr>
      </w:pPr>
      <w:r w:rsidRPr="00FD6B07">
        <w:rPr>
          <w:rFonts w:cs="Arial"/>
          <w:szCs w:val="22"/>
          <w:lang w:eastAsia="en-AU"/>
        </w:rPr>
        <w:t>Services also should be</w:t>
      </w:r>
      <w:r w:rsidR="00865E8A" w:rsidRPr="00FD6B07">
        <w:rPr>
          <w:rFonts w:cs="Arial"/>
          <w:szCs w:val="22"/>
          <w:lang w:eastAsia="en-AU"/>
        </w:rPr>
        <w:t xml:space="preserve"> a</w:t>
      </w:r>
      <w:r w:rsidRPr="00FD6B07">
        <w:rPr>
          <w:rFonts w:cs="Arial"/>
          <w:szCs w:val="22"/>
          <w:lang w:eastAsia="en-AU"/>
        </w:rPr>
        <w:t xml:space="preserve">vailable in different languages, </w:t>
      </w:r>
      <w:r w:rsidR="00865E8A" w:rsidRPr="00FD6B07">
        <w:rPr>
          <w:rFonts w:cs="Arial"/>
          <w:szCs w:val="22"/>
          <w:lang w:eastAsia="en-AU"/>
        </w:rPr>
        <w:t xml:space="preserve">delivered in </w:t>
      </w:r>
      <w:r w:rsidR="006A7830">
        <w:rPr>
          <w:rFonts w:cs="Arial"/>
          <w:szCs w:val="22"/>
          <w:lang w:eastAsia="en-AU"/>
        </w:rPr>
        <w:t xml:space="preserve">a </w:t>
      </w:r>
      <w:r w:rsidR="00865E8A" w:rsidRPr="00FD6B07">
        <w:rPr>
          <w:rFonts w:cs="Arial"/>
          <w:szCs w:val="22"/>
          <w:lang w:eastAsia="en-AU"/>
        </w:rPr>
        <w:t>culturally sensitive way</w:t>
      </w:r>
      <w:r w:rsidRPr="00FD6B07">
        <w:rPr>
          <w:rFonts w:cs="Arial"/>
          <w:szCs w:val="22"/>
          <w:lang w:eastAsia="en-AU"/>
        </w:rPr>
        <w:t xml:space="preserve">, and </w:t>
      </w:r>
      <w:r w:rsidR="00865E8A" w:rsidRPr="00FD6B07">
        <w:rPr>
          <w:rFonts w:cs="Arial"/>
          <w:szCs w:val="22"/>
          <w:lang w:eastAsia="en-AU"/>
        </w:rPr>
        <w:t>accommodate the special needs of parents</w:t>
      </w:r>
      <w:r w:rsidR="007B6429">
        <w:rPr>
          <w:rFonts w:cs="Arial"/>
          <w:szCs w:val="22"/>
          <w:lang w:eastAsia="en-AU"/>
        </w:rPr>
        <w:t xml:space="preserve"> –</w:t>
      </w:r>
      <w:r w:rsidR="00865E8A" w:rsidRPr="00FD6B07">
        <w:rPr>
          <w:rFonts w:cs="Arial"/>
          <w:szCs w:val="22"/>
          <w:lang w:eastAsia="en-AU"/>
        </w:rPr>
        <w:t xml:space="preserve"> for example</w:t>
      </w:r>
      <w:r w:rsidR="007B6429">
        <w:rPr>
          <w:rFonts w:cs="Arial"/>
          <w:szCs w:val="22"/>
          <w:lang w:eastAsia="en-AU"/>
        </w:rPr>
        <w:t>,</w:t>
      </w:r>
      <w:r w:rsidR="00865E8A" w:rsidRPr="00FD6B07">
        <w:rPr>
          <w:rFonts w:cs="Arial"/>
          <w:szCs w:val="22"/>
          <w:lang w:eastAsia="en-AU"/>
        </w:rPr>
        <w:t xml:space="preserve"> parents with acquired brain injuries.</w:t>
      </w:r>
      <w:r w:rsidR="00BB460E">
        <w:rPr>
          <w:rFonts w:cs="Arial"/>
          <w:szCs w:val="22"/>
          <w:lang w:eastAsia="en-AU"/>
        </w:rPr>
        <w:t xml:space="preserve"> Non-legal services should also be available to children and adolescents at the centre of parenting disputes </w:t>
      </w:r>
      <w:r w:rsidR="006A7830">
        <w:rPr>
          <w:rFonts w:cs="Arial"/>
          <w:szCs w:val="22"/>
          <w:lang w:eastAsia="en-AU"/>
        </w:rPr>
        <w:t>who</w:t>
      </w:r>
      <w:r w:rsidR="00BB460E">
        <w:rPr>
          <w:rFonts w:cs="Arial"/>
          <w:szCs w:val="22"/>
          <w:lang w:eastAsia="en-AU"/>
        </w:rPr>
        <w:t xml:space="preserve"> would benefit from engagement in mental health services. </w:t>
      </w:r>
    </w:p>
    <w:p w14:paraId="7BF50D82" w14:textId="64F6DC20" w:rsidR="00681872" w:rsidRDefault="00860065" w:rsidP="00515B00">
      <w:pPr>
        <w:spacing w:line="300" w:lineRule="exact"/>
        <w:rPr>
          <w:rFonts w:cs="Arial"/>
          <w:szCs w:val="22"/>
          <w:lang w:eastAsia="en-AU"/>
        </w:rPr>
      </w:pPr>
      <w:r>
        <w:rPr>
          <w:rFonts w:cs="Arial"/>
          <w:szCs w:val="22"/>
          <w:lang w:eastAsia="en-AU"/>
        </w:rPr>
        <w:t xml:space="preserve">A particular issue is the suitability of non-legal services to persons from culturally and linguistically diverse communities and non-English speaking backgrounds. There is a lack of programs available to parties to parenting disputes who do not speak English as a first language nor are interpreters available for these </w:t>
      </w:r>
      <w:r w:rsidR="006A7830">
        <w:rPr>
          <w:rFonts w:cs="Arial"/>
          <w:szCs w:val="22"/>
          <w:lang w:eastAsia="en-AU"/>
        </w:rPr>
        <w:t xml:space="preserve">parties </w:t>
      </w:r>
      <w:r>
        <w:rPr>
          <w:rFonts w:cs="Arial"/>
          <w:szCs w:val="22"/>
          <w:lang w:eastAsia="en-AU"/>
        </w:rPr>
        <w:t xml:space="preserve">to participate in mainstream programs. </w:t>
      </w:r>
    </w:p>
    <w:p w14:paraId="6AE2525D" w14:textId="77777777" w:rsidR="00515B20" w:rsidRDefault="00515B20" w:rsidP="00515B00">
      <w:pPr>
        <w:shd w:val="clear" w:color="auto" w:fill="E6E6E6"/>
        <w:spacing w:line="300" w:lineRule="exact"/>
        <w:rPr>
          <w:rFonts w:cs="Arial"/>
          <w:b/>
        </w:rPr>
      </w:pPr>
      <w:r w:rsidRPr="006D3F4B">
        <w:rPr>
          <w:rFonts w:cs="Arial"/>
          <w:b/>
        </w:rPr>
        <w:lastRenderedPageBreak/>
        <w:t>Case Study</w:t>
      </w:r>
    </w:p>
    <w:p w14:paraId="077E97FA" w14:textId="77777777" w:rsidR="00515B20" w:rsidRDefault="00515B20" w:rsidP="00515B00">
      <w:pPr>
        <w:shd w:val="clear" w:color="auto" w:fill="E6E6E6"/>
        <w:spacing w:line="300" w:lineRule="exact"/>
        <w:rPr>
          <w:rFonts w:cs="Arial"/>
          <w:b/>
        </w:rPr>
      </w:pPr>
      <w:r>
        <w:t xml:space="preserve">VLA assisted the father in a parenting dispute in which the mother had made allegations of family violence. The mother was seeking sole parental responsibility for the children. </w:t>
      </w:r>
    </w:p>
    <w:p w14:paraId="1E98F6EA" w14:textId="77777777" w:rsidR="00515B20" w:rsidRDefault="00515B20" w:rsidP="00515B00">
      <w:pPr>
        <w:shd w:val="clear" w:color="auto" w:fill="E6E6E6"/>
        <w:spacing w:line="300" w:lineRule="exact"/>
        <w:rPr>
          <w:rFonts w:cs="Arial"/>
          <w:b/>
        </w:rPr>
      </w:pPr>
      <w:r>
        <w:t xml:space="preserve">Due to the seriousness of the allegations, interim family law orders were made for the father to spend supervised time with the children. </w:t>
      </w:r>
    </w:p>
    <w:p w14:paraId="6D451F1C" w14:textId="7120A5D1" w:rsidR="00515B20" w:rsidRDefault="00515B20" w:rsidP="00515B00">
      <w:pPr>
        <w:shd w:val="clear" w:color="auto" w:fill="E6E6E6"/>
        <w:spacing w:line="300" w:lineRule="exact"/>
        <w:rPr>
          <w:rFonts w:cs="Arial"/>
          <w:b/>
        </w:rPr>
      </w:pPr>
      <w:r>
        <w:t xml:space="preserve">The father </w:t>
      </w:r>
      <w:r w:rsidR="008B5A7B">
        <w:t xml:space="preserve">did </w:t>
      </w:r>
      <w:r>
        <w:t xml:space="preserve">not speak English, </w:t>
      </w:r>
      <w:r w:rsidR="008B5A7B">
        <w:t xml:space="preserve">was </w:t>
      </w:r>
      <w:r>
        <w:t xml:space="preserve">a newly arrived migrant and as such presented with little knowledge of the Australian legal system, </w:t>
      </w:r>
      <w:r w:rsidR="008B5A7B">
        <w:t>wa</w:t>
      </w:r>
      <w:r>
        <w:t xml:space="preserve">s socially isolated, and was experiencing financial hardship as his visa did not permit him to work and he was not eligible for Centrelink benefits. </w:t>
      </w:r>
    </w:p>
    <w:p w14:paraId="0FC7668B" w14:textId="5FB9233C" w:rsidR="00515B20" w:rsidRDefault="00515B20" w:rsidP="00515B00">
      <w:pPr>
        <w:shd w:val="clear" w:color="auto" w:fill="E6E6E6"/>
        <w:spacing w:line="300" w:lineRule="exact"/>
        <w:rPr>
          <w:rFonts w:cs="Arial"/>
          <w:b/>
        </w:rPr>
      </w:pPr>
      <w:r>
        <w:t xml:space="preserve">Due to his limited English, the father did not meet the eligibility criteria </w:t>
      </w:r>
      <w:r w:rsidR="006A7830">
        <w:t>for</w:t>
      </w:r>
      <w:r>
        <w:t xml:space="preserve"> access </w:t>
      </w:r>
      <w:r w:rsidR="006A7830">
        <w:t xml:space="preserve">to </w:t>
      </w:r>
      <w:r>
        <w:t>supervised services at a children’s contact centre</w:t>
      </w:r>
      <w:r w:rsidR="006A7830">
        <w:t xml:space="preserve"> (t</w:t>
      </w:r>
      <w:r>
        <w:t>he rationale being that without an interpreter, the centre cannot ensure that he is not saying anything inappropriate to the children</w:t>
      </w:r>
      <w:r w:rsidR="006A7830">
        <w:t>)</w:t>
      </w:r>
      <w:r>
        <w:t xml:space="preserve">. </w:t>
      </w:r>
    </w:p>
    <w:p w14:paraId="6FB58F3A" w14:textId="17D83765" w:rsidR="00515B20" w:rsidRDefault="00515B20" w:rsidP="00515B00">
      <w:pPr>
        <w:shd w:val="clear" w:color="auto" w:fill="E6E6E6"/>
        <w:spacing w:line="300" w:lineRule="exact"/>
        <w:rPr>
          <w:rFonts w:cs="Arial"/>
          <w:b/>
        </w:rPr>
      </w:pPr>
      <w:r>
        <w:t xml:space="preserve">Fortunately, a centre offered him a place in a pilot program which provided parents with three supervised visits with an interpreter present at the cost of the centre. This pilot did not become available until </w:t>
      </w:r>
      <w:r w:rsidR="007B6429">
        <w:t xml:space="preserve">seven </w:t>
      </w:r>
      <w:r>
        <w:t xml:space="preserve">months after the interim family law order was made. It was also the first time he had been able to spend time with the children since the mother had initiated proceedings 14 months prior. </w:t>
      </w:r>
    </w:p>
    <w:p w14:paraId="23448EC5" w14:textId="5CD1E70C" w:rsidR="00515B20" w:rsidRDefault="00515B20" w:rsidP="00515B00">
      <w:pPr>
        <w:shd w:val="clear" w:color="auto" w:fill="E6E6E6"/>
        <w:spacing w:line="300" w:lineRule="exact"/>
        <w:rPr>
          <w:rFonts w:cs="Arial"/>
          <w:b/>
        </w:rPr>
      </w:pPr>
      <w:r>
        <w:t>After the pilot program finished, however, the father had limited options. The VLA lawyer worked with the father to explore his options. After three months, a family member agreed to supervise the visits, but this arrangement only lasted for four sessions. The Centre was able to arrange</w:t>
      </w:r>
      <w:r w:rsidR="007B6429">
        <w:t xml:space="preserve"> four</w:t>
      </w:r>
      <w:r>
        <w:t xml:space="preserve"> additional visits. </w:t>
      </w:r>
    </w:p>
    <w:p w14:paraId="1825E839" w14:textId="258225C2" w:rsidR="00515B20" w:rsidRDefault="00515B20" w:rsidP="00515B00">
      <w:pPr>
        <w:shd w:val="clear" w:color="auto" w:fill="E6E6E6"/>
        <w:spacing w:line="300" w:lineRule="exact"/>
        <w:rPr>
          <w:rFonts w:cs="Arial"/>
          <w:b/>
        </w:rPr>
      </w:pPr>
      <w:r>
        <w:t>Eighteen months later, the father is seeking to demonstrate to the court that the children are not a</w:t>
      </w:r>
      <w:r w:rsidR="00B575CF">
        <w:t>t</w:t>
      </w:r>
      <w:r>
        <w:t xml:space="preserve"> risk in his care, </w:t>
      </w:r>
      <w:r w:rsidR="00B575CF">
        <w:t xml:space="preserve">but </w:t>
      </w:r>
      <w:r>
        <w:t xml:space="preserve">this will be difficult to do given the limited opportunities to spend supervised time with the children. </w:t>
      </w:r>
    </w:p>
    <w:p w14:paraId="014A7F38" w14:textId="5FF5CD95" w:rsidR="00515B20" w:rsidRPr="00515B20" w:rsidRDefault="00515B20" w:rsidP="00515B00">
      <w:pPr>
        <w:shd w:val="clear" w:color="auto" w:fill="E6E6E6"/>
        <w:spacing w:line="300" w:lineRule="exact"/>
        <w:rPr>
          <w:rFonts w:cs="Arial"/>
          <w:b/>
        </w:rPr>
      </w:pPr>
      <w:r>
        <w:t xml:space="preserve">A parenting dispute with similar facts, but with an English speaking father, would have taken six to eight months to </w:t>
      </w:r>
      <w:r w:rsidR="00EE263F">
        <w:t>reach the same point in the proceedings.</w:t>
      </w:r>
      <w:r>
        <w:t xml:space="preserve"> </w:t>
      </w:r>
    </w:p>
    <w:p w14:paraId="21FF36C7" w14:textId="7635EC32" w:rsidR="00860065" w:rsidRDefault="0070363D" w:rsidP="00515B00">
      <w:pPr>
        <w:spacing w:line="300" w:lineRule="exact"/>
        <w:rPr>
          <w:rFonts w:cs="Arial"/>
          <w:szCs w:val="22"/>
          <w:lang w:eastAsia="en-AU"/>
        </w:rPr>
      </w:pPr>
      <w:r>
        <w:rPr>
          <w:rFonts w:cs="Arial"/>
          <w:szCs w:val="22"/>
          <w:lang w:eastAsia="en-AU"/>
        </w:rPr>
        <w:t>This lack of appropriate programs creates an access issue for people from a CALD background.</w:t>
      </w:r>
    </w:p>
    <w:p w14:paraId="5144E086" w14:textId="15B12C6E" w:rsidR="002E27D2" w:rsidRDefault="002E27D2" w:rsidP="00515B00">
      <w:pPr>
        <w:shd w:val="clear" w:color="auto" w:fill="E6E6E6"/>
        <w:spacing w:line="300" w:lineRule="exact"/>
        <w:rPr>
          <w:rFonts w:cs="Arial"/>
          <w:b/>
        </w:rPr>
      </w:pPr>
      <w:r>
        <w:rPr>
          <w:rFonts w:cs="Arial"/>
          <w:b/>
        </w:rPr>
        <w:t>Recommendations:</w:t>
      </w:r>
    </w:p>
    <w:p w14:paraId="56E522F2" w14:textId="37BD444A" w:rsidR="009518F6" w:rsidRPr="00DE0238" w:rsidRDefault="000B598C" w:rsidP="00515B00">
      <w:pPr>
        <w:pStyle w:val="ListParagraph"/>
        <w:numPr>
          <w:ilvl w:val="0"/>
          <w:numId w:val="44"/>
        </w:numPr>
        <w:shd w:val="clear" w:color="auto" w:fill="E6E6E6"/>
        <w:spacing w:after="120" w:line="300" w:lineRule="exact"/>
        <w:rPr>
          <w:rFonts w:ascii="Arial" w:eastAsia="Times New Roman" w:hAnsi="Arial" w:cs="Times New Roman"/>
          <w:szCs w:val="24"/>
        </w:rPr>
      </w:pPr>
      <w:bookmarkStart w:id="24" w:name="_GoBack"/>
      <w:r w:rsidRPr="00DE0238">
        <w:rPr>
          <w:rFonts w:ascii="Arial" w:eastAsia="Times New Roman" w:hAnsi="Arial" w:cs="Times New Roman"/>
          <w:szCs w:val="24"/>
        </w:rPr>
        <w:t xml:space="preserve">Examine the accessibility of non-legal support services regularly used by families presenting with complex needs and the timeliness in which parents can engage with services. </w:t>
      </w:r>
      <w:bookmarkEnd w:id="24"/>
    </w:p>
    <w:sectPr w:rsidR="009518F6" w:rsidRPr="00DE0238" w:rsidSect="00DA29C4">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B7284" w14:textId="77777777" w:rsidR="00B46069" w:rsidRDefault="00B46069">
      <w:r>
        <w:separator/>
      </w:r>
    </w:p>
    <w:p w14:paraId="67551C33" w14:textId="77777777" w:rsidR="00B46069" w:rsidRDefault="00B46069"/>
    <w:p w14:paraId="4727C018" w14:textId="77777777" w:rsidR="00B46069" w:rsidRDefault="00B46069"/>
  </w:endnote>
  <w:endnote w:type="continuationSeparator" w:id="0">
    <w:p w14:paraId="5AA6AAF8" w14:textId="77777777" w:rsidR="00B46069" w:rsidRDefault="00B46069">
      <w:r>
        <w:continuationSeparator/>
      </w:r>
    </w:p>
    <w:p w14:paraId="46F9DA3D" w14:textId="77777777" w:rsidR="00B46069" w:rsidRDefault="00B46069"/>
    <w:p w14:paraId="7A363072" w14:textId="77777777" w:rsidR="00B46069" w:rsidRDefault="00B46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A392B" w14:textId="77777777" w:rsidR="00B46069" w:rsidRDefault="00B46069" w:rsidP="004E0688">
    <w:pPr>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DE4A8" w14:textId="0D56978A" w:rsidR="00B46069" w:rsidRDefault="00B46069" w:rsidP="00E6688C">
    <w:pPr>
      <w:pStyle w:val="VLAdivision"/>
    </w:pPr>
    <w:r>
      <w:t>Family, Youth and Children’s Law</w:t>
    </w:r>
    <w:r w:rsidR="0093651A">
      <w:t xml:space="preserve"> </w:t>
    </w:r>
    <w:r>
      <w:t>– Victoria Legal Aid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C75F" w14:textId="77777777" w:rsidR="00B46069" w:rsidRPr="00C97428" w:rsidRDefault="00B46069" w:rsidP="005375A4">
    <w:pP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7CE1E" w14:textId="77777777" w:rsidR="00B46069" w:rsidRDefault="00B46069" w:rsidP="00696B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29974" w14:textId="7B0A9CC6" w:rsidR="00B46069" w:rsidRDefault="00B46069" w:rsidP="00161EEF">
    <w:pPr>
      <w:pStyle w:val="Filename"/>
      <w:tabs>
        <w:tab w:val="clear" w:pos="9240"/>
      </w:tabs>
    </w:pPr>
    <w:r>
      <w:t>Victoria Legal Aid – Submission to the Family Law Council’s Terms of Reference, Number 2 – October 2015</w:t>
    </w:r>
  </w:p>
  <w:p w14:paraId="6785FC23" w14:textId="77777777" w:rsidR="00B46069" w:rsidRPr="002B4970" w:rsidRDefault="00B46069"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B1F01">
      <w:rPr>
        <w:rStyle w:val="PageNumber"/>
        <w:noProof/>
      </w:rPr>
      <w:t>18</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8DF0A" w14:textId="77777777" w:rsidR="00B46069" w:rsidRDefault="00B46069" w:rsidP="00EE6548">
    <w:pPr>
      <w:pStyle w:val="Filename"/>
      <w:tabs>
        <w:tab w:val="clear" w:pos="9240"/>
      </w:tabs>
    </w:pPr>
    <w:r>
      <w:t>Victoria Legal Aid – Submission to the Family Law Council’s Terms of Reference, Number 2 – October 2015</w:t>
    </w:r>
  </w:p>
  <w:p w14:paraId="32419ADC" w14:textId="77777777" w:rsidR="00B46069" w:rsidRPr="002B4970" w:rsidRDefault="00B46069"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B1F01">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4938D" w14:textId="77777777" w:rsidR="00B46069" w:rsidRPr="00E9228F" w:rsidRDefault="00B46069" w:rsidP="00E9228F">
      <w:pPr>
        <w:rPr>
          <w:sz w:val="18"/>
          <w:szCs w:val="18"/>
        </w:rPr>
      </w:pPr>
      <w:r w:rsidRPr="006831FC">
        <w:rPr>
          <w:sz w:val="18"/>
        </w:rPr>
        <w:separator/>
      </w:r>
    </w:p>
  </w:footnote>
  <w:footnote w:type="continuationSeparator" w:id="0">
    <w:p w14:paraId="7E18A922" w14:textId="77777777" w:rsidR="00B46069" w:rsidRDefault="00B46069">
      <w:r>
        <w:continuationSeparator/>
      </w:r>
    </w:p>
    <w:p w14:paraId="131D6954" w14:textId="77777777" w:rsidR="00B46069" w:rsidRDefault="00B46069"/>
    <w:p w14:paraId="6A5E6540" w14:textId="77777777" w:rsidR="00B46069" w:rsidRDefault="00B46069"/>
  </w:footnote>
  <w:footnote w:id="1">
    <w:p w14:paraId="7440E812" w14:textId="1D9B8A1C" w:rsidR="00B46069" w:rsidRPr="008D70EC" w:rsidRDefault="00B46069" w:rsidP="008D70EC">
      <w:pPr>
        <w:pStyle w:val="FootnoteText"/>
        <w:ind w:left="0" w:firstLine="0"/>
        <w:rPr>
          <w:sz w:val="20"/>
        </w:rPr>
      </w:pPr>
      <w:r w:rsidRPr="008D70EC">
        <w:rPr>
          <w:rStyle w:val="FootnoteReference"/>
          <w:sz w:val="20"/>
        </w:rPr>
        <w:footnoteRef/>
      </w:r>
      <w:r w:rsidRPr="008D70EC">
        <w:rPr>
          <w:sz w:val="20"/>
        </w:rPr>
        <w:t xml:space="preserve"> </w:t>
      </w:r>
      <w:r w:rsidRPr="008D70EC">
        <w:rPr>
          <w:rFonts w:cs="Arial"/>
          <w:i/>
          <w:sz w:val="20"/>
        </w:rPr>
        <w:t>Family Law Act</w:t>
      </w:r>
      <w:r w:rsidRPr="008D70EC">
        <w:rPr>
          <w:rFonts w:cs="Arial"/>
          <w:sz w:val="20"/>
        </w:rPr>
        <w:t xml:space="preserve"> </w:t>
      </w:r>
      <w:r w:rsidRPr="008D70EC">
        <w:rPr>
          <w:rFonts w:cs="Arial"/>
          <w:i/>
          <w:sz w:val="20"/>
        </w:rPr>
        <w:t xml:space="preserve">1975 </w:t>
      </w:r>
      <w:r w:rsidRPr="008D70EC">
        <w:rPr>
          <w:rFonts w:cs="Arial"/>
          <w:sz w:val="20"/>
        </w:rPr>
        <w:t xml:space="preserve">(Cth), </w:t>
      </w:r>
      <w:r w:rsidRPr="008D70EC">
        <w:rPr>
          <w:sz w:val="20"/>
        </w:rPr>
        <w:t>section 60CA.</w:t>
      </w:r>
    </w:p>
  </w:footnote>
  <w:footnote w:id="2">
    <w:p w14:paraId="5225C916" w14:textId="076E44AD" w:rsidR="00B46069" w:rsidRPr="008D70EC" w:rsidRDefault="00B46069" w:rsidP="008D70EC">
      <w:pPr>
        <w:pStyle w:val="FootnoteText"/>
        <w:ind w:left="0" w:firstLine="0"/>
        <w:rPr>
          <w:sz w:val="20"/>
        </w:rPr>
      </w:pPr>
      <w:r w:rsidRPr="008D70EC">
        <w:rPr>
          <w:rStyle w:val="FootnoteReference"/>
          <w:sz w:val="20"/>
        </w:rPr>
        <w:footnoteRef/>
      </w:r>
      <w:r w:rsidRPr="008D70EC">
        <w:rPr>
          <w:rStyle w:val="FootnoteReference"/>
          <w:sz w:val="20"/>
        </w:rPr>
        <w:t xml:space="preserve"> </w:t>
      </w:r>
      <w:r w:rsidRPr="008D70EC">
        <w:rPr>
          <w:sz w:val="20"/>
        </w:rPr>
        <w:t xml:space="preserve">The Family Law Legal Service is a related organisation of the Women’s Legal Service Victoria. The Family Law Legal Service is currently involved in providing duty lawyer-type services at VLA FRDS. </w:t>
      </w:r>
    </w:p>
  </w:footnote>
  <w:footnote w:id="3">
    <w:p w14:paraId="64BC8B40" w14:textId="77777777" w:rsidR="00B46069" w:rsidRPr="008D70EC" w:rsidRDefault="00B46069" w:rsidP="008D70EC">
      <w:pPr>
        <w:pStyle w:val="FootnoteText"/>
        <w:ind w:left="0" w:firstLine="0"/>
        <w:rPr>
          <w:sz w:val="20"/>
        </w:rPr>
      </w:pPr>
      <w:r w:rsidRPr="008D70EC">
        <w:rPr>
          <w:rStyle w:val="FootnoteReference"/>
          <w:sz w:val="20"/>
        </w:rPr>
        <w:footnoteRef/>
      </w:r>
      <w:r w:rsidRPr="008D70EC">
        <w:rPr>
          <w:sz w:val="20"/>
        </w:rPr>
        <w:t xml:space="preserve"> Based on settlement of some or all issues in a dispute on an interim or ongoing basis.</w:t>
      </w:r>
    </w:p>
  </w:footnote>
  <w:footnote w:id="4">
    <w:p w14:paraId="3FA67AA6" w14:textId="77777777" w:rsidR="00B46069" w:rsidRPr="008D70EC" w:rsidRDefault="00B46069" w:rsidP="008D70EC">
      <w:pPr>
        <w:pStyle w:val="FootnoteText"/>
        <w:ind w:left="0" w:firstLine="0"/>
        <w:rPr>
          <w:sz w:val="20"/>
        </w:rPr>
      </w:pPr>
      <w:r w:rsidRPr="008D70EC">
        <w:rPr>
          <w:rStyle w:val="FootnoteReference"/>
          <w:sz w:val="20"/>
        </w:rPr>
        <w:footnoteRef/>
      </w:r>
      <w:r w:rsidRPr="008D70EC">
        <w:rPr>
          <w:sz w:val="20"/>
        </w:rPr>
        <w:t xml:space="preserve"> As VLA’s practice experience is within Victoria, this submission refers to the Department of Health and Human Services (DHHS) as the relevant child protection authority involved with families with complex needs.</w:t>
      </w:r>
    </w:p>
  </w:footnote>
  <w:footnote w:id="5">
    <w:p w14:paraId="7527C6FA" w14:textId="0EA0A350" w:rsidR="00B46069" w:rsidRPr="008D70EC" w:rsidRDefault="00B46069" w:rsidP="008D70EC">
      <w:pPr>
        <w:pStyle w:val="FootnoteText"/>
        <w:ind w:left="0" w:firstLine="0"/>
        <w:rPr>
          <w:sz w:val="20"/>
        </w:rPr>
      </w:pPr>
      <w:r w:rsidRPr="008D70EC">
        <w:rPr>
          <w:rStyle w:val="FootnoteReference"/>
          <w:sz w:val="20"/>
        </w:rPr>
        <w:footnoteRef/>
      </w:r>
      <w:r w:rsidRPr="008D70EC">
        <w:rPr>
          <w:sz w:val="20"/>
        </w:rPr>
        <w:t xml:space="preserve"> In this scenario, VLA will refer parties to Child FIRST for support. When doing so, we advise families that Child FIRST work alongside the DHHS and will make a notification if required.</w:t>
      </w:r>
    </w:p>
  </w:footnote>
  <w:footnote w:id="6">
    <w:p w14:paraId="2BE2DBC6" w14:textId="4A04C4EE" w:rsidR="00B46069" w:rsidRPr="008D70EC" w:rsidRDefault="00B46069" w:rsidP="008D70EC">
      <w:pPr>
        <w:pStyle w:val="FootnoteText"/>
        <w:ind w:left="0" w:firstLine="0"/>
        <w:rPr>
          <w:sz w:val="20"/>
        </w:rPr>
      </w:pPr>
      <w:r w:rsidRPr="008D70EC">
        <w:rPr>
          <w:rStyle w:val="FootnoteReference"/>
          <w:sz w:val="20"/>
        </w:rPr>
        <w:footnoteRef/>
      </w:r>
      <w:r w:rsidRPr="008D70EC">
        <w:rPr>
          <w:sz w:val="20"/>
        </w:rPr>
        <w:t xml:space="preserve"> </w:t>
      </w:r>
      <w:proofErr w:type="spellStart"/>
      <w:r w:rsidRPr="008D70EC">
        <w:rPr>
          <w:sz w:val="20"/>
        </w:rPr>
        <w:t>Dr.</w:t>
      </w:r>
      <w:proofErr w:type="spellEnd"/>
      <w:r w:rsidRPr="008D70EC">
        <w:rPr>
          <w:sz w:val="20"/>
        </w:rPr>
        <w:t xml:space="preserve"> T. </w:t>
      </w:r>
      <w:proofErr w:type="spellStart"/>
      <w:r w:rsidRPr="008D70EC">
        <w:rPr>
          <w:sz w:val="20"/>
        </w:rPr>
        <w:t>Altobelii</w:t>
      </w:r>
      <w:proofErr w:type="spellEnd"/>
      <w:r w:rsidRPr="008D70EC">
        <w:rPr>
          <w:sz w:val="20"/>
        </w:rPr>
        <w:t xml:space="preserve"> and Chief Justice Bryant, ‘Has Confidentiality in Family Dispute Resolution Reached its Use By Date’, (Speech delivered at the Seen and Heard: Children and the Courts Conference, Canberra, 7-8 February 2015).</w:t>
      </w:r>
    </w:p>
  </w:footnote>
  <w:footnote w:id="7">
    <w:p w14:paraId="415BB74E" w14:textId="50BC1CFD" w:rsidR="00B46069" w:rsidRPr="008D70EC" w:rsidRDefault="00B46069" w:rsidP="008D70EC">
      <w:pPr>
        <w:pStyle w:val="FootnoteText"/>
        <w:ind w:left="0" w:firstLine="0"/>
        <w:rPr>
          <w:sz w:val="20"/>
        </w:rPr>
      </w:pPr>
      <w:r w:rsidRPr="008D70EC">
        <w:rPr>
          <w:rStyle w:val="FootnoteReference"/>
          <w:sz w:val="20"/>
        </w:rPr>
        <w:footnoteRef/>
      </w:r>
      <w:r w:rsidRPr="008D70EC">
        <w:rPr>
          <w:sz w:val="20"/>
        </w:rPr>
        <w:t xml:space="preserve"> Australian Law Reform Commission and NSW Law Reform Commission, </w:t>
      </w:r>
      <w:r w:rsidRPr="008D70EC">
        <w:rPr>
          <w:i/>
          <w:sz w:val="20"/>
        </w:rPr>
        <w:t xml:space="preserve">Family Violence – A national legal response </w:t>
      </w:r>
      <w:r w:rsidRPr="008D70EC">
        <w:rPr>
          <w:sz w:val="20"/>
        </w:rPr>
        <w:t>(ALRC Report 114, ALRC and NSWLRC, October 2010), 1039.</w:t>
      </w:r>
    </w:p>
  </w:footnote>
  <w:footnote w:id="8">
    <w:p w14:paraId="5EA23A37" w14:textId="0F18DF4D" w:rsidR="00B46069" w:rsidRPr="008D70EC" w:rsidRDefault="00B46069" w:rsidP="008D70EC">
      <w:pPr>
        <w:pStyle w:val="FootnoteText"/>
        <w:ind w:left="0" w:firstLine="0"/>
        <w:rPr>
          <w:sz w:val="20"/>
        </w:rPr>
      </w:pPr>
      <w:r w:rsidRPr="008D70EC">
        <w:rPr>
          <w:rStyle w:val="FootnoteReference"/>
          <w:sz w:val="20"/>
        </w:rPr>
        <w:footnoteRef/>
      </w:r>
      <w:r w:rsidRPr="008D70EC">
        <w:rPr>
          <w:sz w:val="20"/>
        </w:rPr>
        <w:t xml:space="preserve"> See, for example, R. Chisholm, </w:t>
      </w:r>
      <w:r w:rsidRPr="008D70EC">
        <w:rPr>
          <w:i/>
          <w:sz w:val="20"/>
        </w:rPr>
        <w:t xml:space="preserve">Information Sharing and Confidentiality: Issues in Family Law and Child Protection Law </w:t>
      </w:r>
      <w:r w:rsidRPr="008D70EC">
        <w:rPr>
          <w:sz w:val="20"/>
        </w:rPr>
        <w:t>(Paper prepared for the Seen and heard: Children and the Courts Conference, Canberra, 7-8 February 2015).</w:t>
      </w:r>
    </w:p>
  </w:footnote>
  <w:footnote w:id="9">
    <w:p w14:paraId="7ADCB209" w14:textId="54038752" w:rsidR="00B46069" w:rsidRPr="008D70EC" w:rsidRDefault="00B46069" w:rsidP="008D70EC">
      <w:pPr>
        <w:pStyle w:val="FootnoteText"/>
        <w:ind w:left="0" w:firstLine="0"/>
        <w:rPr>
          <w:sz w:val="20"/>
        </w:rPr>
      </w:pPr>
      <w:r w:rsidRPr="008D70EC">
        <w:rPr>
          <w:rStyle w:val="FootnoteReference"/>
          <w:sz w:val="20"/>
        </w:rPr>
        <w:footnoteRef/>
      </w:r>
      <w:r w:rsidRPr="008D70EC">
        <w:rPr>
          <w:sz w:val="20"/>
        </w:rPr>
        <w:t xml:space="preserve"> Australian Law Reform Commission and NSW Law Reform Commission, above n 7, 1052.</w:t>
      </w:r>
    </w:p>
  </w:footnote>
  <w:footnote w:id="10">
    <w:p w14:paraId="4DC4C804" w14:textId="48DBF4EB" w:rsidR="00B46069" w:rsidRPr="008D70EC" w:rsidRDefault="00B46069" w:rsidP="008D70EC">
      <w:pPr>
        <w:pStyle w:val="FootnoteText"/>
        <w:ind w:left="0" w:firstLine="0"/>
        <w:rPr>
          <w:sz w:val="20"/>
        </w:rPr>
      </w:pPr>
      <w:r w:rsidRPr="008D70EC">
        <w:rPr>
          <w:rStyle w:val="FootnoteReference"/>
          <w:sz w:val="20"/>
        </w:rPr>
        <w:footnoteRef/>
      </w:r>
      <w:r w:rsidRPr="008D70EC">
        <w:rPr>
          <w:sz w:val="20"/>
        </w:rPr>
        <w:t xml:space="preserve"> Ibid, 1051.</w:t>
      </w:r>
    </w:p>
  </w:footnote>
  <w:footnote w:id="11">
    <w:p w14:paraId="2551E4F7" w14:textId="01229E12" w:rsidR="00DE5A3A" w:rsidRPr="008D70EC" w:rsidRDefault="00DE5A3A" w:rsidP="008D70EC">
      <w:pPr>
        <w:pStyle w:val="FootnoteText"/>
        <w:ind w:left="0" w:firstLine="0"/>
        <w:rPr>
          <w:rStyle w:val="Emphasis"/>
          <w:i w:val="0"/>
          <w:sz w:val="20"/>
        </w:rPr>
      </w:pPr>
      <w:r w:rsidRPr="00F05087">
        <w:rPr>
          <w:rStyle w:val="FootnoteReference"/>
          <w:iCs/>
          <w:sz w:val="20"/>
        </w:rPr>
        <w:footnoteRef/>
      </w:r>
      <w:r w:rsidRPr="00F05087">
        <w:rPr>
          <w:rStyle w:val="FootnoteReference"/>
          <w:iCs/>
          <w:sz w:val="20"/>
        </w:rPr>
        <w:t xml:space="preserve"> </w:t>
      </w:r>
      <w:r w:rsidRPr="008D70EC">
        <w:rPr>
          <w:rStyle w:val="Emphasis"/>
          <w:i w:val="0"/>
          <w:sz w:val="20"/>
        </w:rPr>
        <w:t xml:space="preserve">Family Court of Australia, Guidelines for Independent Children’s Lawyers (2013) &lt; https://www.law.unimelb.edu.au/files/dmfile/FinalOnlinePDF-2012Reprint.pdf&gt;. </w:t>
      </w:r>
    </w:p>
  </w:footnote>
  <w:footnote w:id="12">
    <w:p w14:paraId="15BDA572" w14:textId="1755E30C" w:rsidR="00B46069" w:rsidRPr="008D70EC" w:rsidRDefault="00B46069" w:rsidP="008D70EC">
      <w:pPr>
        <w:pStyle w:val="FootnoteText"/>
        <w:ind w:left="0" w:firstLine="0"/>
        <w:rPr>
          <w:sz w:val="20"/>
        </w:rPr>
      </w:pPr>
      <w:r w:rsidRPr="008D70EC">
        <w:rPr>
          <w:rStyle w:val="FootnoteReference"/>
          <w:sz w:val="20"/>
        </w:rPr>
        <w:footnoteRef/>
      </w:r>
      <w:r w:rsidRPr="008D70EC">
        <w:rPr>
          <w:sz w:val="20"/>
        </w:rPr>
        <w:t xml:space="preserve"> R. </w:t>
      </w:r>
      <w:proofErr w:type="spellStart"/>
      <w:r w:rsidRPr="008D70EC">
        <w:rPr>
          <w:sz w:val="20"/>
        </w:rPr>
        <w:t>Kaspiew</w:t>
      </w:r>
      <w:proofErr w:type="spellEnd"/>
      <w:r w:rsidRPr="008D70EC">
        <w:rPr>
          <w:sz w:val="20"/>
        </w:rPr>
        <w:t xml:space="preserve"> et al, ‘Independent Children’s Lawyers Study’</w:t>
      </w:r>
      <w:r w:rsidRPr="008D70EC">
        <w:rPr>
          <w:i/>
          <w:sz w:val="20"/>
        </w:rPr>
        <w:t xml:space="preserve"> </w:t>
      </w:r>
      <w:r w:rsidRPr="008D70EC">
        <w:rPr>
          <w:sz w:val="20"/>
        </w:rPr>
        <w:t>(Final Report, Australian Institute of Family Studies, May 2013).</w:t>
      </w:r>
    </w:p>
  </w:footnote>
  <w:footnote w:id="13">
    <w:p w14:paraId="2F08261A" w14:textId="29883D31" w:rsidR="00B46069" w:rsidRPr="008D70EC" w:rsidRDefault="00B46069" w:rsidP="008D70EC">
      <w:pPr>
        <w:pStyle w:val="FootnoteText"/>
        <w:rPr>
          <w:sz w:val="20"/>
        </w:rPr>
      </w:pPr>
      <w:r w:rsidRPr="008D70EC">
        <w:rPr>
          <w:rStyle w:val="FootnoteReference"/>
          <w:sz w:val="20"/>
        </w:rPr>
        <w:footnoteRef/>
      </w:r>
      <w:r w:rsidRPr="008D70EC">
        <w:rPr>
          <w:sz w:val="20"/>
        </w:rPr>
        <w:t xml:space="preserve"> (1994) FLC 92-416.</w:t>
      </w:r>
    </w:p>
  </w:footnote>
  <w:footnote w:id="14">
    <w:p w14:paraId="0A0CA6FB" w14:textId="4A3AB58E" w:rsidR="00B46069" w:rsidRPr="008D70EC" w:rsidRDefault="00B46069" w:rsidP="008D70EC">
      <w:pPr>
        <w:pStyle w:val="FootnoteText"/>
        <w:ind w:left="0" w:firstLine="0"/>
        <w:rPr>
          <w:sz w:val="20"/>
        </w:rPr>
      </w:pPr>
      <w:r w:rsidRPr="008D70EC">
        <w:rPr>
          <w:rStyle w:val="FootnoteReference"/>
          <w:sz w:val="20"/>
        </w:rPr>
        <w:footnoteRef/>
      </w:r>
      <w:r w:rsidRPr="008D70EC">
        <w:rPr>
          <w:sz w:val="20"/>
        </w:rPr>
        <w:t xml:space="preserve"> See, for example, the Dandenong Project. Federal Magistrates Court of Australia, </w:t>
      </w:r>
      <w:r w:rsidRPr="008D70EC">
        <w:rPr>
          <w:i/>
          <w:sz w:val="20"/>
        </w:rPr>
        <w:t xml:space="preserve">Review of the Dandenong Project </w:t>
      </w:r>
      <w:r w:rsidRPr="008D70EC">
        <w:rPr>
          <w:sz w:val="20"/>
        </w:rPr>
        <w:t xml:space="preserve">(Report, Federal Magistrates Court of Australia, March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B838" w14:textId="77777777" w:rsidR="00B46069" w:rsidRDefault="004B1F01">
    <w:pPr>
      <w:pStyle w:val="Header"/>
    </w:pPr>
    <w:r>
      <w:rPr>
        <w:noProof/>
      </w:rPr>
      <w:pict w14:anchorId="31505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71854861">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8AE9" w14:textId="77777777" w:rsidR="00B46069" w:rsidRPr="009F7B2D" w:rsidRDefault="00B46069" w:rsidP="004E0688">
    <w:pPr>
      <w:pStyle w:val="Header"/>
      <w:jc w:val="right"/>
    </w:pPr>
    <w:r>
      <w:rPr>
        <w:noProof/>
        <w:lang w:eastAsia="en-AU"/>
      </w:rPr>
      <w:drawing>
        <wp:inline distT="0" distB="0" distL="0" distR="0" wp14:anchorId="21369D23" wp14:editId="473710C5">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575C" w14:textId="77777777" w:rsidR="00B46069" w:rsidRDefault="00B46069" w:rsidP="006E2882">
    <w:pPr>
      <w:spacing w:before="400"/>
      <w:jc w:val="right"/>
    </w:pPr>
    <w:r>
      <w:rPr>
        <w:noProof/>
        <w:lang w:eastAsia="en-AU"/>
      </w:rPr>
      <w:drawing>
        <wp:inline distT="0" distB="0" distL="0" distR="0" wp14:anchorId="268B333B" wp14:editId="453913DC">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4B1F01">
      <w:rPr>
        <w:noProof/>
        <w:lang w:eastAsia="en-AU"/>
      </w:rPr>
      <w:pict w14:anchorId="39BBA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C8D0" w14:textId="77777777" w:rsidR="00B46069" w:rsidRPr="009F7B2D" w:rsidRDefault="00B46069" w:rsidP="005375A4"/>
  <w:p w14:paraId="7C997B0C" w14:textId="77777777" w:rsidR="00B46069" w:rsidRDefault="00B4606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CC9B" w14:textId="77777777" w:rsidR="00B46069" w:rsidRPr="009F7B2D" w:rsidRDefault="00B46069" w:rsidP="007538C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95293" w14:textId="77777777" w:rsidR="00B46069" w:rsidRPr="009F7B2D" w:rsidRDefault="00B46069" w:rsidP="005D5637">
    <w:pPr>
      <w:pStyle w:val="Header"/>
      <w:tabs>
        <w:tab w:val="clear" w:pos="4604"/>
        <w:tab w:val="clear" w:pos="9214"/>
      </w:tabs>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511D7" w14:textId="77777777" w:rsidR="00B46069" w:rsidRDefault="00B4606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CD5D" w14:textId="77777777" w:rsidR="00B46069" w:rsidRPr="00665568" w:rsidRDefault="00B46069" w:rsidP="00161EEF">
    <w:pPr>
      <w:pStyle w:val="Header"/>
      <w:tabs>
        <w:tab w:val="clear" w:pos="4604"/>
        <w:tab w:val="clear"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6657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56442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78F2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6276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EE8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38881638"/>
    <w:lvl w:ilvl="0">
      <w:start w:val="1"/>
      <w:numFmt w:val="decimal"/>
      <w:lvlText w:val="%1."/>
      <w:lvlJc w:val="left"/>
      <w:pPr>
        <w:tabs>
          <w:tab w:val="num" w:pos="360"/>
        </w:tabs>
        <w:ind w:left="360" w:hanging="360"/>
      </w:pPr>
    </w:lvl>
  </w:abstractNum>
  <w:abstractNum w:abstractNumId="7" w15:restartNumberingAfterBreak="0">
    <w:nsid w:val="072C580C"/>
    <w:multiLevelType w:val="hybridMultilevel"/>
    <w:tmpl w:val="37CAA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4702DF"/>
    <w:multiLevelType w:val="hybridMultilevel"/>
    <w:tmpl w:val="9CE0D6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CC16CCB"/>
    <w:multiLevelType w:val="hybridMultilevel"/>
    <w:tmpl w:val="754AF42E"/>
    <w:lvl w:ilvl="0" w:tplc="42A07600">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E772D16"/>
    <w:multiLevelType w:val="hybridMultilevel"/>
    <w:tmpl w:val="9B3A6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135E2E0B"/>
    <w:multiLevelType w:val="hybridMultilevel"/>
    <w:tmpl w:val="3FA4E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A500E5"/>
    <w:multiLevelType w:val="hybridMultilevel"/>
    <w:tmpl w:val="E318D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3A23101"/>
    <w:multiLevelType w:val="hybridMultilevel"/>
    <w:tmpl w:val="3846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7" w15:restartNumberingAfterBreak="0">
    <w:nsid w:val="2E6B7B60"/>
    <w:multiLevelType w:val="hybridMultilevel"/>
    <w:tmpl w:val="E2A2F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D46FD"/>
    <w:multiLevelType w:val="hybridMultilevel"/>
    <w:tmpl w:val="48E4B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0601DE"/>
    <w:multiLevelType w:val="hybridMultilevel"/>
    <w:tmpl w:val="B7F2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2962954"/>
    <w:multiLevelType w:val="hybridMultilevel"/>
    <w:tmpl w:val="749AA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901741D"/>
    <w:multiLevelType w:val="hybridMultilevel"/>
    <w:tmpl w:val="7708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A3A39"/>
    <w:multiLevelType w:val="hybridMultilevel"/>
    <w:tmpl w:val="BD38A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8"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0"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1" w15:restartNumberingAfterBreak="0">
    <w:nsid w:val="67724C5D"/>
    <w:multiLevelType w:val="hybridMultilevel"/>
    <w:tmpl w:val="8E42251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2432D"/>
    <w:multiLevelType w:val="hybridMultilevel"/>
    <w:tmpl w:val="9A82F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C177FA"/>
    <w:multiLevelType w:val="hybridMultilevel"/>
    <w:tmpl w:val="07A48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DC5A45"/>
    <w:multiLevelType w:val="hybridMultilevel"/>
    <w:tmpl w:val="7FBEF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6" w15:restartNumberingAfterBreak="0">
    <w:nsid w:val="79E9315D"/>
    <w:multiLevelType w:val="hybridMultilevel"/>
    <w:tmpl w:val="F2B6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7"/>
  </w:num>
  <w:num w:numId="4">
    <w:abstractNumId w:val="26"/>
  </w:num>
  <w:num w:numId="5">
    <w:abstractNumId w:val="20"/>
  </w:num>
  <w:num w:numId="6">
    <w:abstractNumId w:val="27"/>
  </w:num>
  <w:num w:numId="7">
    <w:abstractNumId w:val="28"/>
  </w:num>
  <w:num w:numId="8">
    <w:abstractNumId w:val="27"/>
  </w:num>
  <w:num w:numId="9">
    <w:abstractNumId w:val="23"/>
  </w:num>
  <w:num w:numId="10">
    <w:abstractNumId w:val="20"/>
  </w:num>
  <w:num w:numId="11">
    <w:abstractNumId w:val="27"/>
  </w:num>
  <w:num w:numId="12">
    <w:abstractNumId w:val="27"/>
  </w:num>
  <w:num w:numId="13">
    <w:abstractNumId w:val="26"/>
  </w:num>
  <w:num w:numId="14">
    <w:abstractNumId w:val="26"/>
  </w:num>
  <w:num w:numId="15">
    <w:abstractNumId w:val="26"/>
  </w:num>
  <w:num w:numId="16">
    <w:abstractNumId w:val="23"/>
  </w:num>
  <w:num w:numId="17">
    <w:abstractNumId w:val="20"/>
  </w:num>
  <w:num w:numId="18">
    <w:abstractNumId w:val="27"/>
  </w:num>
  <w:num w:numId="19">
    <w:abstractNumId w:val="27"/>
  </w:num>
  <w:num w:numId="20">
    <w:abstractNumId w:val="26"/>
  </w:num>
  <w:num w:numId="21">
    <w:abstractNumId w:val="26"/>
  </w:num>
  <w:num w:numId="22">
    <w:abstractNumId w:val="26"/>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15"/>
  </w:num>
  <w:num w:numId="31">
    <w:abstractNumId w:val="31"/>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2"/>
  </w:num>
  <w:num w:numId="36">
    <w:abstractNumId w:val="8"/>
  </w:num>
  <w:num w:numId="37">
    <w:abstractNumId w:val="32"/>
  </w:num>
  <w:num w:numId="38">
    <w:abstractNumId w:val="7"/>
  </w:num>
  <w:num w:numId="39">
    <w:abstractNumId w:val="18"/>
  </w:num>
  <w:num w:numId="40">
    <w:abstractNumId w:val="12"/>
  </w:num>
  <w:num w:numId="41">
    <w:abstractNumId w:val="22"/>
  </w:num>
  <w:num w:numId="42">
    <w:abstractNumId w:val="17"/>
  </w:num>
  <w:num w:numId="43">
    <w:abstractNumId w:val="24"/>
  </w:num>
  <w:num w:numId="44">
    <w:abstractNumId w:val="33"/>
  </w:num>
  <w:num w:numId="45">
    <w:abstractNumId w:val="25"/>
  </w:num>
  <w:num w:numId="46">
    <w:abstractNumId w:val="34"/>
  </w:num>
  <w:num w:numId="47">
    <w:abstractNumId w:val="10"/>
  </w:num>
  <w:num w:numId="48">
    <w:abstractNumId w:val="13"/>
  </w:num>
  <w:num w:numId="49">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activeWritingStyle w:appName="MSWord" w:lang="en-AU"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A2"/>
    <w:rsid w:val="00001510"/>
    <w:rsid w:val="00001898"/>
    <w:rsid w:val="0000389D"/>
    <w:rsid w:val="00003947"/>
    <w:rsid w:val="00005398"/>
    <w:rsid w:val="00007914"/>
    <w:rsid w:val="000109DF"/>
    <w:rsid w:val="00013C3C"/>
    <w:rsid w:val="000155A6"/>
    <w:rsid w:val="00022C70"/>
    <w:rsid w:val="00022C83"/>
    <w:rsid w:val="00022F0E"/>
    <w:rsid w:val="00022F5A"/>
    <w:rsid w:val="00022F62"/>
    <w:rsid w:val="000240FD"/>
    <w:rsid w:val="000247B1"/>
    <w:rsid w:val="00024810"/>
    <w:rsid w:val="00025A68"/>
    <w:rsid w:val="0003107D"/>
    <w:rsid w:val="00032AF3"/>
    <w:rsid w:val="000349FF"/>
    <w:rsid w:val="00042173"/>
    <w:rsid w:val="00042DA8"/>
    <w:rsid w:val="00044165"/>
    <w:rsid w:val="000506BF"/>
    <w:rsid w:val="0005291A"/>
    <w:rsid w:val="0005492F"/>
    <w:rsid w:val="00055642"/>
    <w:rsid w:val="00055B69"/>
    <w:rsid w:val="00056D16"/>
    <w:rsid w:val="000579AC"/>
    <w:rsid w:val="000610FC"/>
    <w:rsid w:val="00061235"/>
    <w:rsid w:val="00062699"/>
    <w:rsid w:val="0006323C"/>
    <w:rsid w:val="00064B2A"/>
    <w:rsid w:val="00065DC8"/>
    <w:rsid w:val="00070704"/>
    <w:rsid w:val="00070856"/>
    <w:rsid w:val="000737B8"/>
    <w:rsid w:val="00075C32"/>
    <w:rsid w:val="000844C2"/>
    <w:rsid w:val="00084C6C"/>
    <w:rsid w:val="00091093"/>
    <w:rsid w:val="0009293C"/>
    <w:rsid w:val="000951FA"/>
    <w:rsid w:val="00095E69"/>
    <w:rsid w:val="00095EB9"/>
    <w:rsid w:val="00097935"/>
    <w:rsid w:val="000A0307"/>
    <w:rsid w:val="000A711A"/>
    <w:rsid w:val="000B02D8"/>
    <w:rsid w:val="000B0AB6"/>
    <w:rsid w:val="000B278C"/>
    <w:rsid w:val="000B4E47"/>
    <w:rsid w:val="000B598C"/>
    <w:rsid w:val="000B749A"/>
    <w:rsid w:val="000C04E8"/>
    <w:rsid w:val="000C0B84"/>
    <w:rsid w:val="000C0C91"/>
    <w:rsid w:val="000C1107"/>
    <w:rsid w:val="000C17C7"/>
    <w:rsid w:val="000C2850"/>
    <w:rsid w:val="000C5FF6"/>
    <w:rsid w:val="000D41D7"/>
    <w:rsid w:val="000D4F97"/>
    <w:rsid w:val="000E0695"/>
    <w:rsid w:val="000E1AB8"/>
    <w:rsid w:val="000E4B9B"/>
    <w:rsid w:val="000E6956"/>
    <w:rsid w:val="000E7142"/>
    <w:rsid w:val="000F388E"/>
    <w:rsid w:val="00101CBD"/>
    <w:rsid w:val="00105705"/>
    <w:rsid w:val="00110780"/>
    <w:rsid w:val="00110A41"/>
    <w:rsid w:val="00111B2F"/>
    <w:rsid w:val="00114C38"/>
    <w:rsid w:val="00114EE2"/>
    <w:rsid w:val="0011572E"/>
    <w:rsid w:val="001202F6"/>
    <w:rsid w:val="00124D25"/>
    <w:rsid w:val="00127FF5"/>
    <w:rsid w:val="00130286"/>
    <w:rsid w:val="0013237D"/>
    <w:rsid w:val="00135F83"/>
    <w:rsid w:val="0014270F"/>
    <w:rsid w:val="001479F2"/>
    <w:rsid w:val="00147F81"/>
    <w:rsid w:val="0015356E"/>
    <w:rsid w:val="00161EEF"/>
    <w:rsid w:val="00162DEF"/>
    <w:rsid w:val="00173169"/>
    <w:rsid w:val="00173ED0"/>
    <w:rsid w:val="00175D56"/>
    <w:rsid w:val="0017774F"/>
    <w:rsid w:val="001833E9"/>
    <w:rsid w:val="00183FF5"/>
    <w:rsid w:val="001868CA"/>
    <w:rsid w:val="001911C3"/>
    <w:rsid w:val="001A1217"/>
    <w:rsid w:val="001A17AA"/>
    <w:rsid w:val="001A78CF"/>
    <w:rsid w:val="001B0FED"/>
    <w:rsid w:val="001B1D94"/>
    <w:rsid w:val="001B270D"/>
    <w:rsid w:val="001B2DC3"/>
    <w:rsid w:val="001B6848"/>
    <w:rsid w:val="001C0B0E"/>
    <w:rsid w:val="001C31F1"/>
    <w:rsid w:val="001C321C"/>
    <w:rsid w:val="001C4BC6"/>
    <w:rsid w:val="001D06D9"/>
    <w:rsid w:val="001D243C"/>
    <w:rsid w:val="001D27A4"/>
    <w:rsid w:val="001D43AD"/>
    <w:rsid w:val="001D7ED8"/>
    <w:rsid w:val="001E068E"/>
    <w:rsid w:val="001E0A52"/>
    <w:rsid w:val="001E0CDB"/>
    <w:rsid w:val="001E4583"/>
    <w:rsid w:val="001E5143"/>
    <w:rsid w:val="001E5EA4"/>
    <w:rsid w:val="001E5F57"/>
    <w:rsid w:val="001E730B"/>
    <w:rsid w:val="001F5717"/>
    <w:rsid w:val="001F6F00"/>
    <w:rsid w:val="001F6FFA"/>
    <w:rsid w:val="001F7353"/>
    <w:rsid w:val="00205772"/>
    <w:rsid w:val="00205CCE"/>
    <w:rsid w:val="0020678B"/>
    <w:rsid w:val="00206B6C"/>
    <w:rsid w:val="002125EE"/>
    <w:rsid w:val="0021585A"/>
    <w:rsid w:val="0022134C"/>
    <w:rsid w:val="002228E1"/>
    <w:rsid w:val="0022693C"/>
    <w:rsid w:val="002277A1"/>
    <w:rsid w:val="002305B8"/>
    <w:rsid w:val="0023174E"/>
    <w:rsid w:val="0023484F"/>
    <w:rsid w:val="00241080"/>
    <w:rsid w:val="00241904"/>
    <w:rsid w:val="002435C9"/>
    <w:rsid w:val="00247B46"/>
    <w:rsid w:val="002574E0"/>
    <w:rsid w:val="00262D02"/>
    <w:rsid w:val="0026649B"/>
    <w:rsid w:val="002769FB"/>
    <w:rsid w:val="00281A47"/>
    <w:rsid w:val="00284E22"/>
    <w:rsid w:val="00285AD4"/>
    <w:rsid w:val="002919D0"/>
    <w:rsid w:val="0029348C"/>
    <w:rsid w:val="00293FF4"/>
    <w:rsid w:val="00294136"/>
    <w:rsid w:val="002965F4"/>
    <w:rsid w:val="0029727E"/>
    <w:rsid w:val="002A0EFB"/>
    <w:rsid w:val="002A3396"/>
    <w:rsid w:val="002A3D1D"/>
    <w:rsid w:val="002A7402"/>
    <w:rsid w:val="002A7B6C"/>
    <w:rsid w:val="002B0009"/>
    <w:rsid w:val="002B4970"/>
    <w:rsid w:val="002C0FED"/>
    <w:rsid w:val="002C56CD"/>
    <w:rsid w:val="002D5292"/>
    <w:rsid w:val="002E1B12"/>
    <w:rsid w:val="002E27D2"/>
    <w:rsid w:val="002E5195"/>
    <w:rsid w:val="002E64B6"/>
    <w:rsid w:val="002F35F6"/>
    <w:rsid w:val="002F4995"/>
    <w:rsid w:val="003010C8"/>
    <w:rsid w:val="00305772"/>
    <w:rsid w:val="0030591D"/>
    <w:rsid w:val="00305D85"/>
    <w:rsid w:val="003073A4"/>
    <w:rsid w:val="00307C02"/>
    <w:rsid w:val="00310AB6"/>
    <w:rsid w:val="00311B15"/>
    <w:rsid w:val="003146D6"/>
    <w:rsid w:val="00320B7B"/>
    <w:rsid w:val="00320DC7"/>
    <w:rsid w:val="00327D71"/>
    <w:rsid w:val="00330B30"/>
    <w:rsid w:val="00332270"/>
    <w:rsid w:val="00337F01"/>
    <w:rsid w:val="003402C4"/>
    <w:rsid w:val="00343DAA"/>
    <w:rsid w:val="0034539C"/>
    <w:rsid w:val="00346654"/>
    <w:rsid w:val="003474EC"/>
    <w:rsid w:val="00350A50"/>
    <w:rsid w:val="00351AC4"/>
    <w:rsid w:val="00357923"/>
    <w:rsid w:val="00360D8A"/>
    <w:rsid w:val="003612A2"/>
    <w:rsid w:val="0036511B"/>
    <w:rsid w:val="00365828"/>
    <w:rsid w:val="00371282"/>
    <w:rsid w:val="003712DE"/>
    <w:rsid w:val="00372327"/>
    <w:rsid w:val="00372B26"/>
    <w:rsid w:val="00372BDD"/>
    <w:rsid w:val="00372D78"/>
    <w:rsid w:val="00374101"/>
    <w:rsid w:val="00376112"/>
    <w:rsid w:val="00377191"/>
    <w:rsid w:val="003775EB"/>
    <w:rsid w:val="003812D9"/>
    <w:rsid w:val="00382A82"/>
    <w:rsid w:val="00383710"/>
    <w:rsid w:val="00384660"/>
    <w:rsid w:val="003919EA"/>
    <w:rsid w:val="00391D7D"/>
    <w:rsid w:val="00393112"/>
    <w:rsid w:val="0039328F"/>
    <w:rsid w:val="00393AB1"/>
    <w:rsid w:val="00397BCC"/>
    <w:rsid w:val="003A13F2"/>
    <w:rsid w:val="003A2302"/>
    <w:rsid w:val="003A5726"/>
    <w:rsid w:val="003A62F9"/>
    <w:rsid w:val="003B3E81"/>
    <w:rsid w:val="003B6366"/>
    <w:rsid w:val="003C2F49"/>
    <w:rsid w:val="003C4A7F"/>
    <w:rsid w:val="003C53C4"/>
    <w:rsid w:val="003C7A7F"/>
    <w:rsid w:val="003D29C2"/>
    <w:rsid w:val="003D5350"/>
    <w:rsid w:val="003E0396"/>
    <w:rsid w:val="003E17D1"/>
    <w:rsid w:val="003E409C"/>
    <w:rsid w:val="003E5D82"/>
    <w:rsid w:val="003F1C1E"/>
    <w:rsid w:val="003F417C"/>
    <w:rsid w:val="003F48A9"/>
    <w:rsid w:val="003F55A5"/>
    <w:rsid w:val="003F6005"/>
    <w:rsid w:val="004072F8"/>
    <w:rsid w:val="0041020C"/>
    <w:rsid w:val="0041181E"/>
    <w:rsid w:val="00412AD8"/>
    <w:rsid w:val="00413C43"/>
    <w:rsid w:val="00413D41"/>
    <w:rsid w:val="00414777"/>
    <w:rsid w:val="00416068"/>
    <w:rsid w:val="00416889"/>
    <w:rsid w:val="004200ED"/>
    <w:rsid w:val="00421174"/>
    <w:rsid w:val="0042186C"/>
    <w:rsid w:val="00422C10"/>
    <w:rsid w:val="00423CC7"/>
    <w:rsid w:val="00423DE6"/>
    <w:rsid w:val="004312DC"/>
    <w:rsid w:val="0043163D"/>
    <w:rsid w:val="0043229A"/>
    <w:rsid w:val="0043553F"/>
    <w:rsid w:val="004365C6"/>
    <w:rsid w:val="00436AA4"/>
    <w:rsid w:val="00442077"/>
    <w:rsid w:val="004423CB"/>
    <w:rsid w:val="00442DBC"/>
    <w:rsid w:val="00443105"/>
    <w:rsid w:val="00444E4D"/>
    <w:rsid w:val="00450528"/>
    <w:rsid w:val="0045435F"/>
    <w:rsid w:val="00457564"/>
    <w:rsid w:val="00461AE2"/>
    <w:rsid w:val="00462BA5"/>
    <w:rsid w:val="00462C13"/>
    <w:rsid w:val="004637BC"/>
    <w:rsid w:val="00463D05"/>
    <w:rsid w:val="0046548B"/>
    <w:rsid w:val="00467450"/>
    <w:rsid w:val="004679BA"/>
    <w:rsid w:val="004712A7"/>
    <w:rsid w:val="0047188F"/>
    <w:rsid w:val="00475CC9"/>
    <w:rsid w:val="004767FE"/>
    <w:rsid w:val="00476D44"/>
    <w:rsid w:val="0048016E"/>
    <w:rsid w:val="0048037C"/>
    <w:rsid w:val="00481371"/>
    <w:rsid w:val="0048410B"/>
    <w:rsid w:val="00491C5C"/>
    <w:rsid w:val="00493B23"/>
    <w:rsid w:val="0049522E"/>
    <w:rsid w:val="00495490"/>
    <w:rsid w:val="004954A9"/>
    <w:rsid w:val="00496242"/>
    <w:rsid w:val="00496658"/>
    <w:rsid w:val="00496BEC"/>
    <w:rsid w:val="0049775B"/>
    <w:rsid w:val="00497DB5"/>
    <w:rsid w:val="004A1316"/>
    <w:rsid w:val="004A13D2"/>
    <w:rsid w:val="004A24F6"/>
    <w:rsid w:val="004A330D"/>
    <w:rsid w:val="004A72D4"/>
    <w:rsid w:val="004B12B4"/>
    <w:rsid w:val="004B1F01"/>
    <w:rsid w:val="004B2ED1"/>
    <w:rsid w:val="004B4F0D"/>
    <w:rsid w:val="004B656A"/>
    <w:rsid w:val="004B7CD6"/>
    <w:rsid w:val="004C75CE"/>
    <w:rsid w:val="004D3B12"/>
    <w:rsid w:val="004D775C"/>
    <w:rsid w:val="004D7C76"/>
    <w:rsid w:val="004E0688"/>
    <w:rsid w:val="004E0A0C"/>
    <w:rsid w:val="004E2C5B"/>
    <w:rsid w:val="004E511B"/>
    <w:rsid w:val="004E53B3"/>
    <w:rsid w:val="004E594A"/>
    <w:rsid w:val="004E5BA0"/>
    <w:rsid w:val="004E620B"/>
    <w:rsid w:val="004E7B38"/>
    <w:rsid w:val="004F1880"/>
    <w:rsid w:val="004F2CD9"/>
    <w:rsid w:val="004F6C27"/>
    <w:rsid w:val="00500311"/>
    <w:rsid w:val="0050401B"/>
    <w:rsid w:val="00504F5F"/>
    <w:rsid w:val="00504FFD"/>
    <w:rsid w:val="0050705E"/>
    <w:rsid w:val="00511D5E"/>
    <w:rsid w:val="00515B00"/>
    <w:rsid w:val="00515B20"/>
    <w:rsid w:val="00516718"/>
    <w:rsid w:val="00516C2E"/>
    <w:rsid w:val="0052067A"/>
    <w:rsid w:val="00520DEC"/>
    <w:rsid w:val="00520FB3"/>
    <w:rsid w:val="00521801"/>
    <w:rsid w:val="005242EE"/>
    <w:rsid w:val="00526034"/>
    <w:rsid w:val="00526AAB"/>
    <w:rsid w:val="005272D5"/>
    <w:rsid w:val="005312E9"/>
    <w:rsid w:val="005314CA"/>
    <w:rsid w:val="00531EE3"/>
    <w:rsid w:val="005338AF"/>
    <w:rsid w:val="00535AE4"/>
    <w:rsid w:val="0053745D"/>
    <w:rsid w:val="005375A4"/>
    <w:rsid w:val="0054691D"/>
    <w:rsid w:val="0054738D"/>
    <w:rsid w:val="00552E18"/>
    <w:rsid w:val="00561144"/>
    <w:rsid w:val="0056148F"/>
    <w:rsid w:val="0056239D"/>
    <w:rsid w:val="00563157"/>
    <w:rsid w:val="0056464E"/>
    <w:rsid w:val="00564B7D"/>
    <w:rsid w:val="00567614"/>
    <w:rsid w:val="005731B6"/>
    <w:rsid w:val="00575175"/>
    <w:rsid w:val="00583659"/>
    <w:rsid w:val="00584CDE"/>
    <w:rsid w:val="00592826"/>
    <w:rsid w:val="00596154"/>
    <w:rsid w:val="005A01BE"/>
    <w:rsid w:val="005A7F72"/>
    <w:rsid w:val="005B2676"/>
    <w:rsid w:val="005B2C58"/>
    <w:rsid w:val="005B4397"/>
    <w:rsid w:val="005B4BAD"/>
    <w:rsid w:val="005B746E"/>
    <w:rsid w:val="005C061F"/>
    <w:rsid w:val="005C2718"/>
    <w:rsid w:val="005C2CB6"/>
    <w:rsid w:val="005D103A"/>
    <w:rsid w:val="005D1354"/>
    <w:rsid w:val="005D2AD5"/>
    <w:rsid w:val="005D431B"/>
    <w:rsid w:val="005D5637"/>
    <w:rsid w:val="005E1E99"/>
    <w:rsid w:val="005E1F12"/>
    <w:rsid w:val="005E248A"/>
    <w:rsid w:val="005E300F"/>
    <w:rsid w:val="005E3CA0"/>
    <w:rsid w:val="005E7296"/>
    <w:rsid w:val="005F0E60"/>
    <w:rsid w:val="005F193F"/>
    <w:rsid w:val="005F4B12"/>
    <w:rsid w:val="005F6D0B"/>
    <w:rsid w:val="005F7D8E"/>
    <w:rsid w:val="0060449D"/>
    <w:rsid w:val="00604558"/>
    <w:rsid w:val="00605C95"/>
    <w:rsid w:val="0060729C"/>
    <w:rsid w:val="00611AB9"/>
    <w:rsid w:val="00613D59"/>
    <w:rsid w:val="006151E7"/>
    <w:rsid w:val="00621967"/>
    <w:rsid w:val="006260BB"/>
    <w:rsid w:val="00633769"/>
    <w:rsid w:val="00634DFB"/>
    <w:rsid w:val="00635512"/>
    <w:rsid w:val="006362FD"/>
    <w:rsid w:val="00640994"/>
    <w:rsid w:val="00641507"/>
    <w:rsid w:val="00641E0C"/>
    <w:rsid w:val="00644421"/>
    <w:rsid w:val="00653753"/>
    <w:rsid w:val="00653D29"/>
    <w:rsid w:val="00653DD4"/>
    <w:rsid w:val="00657BC3"/>
    <w:rsid w:val="0066180F"/>
    <w:rsid w:val="00662170"/>
    <w:rsid w:val="00665568"/>
    <w:rsid w:val="0066578D"/>
    <w:rsid w:val="00673F22"/>
    <w:rsid w:val="00675BF8"/>
    <w:rsid w:val="00676283"/>
    <w:rsid w:val="00680B65"/>
    <w:rsid w:val="00681337"/>
    <w:rsid w:val="00681872"/>
    <w:rsid w:val="006818E7"/>
    <w:rsid w:val="006819A3"/>
    <w:rsid w:val="00682682"/>
    <w:rsid w:val="00682AF2"/>
    <w:rsid w:val="006831FC"/>
    <w:rsid w:val="00683F81"/>
    <w:rsid w:val="006866EF"/>
    <w:rsid w:val="00687605"/>
    <w:rsid w:val="006920EC"/>
    <w:rsid w:val="00695174"/>
    <w:rsid w:val="00696BAC"/>
    <w:rsid w:val="006A2EDC"/>
    <w:rsid w:val="006A52A6"/>
    <w:rsid w:val="006A5DB6"/>
    <w:rsid w:val="006A5F7D"/>
    <w:rsid w:val="006A6A7D"/>
    <w:rsid w:val="006A6E8B"/>
    <w:rsid w:val="006A7830"/>
    <w:rsid w:val="006A7AA6"/>
    <w:rsid w:val="006B001C"/>
    <w:rsid w:val="006B21A5"/>
    <w:rsid w:val="006B2384"/>
    <w:rsid w:val="006B4068"/>
    <w:rsid w:val="006B7DD2"/>
    <w:rsid w:val="006C0252"/>
    <w:rsid w:val="006C3D4C"/>
    <w:rsid w:val="006C4CA7"/>
    <w:rsid w:val="006C60DA"/>
    <w:rsid w:val="006C632B"/>
    <w:rsid w:val="006C70AE"/>
    <w:rsid w:val="006E2882"/>
    <w:rsid w:val="006E2AD6"/>
    <w:rsid w:val="006E2FA2"/>
    <w:rsid w:val="006E3195"/>
    <w:rsid w:val="006E3CB0"/>
    <w:rsid w:val="006F1570"/>
    <w:rsid w:val="006F1892"/>
    <w:rsid w:val="006F4A41"/>
    <w:rsid w:val="0070363D"/>
    <w:rsid w:val="00706366"/>
    <w:rsid w:val="007064E5"/>
    <w:rsid w:val="00707B1D"/>
    <w:rsid w:val="00707B87"/>
    <w:rsid w:val="0071324F"/>
    <w:rsid w:val="00714771"/>
    <w:rsid w:val="00714B40"/>
    <w:rsid w:val="00715584"/>
    <w:rsid w:val="007156AC"/>
    <w:rsid w:val="00715774"/>
    <w:rsid w:val="00716188"/>
    <w:rsid w:val="00721682"/>
    <w:rsid w:val="00722BB5"/>
    <w:rsid w:val="00733602"/>
    <w:rsid w:val="00736267"/>
    <w:rsid w:val="0073678A"/>
    <w:rsid w:val="00737BD8"/>
    <w:rsid w:val="00737CAC"/>
    <w:rsid w:val="00740C07"/>
    <w:rsid w:val="00750649"/>
    <w:rsid w:val="0075285A"/>
    <w:rsid w:val="007538CC"/>
    <w:rsid w:val="007550FB"/>
    <w:rsid w:val="00755530"/>
    <w:rsid w:val="00755FBF"/>
    <w:rsid w:val="00756788"/>
    <w:rsid w:val="007600C3"/>
    <w:rsid w:val="007609AE"/>
    <w:rsid w:val="00765183"/>
    <w:rsid w:val="00770788"/>
    <w:rsid w:val="00774F94"/>
    <w:rsid w:val="00775EBC"/>
    <w:rsid w:val="00775F6E"/>
    <w:rsid w:val="007767BD"/>
    <w:rsid w:val="0078022B"/>
    <w:rsid w:val="007825F3"/>
    <w:rsid w:val="00783185"/>
    <w:rsid w:val="00784D51"/>
    <w:rsid w:val="00785CF2"/>
    <w:rsid w:val="00786FF0"/>
    <w:rsid w:val="0078772C"/>
    <w:rsid w:val="007901C1"/>
    <w:rsid w:val="00790425"/>
    <w:rsid w:val="007933F4"/>
    <w:rsid w:val="007937B7"/>
    <w:rsid w:val="007943E5"/>
    <w:rsid w:val="007966A5"/>
    <w:rsid w:val="007A39F7"/>
    <w:rsid w:val="007A41E4"/>
    <w:rsid w:val="007A51E4"/>
    <w:rsid w:val="007A5D2F"/>
    <w:rsid w:val="007B26B8"/>
    <w:rsid w:val="007B26E3"/>
    <w:rsid w:val="007B57A9"/>
    <w:rsid w:val="007B6429"/>
    <w:rsid w:val="007B6D12"/>
    <w:rsid w:val="007C15C9"/>
    <w:rsid w:val="007C18F6"/>
    <w:rsid w:val="007C1E70"/>
    <w:rsid w:val="007C7E27"/>
    <w:rsid w:val="007D08B2"/>
    <w:rsid w:val="007D3D26"/>
    <w:rsid w:val="007D7535"/>
    <w:rsid w:val="007E143E"/>
    <w:rsid w:val="007E4CB8"/>
    <w:rsid w:val="007E54F6"/>
    <w:rsid w:val="007E5B8E"/>
    <w:rsid w:val="007E6090"/>
    <w:rsid w:val="007E76DB"/>
    <w:rsid w:val="007F3FAB"/>
    <w:rsid w:val="007F463A"/>
    <w:rsid w:val="007F52A9"/>
    <w:rsid w:val="007F6C1B"/>
    <w:rsid w:val="00800301"/>
    <w:rsid w:val="00800C31"/>
    <w:rsid w:val="008066EE"/>
    <w:rsid w:val="00811FE7"/>
    <w:rsid w:val="008127FF"/>
    <w:rsid w:val="0082366B"/>
    <w:rsid w:val="008253B8"/>
    <w:rsid w:val="00826EFE"/>
    <w:rsid w:val="008271F2"/>
    <w:rsid w:val="0083009F"/>
    <w:rsid w:val="008300A5"/>
    <w:rsid w:val="00831578"/>
    <w:rsid w:val="00832D00"/>
    <w:rsid w:val="008352FE"/>
    <w:rsid w:val="00835928"/>
    <w:rsid w:val="00835DCC"/>
    <w:rsid w:val="008377A1"/>
    <w:rsid w:val="00841151"/>
    <w:rsid w:val="008425B2"/>
    <w:rsid w:val="00842BD0"/>
    <w:rsid w:val="00843838"/>
    <w:rsid w:val="00843FA6"/>
    <w:rsid w:val="008450E7"/>
    <w:rsid w:val="00850401"/>
    <w:rsid w:val="00851E61"/>
    <w:rsid w:val="00853BDA"/>
    <w:rsid w:val="00855D9B"/>
    <w:rsid w:val="00855F50"/>
    <w:rsid w:val="0085710F"/>
    <w:rsid w:val="00860065"/>
    <w:rsid w:val="00861816"/>
    <w:rsid w:val="00862701"/>
    <w:rsid w:val="008636CA"/>
    <w:rsid w:val="0086390A"/>
    <w:rsid w:val="00865E8A"/>
    <w:rsid w:val="0086676A"/>
    <w:rsid w:val="008746F7"/>
    <w:rsid w:val="00874ADE"/>
    <w:rsid w:val="00876C58"/>
    <w:rsid w:val="00880607"/>
    <w:rsid w:val="00883BA5"/>
    <w:rsid w:val="00885238"/>
    <w:rsid w:val="008877C5"/>
    <w:rsid w:val="00891306"/>
    <w:rsid w:val="0089133F"/>
    <w:rsid w:val="00894565"/>
    <w:rsid w:val="00896746"/>
    <w:rsid w:val="008A067C"/>
    <w:rsid w:val="008A4A3E"/>
    <w:rsid w:val="008B232C"/>
    <w:rsid w:val="008B3CDF"/>
    <w:rsid w:val="008B5A7B"/>
    <w:rsid w:val="008B6507"/>
    <w:rsid w:val="008B6DE5"/>
    <w:rsid w:val="008B6EEB"/>
    <w:rsid w:val="008C072E"/>
    <w:rsid w:val="008C4E01"/>
    <w:rsid w:val="008D16D9"/>
    <w:rsid w:val="008D2324"/>
    <w:rsid w:val="008D392B"/>
    <w:rsid w:val="008D46C5"/>
    <w:rsid w:val="008D49B2"/>
    <w:rsid w:val="008D70EC"/>
    <w:rsid w:val="008E0F8A"/>
    <w:rsid w:val="008E1A5D"/>
    <w:rsid w:val="008E2E2D"/>
    <w:rsid w:val="008E53DA"/>
    <w:rsid w:val="008E6123"/>
    <w:rsid w:val="008F0579"/>
    <w:rsid w:val="008F057C"/>
    <w:rsid w:val="008F1F0B"/>
    <w:rsid w:val="008F36EC"/>
    <w:rsid w:val="008F37A7"/>
    <w:rsid w:val="008F3ED7"/>
    <w:rsid w:val="008F726E"/>
    <w:rsid w:val="00900199"/>
    <w:rsid w:val="00901789"/>
    <w:rsid w:val="00902B54"/>
    <w:rsid w:val="009040F8"/>
    <w:rsid w:val="00911151"/>
    <w:rsid w:val="00912C27"/>
    <w:rsid w:val="00917DE9"/>
    <w:rsid w:val="00923501"/>
    <w:rsid w:val="00925672"/>
    <w:rsid w:val="00927692"/>
    <w:rsid w:val="0093361D"/>
    <w:rsid w:val="009351C9"/>
    <w:rsid w:val="0093651A"/>
    <w:rsid w:val="009403FB"/>
    <w:rsid w:val="0094252E"/>
    <w:rsid w:val="009444AC"/>
    <w:rsid w:val="00945E43"/>
    <w:rsid w:val="00946476"/>
    <w:rsid w:val="00946548"/>
    <w:rsid w:val="009518F6"/>
    <w:rsid w:val="00953ADC"/>
    <w:rsid w:val="00954A6F"/>
    <w:rsid w:val="00955804"/>
    <w:rsid w:val="00955C61"/>
    <w:rsid w:val="0095636C"/>
    <w:rsid w:val="00957221"/>
    <w:rsid w:val="009642AF"/>
    <w:rsid w:val="00964E38"/>
    <w:rsid w:val="0097315F"/>
    <w:rsid w:val="00985E40"/>
    <w:rsid w:val="00991392"/>
    <w:rsid w:val="009918D7"/>
    <w:rsid w:val="009922E5"/>
    <w:rsid w:val="00995297"/>
    <w:rsid w:val="009A1487"/>
    <w:rsid w:val="009A1801"/>
    <w:rsid w:val="009A227B"/>
    <w:rsid w:val="009A23DB"/>
    <w:rsid w:val="009A2930"/>
    <w:rsid w:val="009A4D7A"/>
    <w:rsid w:val="009A53D9"/>
    <w:rsid w:val="009B0A48"/>
    <w:rsid w:val="009B1F34"/>
    <w:rsid w:val="009B201C"/>
    <w:rsid w:val="009B395A"/>
    <w:rsid w:val="009B4579"/>
    <w:rsid w:val="009B6BB3"/>
    <w:rsid w:val="009C1230"/>
    <w:rsid w:val="009C12DD"/>
    <w:rsid w:val="009C3A60"/>
    <w:rsid w:val="009C4A53"/>
    <w:rsid w:val="009D0DA1"/>
    <w:rsid w:val="009D0F76"/>
    <w:rsid w:val="009D3968"/>
    <w:rsid w:val="009D4A9D"/>
    <w:rsid w:val="009E15F9"/>
    <w:rsid w:val="009E4882"/>
    <w:rsid w:val="009E4BE1"/>
    <w:rsid w:val="009E600E"/>
    <w:rsid w:val="009F115B"/>
    <w:rsid w:val="009F2795"/>
    <w:rsid w:val="009F2F9E"/>
    <w:rsid w:val="009F7A4E"/>
    <w:rsid w:val="009F7A60"/>
    <w:rsid w:val="00A00885"/>
    <w:rsid w:val="00A03468"/>
    <w:rsid w:val="00A12A89"/>
    <w:rsid w:val="00A12CAC"/>
    <w:rsid w:val="00A134FD"/>
    <w:rsid w:val="00A14DAF"/>
    <w:rsid w:val="00A171DA"/>
    <w:rsid w:val="00A17910"/>
    <w:rsid w:val="00A220B6"/>
    <w:rsid w:val="00A22242"/>
    <w:rsid w:val="00A25235"/>
    <w:rsid w:val="00A265BA"/>
    <w:rsid w:val="00A305AD"/>
    <w:rsid w:val="00A30C8A"/>
    <w:rsid w:val="00A325FE"/>
    <w:rsid w:val="00A35349"/>
    <w:rsid w:val="00A41068"/>
    <w:rsid w:val="00A43523"/>
    <w:rsid w:val="00A448DA"/>
    <w:rsid w:val="00A45354"/>
    <w:rsid w:val="00A47AEA"/>
    <w:rsid w:val="00A5139D"/>
    <w:rsid w:val="00A51B33"/>
    <w:rsid w:val="00A5238A"/>
    <w:rsid w:val="00A551BE"/>
    <w:rsid w:val="00A617CD"/>
    <w:rsid w:val="00A61A0A"/>
    <w:rsid w:val="00A63371"/>
    <w:rsid w:val="00A63DEA"/>
    <w:rsid w:val="00A70B68"/>
    <w:rsid w:val="00A712DE"/>
    <w:rsid w:val="00A76E90"/>
    <w:rsid w:val="00A80FFC"/>
    <w:rsid w:val="00A820EC"/>
    <w:rsid w:val="00A82893"/>
    <w:rsid w:val="00A83E02"/>
    <w:rsid w:val="00A847F3"/>
    <w:rsid w:val="00A84992"/>
    <w:rsid w:val="00A940C0"/>
    <w:rsid w:val="00A94752"/>
    <w:rsid w:val="00A9739E"/>
    <w:rsid w:val="00AA2CCE"/>
    <w:rsid w:val="00AA4147"/>
    <w:rsid w:val="00AA5335"/>
    <w:rsid w:val="00AA53E8"/>
    <w:rsid w:val="00AA5ACC"/>
    <w:rsid w:val="00AB1754"/>
    <w:rsid w:val="00AB390D"/>
    <w:rsid w:val="00AB55D9"/>
    <w:rsid w:val="00AB65F8"/>
    <w:rsid w:val="00AB6BFF"/>
    <w:rsid w:val="00AC1D04"/>
    <w:rsid w:val="00AC2295"/>
    <w:rsid w:val="00AC2B72"/>
    <w:rsid w:val="00AC2C73"/>
    <w:rsid w:val="00AC464A"/>
    <w:rsid w:val="00AC6D7D"/>
    <w:rsid w:val="00AC7FFE"/>
    <w:rsid w:val="00AD0D1E"/>
    <w:rsid w:val="00AD1F90"/>
    <w:rsid w:val="00AD4DAC"/>
    <w:rsid w:val="00AD614B"/>
    <w:rsid w:val="00AD7184"/>
    <w:rsid w:val="00AE146B"/>
    <w:rsid w:val="00AE1D8D"/>
    <w:rsid w:val="00AE1F6B"/>
    <w:rsid w:val="00AE6DC4"/>
    <w:rsid w:val="00AF271D"/>
    <w:rsid w:val="00AF56AB"/>
    <w:rsid w:val="00AF5B64"/>
    <w:rsid w:val="00AF5D4C"/>
    <w:rsid w:val="00B0000B"/>
    <w:rsid w:val="00B01519"/>
    <w:rsid w:val="00B03515"/>
    <w:rsid w:val="00B04308"/>
    <w:rsid w:val="00B07747"/>
    <w:rsid w:val="00B10A7F"/>
    <w:rsid w:val="00B129EC"/>
    <w:rsid w:val="00B139FC"/>
    <w:rsid w:val="00B14BB9"/>
    <w:rsid w:val="00B15288"/>
    <w:rsid w:val="00B1619F"/>
    <w:rsid w:val="00B22672"/>
    <w:rsid w:val="00B23178"/>
    <w:rsid w:val="00B2325A"/>
    <w:rsid w:val="00B23F19"/>
    <w:rsid w:val="00B23FCE"/>
    <w:rsid w:val="00B30145"/>
    <w:rsid w:val="00B3125C"/>
    <w:rsid w:val="00B32479"/>
    <w:rsid w:val="00B3285F"/>
    <w:rsid w:val="00B3412A"/>
    <w:rsid w:val="00B3501B"/>
    <w:rsid w:val="00B37955"/>
    <w:rsid w:val="00B41378"/>
    <w:rsid w:val="00B41394"/>
    <w:rsid w:val="00B41997"/>
    <w:rsid w:val="00B44719"/>
    <w:rsid w:val="00B46069"/>
    <w:rsid w:val="00B52E57"/>
    <w:rsid w:val="00B556D7"/>
    <w:rsid w:val="00B56F07"/>
    <w:rsid w:val="00B575CF"/>
    <w:rsid w:val="00B60A4B"/>
    <w:rsid w:val="00B647BB"/>
    <w:rsid w:val="00B6560D"/>
    <w:rsid w:val="00B65915"/>
    <w:rsid w:val="00B66C57"/>
    <w:rsid w:val="00B70E99"/>
    <w:rsid w:val="00B71CA9"/>
    <w:rsid w:val="00B722F0"/>
    <w:rsid w:val="00B724D3"/>
    <w:rsid w:val="00B728AE"/>
    <w:rsid w:val="00B746AE"/>
    <w:rsid w:val="00B7508D"/>
    <w:rsid w:val="00B76279"/>
    <w:rsid w:val="00B81930"/>
    <w:rsid w:val="00B828A3"/>
    <w:rsid w:val="00B8316F"/>
    <w:rsid w:val="00B832B6"/>
    <w:rsid w:val="00B83638"/>
    <w:rsid w:val="00B83645"/>
    <w:rsid w:val="00B86638"/>
    <w:rsid w:val="00B86DF4"/>
    <w:rsid w:val="00B921BF"/>
    <w:rsid w:val="00B9238B"/>
    <w:rsid w:val="00B9248C"/>
    <w:rsid w:val="00B93DDD"/>
    <w:rsid w:val="00B9685B"/>
    <w:rsid w:val="00B972AE"/>
    <w:rsid w:val="00B97EFB"/>
    <w:rsid w:val="00B97EFF"/>
    <w:rsid w:val="00BA1596"/>
    <w:rsid w:val="00BA222F"/>
    <w:rsid w:val="00BA381E"/>
    <w:rsid w:val="00BA634F"/>
    <w:rsid w:val="00BA6D49"/>
    <w:rsid w:val="00BA7A18"/>
    <w:rsid w:val="00BB1F72"/>
    <w:rsid w:val="00BB2E00"/>
    <w:rsid w:val="00BB352E"/>
    <w:rsid w:val="00BB460E"/>
    <w:rsid w:val="00BB6B98"/>
    <w:rsid w:val="00BC4D4B"/>
    <w:rsid w:val="00BC5C72"/>
    <w:rsid w:val="00BC67ED"/>
    <w:rsid w:val="00BD0303"/>
    <w:rsid w:val="00BD0321"/>
    <w:rsid w:val="00BD1123"/>
    <w:rsid w:val="00BD3E6E"/>
    <w:rsid w:val="00BE0E09"/>
    <w:rsid w:val="00BE0E40"/>
    <w:rsid w:val="00BE25A1"/>
    <w:rsid w:val="00BE61DF"/>
    <w:rsid w:val="00BE63A6"/>
    <w:rsid w:val="00BE7C6D"/>
    <w:rsid w:val="00BE7FD7"/>
    <w:rsid w:val="00BF073A"/>
    <w:rsid w:val="00BF1BDA"/>
    <w:rsid w:val="00C01D35"/>
    <w:rsid w:val="00C02C63"/>
    <w:rsid w:val="00C148F9"/>
    <w:rsid w:val="00C1508F"/>
    <w:rsid w:val="00C16A13"/>
    <w:rsid w:val="00C16A43"/>
    <w:rsid w:val="00C171FB"/>
    <w:rsid w:val="00C20338"/>
    <w:rsid w:val="00C20A56"/>
    <w:rsid w:val="00C216BF"/>
    <w:rsid w:val="00C22FC4"/>
    <w:rsid w:val="00C27D47"/>
    <w:rsid w:val="00C349DD"/>
    <w:rsid w:val="00C34EB7"/>
    <w:rsid w:val="00C41C17"/>
    <w:rsid w:val="00C43022"/>
    <w:rsid w:val="00C45E91"/>
    <w:rsid w:val="00C4614D"/>
    <w:rsid w:val="00C46C62"/>
    <w:rsid w:val="00C4722C"/>
    <w:rsid w:val="00C517A5"/>
    <w:rsid w:val="00C53735"/>
    <w:rsid w:val="00C5490E"/>
    <w:rsid w:val="00C55F69"/>
    <w:rsid w:val="00C564C2"/>
    <w:rsid w:val="00C5684E"/>
    <w:rsid w:val="00C568E5"/>
    <w:rsid w:val="00C56B29"/>
    <w:rsid w:val="00C578A3"/>
    <w:rsid w:val="00C6217E"/>
    <w:rsid w:val="00C627F5"/>
    <w:rsid w:val="00C635A7"/>
    <w:rsid w:val="00C6435E"/>
    <w:rsid w:val="00C64645"/>
    <w:rsid w:val="00C646B0"/>
    <w:rsid w:val="00C70818"/>
    <w:rsid w:val="00C71F7E"/>
    <w:rsid w:val="00C72260"/>
    <w:rsid w:val="00C74402"/>
    <w:rsid w:val="00C74608"/>
    <w:rsid w:val="00C74806"/>
    <w:rsid w:val="00C76860"/>
    <w:rsid w:val="00C76ACB"/>
    <w:rsid w:val="00C80BE4"/>
    <w:rsid w:val="00C81AAA"/>
    <w:rsid w:val="00C828FE"/>
    <w:rsid w:val="00C85211"/>
    <w:rsid w:val="00C85581"/>
    <w:rsid w:val="00C90A11"/>
    <w:rsid w:val="00C915FE"/>
    <w:rsid w:val="00C917FD"/>
    <w:rsid w:val="00C92302"/>
    <w:rsid w:val="00C9533C"/>
    <w:rsid w:val="00C96789"/>
    <w:rsid w:val="00CA03E0"/>
    <w:rsid w:val="00CA09A3"/>
    <w:rsid w:val="00CA228A"/>
    <w:rsid w:val="00CA356B"/>
    <w:rsid w:val="00CA4F9B"/>
    <w:rsid w:val="00CA5BC6"/>
    <w:rsid w:val="00CA7422"/>
    <w:rsid w:val="00CA792A"/>
    <w:rsid w:val="00CB5042"/>
    <w:rsid w:val="00CB5CDC"/>
    <w:rsid w:val="00CB6506"/>
    <w:rsid w:val="00CC0C03"/>
    <w:rsid w:val="00CC1CDD"/>
    <w:rsid w:val="00CC3C8C"/>
    <w:rsid w:val="00CC53E5"/>
    <w:rsid w:val="00CC6558"/>
    <w:rsid w:val="00CC6972"/>
    <w:rsid w:val="00CC77B0"/>
    <w:rsid w:val="00CD155D"/>
    <w:rsid w:val="00CE29C1"/>
    <w:rsid w:val="00CE4C2F"/>
    <w:rsid w:val="00CE52ED"/>
    <w:rsid w:val="00CF0CC7"/>
    <w:rsid w:val="00CF1809"/>
    <w:rsid w:val="00CF2BC1"/>
    <w:rsid w:val="00CF45B1"/>
    <w:rsid w:val="00CF466A"/>
    <w:rsid w:val="00CF5020"/>
    <w:rsid w:val="00CF7865"/>
    <w:rsid w:val="00D04467"/>
    <w:rsid w:val="00D130A8"/>
    <w:rsid w:val="00D162A9"/>
    <w:rsid w:val="00D20106"/>
    <w:rsid w:val="00D2112B"/>
    <w:rsid w:val="00D22522"/>
    <w:rsid w:val="00D279EE"/>
    <w:rsid w:val="00D33995"/>
    <w:rsid w:val="00D40068"/>
    <w:rsid w:val="00D41EA2"/>
    <w:rsid w:val="00D42218"/>
    <w:rsid w:val="00D43920"/>
    <w:rsid w:val="00D46E09"/>
    <w:rsid w:val="00D476CC"/>
    <w:rsid w:val="00D47B4C"/>
    <w:rsid w:val="00D51B10"/>
    <w:rsid w:val="00D522CE"/>
    <w:rsid w:val="00D5295F"/>
    <w:rsid w:val="00D540C1"/>
    <w:rsid w:val="00D54F19"/>
    <w:rsid w:val="00D55324"/>
    <w:rsid w:val="00D60A46"/>
    <w:rsid w:val="00D60ACB"/>
    <w:rsid w:val="00D622EF"/>
    <w:rsid w:val="00D6277A"/>
    <w:rsid w:val="00D64351"/>
    <w:rsid w:val="00D64674"/>
    <w:rsid w:val="00D646D6"/>
    <w:rsid w:val="00D6539E"/>
    <w:rsid w:val="00D6784C"/>
    <w:rsid w:val="00D7090D"/>
    <w:rsid w:val="00D7143E"/>
    <w:rsid w:val="00D75565"/>
    <w:rsid w:val="00D7684A"/>
    <w:rsid w:val="00D77FC5"/>
    <w:rsid w:val="00D805EC"/>
    <w:rsid w:val="00D8165E"/>
    <w:rsid w:val="00D8588E"/>
    <w:rsid w:val="00D86BA1"/>
    <w:rsid w:val="00D86C2C"/>
    <w:rsid w:val="00D87556"/>
    <w:rsid w:val="00D917C3"/>
    <w:rsid w:val="00DA29C4"/>
    <w:rsid w:val="00DA30B1"/>
    <w:rsid w:val="00DA4AFA"/>
    <w:rsid w:val="00DA7AB8"/>
    <w:rsid w:val="00DB023B"/>
    <w:rsid w:val="00DB34DA"/>
    <w:rsid w:val="00DB3599"/>
    <w:rsid w:val="00DB518E"/>
    <w:rsid w:val="00DB51EF"/>
    <w:rsid w:val="00DB7701"/>
    <w:rsid w:val="00DC2052"/>
    <w:rsid w:val="00DC29F7"/>
    <w:rsid w:val="00DC2D2D"/>
    <w:rsid w:val="00DC3957"/>
    <w:rsid w:val="00DC3A13"/>
    <w:rsid w:val="00DC3C22"/>
    <w:rsid w:val="00DD08F8"/>
    <w:rsid w:val="00DD176C"/>
    <w:rsid w:val="00DD4C1C"/>
    <w:rsid w:val="00DD557D"/>
    <w:rsid w:val="00DD5CD4"/>
    <w:rsid w:val="00DD6598"/>
    <w:rsid w:val="00DD6C7D"/>
    <w:rsid w:val="00DD721D"/>
    <w:rsid w:val="00DE0238"/>
    <w:rsid w:val="00DE5A3A"/>
    <w:rsid w:val="00DE6146"/>
    <w:rsid w:val="00DE692C"/>
    <w:rsid w:val="00DF14E4"/>
    <w:rsid w:val="00DF19D0"/>
    <w:rsid w:val="00DF4036"/>
    <w:rsid w:val="00DF7300"/>
    <w:rsid w:val="00E0018F"/>
    <w:rsid w:val="00E004C5"/>
    <w:rsid w:val="00E00F9A"/>
    <w:rsid w:val="00E01D49"/>
    <w:rsid w:val="00E07E23"/>
    <w:rsid w:val="00E12AD2"/>
    <w:rsid w:val="00E131AD"/>
    <w:rsid w:val="00E1488D"/>
    <w:rsid w:val="00E15C73"/>
    <w:rsid w:val="00E15F96"/>
    <w:rsid w:val="00E16966"/>
    <w:rsid w:val="00E20A7D"/>
    <w:rsid w:val="00E20D0E"/>
    <w:rsid w:val="00E24A08"/>
    <w:rsid w:val="00E24C70"/>
    <w:rsid w:val="00E33EF4"/>
    <w:rsid w:val="00E36631"/>
    <w:rsid w:val="00E36B0B"/>
    <w:rsid w:val="00E36CAF"/>
    <w:rsid w:val="00E417B9"/>
    <w:rsid w:val="00E42A4A"/>
    <w:rsid w:val="00E42BB4"/>
    <w:rsid w:val="00E46A3A"/>
    <w:rsid w:val="00E501E5"/>
    <w:rsid w:val="00E5258C"/>
    <w:rsid w:val="00E52D83"/>
    <w:rsid w:val="00E52DBD"/>
    <w:rsid w:val="00E55D76"/>
    <w:rsid w:val="00E56E62"/>
    <w:rsid w:val="00E61A54"/>
    <w:rsid w:val="00E6688C"/>
    <w:rsid w:val="00E72E37"/>
    <w:rsid w:val="00E72EC0"/>
    <w:rsid w:val="00E73277"/>
    <w:rsid w:val="00E74E43"/>
    <w:rsid w:val="00E801EA"/>
    <w:rsid w:val="00E8483F"/>
    <w:rsid w:val="00E91E42"/>
    <w:rsid w:val="00E9228F"/>
    <w:rsid w:val="00E96F91"/>
    <w:rsid w:val="00EA1560"/>
    <w:rsid w:val="00EB1B22"/>
    <w:rsid w:val="00EB4351"/>
    <w:rsid w:val="00EC033A"/>
    <w:rsid w:val="00EC1E94"/>
    <w:rsid w:val="00EC1FF1"/>
    <w:rsid w:val="00EC3306"/>
    <w:rsid w:val="00EC4296"/>
    <w:rsid w:val="00EC6ACF"/>
    <w:rsid w:val="00EC6B29"/>
    <w:rsid w:val="00EC778E"/>
    <w:rsid w:val="00ED27F0"/>
    <w:rsid w:val="00ED3410"/>
    <w:rsid w:val="00ED400E"/>
    <w:rsid w:val="00ED51A1"/>
    <w:rsid w:val="00ED5FF7"/>
    <w:rsid w:val="00ED761E"/>
    <w:rsid w:val="00EE1259"/>
    <w:rsid w:val="00EE15CB"/>
    <w:rsid w:val="00EE263F"/>
    <w:rsid w:val="00EE42A2"/>
    <w:rsid w:val="00EE5DC2"/>
    <w:rsid w:val="00EE6548"/>
    <w:rsid w:val="00EE685D"/>
    <w:rsid w:val="00EF0EE1"/>
    <w:rsid w:val="00EF383A"/>
    <w:rsid w:val="00EF5286"/>
    <w:rsid w:val="00EF7DDD"/>
    <w:rsid w:val="00F01F80"/>
    <w:rsid w:val="00F03063"/>
    <w:rsid w:val="00F05087"/>
    <w:rsid w:val="00F116E5"/>
    <w:rsid w:val="00F11E68"/>
    <w:rsid w:val="00F125E0"/>
    <w:rsid w:val="00F166E9"/>
    <w:rsid w:val="00F21433"/>
    <w:rsid w:val="00F23541"/>
    <w:rsid w:val="00F244BF"/>
    <w:rsid w:val="00F24D7B"/>
    <w:rsid w:val="00F2554F"/>
    <w:rsid w:val="00F25B9E"/>
    <w:rsid w:val="00F26D7F"/>
    <w:rsid w:val="00F30775"/>
    <w:rsid w:val="00F31F4C"/>
    <w:rsid w:val="00F320FD"/>
    <w:rsid w:val="00F325D5"/>
    <w:rsid w:val="00F33CE8"/>
    <w:rsid w:val="00F34447"/>
    <w:rsid w:val="00F345E9"/>
    <w:rsid w:val="00F3505A"/>
    <w:rsid w:val="00F4005C"/>
    <w:rsid w:val="00F403FD"/>
    <w:rsid w:val="00F470AF"/>
    <w:rsid w:val="00F526FE"/>
    <w:rsid w:val="00F54D56"/>
    <w:rsid w:val="00F553D7"/>
    <w:rsid w:val="00F65475"/>
    <w:rsid w:val="00F667C0"/>
    <w:rsid w:val="00F71251"/>
    <w:rsid w:val="00F715F0"/>
    <w:rsid w:val="00F753DE"/>
    <w:rsid w:val="00F75EF5"/>
    <w:rsid w:val="00F76F07"/>
    <w:rsid w:val="00F773E8"/>
    <w:rsid w:val="00F80172"/>
    <w:rsid w:val="00F82AB6"/>
    <w:rsid w:val="00F8381F"/>
    <w:rsid w:val="00F83EC1"/>
    <w:rsid w:val="00F84688"/>
    <w:rsid w:val="00F86C7D"/>
    <w:rsid w:val="00F86F0C"/>
    <w:rsid w:val="00F87A9D"/>
    <w:rsid w:val="00F91AC2"/>
    <w:rsid w:val="00F92EA5"/>
    <w:rsid w:val="00F96C67"/>
    <w:rsid w:val="00F96EB9"/>
    <w:rsid w:val="00F97BCC"/>
    <w:rsid w:val="00F97C1B"/>
    <w:rsid w:val="00F97FED"/>
    <w:rsid w:val="00FA0784"/>
    <w:rsid w:val="00FA1416"/>
    <w:rsid w:val="00FA1DC6"/>
    <w:rsid w:val="00FA4FE3"/>
    <w:rsid w:val="00FA6F93"/>
    <w:rsid w:val="00FB0CBE"/>
    <w:rsid w:val="00FB1E03"/>
    <w:rsid w:val="00FB6FEA"/>
    <w:rsid w:val="00FB7C15"/>
    <w:rsid w:val="00FC2237"/>
    <w:rsid w:val="00FC2AFD"/>
    <w:rsid w:val="00FC2D4A"/>
    <w:rsid w:val="00FC2E6E"/>
    <w:rsid w:val="00FC3109"/>
    <w:rsid w:val="00FC4473"/>
    <w:rsid w:val="00FC49C5"/>
    <w:rsid w:val="00FC58FF"/>
    <w:rsid w:val="00FC7073"/>
    <w:rsid w:val="00FC7B30"/>
    <w:rsid w:val="00FD2D2A"/>
    <w:rsid w:val="00FD54AC"/>
    <w:rsid w:val="00FD6B07"/>
    <w:rsid w:val="00FE24F9"/>
    <w:rsid w:val="00FE2698"/>
    <w:rsid w:val="00FE2B16"/>
    <w:rsid w:val="00FE3828"/>
    <w:rsid w:val="00FE6B59"/>
    <w:rsid w:val="00FF5319"/>
    <w:rsid w:val="00FF6B31"/>
    <w:rsid w:val="00FF6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A92411E"/>
  <w15:chartTrackingRefBased/>
  <w15:docId w15:val="{F7519951-51CF-4E83-AB20-3D593E10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basedOn w:val="Normal"/>
    <w:uiPriority w:val="34"/>
    <w:qFormat/>
    <w:rsid w:val="00EE42A2"/>
    <w:pPr>
      <w:spacing w:after="160" w:line="259" w:lineRule="auto"/>
      <w:ind w:left="720"/>
      <w:contextualSpacing/>
    </w:pPr>
    <w:rPr>
      <w:rFonts w:asciiTheme="minorHAnsi" w:eastAsiaTheme="minorHAnsi" w:hAnsiTheme="minorHAnsi" w:cstheme="minorBidi"/>
      <w:szCs w:val="22"/>
    </w:rPr>
  </w:style>
  <w:style w:type="paragraph" w:customStyle="1" w:styleId="paragraph">
    <w:name w:val="paragraph"/>
    <w:basedOn w:val="Normal"/>
    <w:rsid w:val="00D7684A"/>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15356E"/>
    <w:pPr>
      <w:autoSpaceDE w:val="0"/>
      <w:autoSpaceDN w:val="0"/>
      <w:adjustRightInd w:val="0"/>
    </w:pPr>
    <w:rPr>
      <w:rFonts w:ascii="Garamond" w:hAnsi="Garamond" w:cs="Garamond"/>
      <w:color w:val="000000"/>
      <w:sz w:val="24"/>
      <w:szCs w:val="24"/>
    </w:rPr>
  </w:style>
  <w:style w:type="paragraph" w:customStyle="1" w:styleId="VLALetterText">
    <w:name w:val="VLA Letter Text"/>
    <w:rsid w:val="002277A1"/>
    <w:pPr>
      <w:spacing w:after="120" w:line="300" w:lineRule="atLeast"/>
    </w:pPr>
    <w:rPr>
      <w:rFonts w:ascii="Arial" w:hAnsi="Arial"/>
      <w:sz w:val="22"/>
      <w:szCs w:val="24"/>
      <w:lang w:eastAsia="en-US"/>
    </w:rPr>
  </w:style>
  <w:style w:type="paragraph" w:styleId="NormalWeb">
    <w:name w:val="Normal (Web)"/>
    <w:basedOn w:val="Normal"/>
    <w:uiPriority w:val="99"/>
    <w:unhideWhenUsed/>
    <w:rsid w:val="00AF5B64"/>
    <w:pPr>
      <w:spacing w:after="0" w:line="240" w:lineRule="auto"/>
    </w:pPr>
    <w:rPr>
      <w:rFonts w:ascii="Times New Roman" w:eastAsiaTheme="minorHAnsi" w:hAnsi="Times New Roman"/>
      <w:sz w:val="24"/>
      <w:lang w:eastAsia="en-AU"/>
    </w:rPr>
  </w:style>
  <w:style w:type="character" w:styleId="CommentReference">
    <w:name w:val="annotation reference"/>
    <w:basedOn w:val="DefaultParagraphFont"/>
    <w:rsid w:val="002F4995"/>
    <w:rPr>
      <w:sz w:val="16"/>
      <w:szCs w:val="16"/>
    </w:rPr>
  </w:style>
  <w:style w:type="paragraph" w:styleId="CommentText">
    <w:name w:val="annotation text"/>
    <w:basedOn w:val="Normal"/>
    <w:link w:val="CommentTextChar"/>
    <w:rsid w:val="002F4995"/>
    <w:pPr>
      <w:spacing w:line="240" w:lineRule="auto"/>
    </w:pPr>
    <w:rPr>
      <w:sz w:val="20"/>
      <w:szCs w:val="20"/>
    </w:rPr>
  </w:style>
  <w:style w:type="character" w:customStyle="1" w:styleId="CommentTextChar">
    <w:name w:val="Comment Text Char"/>
    <w:basedOn w:val="DefaultParagraphFont"/>
    <w:link w:val="CommentText"/>
    <w:rsid w:val="002F4995"/>
    <w:rPr>
      <w:rFonts w:ascii="Arial" w:hAnsi="Arial"/>
      <w:lang w:eastAsia="en-US"/>
    </w:rPr>
  </w:style>
  <w:style w:type="paragraph" w:styleId="CommentSubject">
    <w:name w:val="annotation subject"/>
    <w:basedOn w:val="CommentText"/>
    <w:next w:val="CommentText"/>
    <w:link w:val="CommentSubjectChar"/>
    <w:rsid w:val="002F4995"/>
    <w:rPr>
      <w:b/>
      <w:bCs/>
    </w:rPr>
  </w:style>
  <w:style w:type="character" w:customStyle="1" w:styleId="CommentSubjectChar">
    <w:name w:val="Comment Subject Char"/>
    <w:basedOn w:val="CommentTextChar"/>
    <w:link w:val="CommentSubject"/>
    <w:rsid w:val="002F4995"/>
    <w:rPr>
      <w:rFonts w:ascii="Arial" w:hAnsi="Arial"/>
      <w:b/>
      <w:bCs/>
      <w:lang w:eastAsia="en-US"/>
    </w:rPr>
  </w:style>
  <w:style w:type="paragraph" w:styleId="BalloonText">
    <w:name w:val="Balloon Text"/>
    <w:basedOn w:val="Normal"/>
    <w:link w:val="BalloonTextChar"/>
    <w:rsid w:val="002F4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F4995"/>
    <w:rPr>
      <w:rFonts w:ascii="Segoe UI" w:hAnsi="Segoe UI" w:cs="Segoe UI"/>
      <w:sz w:val="18"/>
      <w:szCs w:val="18"/>
      <w:lang w:eastAsia="en-US"/>
    </w:rPr>
  </w:style>
  <w:style w:type="character" w:styleId="Emphasis">
    <w:name w:val="Emphasis"/>
    <w:basedOn w:val="DefaultParagraphFont"/>
    <w:qFormat/>
    <w:rsid w:val="00DE5A3A"/>
    <w:rPr>
      <w:i/>
      <w:iCs/>
    </w:rPr>
  </w:style>
  <w:style w:type="paragraph" w:styleId="Revision">
    <w:name w:val="Revision"/>
    <w:hidden/>
    <w:uiPriority w:val="99"/>
    <w:semiHidden/>
    <w:rsid w:val="000844C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2835">
      <w:bodyDiv w:val="1"/>
      <w:marLeft w:val="0"/>
      <w:marRight w:val="0"/>
      <w:marTop w:val="0"/>
      <w:marBottom w:val="0"/>
      <w:divBdr>
        <w:top w:val="none" w:sz="0" w:space="0" w:color="auto"/>
        <w:left w:val="none" w:sz="0" w:space="0" w:color="auto"/>
        <w:bottom w:val="none" w:sz="0" w:space="0" w:color="auto"/>
        <w:right w:val="none" w:sz="0" w:space="0" w:color="auto"/>
      </w:divBdr>
    </w:div>
    <w:div w:id="270011006">
      <w:bodyDiv w:val="1"/>
      <w:marLeft w:val="0"/>
      <w:marRight w:val="0"/>
      <w:marTop w:val="0"/>
      <w:marBottom w:val="0"/>
      <w:divBdr>
        <w:top w:val="none" w:sz="0" w:space="0" w:color="auto"/>
        <w:left w:val="none" w:sz="0" w:space="0" w:color="auto"/>
        <w:bottom w:val="none" w:sz="0" w:space="0" w:color="auto"/>
        <w:right w:val="none" w:sz="0" w:space="0" w:color="auto"/>
      </w:divBdr>
    </w:div>
    <w:div w:id="701520964">
      <w:bodyDiv w:val="1"/>
      <w:marLeft w:val="0"/>
      <w:marRight w:val="0"/>
      <w:marTop w:val="0"/>
      <w:marBottom w:val="0"/>
      <w:divBdr>
        <w:top w:val="none" w:sz="0" w:space="0" w:color="auto"/>
        <w:left w:val="none" w:sz="0" w:space="0" w:color="auto"/>
        <w:bottom w:val="none" w:sz="0" w:space="0" w:color="auto"/>
        <w:right w:val="none" w:sz="0" w:space="0" w:color="auto"/>
      </w:divBdr>
    </w:div>
    <w:div w:id="1077824039">
      <w:bodyDiv w:val="1"/>
      <w:marLeft w:val="0"/>
      <w:marRight w:val="0"/>
      <w:marTop w:val="0"/>
      <w:marBottom w:val="0"/>
      <w:divBdr>
        <w:top w:val="none" w:sz="0" w:space="0" w:color="auto"/>
        <w:left w:val="none" w:sz="0" w:space="0" w:color="auto"/>
        <w:bottom w:val="none" w:sz="0" w:space="0" w:color="auto"/>
        <w:right w:val="none" w:sz="0" w:space="0" w:color="auto"/>
      </w:divBdr>
    </w:div>
    <w:div w:id="1231043013">
      <w:bodyDiv w:val="1"/>
      <w:marLeft w:val="0"/>
      <w:marRight w:val="0"/>
      <w:marTop w:val="0"/>
      <w:marBottom w:val="0"/>
      <w:divBdr>
        <w:top w:val="none" w:sz="0" w:space="0" w:color="auto"/>
        <w:left w:val="none" w:sz="0" w:space="0" w:color="auto"/>
        <w:bottom w:val="none" w:sz="0" w:space="0" w:color="auto"/>
        <w:right w:val="none" w:sz="0" w:space="0" w:color="auto"/>
      </w:divBdr>
    </w:div>
    <w:div w:id="1237937778">
      <w:bodyDiv w:val="1"/>
      <w:marLeft w:val="0"/>
      <w:marRight w:val="0"/>
      <w:marTop w:val="0"/>
      <w:marBottom w:val="0"/>
      <w:divBdr>
        <w:top w:val="none" w:sz="0" w:space="0" w:color="auto"/>
        <w:left w:val="none" w:sz="0" w:space="0" w:color="auto"/>
        <w:bottom w:val="none" w:sz="0" w:space="0" w:color="auto"/>
        <w:right w:val="none" w:sz="0" w:space="0" w:color="auto"/>
      </w:divBdr>
    </w:div>
    <w:div w:id="1419869793">
      <w:bodyDiv w:val="1"/>
      <w:marLeft w:val="0"/>
      <w:marRight w:val="0"/>
      <w:marTop w:val="0"/>
      <w:marBottom w:val="0"/>
      <w:divBdr>
        <w:top w:val="none" w:sz="0" w:space="0" w:color="auto"/>
        <w:left w:val="none" w:sz="0" w:space="0" w:color="auto"/>
        <w:bottom w:val="none" w:sz="0" w:space="0" w:color="auto"/>
        <w:right w:val="none" w:sz="0" w:space="0" w:color="auto"/>
      </w:divBdr>
    </w:div>
    <w:div w:id="1515069558">
      <w:bodyDiv w:val="1"/>
      <w:marLeft w:val="0"/>
      <w:marRight w:val="0"/>
      <w:marTop w:val="0"/>
      <w:marBottom w:val="0"/>
      <w:divBdr>
        <w:top w:val="none" w:sz="0" w:space="0" w:color="auto"/>
        <w:left w:val="none" w:sz="0" w:space="0" w:color="auto"/>
        <w:bottom w:val="none" w:sz="0" w:space="0" w:color="auto"/>
        <w:right w:val="none" w:sz="0" w:space="0" w:color="auto"/>
      </w:divBdr>
    </w:div>
    <w:div w:id="1545557228">
      <w:bodyDiv w:val="1"/>
      <w:marLeft w:val="0"/>
      <w:marRight w:val="0"/>
      <w:marTop w:val="0"/>
      <w:marBottom w:val="0"/>
      <w:divBdr>
        <w:top w:val="none" w:sz="0" w:space="0" w:color="auto"/>
        <w:left w:val="none" w:sz="0" w:space="0" w:color="auto"/>
        <w:bottom w:val="none" w:sz="0" w:space="0" w:color="auto"/>
        <w:right w:val="none" w:sz="0" w:space="0" w:color="auto"/>
      </w:divBdr>
    </w:div>
    <w:div w:id="1554850175">
      <w:bodyDiv w:val="1"/>
      <w:marLeft w:val="0"/>
      <w:marRight w:val="0"/>
      <w:marTop w:val="0"/>
      <w:marBottom w:val="0"/>
      <w:divBdr>
        <w:top w:val="none" w:sz="0" w:space="0" w:color="auto"/>
        <w:left w:val="none" w:sz="0" w:space="0" w:color="auto"/>
        <w:bottom w:val="none" w:sz="0" w:space="0" w:color="auto"/>
        <w:right w:val="none" w:sz="0" w:space="0" w:color="auto"/>
      </w:divBdr>
    </w:div>
    <w:div w:id="21311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2685-668D-4D6A-82A9-E8B53360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9862</Words>
  <Characters>54596</Characters>
  <Application>Microsoft Office Word</Application>
  <DocSecurity>4</DocSecurity>
  <Lines>454</Lines>
  <Paragraphs>128</Paragraphs>
  <ScaleCrop>false</ScaleCrop>
  <HeadingPairs>
    <vt:vector size="2" baseType="variant">
      <vt:variant>
        <vt:lpstr>Title</vt:lpstr>
      </vt:variant>
      <vt:variant>
        <vt:i4>1</vt:i4>
      </vt:variant>
    </vt:vector>
  </HeadingPairs>
  <TitlesOfParts>
    <vt:vector size="1" baseType="lpstr">
      <vt:lpstr>Victoria Legal Aid – Submission to the Family Law Council’s Terms of Reference, Number 2 – October 2015</vt:lpstr>
    </vt:vector>
  </TitlesOfParts>
  <Company>Victoria Legal Aid</Company>
  <LinksUpToDate>false</LinksUpToDate>
  <CharactersWithSpaces>64330</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 Submission to the Family Law Council’s Terms of Reference, Number 2 – October 2015</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